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8A62A">
      <w:pPr>
        <w:spacing w:line="360" w:lineRule="auto"/>
        <w:jc w:val="center"/>
        <w:rPr>
          <w:rFonts w:ascii="仿宋" w:hAnsi="仿宋" w:eastAsia="仿宋" w:cs="仿宋"/>
          <w:b/>
          <w:sz w:val="24"/>
        </w:rPr>
      </w:pPr>
    </w:p>
    <w:p w14:paraId="46C11F27">
      <w:pPr>
        <w:spacing w:line="360" w:lineRule="auto"/>
        <w:jc w:val="center"/>
        <w:rPr>
          <w:rFonts w:ascii="仿宋" w:hAnsi="仿宋" w:eastAsia="仿宋" w:cs="仿宋"/>
          <w:b/>
          <w:sz w:val="24"/>
        </w:rPr>
      </w:pPr>
    </w:p>
    <w:p w14:paraId="700D415E">
      <w:pPr>
        <w:adjustRightInd/>
        <w:spacing w:line="360" w:lineRule="auto"/>
        <w:jc w:val="center"/>
        <w:rPr>
          <w:rFonts w:ascii="仿宋" w:hAnsi="仿宋" w:eastAsia="仿宋" w:cs="仿宋"/>
          <w:b/>
          <w:sz w:val="48"/>
          <w:szCs w:val="48"/>
        </w:rPr>
      </w:pPr>
    </w:p>
    <w:p w14:paraId="1A81DA66">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2025年杭州交警业务系统租赁使用服务-2025年公安交通集成指挥平台使用项目</w:t>
      </w:r>
    </w:p>
    <w:p w14:paraId="6CB8F6EB">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3DD53266">
      <w:pPr>
        <w:pStyle w:val="7"/>
        <w:ind w:firstLine="480"/>
        <w:rPr>
          <w:rFonts w:ascii="仿宋" w:hAnsi="仿宋" w:eastAsia="仿宋" w:cs="仿宋"/>
        </w:rPr>
      </w:pPr>
    </w:p>
    <w:p w14:paraId="6CE1ABD1">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2B65BCF2">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编号:ZJZN-25022-HZGA15</w:t>
      </w:r>
    </w:p>
    <w:p w14:paraId="621B215C">
      <w:pPr>
        <w:adjustRightInd/>
        <w:spacing w:line="360" w:lineRule="auto"/>
        <w:rPr>
          <w:rFonts w:ascii="仿宋" w:hAnsi="仿宋" w:eastAsia="仿宋" w:cs="仿宋"/>
          <w:sz w:val="28"/>
          <w:szCs w:val="20"/>
        </w:rPr>
      </w:pPr>
    </w:p>
    <w:p w14:paraId="178540E3">
      <w:pPr>
        <w:spacing w:line="360" w:lineRule="auto"/>
        <w:jc w:val="center"/>
        <w:rPr>
          <w:rFonts w:ascii="仿宋" w:hAnsi="仿宋" w:eastAsia="仿宋" w:cs="仿宋"/>
          <w:b/>
          <w:sz w:val="44"/>
          <w:szCs w:val="44"/>
        </w:rPr>
      </w:pPr>
    </w:p>
    <w:p w14:paraId="6E71179E">
      <w:pPr>
        <w:pStyle w:val="7"/>
        <w:ind w:firstLine="480"/>
        <w:rPr>
          <w:rFonts w:ascii="仿宋" w:hAnsi="仿宋" w:eastAsia="仿宋" w:cs="仿宋"/>
        </w:rPr>
      </w:pPr>
    </w:p>
    <w:p w14:paraId="3AC8690B">
      <w:pPr>
        <w:spacing w:line="360" w:lineRule="auto"/>
        <w:jc w:val="center"/>
        <w:rPr>
          <w:rFonts w:ascii="仿宋" w:hAnsi="仿宋" w:eastAsia="仿宋" w:cs="仿宋"/>
          <w:b/>
          <w:sz w:val="44"/>
          <w:szCs w:val="44"/>
        </w:rPr>
      </w:pPr>
    </w:p>
    <w:p w14:paraId="0A7858A8">
      <w:pPr>
        <w:pStyle w:val="7"/>
        <w:ind w:firstLine="883"/>
        <w:rPr>
          <w:rFonts w:ascii="仿宋" w:hAnsi="仿宋" w:eastAsia="仿宋" w:cs="仿宋"/>
          <w:b/>
          <w:sz w:val="44"/>
          <w:szCs w:val="44"/>
        </w:rPr>
      </w:pPr>
    </w:p>
    <w:p w14:paraId="3587B31C">
      <w:pPr>
        <w:rPr>
          <w:rFonts w:ascii="仿宋" w:hAnsi="仿宋" w:eastAsia="仿宋" w:cs="仿宋"/>
        </w:rPr>
      </w:pPr>
    </w:p>
    <w:p w14:paraId="7E39576A">
      <w:pPr>
        <w:spacing w:line="360" w:lineRule="auto"/>
        <w:jc w:val="center"/>
        <w:rPr>
          <w:rFonts w:ascii="仿宋" w:hAnsi="仿宋" w:eastAsia="仿宋" w:cs="仿宋"/>
          <w:sz w:val="24"/>
        </w:rPr>
      </w:pPr>
    </w:p>
    <w:p w14:paraId="2456A909">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杭州市公安局交通警察支队</w:t>
      </w:r>
    </w:p>
    <w:p w14:paraId="005A4074">
      <w:pPr>
        <w:snapToGrid w:val="0"/>
        <w:spacing w:line="360" w:lineRule="auto"/>
        <w:jc w:val="center"/>
        <w:rPr>
          <w:rFonts w:ascii="仿宋" w:hAnsi="仿宋" w:eastAsia="仿宋" w:cs="仿宋"/>
          <w:sz w:val="32"/>
          <w:szCs w:val="32"/>
        </w:rPr>
      </w:pPr>
      <w:r>
        <w:rPr>
          <w:rFonts w:hint="eastAsia" w:ascii="仿宋" w:hAnsi="仿宋" w:eastAsia="仿宋" w:cs="仿宋"/>
          <w:bCs/>
          <w:sz w:val="32"/>
          <w:szCs w:val="32"/>
        </w:rPr>
        <w:t>浙江中诺招标代理有限公司</w:t>
      </w:r>
    </w:p>
    <w:p w14:paraId="51251419">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二0二五年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6BCBBDC2">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79900BAA">
      <w:pPr>
        <w:spacing w:line="360" w:lineRule="auto"/>
        <w:jc w:val="center"/>
        <w:rPr>
          <w:rFonts w:ascii="仿宋" w:hAnsi="仿宋" w:eastAsia="仿宋" w:cs="仿宋"/>
          <w:sz w:val="24"/>
        </w:rPr>
      </w:pPr>
    </w:p>
    <w:p w14:paraId="5646480C">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277A8FBF">
      <w:pPr>
        <w:spacing w:line="360" w:lineRule="auto"/>
        <w:rPr>
          <w:rFonts w:ascii="仿宋" w:hAnsi="仿宋" w:eastAsia="仿宋" w:cs="仿宋"/>
          <w:sz w:val="32"/>
          <w:szCs w:val="32"/>
        </w:rPr>
      </w:pPr>
    </w:p>
    <w:p w14:paraId="599655F7">
      <w:pPr>
        <w:spacing w:line="360" w:lineRule="auto"/>
        <w:rPr>
          <w:rFonts w:ascii="仿宋" w:hAnsi="仿宋" w:eastAsia="仿宋" w:cs="仿宋"/>
          <w:sz w:val="32"/>
          <w:szCs w:val="32"/>
        </w:rPr>
      </w:pPr>
    </w:p>
    <w:p w14:paraId="7E84C2A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618039C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0651468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5C688B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6F78BE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D72C5F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39EA17A5">
      <w:pPr>
        <w:spacing w:line="360" w:lineRule="auto"/>
        <w:ind w:firstLine="549" w:firstLineChars="229"/>
        <w:rPr>
          <w:rFonts w:ascii="仿宋" w:hAnsi="仿宋" w:eastAsia="仿宋" w:cs="仿宋"/>
          <w:sz w:val="24"/>
        </w:rPr>
      </w:pPr>
      <w:bookmarkStart w:id="1" w:name="_Hlt74728647"/>
      <w:bookmarkEnd w:id="1"/>
      <w:bookmarkStart w:id="2" w:name="_Hlt74729822"/>
      <w:bookmarkEnd w:id="2"/>
      <w:bookmarkStart w:id="3" w:name="_Hlt74707423"/>
      <w:bookmarkEnd w:id="3"/>
      <w:bookmarkStart w:id="4" w:name="_Hlt91233176"/>
      <w:bookmarkEnd w:id="4"/>
      <w:bookmarkStart w:id="5" w:name="_Hlt74649545"/>
      <w:bookmarkEnd w:id="5"/>
      <w:bookmarkStart w:id="6" w:name="_Toc91899869"/>
      <w:bookmarkStart w:id="7" w:name="_Toc91899870"/>
      <w:bookmarkStart w:id="8" w:name="第二部分"/>
      <w:bookmarkStart w:id="9" w:name="_Toc91899871"/>
    </w:p>
    <w:p w14:paraId="07B26F3B">
      <w:pPr>
        <w:spacing w:line="360" w:lineRule="auto"/>
        <w:ind w:firstLine="549" w:firstLineChars="229"/>
        <w:rPr>
          <w:rFonts w:ascii="仿宋" w:hAnsi="仿宋" w:eastAsia="仿宋" w:cs="仿宋"/>
          <w:sz w:val="24"/>
        </w:rPr>
      </w:pPr>
    </w:p>
    <w:p w14:paraId="6DB3E9C3">
      <w:pPr>
        <w:spacing w:line="360" w:lineRule="auto"/>
        <w:ind w:firstLine="549" w:firstLineChars="229"/>
        <w:rPr>
          <w:rFonts w:ascii="仿宋" w:hAnsi="仿宋" w:eastAsia="仿宋" w:cs="仿宋"/>
          <w:sz w:val="24"/>
        </w:rPr>
      </w:pPr>
    </w:p>
    <w:p w14:paraId="1F59C23D">
      <w:pPr>
        <w:spacing w:line="360" w:lineRule="auto"/>
        <w:ind w:firstLine="549" w:firstLineChars="229"/>
        <w:rPr>
          <w:rFonts w:ascii="仿宋" w:hAnsi="仿宋" w:eastAsia="仿宋" w:cs="仿宋"/>
          <w:sz w:val="24"/>
        </w:rPr>
      </w:pPr>
    </w:p>
    <w:p w14:paraId="33577429">
      <w:pPr>
        <w:spacing w:line="360" w:lineRule="auto"/>
        <w:ind w:firstLine="549" w:firstLineChars="229"/>
        <w:rPr>
          <w:rFonts w:ascii="仿宋" w:hAnsi="仿宋" w:eastAsia="仿宋" w:cs="仿宋"/>
          <w:sz w:val="24"/>
        </w:rPr>
      </w:pPr>
    </w:p>
    <w:p w14:paraId="05F821F5">
      <w:pPr>
        <w:spacing w:line="360" w:lineRule="auto"/>
        <w:ind w:firstLine="549" w:firstLineChars="229"/>
        <w:rPr>
          <w:rFonts w:ascii="仿宋" w:hAnsi="仿宋" w:eastAsia="仿宋" w:cs="仿宋"/>
          <w:sz w:val="24"/>
        </w:rPr>
      </w:pPr>
    </w:p>
    <w:p w14:paraId="071EB3D7">
      <w:pPr>
        <w:spacing w:line="360" w:lineRule="auto"/>
        <w:ind w:firstLine="549" w:firstLineChars="229"/>
        <w:rPr>
          <w:rFonts w:ascii="仿宋" w:hAnsi="仿宋" w:eastAsia="仿宋" w:cs="仿宋"/>
          <w:sz w:val="24"/>
        </w:rPr>
      </w:pPr>
    </w:p>
    <w:p w14:paraId="507AABC1">
      <w:pPr>
        <w:spacing w:line="360" w:lineRule="auto"/>
        <w:ind w:firstLine="549" w:firstLineChars="229"/>
        <w:rPr>
          <w:rFonts w:ascii="仿宋" w:hAnsi="仿宋" w:eastAsia="仿宋" w:cs="仿宋"/>
          <w:sz w:val="24"/>
        </w:rPr>
      </w:pPr>
    </w:p>
    <w:p w14:paraId="28D9D207">
      <w:pPr>
        <w:spacing w:line="360" w:lineRule="auto"/>
        <w:ind w:firstLine="549" w:firstLineChars="229"/>
        <w:rPr>
          <w:rFonts w:ascii="仿宋" w:hAnsi="仿宋" w:eastAsia="仿宋" w:cs="仿宋"/>
          <w:sz w:val="24"/>
        </w:rPr>
      </w:pPr>
    </w:p>
    <w:bookmarkEnd w:id="6"/>
    <w:p w14:paraId="04E1D77D">
      <w:pPr>
        <w:adjustRightInd/>
        <w:spacing w:line="360" w:lineRule="auto"/>
        <w:jc w:val="center"/>
        <w:outlineLvl w:val="0"/>
        <w:rPr>
          <w:rFonts w:ascii="仿宋" w:hAnsi="仿宋" w:eastAsia="仿宋" w:cs="仿宋"/>
          <w:b/>
          <w:sz w:val="36"/>
          <w:szCs w:val="20"/>
        </w:rPr>
      </w:pPr>
      <w:bookmarkStart w:id="10" w:name="第一部分"/>
      <w:r>
        <w:rPr>
          <w:rFonts w:hint="eastAsia" w:ascii="仿宋" w:hAnsi="仿宋" w:eastAsia="仿宋" w:cs="仿宋"/>
          <w:b/>
          <w:sz w:val="36"/>
          <w:szCs w:val="36"/>
        </w:rPr>
        <w:br w:type="page"/>
      </w:r>
      <w:bookmarkEnd w:id="10"/>
      <w:r>
        <w:rPr>
          <w:rFonts w:hint="eastAsia" w:ascii="仿宋" w:hAnsi="仿宋" w:eastAsia="仿宋" w:cs="仿宋"/>
          <w:b/>
          <w:sz w:val="36"/>
          <w:szCs w:val="20"/>
        </w:rPr>
        <w:t>第一部分  招标公告</w:t>
      </w:r>
    </w:p>
    <w:p w14:paraId="35278D0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EDF226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2025年杭州交警业务系统租赁使用服务-2025年公安交通集成指挥平台使用项目</w:t>
      </w:r>
      <w:r>
        <w:rPr>
          <w:rFonts w:hint="eastAsia" w:ascii="仿宋" w:hAnsi="仿宋" w:eastAsia="仿宋" w:cs="仿宋"/>
          <w:sz w:val="24"/>
        </w:rPr>
        <w:t>招标项目的潜在投标人应在政采云平台（https://www.zcygov.cn/）获取（下载）招标文件，并于2025年</w:t>
      </w:r>
      <w:r>
        <w:rPr>
          <w:rFonts w:hint="eastAsia" w:ascii="仿宋" w:hAnsi="仿宋" w:eastAsia="仿宋" w:cs="仿宋"/>
          <w:sz w:val="24"/>
          <w:lang w:val="en-US" w:eastAsia="zh-CN"/>
        </w:rPr>
        <w:t>8</w:t>
      </w:r>
      <w:r>
        <w:rPr>
          <w:rFonts w:hint="eastAsia" w:ascii="仿宋" w:hAnsi="仿宋" w:eastAsia="仿宋" w:cs="仿宋"/>
          <w:sz w:val="24"/>
        </w:rPr>
        <w:t xml:space="preserve">月 </w:t>
      </w:r>
      <w:r>
        <w:rPr>
          <w:rFonts w:hint="eastAsia" w:ascii="仿宋" w:hAnsi="仿宋" w:eastAsia="仿宋" w:cs="仿宋"/>
          <w:sz w:val="24"/>
          <w:lang w:val="en-US" w:eastAsia="zh-CN"/>
        </w:rPr>
        <w:t>5</w:t>
      </w:r>
      <w:r>
        <w:rPr>
          <w:rFonts w:hint="eastAsia" w:ascii="仿宋" w:hAnsi="仿宋" w:eastAsia="仿宋" w:cs="仿宋"/>
          <w:sz w:val="24"/>
        </w:rPr>
        <w:t xml:space="preserve">日 </w:t>
      </w:r>
      <w:r>
        <w:rPr>
          <w:rFonts w:hint="eastAsia" w:ascii="仿宋" w:hAnsi="仿宋" w:eastAsia="仿宋" w:cs="仿宋"/>
          <w:sz w:val="24"/>
          <w:lang w:val="en-US" w:eastAsia="zh-CN"/>
        </w:rPr>
        <w:t xml:space="preserve">9 </w:t>
      </w:r>
      <w:r>
        <w:rPr>
          <w:rFonts w:hint="eastAsia" w:ascii="仿宋" w:hAnsi="仿宋" w:eastAsia="仿宋" w:cs="仿宋"/>
          <w:sz w:val="24"/>
        </w:rPr>
        <w:t xml:space="preserve">点 </w:t>
      </w:r>
      <w:r>
        <w:rPr>
          <w:rFonts w:hint="eastAsia" w:ascii="仿宋" w:hAnsi="仿宋" w:eastAsia="仿宋" w:cs="仿宋"/>
          <w:sz w:val="24"/>
          <w:lang w:val="en-US" w:eastAsia="zh-CN"/>
        </w:rPr>
        <w:t>3</w:t>
      </w:r>
      <w:r>
        <w:rPr>
          <w:rFonts w:hint="eastAsia" w:ascii="仿宋" w:hAnsi="仿宋" w:eastAsia="仿宋" w:cs="仿宋"/>
          <w:sz w:val="24"/>
        </w:rPr>
        <w:t>0 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5233FF29">
      <w:pPr>
        <w:spacing w:line="360" w:lineRule="auto"/>
        <w:outlineLvl w:val="1"/>
        <w:rPr>
          <w:rFonts w:ascii="仿宋" w:hAnsi="仿宋" w:eastAsia="仿宋" w:cs="仿宋"/>
          <w:b/>
          <w:sz w:val="24"/>
        </w:rPr>
      </w:pPr>
      <w:r>
        <w:rPr>
          <w:rFonts w:hint="eastAsia" w:ascii="仿宋" w:hAnsi="仿宋" w:eastAsia="仿宋" w:cs="仿宋"/>
          <w:b/>
          <w:sz w:val="24"/>
        </w:rPr>
        <w:t>一、项目基本情况</w:t>
      </w:r>
    </w:p>
    <w:p w14:paraId="7804FE9E">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ZJZN-25022-HZGA15</w:t>
      </w:r>
    </w:p>
    <w:p w14:paraId="002C1D0A">
      <w:pPr>
        <w:spacing w:line="360" w:lineRule="auto"/>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rPr>
        <w:t>2025年杭州交警业务系统租赁使用服务-2025年公安交通集成指挥平台使用项目</w:t>
      </w:r>
    </w:p>
    <w:p w14:paraId="2D731F67">
      <w:pPr>
        <w:spacing w:line="360" w:lineRule="auto"/>
        <w:ind w:firstLine="482" w:firstLineChars="200"/>
        <w:rPr>
          <w:rFonts w:ascii="仿宋" w:hAnsi="仿宋" w:eastAsia="仿宋" w:cs="仿宋"/>
          <w:sz w:val="24"/>
        </w:rPr>
      </w:pPr>
      <w:r>
        <w:rPr>
          <w:rFonts w:hint="eastAsia" w:ascii="仿宋" w:hAnsi="仿宋" w:eastAsia="仿宋" w:cs="仿宋"/>
          <w:b/>
          <w:sz w:val="24"/>
        </w:rPr>
        <w:t>预算金额</w:t>
      </w:r>
      <w:r>
        <w:rPr>
          <w:rFonts w:hint="eastAsia" w:ascii="宋体" w:hAnsi="宋体" w:eastAsia="仿宋" w:cs="宋体"/>
          <w:b/>
          <w:sz w:val="24"/>
        </w:rPr>
        <w:t>（元）</w:t>
      </w:r>
      <w:r>
        <w:rPr>
          <w:rFonts w:hint="eastAsia" w:ascii="仿宋" w:hAnsi="仿宋" w:eastAsia="仿宋" w:cs="仿宋"/>
          <w:b/>
          <w:sz w:val="24"/>
        </w:rPr>
        <w:t>：</w:t>
      </w:r>
      <w:r>
        <w:rPr>
          <w:rFonts w:hint="eastAsia" w:ascii="仿宋" w:hAnsi="仿宋" w:eastAsia="仿宋" w:cs="仿宋"/>
          <w:color w:val="000000"/>
          <w:sz w:val="24"/>
        </w:rPr>
        <w:t>3675400元（其中2025年</w:t>
      </w:r>
      <w:bookmarkStart w:id="176" w:name="_GoBack"/>
      <w:bookmarkEnd w:id="176"/>
      <w:r>
        <w:rPr>
          <w:rFonts w:hint="eastAsia" w:ascii="仿宋" w:hAnsi="仿宋" w:eastAsia="仿宋" w:cs="仿宋"/>
          <w:color w:val="000000"/>
          <w:sz w:val="24"/>
        </w:rPr>
        <w:t>安排1837700元）</w:t>
      </w:r>
    </w:p>
    <w:p w14:paraId="4FEDA07F">
      <w:pPr>
        <w:spacing w:line="360" w:lineRule="auto"/>
        <w:ind w:firstLine="482" w:firstLineChars="200"/>
        <w:rPr>
          <w:rFonts w:ascii="宋体" w:hAnsi="宋体" w:eastAsia="仿宋" w:cs="宋体"/>
          <w:b/>
          <w:sz w:val="24"/>
        </w:rPr>
      </w:pPr>
      <w:r>
        <w:rPr>
          <w:rFonts w:hint="eastAsia" w:ascii="宋体" w:hAnsi="宋体" w:eastAsia="仿宋" w:cs="宋体"/>
          <w:b/>
          <w:sz w:val="24"/>
        </w:rPr>
        <w:t>最高限价（元）：</w:t>
      </w:r>
      <w:r>
        <w:rPr>
          <w:rFonts w:hint="eastAsia" w:ascii="仿宋" w:hAnsi="仿宋" w:eastAsia="仿宋" w:cs="仿宋"/>
          <w:color w:val="000000"/>
          <w:sz w:val="24"/>
        </w:rPr>
        <w:t>3</w:t>
      </w:r>
      <w:r>
        <w:rPr>
          <w:rFonts w:hint="eastAsia" w:ascii="仿宋" w:hAnsi="仿宋" w:eastAsia="仿宋" w:cs="仿宋"/>
          <w:color w:val="000000"/>
          <w:sz w:val="24"/>
          <w:lang w:val="en-US" w:eastAsia="zh-CN"/>
        </w:rPr>
        <w:t>520</w:t>
      </w:r>
      <w:r>
        <w:rPr>
          <w:rFonts w:hint="eastAsia" w:ascii="仿宋" w:hAnsi="仿宋" w:eastAsia="仿宋" w:cs="仿宋"/>
          <w:color w:val="000000"/>
          <w:sz w:val="24"/>
        </w:rPr>
        <w:t>400元</w:t>
      </w:r>
    </w:p>
    <w:p w14:paraId="17BA48D1">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采购需求：</w:t>
      </w:r>
      <w:r>
        <w:rPr>
          <w:rFonts w:hint="eastAsia" w:ascii="仿宋" w:hAnsi="仿宋" w:eastAsia="仿宋" w:cs="仿宋"/>
          <w:sz w:val="24"/>
        </w:rPr>
        <w:t>2025年杭州交警业务系统租赁使用服务-2025年公安交通集成指挥平台使用项目主要内容：</w:t>
      </w:r>
      <w:r>
        <w:rPr>
          <w:rFonts w:hint="eastAsia" w:ascii="仿宋" w:hAnsi="仿宋" w:eastAsia="仿宋" w:cs="仿宋"/>
          <w:bCs/>
          <w:sz w:val="24"/>
          <w:u w:val="single"/>
        </w:rPr>
        <w:t>以购买服务方式，提供公安交通集成指挥平台的使用服务，包括集成指挥平台基础运行环境搭建、集成指挥平台配套系统建设等</w:t>
      </w:r>
      <w:r>
        <w:rPr>
          <w:rFonts w:hint="eastAsia" w:ascii="仿宋" w:hAnsi="仿宋" w:eastAsia="仿宋" w:cs="仿宋"/>
          <w:sz w:val="24"/>
        </w:rPr>
        <w:t>。</w:t>
      </w:r>
      <w:r>
        <w:rPr>
          <w:rFonts w:hint="eastAsia" w:ascii="仿宋" w:hAnsi="仿宋" w:eastAsia="仿宋" w:cs="仿宋"/>
          <w:sz w:val="24"/>
          <w:u w:val="single"/>
        </w:rPr>
        <w:t>具体以招标文件第三部分采购需求为准，供应商可点击本公告下方“浏览采购文件”查看采购需求。</w:t>
      </w:r>
    </w:p>
    <w:p w14:paraId="53A5D6B5">
      <w:pPr>
        <w:pStyle w:val="180"/>
        <w:snapToGrid w:val="0"/>
        <w:ind w:firstLine="482"/>
        <w:rPr>
          <w:rFonts w:hint="eastAsia" w:ascii="仿宋" w:hAnsi="仿宋" w:eastAsia="仿宋" w:cs="仿宋"/>
          <w:szCs w:val="24"/>
        </w:rPr>
      </w:pPr>
      <w:r>
        <w:rPr>
          <w:rFonts w:hint="eastAsia" w:ascii="仿宋" w:hAnsi="仿宋" w:eastAsia="仿宋" w:cs="仿宋"/>
          <w:b/>
        </w:rPr>
        <w:t>合同履约期限：</w:t>
      </w:r>
      <w:r>
        <w:rPr>
          <w:rFonts w:hint="eastAsia" w:ascii="仿宋" w:hAnsi="仿宋" w:eastAsia="仿宋" w:cs="仿宋"/>
          <w:szCs w:val="24"/>
        </w:rPr>
        <w:t>12个月（2025年8月1日-2026年7月31日）。</w:t>
      </w:r>
    </w:p>
    <w:p w14:paraId="4784CDFA">
      <w:pPr>
        <w:pStyle w:val="180"/>
        <w:snapToGrid w:val="0"/>
        <w:ind w:firstLine="240" w:firstLineChars="100"/>
        <w:rPr>
          <w:rFonts w:hint="eastAsia" w:ascii="仿宋" w:hAnsi="仿宋" w:eastAsia="仿宋" w:cs="仿宋"/>
          <w:szCs w:val="24"/>
        </w:rPr>
      </w:pPr>
      <w:r>
        <w:rPr>
          <w:rFonts w:hint="eastAsia" w:ascii="仿宋" w:hAnsi="仿宋" w:eastAsia="仿宋" w:cs="仿宋"/>
          <w:szCs w:val="24"/>
        </w:rPr>
        <w:t>2025年8月1日至合同签订前由该项目原合同单位按照2025年需求继续提供履约，期间产生的费用由本次中标人按照实际履约时间及 2025 年合同单价与原合同单位按实结算,同时扣除考核违约金(交还采购人)。本次中标人需在合同签订之日起7日内完成各项工作的转换、衔接工作。</w:t>
      </w:r>
    </w:p>
    <w:p w14:paraId="342F3535">
      <w:pPr>
        <w:pStyle w:val="6"/>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r>
        <w:rPr>
          <w:rFonts w:ascii="仿宋" w:hAnsi="仿宋" w:eastAsia="仿宋" w:cs="仿宋"/>
          <w:color w:val="auto"/>
          <w:kern w:val="0"/>
          <w:sz w:val="24"/>
        </w:rPr>
        <w:sym w:font="Wingdings" w:char="F0FE"/>
      </w:r>
      <w:r>
        <w:rPr>
          <w:rFonts w:hint="eastAsia" w:ascii="仿宋" w:hAnsi="仿宋" w:eastAsia="仿宋" w:cs="仿宋"/>
          <w:b/>
          <w:color w:val="auto"/>
          <w:sz w:val="24"/>
        </w:rPr>
        <w:t>是；</w:t>
      </w:r>
      <w:r>
        <w:rPr>
          <w:rFonts w:hint="eastAsia" w:ascii="仿宋" w:hAnsi="仿宋" w:eastAsia="仿宋" w:cs="仿宋"/>
          <w:color w:val="auto"/>
          <w:kern w:val="0"/>
          <w:sz w:val="24"/>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390352BC">
      <w:pPr>
        <w:snapToGrid w:val="0"/>
        <w:spacing w:line="360" w:lineRule="auto"/>
        <w:outlineLvl w:val="1"/>
        <w:rPr>
          <w:rFonts w:ascii="仿宋" w:hAnsi="仿宋" w:eastAsia="仿宋" w:cs="仿宋"/>
          <w:b/>
          <w:sz w:val="24"/>
        </w:rPr>
      </w:pPr>
      <w:r>
        <w:rPr>
          <w:rFonts w:hint="eastAsia" w:ascii="仿宋" w:hAnsi="仿宋" w:eastAsia="仿宋" w:cs="仿宋"/>
          <w:b/>
          <w:sz w:val="24"/>
        </w:rPr>
        <w:t>二、申请人的资格要求：</w:t>
      </w:r>
    </w:p>
    <w:p w14:paraId="7FC0AFC1">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ED2CF42">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 以联合体形式投标的，提供联合协议(本项目不接受联合体投标或者供应商不以联合体形式投标的，则不需要提供) ；</w:t>
      </w:r>
    </w:p>
    <w:p w14:paraId="5DAE5B4F">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9EF9E49">
      <w:pPr>
        <w:spacing w:line="360" w:lineRule="auto"/>
        <w:ind w:firstLine="480" w:firstLineChars="200"/>
        <w:rPr>
          <w:rFonts w:ascii="仿宋" w:hAnsi="仿宋" w:eastAsia="仿宋" w:cs="仿宋"/>
          <w:sz w:val="24"/>
        </w:rPr>
      </w:pPr>
      <w:r>
        <w:rPr>
          <w:rFonts w:ascii="Wingdings" w:hAnsi="Wingdings" w:eastAsia="仿宋" w:cs="仿宋"/>
          <w:kern w:val="0"/>
          <w:sz w:val="24"/>
        </w:rPr>
        <w:sym w:font="Wingdings" w:char="00A8"/>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7B1D5B1A">
      <w:pPr>
        <w:spacing w:line="360" w:lineRule="auto"/>
        <w:ind w:firstLine="480" w:firstLineChars="200"/>
        <w:rPr>
          <w:rFonts w:ascii="仿宋" w:hAnsi="仿宋" w:eastAsia="仿宋" w:cs="仿宋"/>
          <w:sz w:val="24"/>
        </w:rPr>
      </w:pPr>
      <w:r>
        <w:rPr>
          <w:rFonts w:ascii="Wingdings" w:hAnsi="Wingdings" w:eastAsia="仿宋" w:cs="仿宋"/>
          <w:kern w:val="0"/>
          <w:sz w:val="24"/>
        </w:rPr>
        <w:t></w:t>
      </w:r>
      <w:bookmarkStart w:id="11" w:name="OLE_LINK3"/>
      <w:bookmarkStart w:id="12" w:name="OLE_LINK4"/>
      <w:r>
        <w:rPr>
          <w:rFonts w:ascii="Wingdings" w:hAnsi="Wingdings" w:eastAsia="仿宋" w:cs="仿宋"/>
          <w:kern w:val="0"/>
          <w:sz w:val="24"/>
        </w:rPr>
        <w:t>专门面向中小企业</w:t>
      </w:r>
      <w:bookmarkEnd w:id="11"/>
      <w:bookmarkEnd w:id="12"/>
    </w:p>
    <w:p w14:paraId="46B00735">
      <w:pPr>
        <w:spacing w:line="360" w:lineRule="auto"/>
        <w:ind w:firstLine="897" w:firstLineChars="374"/>
        <w:rPr>
          <w:rFonts w:ascii="仿宋" w:hAnsi="仿宋" w:eastAsia="仿宋" w:cs="仿宋"/>
          <w:sz w:val="24"/>
        </w:rPr>
      </w:pPr>
      <w:r>
        <w:rPr>
          <w:rFonts w:ascii="Wingdings" w:hAnsi="Wingdings"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14:paraId="0AB16F13">
      <w:pPr>
        <w:spacing w:line="360" w:lineRule="auto"/>
        <w:ind w:firstLine="897" w:firstLineChars="374"/>
        <w:rPr>
          <w:rFonts w:ascii="仿宋" w:hAnsi="仿宋" w:eastAsia="仿宋" w:cs="仿宋"/>
          <w:sz w:val="24"/>
        </w:rPr>
      </w:pPr>
      <w:r>
        <w:rPr>
          <w:rFonts w:ascii="Wingdings" w:hAnsi="Wingdings" w:eastAsia="仿宋" w:cs="仿宋"/>
          <w:kern w:val="0"/>
          <w:sz w:val="24"/>
        </w:rPr>
        <w:t></w:t>
      </w:r>
      <w:r>
        <w:rPr>
          <w:rFonts w:hint="eastAsia" w:ascii="仿宋" w:hAnsi="仿宋" w:eastAsia="仿宋" w:cs="仿宋"/>
          <w:sz w:val="24"/>
        </w:rPr>
        <w:t>服务全部由符合政策要求的小微企业承接，提供中小企业声明函；</w:t>
      </w:r>
    </w:p>
    <w:p w14:paraId="280402CD">
      <w:pPr>
        <w:spacing w:line="360" w:lineRule="auto"/>
        <w:ind w:firstLine="480" w:firstLineChars="200"/>
        <w:rPr>
          <w:rFonts w:ascii="仿宋" w:hAnsi="仿宋" w:eastAsia="仿宋" w:cs="仿宋"/>
          <w:sz w:val="24"/>
        </w:rPr>
      </w:pPr>
      <w:r>
        <w:rPr>
          <w:rFonts w:ascii="Wingdings" w:hAnsi="Wingdings"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4260858D">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0976A9FA">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本项目的特定资格要求：</w:t>
      </w:r>
    </w:p>
    <w:p w14:paraId="32C7C528">
      <w:pPr>
        <w:snapToGrid w:val="0"/>
        <w:spacing w:line="360" w:lineRule="auto"/>
        <w:ind w:firstLine="480" w:firstLineChars="200"/>
        <w:rPr>
          <w:rFonts w:ascii="宋体" w:hAnsi="宋体" w:eastAsia="仿宋" w:cs="宋体"/>
          <w:kern w:val="0"/>
          <w:sz w:val="24"/>
        </w:rPr>
      </w:pPr>
      <w:r>
        <w:rPr>
          <w:rFonts w:ascii="Wingdings" w:hAnsi="Wingdings" w:eastAsia="仿宋" w:cs="宋体"/>
          <w:kern w:val="0"/>
          <w:sz w:val="24"/>
        </w:rPr>
        <w:sym w:font="Wingdings" w:char="00FE"/>
      </w:r>
      <w:r>
        <w:rPr>
          <w:rFonts w:hint="eastAsia" w:ascii="宋体" w:hAnsi="宋体" w:eastAsia="仿宋" w:cs="宋体"/>
          <w:kern w:val="0"/>
          <w:sz w:val="24"/>
        </w:rPr>
        <w:t>无。</w:t>
      </w:r>
    </w:p>
    <w:p w14:paraId="1F189555">
      <w:pPr>
        <w:snapToGrid w:val="0"/>
        <w:spacing w:line="360" w:lineRule="auto"/>
        <w:ind w:firstLine="480" w:firstLineChars="200"/>
        <w:rPr>
          <w:rFonts w:ascii="仿宋" w:hAnsi="仿宋" w:eastAsia="仿宋" w:cs="仿宋"/>
          <w:sz w:val="24"/>
        </w:rPr>
      </w:pPr>
      <w:r>
        <w:rPr>
          <w:rFonts w:ascii="Wingdings" w:hAnsi="Wingdings" w:eastAsia="仿宋" w:cs="宋体"/>
          <w:kern w:val="0"/>
          <w:sz w:val="24"/>
        </w:rPr>
        <w:sym w:font="Wingdings" w:char="00A8"/>
      </w:r>
      <w:r>
        <w:rPr>
          <w:rFonts w:hint="eastAsia" w:ascii="宋体" w:hAnsi="宋体" w:eastAsia="仿宋" w:cs="宋体"/>
          <w:b/>
          <w:sz w:val="24"/>
        </w:rPr>
        <w:t>有特定资格要求：</w:t>
      </w:r>
      <w:r>
        <w:rPr>
          <w:rFonts w:hint="eastAsia" w:ascii="Calibri" w:hAnsi="Calibri" w:eastAsia="仿宋" w:cs="宋体"/>
          <w:sz w:val="24"/>
        </w:rPr>
        <w:t>；</w:t>
      </w:r>
      <w:r>
        <w:rPr>
          <w:rFonts w:hint="eastAsia" w:ascii="Calibri" w:hAnsi="Calibri" w:eastAsia="仿宋" w:cs="宋体"/>
          <w:b/>
          <w:sz w:val="24"/>
        </w:rPr>
        <w:t>该特定条件的法律法规依据：</w:t>
      </w:r>
      <w:r>
        <w:rPr>
          <w:rFonts w:hint="eastAsia" w:ascii="仿宋" w:hAnsi="仿宋" w:eastAsia="仿宋" w:cs="仿宋"/>
          <w:sz w:val="24"/>
        </w:rPr>
        <w:t>；</w:t>
      </w:r>
    </w:p>
    <w:p w14:paraId="5922C9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28A270">
      <w:pPr>
        <w:spacing w:line="360" w:lineRule="auto"/>
        <w:outlineLvl w:val="1"/>
        <w:rPr>
          <w:rFonts w:ascii="仿宋" w:hAnsi="仿宋" w:eastAsia="仿宋" w:cs="仿宋"/>
          <w:b/>
          <w:sz w:val="24"/>
        </w:rPr>
      </w:pPr>
      <w:r>
        <w:rPr>
          <w:rFonts w:hint="eastAsia" w:ascii="仿宋" w:hAnsi="仿宋" w:eastAsia="仿宋" w:cs="仿宋"/>
          <w:b/>
          <w:sz w:val="24"/>
        </w:rPr>
        <w:t xml:space="preserve">三、获取招标文件 </w:t>
      </w:r>
    </w:p>
    <w:p w14:paraId="19B7A53C">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8</w:t>
      </w:r>
      <w:r>
        <w:rPr>
          <w:rFonts w:hint="eastAsia" w:ascii="仿宋" w:hAnsi="仿宋" w:eastAsia="仿宋" w:cs="仿宋"/>
          <w:sz w:val="24"/>
          <w:u w:val="single"/>
        </w:rPr>
        <w:t xml:space="preserve"> 月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日</w:t>
      </w:r>
      <w:r>
        <w:rPr>
          <w:rFonts w:hint="eastAsia" w:ascii="仿宋" w:hAnsi="仿宋" w:eastAsia="仿宋" w:cs="仿宋"/>
          <w:sz w:val="24"/>
        </w:rPr>
        <w:t>，每天上午00:00至12:00 ，下午12:00至23:59（北京时间，线上获取法定节假日均可，线下获取文件法定节假日除外）</w:t>
      </w:r>
    </w:p>
    <w:p w14:paraId="00FC619F">
      <w:pPr>
        <w:spacing w:line="360" w:lineRule="auto"/>
        <w:ind w:firstLine="482" w:firstLineChars="200"/>
        <w:rPr>
          <w:rFonts w:ascii="仿宋" w:hAnsi="仿宋" w:eastAsia="仿宋" w:cs="仿宋"/>
          <w:sz w:val="24"/>
        </w:rPr>
      </w:pPr>
      <w:bookmarkStart w:id="13" w:name="_Hlk135571853"/>
      <w:r>
        <w:rPr>
          <w:rFonts w:hint="eastAsia" w:ascii="仿宋" w:hAnsi="仿宋" w:eastAsia="仿宋" w:cs="仿宋"/>
          <w:b/>
          <w:sz w:val="24"/>
        </w:rPr>
        <w:t>地点（网址）：</w:t>
      </w:r>
      <w:r>
        <w:rPr>
          <w:rFonts w:hint="eastAsia" w:ascii="仿宋" w:hAnsi="仿宋" w:eastAsia="仿宋" w:cs="仿宋"/>
          <w:sz w:val="24"/>
        </w:rPr>
        <w:t>政采云平台线上获取（https://www.zcygov.cn/）</w:t>
      </w:r>
    </w:p>
    <w:bookmarkEnd w:id="13"/>
    <w:p w14:paraId="75648319">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EAB262D">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14:paraId="0F0B18E4">
      <w:pPr>
        <w:spacing w:line="360" w:lineRule="auto"/>
        <w:outlineLvl w:val="1"/>
        <w:rPr>
          <w:rFonts w:ascii="仿宋" w:hAnsi="仿宋" w:eastAsia="仿宋" w:cs="仿宋"/>
          <w:b/>
          <w:sz w:val="24"/>
        </w:rPr>
      </w:pPr>
      <w:r>
        <w:rPr>
          <w:rFonts w:hint="eastAsia" w:ascii="仿宋" w:hAnsi="仿宋" w:eastAsia="仿宋" w:cs="仿宋"/>
          <w:b/>
          <w:sz w:val="24"/>
        </w:rPr>
        <w:t>四、提交投标文件截止时间、开标时间和地点</w:t>
      </w:r>
    </w:p>
    <w:p w14:paraId="1ED22C21">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 </w:t>
      </w:r>
      <w:r>
        <w:rPr>
          <w:rFonts w:hint="eastAsia" w:ascii="仿宋" w:hAnsi="仿宋" w:eastAsia="仿宋" w:cs="仿宋"/>
          <w:sz w:val="24"/>
          <w:u w:val="single"/>
          <w:lang w:val="en-US" w:eastAsia="zh-CN"/>
        </w:rPr>
        <w:t>8</w:t>
      </w:r>
      <w:r>
        <w:rPr>
          <w:rFonts w:hint="eastAsia" w:ascii="仿宋" w:hAnsi="仿宋" w:eastAsia="仿宋" w:cs="仿宋"/>
          <w:sz w:val="24"/>
          <w:u w:val="single"/>
        </w:rPr>
        <w:t xml:space="preserve"> 月 </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日 </w:t>
      </w:r>
      <w:r>
        <w:rPr>
          <w:rFonts w:hint="eastAsia" w:ascii="仿宋" w:hAnsi="仿宋" w:eastAsia="仿宋" w:cs="仿宋"/>
          <w:sz w:val="24"/>
          <w:u w:val="single"/>
          <w:lang w:val="en-US" w:eastAsia="zh-CN"/>
        </w:rPr>
        <w:t>9</w:t>
      </w:r>
      <w:r>
        <w:rPr>
          <w:rFonts w:hint="eastAsia" w:ascii="仿宋" w:hAnsi="仿宋" w:eastAsia="仿宋" w:cs="仿宋"/>
          <w:sz w:val="24"/>
          <w:u w:val="single"/>
        </w:rPr>
        <w:t xml:space="preserve">点 </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r>
        <w:rPr>
          <w:rFonts w:hint="eastAsia" w:ascii="仿宋" w:hAnsi="仿宋" w:eastAsia="仿宋" w:cs="仿宋"/>
          <w:sz w:val="24"/>
        </w:rPr>
        <w:t>（北京时间）</w:t>
      </w:r>
    </w:p>
    <w:p w14:paraId="050098DF">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请登录政采云投标客户端投标 </w:t>
      </w:r>
    </w:p>
    <w:p w14:paraId="3AE93725">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 xml:space="preserve">  2025年 </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5</w:t>
      </w:r>
      <w:r>
        <w:rPr>
          <w:rFonts w:hint="eastAsia" w:ascii="仿宋" w:hAnsi="仿宋" w:eastAsia="仿宋" w:cs="仿宋"/>
          <w:sz w:val="24"/>
          <w:u w:val="single"/>
        </w:rPr>
        <w:t xml:space="preserve"> 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r>
        <w:rPr>
          <w:rFonts w:hint="eastAsia" w:ascii="仿宋" w:hAnsi="仿宋" w:eastAsia="仿宋" w:cs="仿宋"/>
          <w:sz w:val="24"/>
          <w:u w:val="single"/>
        </w:rPr>
        <w:t>0分00秒</w:t>
      </w:r>
    </w:p>
    <w:p w14:paraId="3717B4A2">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0230EC85">
      <w:pPr>
        <w:spacing w:line="360" w:lineRule="auto"/>
        <w:outlineLvl w:val="1"/>
        <w:rPr>
          <w:rFonts w:ascii="仿宋" w:hAnsi="仿宋" w:eastAsia="仿宋" w:cs="仿宋"/>
          <w:sz w:val="24"/>
        </w:rPr>
      </w:pPr>
      <w:r>
        <w:rPr>
          <w:rFonts w:hint="eastAsia" w:ascii="仿宋" w:hAnsi="仿宋" w:eastAsia="仿宋" w:cs="仿宋"/>
          <w:b/>
          <w:sz w:val="24"/>
        </w:rPr>
        <w:t xml:space="preserve">五、公告期限 </w:t>
      </w:r>
    </w:p>
    <w:p w14:paraId="51E13A82">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FE9FB36">
      <w:pPr>
        <w:spacing w:line="360" w:lineRule="auto"/>
        <w:outlineLvl w:val="1"/>
        <w:rPr>
          <w:rFonts w:ascii="仿宋" w:hAnsi="仿宋" w:eastAsia="仿宋" w:cs="仿宋"/>
          <w:b/>
          <w:sz w:val="24"/>
        </w:rPr>
      </w:pPr>
      <w:r>
        <w:rPr>
          <w:rFonts w:hint="eastAsia" w:ascii="仿宋" w:hAnsi="仿宋" w:eastAsia="仿宋" w:cs="仿宋"/>
          <w:b/>
          <w:sz w:val="24"/>
        </w:rPr>
        <w:t>六、其他补充事宜</w:t>
      </w:r>
    </w:p>
    <w:p w14:paraId="450E0BC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D9BAD4">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E4275D">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采购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E6B648">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D8D44F">
      <w:pPr>
        <w:spacing w:line="360" w:lineRule="auto"/>
        <w:outlineLvl w:val="1"/>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6109E393">
      <w:pPr>
        <w:spacing w:line="360" w:lineRule="auto"/>
        <w:rPr>
          <w:rFonts w:ascii="宋体" w:hAnsi="宋体" w:eastAsia="仿宋" w:cs="宋体"/>
          <w:sz w:val="24"/>
        </w:rPr>
      </w:pPr>
      <w:r>
        <w:rPr>
          <w:rFonts w:hint="eastAsia" w:ascii="宋体" w:hAnsi="宋体" w:eastAsia="仿宋" w:cs="宋体"/>
          <w:sz w:val="24"/>
        </w:rPr>
        <w:t>1.采购人信息</w:t>
      </w:r>
    </w:p>
    <w:p w14:paraId="0BDB6B3F">
      <w:pPr>
        <w:spacing w:line="360" w:lineRule="auto"/>
        <w:ind w:firstLine="480" w:firstLineChars="200"/>
        <w:rPr>
          <w:rFonts w:ascii="宋体" w:hAnsi="宋体" w:eastAsia="仿宋" w:cs="宋体"/>
          <w:sz w:val="24"/>
        </w:rPr>
      </w:pPr>
      <w:r>
        <w:rPr>
          <w:rFonts w:hint="eastAsia" w:ascii="宋体" w:hAnsi="宋体" w:eastAsia="仿宋" w:cs="宋体"/>
          <w:sz w:val="24"/>
        </w:rPr>
        <w:t>名称：杭州市公安局交通警察支队</w:t>
      </w:r>
    </w:p>
    <w:p w14:paraId="7909DFC7">
      <w:pPr>
        <w:spacing w:line="360" w:lineRule="auto"/>
        <w:ind w:firstLine="480" w:firstLineChars="200"/>
        <w:rPr>
          <w:rFonts w:ascii="宋体" w:hAnsi="宋体" w:eastAsia="仿宋" w:cs="宋体"/>
          <w:sz w:val="24"/>
        </w:rPr>
      </w:pPr>
      <w:r>
        <w:rPr>
          <w:rFonts w:hint="eastAsia" w:ascii="宋体" w:hAnsi="宋体" w:eastAsia="仿宋" w:cs="宋体"/>
          <w:sz w:val="24"/>
        </w:rPr>
        <w:t xml:space="preserve">地址：杭州市拱墅区文晖路336号 </w:t>
      </w:r>
    </w:p>
    <w:p w14:paraId="011172B5">
      <w:pPr>
        <w:pStyle w:val="91"/>
        <w:ind w:firstLine="480"/>
        <w:rPr>
          <w:rFonts w:eastAsia="仿宋"/>
        </w:rPr>
      </w:pPr>
      <w:r>
        <w:rPr>
          <w:rFonts w:hint="eastAsia" w:ascii="宋体" w:hAnsi="宋体" w:eastAsia="仿宋" w:cs="宋体"/>
          <w:kern w:val="2"/>
          <w:sz w:val="24"/>
          <w:szCs w:val="24"/>
        </w:rPr>
        <w:t>传    真： /</w:t>
      </w:r>
    </w:p>
    <w:p w14:paraId="116C6698">
      <w:pPr>
        <w:spacing w:line="360" w:lineRule="auto"/>
        <w:ind w:firstLine="480" w:firstLineChars="200"/>
        <w:rPr>
          <w:rFonts w:ascii="宋体" w:hAnsi="宋体" w:eastAsia="仿宋" w:cs="宋体"/>
          <w:sz w:val="24"/>
        </w:rPr>
      </w:pPr>
      <w:r>
        <w:rPr>
          <w:rFonts w:hint="eastAsia" w:ascii="宋体" w:hAnsi="宋体" w:eastAsia="仿宋" w:cs="宋体"/>
          <w:sz w:val="24"/>
        </w:rPr>
        <w:t>项目联系人（询问）：蒋警官</w:t>
      </w:r>
    </w:p>
    <w:p w14:paraId="4409A7BD">
      <w:pPr>
        <w:spacing w:line="360" w:lineRule="auto"/>
        <w:ind w:firstLine="480" w:firstLineChars="200"/>
        <w:rPr>
          <w:rFonts w:ascii="宋体" w:hAnsi="宋体" w:eastAsia="仿宋" w:cs="宋体"/>
          <w:sz w:val="24"/>
        </w:rPr>
      </w:pPr>
      <w:r>
        <w:rPr>
          <w:rFonts w:hint="eastAsia" w:ascii="宋体" w:hAnsi="宋体" w:eastAsia="仿宋" w:cs="宋体"/>
          <w:sz w:val="24"/>
        </w:rPr>
        <w:t>项目联系方式（询问）：0571-</w:t>
      </w:r>
      <w:r>
        <w:rPr>
          <w:rFonts w:ascii="宋体" w:hAnsi="宋体" w:eastAsia="仿宋" w:cs="宋体"/>
          <w:sz w:val="24"/>
        </w:rPr>
        <w:t>89593113</w:t>
      </w:r>
    </w:p>
    <w:p w14:paraId="1632F7A5">
      <w:pPr>
        <w:spacing w:line="360" w:lineRule="auto"/>
        <w:ind w:firstLine="480" w:firstLineChars="200"/>
        <w:rPr>
          <w:rFonts w:ascii="宋体" w:hAnsi="宋体" w:eastAsia="仿宋" w:cs="宋体"/>
          <w:sz w:val="24"/>
        </w:rPr>
      </w:pPr>
      <w:r>
        <w:rPr>
          <w:rFonts w:hint="eastAsia" w:ascii="宋体" w:hAnsi="宋体" w:eastAsia="仿宋" w:cs="宋体"/>
          <w:sz w:val="24"/>
        </w:rPr>
        <w:t>质疑联系人：郑警官</w:t>
      </w:r>
    </w:p>
    <w:p w14:paraId="19641A23">
      <w:pPr>
        <w:spacing w:line="360" w:lineRule="auto"/>
        <w:ind w:firstLine="480" w:firstLineChars="200"/>
        <w:rPr>
          <w:rFonts w:ascii="宋体" w:hAnsi="宋体" w:eastAsia="仿宋" w:cs="宋体"/>
          <w:sz w:val="24"/>
        </w:rPr>
      </w:pPr>
      <w:r>
        <w:rPr>
          <w:rFonts w:hint="eastAsia" w:ascii="宋体" w:hAnsi="宋体" w:eastAsia="仿宋" w:cs="宋体"/>
          <w:sz w:val="24"/>
        </w:rPr>
        <w:t xml:space="preserve">质疑联系方式：0571-87282209 </w:t>
      </w:r>
      <w:r>
        <w:rPr>
          <w:rFonts w:hint="eastAsia" w:ascii="宋体" w:hAnsi="宋体" w:eastAsia="仿宋" w:cs="宋体"/>
          <w:b/>
          <w:sz w:val="24"/>
        </w:rPr>
        <w:t xml:space="preserve"> </w:t>
      </w:r>
      <w:r>
        <w:rPr>
          <w:rFonts w:hint="eastAsia" w:ascii="宋体" w:hAnsi="宋体" w:eastAsia="仿宋" w:cs="宋体"/>
          <w:sz w:val="24"/>
        </w:rPr>
        <w:t xml:space="preserve">    </w:t>
      </w:r>
    </w:p>
    <w:p w14:paraId="2F8B5997">
      <w:pPr>
        <w:spacing w:line="360" w:lineRule="auto"/>
        <w:ind w:firstLine="480" w:firstLineChars="200"/>
        <w:rPr>
          <w:rFonts w:ascii="宋体" w:hAnsi="宋体" w:eastAsia="仿宋" w:cs="宋体"/>
          <w:sz w:val="24"/>
        </w:rPr>
      </w:pPr>
      <w:r>
        <w:rPr>
          <w:rFonts w:hint="eastAsia" w:ascii="宋体" w:hAnsi="宋体" w:eastAsia="仿宋" w:cs="宋体"/>
          <w:sz w:val="24"/>
        </w:rPr>
        <w:t>2.采购代理机构信息</w:t>
      </w:r>
    </w:p>
    <w:p w14:paraId="53830223">
      <w:pPr>
        <w:spacing w:line="360" w:lineRule="auto"/>
        <w:ind w:firstLine="480"/>
        <w:rPr>
          <w:rFonts w:ascii="宋体" w:hAnsi="宋体" w:eastAsia="仿宋" w:cs="宋体"/>
          <w:sz w:val="24"/>
        </w:rPr>
      </w:pPr>
      <w:r>
        <w:rPr>
          <w:rFonts w:hint="eastAsia" w:ascii="宋体" w:hAnsi="宋体" w:eastAsia="仿宋" w:cs="宋体"/>
          <w:sz w:val="24"/>
        </w:rPr>
        <w:t>名称：浙江中诺招标代理有限公司</w:t>
      </w:r>
    </w:p>
    <w:p w14:paraId="1598DD55">
      <w:pPr>
        <w:spacing w:line="360" w:lineRule="auto"/>
        <w:ind w:firstLine="480"/>
        <w:rPr>
          <w:rFonts w:ascii="宋体" w:hAnsi="宋体" w:eastAsia="仿宋" w:cs="宋体"/>
          <w:sz w:val="24"/>
        </w:rPr>
      </w:pPr>
      <w:r>
        <w:rPr>
          <w:rFonts w:hint="eastAsia" w:ascii="宋体" w:hAnsi="宋体" w:eastAsia="仿宋" w:cs="宋体"/>
          <w:sz w:val="24"/>
        </w:rPr>
        <w:t>地址：</w:t>
      </w:r>
      <w:r>
        <w:rPr>
          <w:rFonts w:hint="eastAsia" w:ascii="宋体" w:hAnsi="宋体" w:eastAsia="仿宋" w:cs="宋体"/>
          <w:kern w:val="0"/>
          <w:sz w:val="24"/>
        </w:rPr>
        <w:t>杭州市西湖区教工路269号保翌大厦14楼（浙江中诺招标代理有限公司）</w:t>
      </w:r>
    </w:p>
    <w:p w14:paraId="5C95EC95">
      <w:pPr>
        <w:spacing w:line="360" w:lineRule="auto"/>
        <w:ind w:firstLine="480" w:firstLineChars="200"/>
        <w:rPr>
          <w:rFonts w:ascii="宋体" w:hAnsi="宋体" w:eastAsia="仿宋" w:cs="宋体"/>
          <w:sz w:val="24"/>
        </w:rPr>
      </w:pPr>
      <w:r>
        <w:rPr>
          <w:rFonts w:hint="eastAsia" w:ascii="宋体" w:hAnsi="宋体" w:eastAsia="仿宋" w:cs="宋体"/>
          <w:sz w:val="24"/>
        </w:rPr>
        <w:t>传    真： /</w:t>
      </w:r>
    </w:p>
    <w:p w14:paraId="68154224">
      <w:pPr>
        <w:spacing w:line="360" w:lineRule="auto"/>
        <w:ind w:firstLine="480" w:firstLineChars="200"/>
        <w:rPr>
          <w:rFonts w:ascii="宋体" w:hAnsi="宋体" w:eastAsia="仿宋" w:cs="宋体"/>
          <w:sz w:val="24"/>
        </w:rPr>
      </w:pPr>
      <w:r>
        <w:rPr>
          <w:rFonts w:hint="eastAsia" w:ascii="宋体" w:hAnsi="宋体" w:eastAsia="仿宋" w:cs="宋体"/>
          <w:sz w:val="24"/>
        </w:rPr>
        <w:t>项目联系人（询问）：周伶</w:t>
      </w:r>
    </w:p>
    <w:p w14:paraId="393DCFA4">
      <w:pPr>
        <w:spacing w:line="360" w:lineRule="auto"/>
        <w:ind w:firstLine="480" w:firstLineChars="200"/>
        <w:rPr>
          <w:rFonts w:ascii="宋体" w:hAnsi="宋体" w:eastAsia="仿宋" w:cs="宋体"/>
          <w:sz w:val="24"/>
        </w:rPr>
      </w:pPr>
      <w:r>
        <w:rPr>
          <w:rFonts w:hint="eastAsia" w:ascii="宋体" w:hAnsi="宋体" w:eastAsia="仿宋" w:cs="宋体"/>
          <w:sz w:val="24"/>
        </w:rPr>
        <w:t>项目联系方式（询问）：0571-88821402-8022、13857112698</w:t>
      </w:r>
    </w:p>
    <w:p w14:paraId="319FEEBF">
      <w:pPr>
        <w:spacing w:line="360" w:lineRule="auto"/>
        <w:ind w:firstLine="480" w:firstLineChars="200"/>
        <w:rPr>
          <w:rFonts w:ascii="宋体" w:hAnsi="宋体" w:eastAsia="仿宋" w:cs="宋体"/>
          <w:sz w:val="24"/>
        </w:rPr>
      </w:pPr>
      <w:r>
        <w:rPr>
          <w:rFonts w:hint="eastAsia" w:ascii="宋体" w:hAnsi="宋体" w:eastAsia="仿宋" w:cs="宋体"/>
          <w:sz w:val="24"/>
        </w:rPr>
        <w:t>质疑联系人：刘宋斌</w:t>
      </w:r>
    </w:p>
    <w:p w14:paraId="210A659E">
      <w:pPr>
        <w:spacing w:line="360" w:lineRule="auto"/>
        <w:ind w:firstLine="480" w:firstLineChars="200"/>
        <w:rPr>
          <w:rFonts w:ascii="宋体" w:hAnsi="宋体" w:eastAsia="仿宋" w:cs="宋体"/>
          <w:sz w:val="24"/>
        </w:rPr>
      </w:pPr>
      <w:r>
        <w:rPr>
          <w:rFonts w:hint="eastAsia" w:ascii="宋体" w:hAnsi="宋体" w:eastAsia="仿宋" w:cs="宋体"/>
          <w:sz w:val="24"/>
        </w:rPr>
        <w:t>质疑联系方式：0571-88821402</w:t>
      </w:r>
    </w:p>
    <w:p w14:paraId="59703649">
      <w:pPr>
        <w:spacing w:line="360" w:lineRule="auto"/>
        <w:rPr>
          <w:rFonts w:ascii="宋体" w:hAnsi="宋体" w:eastAsia="仿宋" w:cs="宋体"/>
          <w:sz w:val="24"/>
        </w:rPr>
      </w:pPr>
      <w:r>
        <w:rPr>
          <w:rFonts w:hint="eastAsia" w:ascii="宋体" w:hAnsi="宋体" w:eastAsia="仿宋" w:cs="宋体"/>
          <w:sz w:val="24"/>
        </w:rPr>
        <w:t xml:space="preserve">    3.同级政府采购监督管理部门</w:t>
      </w:r>
    </w:p>
    <w:p w14:paraId="6C1E5D30">
      <w:pPr>
        <w:spacing w:line="360" w:lineRule="auto"/>
        <w:ind w:firstLine="480" w:firstLineChars="200"/>
        <w:rPr>
          <w:rFonts w:ascii="宋体" w:hAnsi="宋体" w:eastAsia="仿宋" w:cs="宋体"/>
          <w:sz w:val="24"/>
        </w:rPr>
      </w:pPr>
      <w:r>
        <w:rPr>
          <w:rFonts w:hint="eastAsia" w:ascii="宋体" w:hAnsi="宋体" w:eastAsia="仿宋" w:cs="宋体"/>
          <w:sz w:val="24"/>
        </w:rPr>
        <w:t>名称：杭州市财政局政府采购监管处 、浙江省政府采购行政裁决服务中心（杭州）</w:t>
      </w:r>
    </w:p>
    <w:p w14:paraId="72419026">
      <w:pPr>
        <w:spacing w:line="360" w:lineRule="auto"/>
        <w:ind w:firstLine="480" w:firstLineChars="200"/>
        <w:rPr>
          <w:rFonts w:ascii="宋体" w:hAnsi="宋体" w:eastAsia="仿宋" w:cs="宋体"/>
          <w:sz w:val="24"/>
        </w:rPr>
      </w:pPr>
      <w:r>
        <w:rPr>
          <w:rFonts w:hint="eastAsia" w:ascii="宋体" w:hAnsi="宋体" w:eastAsia="仿宋" w:cs="宋体"/>
          <w:sz w:val="24"/>
        </w:rPr>
        <w:t>地址：杭州市上城区清泰街549号城建综合大楼11楼（快递仅限ems或顺丰）</w:t>
      </w:r>
    </w:p>
    <w:p w14:paraId="63B55755">
      <w:pPr>
        <w:spacing w:line="360" w:lineRule="auto"/>
        <w:ind w:firstLine="480" w:firstLineChars="200"/>
        <w:rPr>
          <w:rFonts w:ascii="宋体" w:hAnsi="宋体" w:eastAsia="仿宋" w:cs="宋体"/>
          <w:sz w:val="24"/>
        </w:rPr>
      </w:pPr>
      <w:r>
        <w:rPr>
          <w:rFonts w:hint="eastAsia" w:ascii="宋体" w:hAnsi="宋体" w:eastAsia="仿宋" w:cs="宋体"/>
          <w:sz w:val="24"/>
        </w:rPr>
        <w:t>传真： /</w:t>
      </w:r>
    </w:p>
    <w:p w14:paraId="37B34954">
      <w:pPr>
        <w:spacing w:line="360" w:lineRule="auto"/>
        <w:ind w:firstLine="480" w:firstLineChars="200"/>
        <w:rPr>
          <w:rFonts w:ascii="宋体" w:hAnsi="宋体" w:eastAsia="仿宋" w:cs="宋体"/>
          <w:sz w:val="24"/>
        </w:rPr>
      </w:pPr>
      <w:r>
        <w:rPr>
          <w:rFonts w:hint="eastAsia" w:ascii="宋体" w:hAnsi="宋体" w:eastAsia="仿宋" w:cs="宋体"/>
          <w:sz w:val="24"/>
        </w:rPr>
        <w:t>联系人：朱女士、王女士</w:t>
      </w:r>
    </w:p>
    <w:p w14:paraId="188DB155">
      <w:pPr>
        <w:spacing w:line="360" w:lineRule="auto"/>
        <w:ind w:firstLine="480" w:firstLineChars="200"/>
        <w:rPr>
          <w:rFonts w:ascii="宋体" w:hAnsi="宋体" w:eastAsia="仿宋" w:cs="宋体"/>
          <w:sz w:val="24"/>
        </w:rPr>
      </w:pPr>
      <w:r>
        <w:rPr>
          <w:rFonts w:hint="eastAsia" w:ascii="宋体" w:hAnsi="宋体" w:eastAsia="仿宋" w:cs="宋体"/>
          <w:sz w:val="24"/>
        </w:rPr>
        <w:t xml:space="preserve">监督投诉电话：电话：0571-87227671,0571-87800218  </w:t>
      </w:r>
    </w:p>
    <w:p w14:paraId="3219AB51">
      <w:pPr>
        <w:spacing w:line="360" w:lineRule="auto"/>
        <w:ind w:firstLine="480" w:firstLineChars="200"/>
        <w:rPr>
          <w:rFonts w:ascii="宋体" w:hAnsi="宋体" w:eastAsia="仿宋" w:cs="宋体"/>
          <w:sz w:val="24"/>
        </w:rPr>
      </w:pPr>
      <w:r>
        <w:rPr>
          <w:rFonts w:hint="eastAsia" w:ascii="宋体" w:hAnsi="宋体" w:eastAsia="仿宋" w:cs="宋体"/>
          <w:sz w:val="24"/>
        </w:rPr>
        <w:t>政策咨询：沈先生、陈先生，0571-89580457、0571-89580460、89580456</w:t>
      </w:r>
    </w:p>
    <w:p w14:paraId="568338F9">
      <w:pPr>
        <w:spacing w:line="360" w:lineRule="auto"/>
        <w:ind w:firstLine="480"/>
        <w:rPr>
          <w:rFonts w:ascii="宋体" w:hAnsi="宋体" w:eastAsia="仿宋" w:cs="宋体"/>
          <w:sz w:val="24"/>
        </w:rPr>
      </w:pPr>
      <w:r>
        <w:rPr>
          <w:rFonts w:hint="eastAsia" w:ascii="宋体" w:hAnsi="宋体" w:eastAsia="仿宋" w:cs="宋体"/>
          <w:sz w:val="24"/>
        </w:rPr>
        <w:t>若对项目采购电子交易系统操作有疑问，可登录政采云（https://www.zcygov.cn/），点击右侧咨询小采，获取采小蜜智能服务管家帮助，或拨打政采云服务热线95763获取热线服务帮助。</w:t>
      </w:r>
    </w:p>
    <w:p w14:paraId="26670E2A">
      <w:pPr>
        <w:spacing w:line="360" w:lineRule="auto"/>
        <w:ind w:firstLine="480" w:firstLineChars="200"/>
        <w:rPr>
          <w:rFonts w:ascii="宋体" w:hAnsi="宋体" w:eastAsia="仿宋" w:cs="宋体"/>
          <w:sz w:val="24"/>
        </w:rPr>
      </w:pPr>
      <w:r>
        <w:rPr>
          <w:rFonts w:hint="eastAsia" w:ascii="宋体" w:hAnsi="宋体" w:eastAsia="仿宋" w:cs="宋体"/>
          <w:sz w:val="24"/>
        </w:rPr>
        <w:t>CA问题联系电话（人工）：汇信CA 400-888-4636；天谷CA 400-087-8198。</w:t>
      </w:r>
    </w:p>
    <w:p w14:paraId="452A5DD8">
      <w:pPr>
        <w:spacing w:line="360" w:lineRule="auto"/>
        <w:ind w:firstLine="723" w:firstLineChars="200"/>
        <w:rPr>
          <w:rFonts w:ascii="仿宋" w:hAnsi="仿宋" w:eastAsia="仿宋" w:cs="仿宋"/>
          <w:sz w:val="24"/>
        </w:rPr>
      </w:pPr>
      <w:r>
        <w:rPr>
          <w:rFonts w:ascii="宋体" w:hAnsi="宋体" w:eastAsia="仿宋" w:cs="宋体"/>
          <w:b/>
          <w:sz w:val="36"/>
          <w:szCs w:val="20"/>
        </w:rPr>
        <w:br w:type="page"/>
      </w:r>
    </w:p>
    <w:bookmarkEnd w:id="7"/>
    <w:bookmarkEnd w:id="8"/>
    <w:p w14:paraId="4E1B7039">
      <w:pPr>
        <w:spacing w:line="360" w:lineRule="auto"/>
        <w:ind w:firstLine="2891" w:firstLineChars="800"/>
        <w:rPr>
          <w:rFonts w:ascii="仿宋" w:hAnsi="仿宋" w:eastAsia="仿宋" w:cs="仿宋"/>
          <w:b/>
          <w:sz w:val="36"/>
          <w:szCs w:val="20"/>
        </w:rPr>
      </w:pPr>
      <w:r>
        <w:rPr>
          <w:rFonts w:hint="eastAsia" w:ascii="仿宋" w:hAnsi="仿宋" w:eastAsia="仿宋" w:cs="仿宋"/>
          <w:b/>
          <w:sz w:val="36"/>
          <w:szCs w:val="20"/>
        </w:rPr>
        <w:t>第二部分  供应商须知</w:t>
      </w:r>
    </w:p>
    <w:p w14:paraId="344A9B14">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前附表</w:t>
      </w:r>
    </w:p>
    <w:tbl>
      <w:tblPr>
        <w:tblStyle w:val="80"/>
        <w:tblW w:w="9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803"/>
      </w:tblGrid>
      <w:tr w14:paraId="4E9E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vAlign w:val="center"/>
          </w:tcPr>
          <w:p w14:paraId="07F90207">
            <w:pPr>
              <w:snapToGrid w:val="0"/>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14:paraId="264E00C4">
            <w:pPr>
              <w:snapToGrid w:val="0"/>
              <w:jc w:val="center"/>
              <w:rPr>
                <w:rFonts w:ascii="仿宋" w:hAnsi="仿宋" w:eastAsia="仿宋" w:cs="仿宋"/>
                <w:b/>
                <w:sz w:val="24"/>
              </w:rPr>
            </w:pPr>
            <w:r>
              <w:rPr>
                <w:rFonts w:hint="eastAsia" w:ascii="仿宋" w:hAnsi="仿宋" w:eastAsia="仿宋" w:cs="仿宋"/>
                <w:b/>
                <w:sz w:val="24"/>
              </w:rPr>
              <w:t>事项</w:t>
            </w:r>
          </w:p>
        </w:tc>
        <w:tc>
          <w:tcPr>
            <w:tcW w:w="6803" w:type="dxa"/>
            <w:vAlign w:val="center"/>
          </w:tcPr>
          <w:p w14:paraId="24AE665C">
            <w:pPr>
              <w:snapToGrid w:val="0"/>
              <w:jc w:val="center"/>
              <w:rPr>
                <w:rFonts w:ascii="仿宋" w:hAnsi="仿宋" w:eastAsia="仿宋" w:cs="仿宋"/>
                <w:b/>
                <w:sz w:val="24"/>
              </w:rPr>
            </w:pPr>
            <w:r>
              <w:rPr>
                <w:rFonts w:hint="eastAsia" w:ascii="仿宋" w:hAnsi="仿宋" w:eastAsia="仿宋" w:cs="仿宋"/>
                <w:b/>
                <w:sz w:val="24"/>
              </w:rPr>
              <w:t>本项目的特别规定</w:t>
            </w:r>
          </w:p>
        </w:tc>
      </w:tr>
      <w:tr w14:paraId="1335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vAlign w:val="center"/>
          </w:tcPr>
          <w:p w14:paraId="5DA1EBF1">
            <w:pPr>
              <w:snapToGrid w:val="0"/>
              <w:jc w:val="center"/>
              <w:rPr>
                <w:rFonts w:ascii="仿宋" w:hAnsi="仿宋" w:eastAsia="仿宋" w:cs="仿宋"/>
                <w:sz w:val="24"/>
              </w:rPr>
            </w:pPr>
            <w:r>
              <w:rPr>
                <w:rFonts w:hint="eastAsia" w:ascii="仿宋" w:hAnsi="仿宋" w:eastAsia="仿宋" w:cs="仿宋"/>
                <w:sz w:val="24"/>
              </w:rPr>
              <w:t>1</w:t>
            </w:r>
          </w:p>
        </w:tc>
        <w:tc>
          <w:tcPr>
            <w:tcW w:w="1843" w:type="dxa"/>
            <w:vAlign w:val="center"/>
          </w:tcPr>
          <w:p w14:paraId="55322A94">
            <w:pPr>
              <w:snapToGrid w:val="0"/>
              <w:jc w:val="center"/>
              <w:rPr>
                <w:rFonts w:ascii="仿宋" w:hAnsi="仿宋" w:eastAsia="仿宋" w:cs="仿宋"/>
                <w:b/>
                <w:sz w:val="24"/>
              </w:rPr>
            </w:pPr>
            <w:r>
              <w:rPr>
                <w:rFonts w:hint="eastAsia" w:ascii="仿宋" w:hAnsi="仿宋" w:eastAsia="仿宋" w:cs="仿宋"/>
                <w:b/>
                <w:sz w:val="24"/>
              </w:rPr>
              <w:t>项目属性</w:t>
            </w:r>
          </w:p>
        </w:tc>
        <w:tc>
          <w:tcPr>
            <w:tcW w:w="6803" w:type="dxa"/>
            <w:vAlign w:val="center"/>
          </w:tcPr>
          <w:p w14:paraId="32015903">
            <w:pPr>
              <w:rPr>
                <w:rFonts w:ascii="仿宋" w:hAnsi="仿宋" w:eastAsia="仿宋" w:cs="仿宋"/>
                <w:sz w:val="24"/>
              </w:rPr>
            </w:pPr>
            <w:r>
              <w:rPr>
                <w:rFonts w:hint="eastAsia" w:ascii="仿宋" w:hAnsi="仿宋" w:eastAsia="仿宋" w:cs="仿宋"/>
                <w:sz w:val="24"/>
              </w:rPr>
              <w:t>服务类。</w:t>
            </w:r>
          </w:p>
        </w:tc>
      </w:tr>
      <w:tr w14:paraId="53C6C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54" w:hRule="atLeast"/>
          <w:jc w:val="center"/>
        </w:trPr>
        <w:tc>
          <w:tcPr>
            <w:tcW w:w="629" w:type="dxa"/>
            <w:vAlign w:val="center"/>
          </w:tcPr>
          <w:p w14:paraId="65A7F7E6">
            <w:pPr>
              <w:snapToGrid w:val="0"/>
              <w:jc w:val="center"/>
              <w:rPr>
                <w:rFonts w:ascii="仿宋" w:hAnsi="仿宋" w:eastAsia="仿宋" w:cs="仿宋"/>
                <w:sz w:val="24"/>
              </w:rPr>
            </w:pPr>
            <w:r>
              <w:rPr>
                <w:rFonts w:hint="eastAsia" w:ascii="仿宋" w:hAnsi="仿宋" w:eastAsia="仿宋" w:cs="仿宋"/>
                <w:sz w:val="24"/>
              </w:rPr>
              <w:t>2</w:t>
            </w:r>
          </w:p>
        </w:tc>
        <w:tc>
          <w:tcPr>
            <w:tcW w:w="1843" w:type="dxa"/>
            <w:vAlign w:val="center"/>
          </w:tcPr>
          <w:p w14:paraId="52783F7B">
            <w:pPr>
              <w:snapToGrid w:val="0"/>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803" w:type="dxa"/>
            <w:vAlign w:val="center"/>
          </w:tcPr>
          <w:p w14:paraId="54BCE897">
            <w:pPr>
              <w:snapToGrid w:val="0"/>
              <w:spacing w:line="360" w:lineRule="auto"/>
              <w:contextualSpacing/>
              <w:rPr>
                <w:rFonts w:ascii="仿宋" w:hAnsi="仿宋" w:eastAsia="仿宋" w:cs="仿宋"/>
                <w:kern w:val="0"/>
                <w:sz w:val="24"/>
                <w:u w:val="single"/>
              </w:rPr>
            </w:pPr>
            <w:r>
              <w:rPr>
                <w:rFonts w:hint="eastAsia" w:ascii="仿宋" w:hAnsi="仿宋" w:eastAsia="仿宋" w:cs="仿宋"/>
                <w:kern w:val="0"/>
                <w:sz w:val="24"/>
              </w:rPr>
              <w:t>（1）标的：</w:t>
            </w:r>
            <w:r>
              <w:rPr>
                <w:rFonts w:hint="eastAsia" w:ascii="仿宋" w:hAnsi="仿宋" w:eastAsia="仿宋" w:cs="仿宋"/>
                <w:sz w:val="24"/>
                <w:u w:val="single"/>
              </w:rPr>
              <w:t>2025年杭州交警业务系统租赁使用服务-2025年公安交通集成指挥平台使用项目</w:t>
            </w:r>
            <w:r>
              <w:rPr>
                <w:rFonts w:hint="eastAsia" w:ascii="仿宋" w:hAnsi="仿宋" w:eastAsia="仿宋" w:cs="仿宋"/>
                <w:kern w:val="0"/>
                <w:sz w:val="24"/>
              </w:rPr>
              <w:t>，属于</w:t>
            </w:r>
            <w:r>
              <w:rPr>
                <w:rFonts w:hint="eastAsia" w:ascii="仿宋" w:hAnsi="仿宋" w:eastAsia="仿宋" w:cs="仿宋"/>
                <w:b/>
                <w:bCs/>
                <w:kern w:val="0"/>
                <w:sz w:val="24"/>
                <w:u w:val="single"/>
              </w:rPr>
              <w:t>（十五）租赁和商务服务业</w:t>
            </w:r>
            <w:r>
              <w:rPr>
                <w:rFonts w:hint="eastAsia" w:ascii="仿宋" w:hAnsi="仿宋" w:eastAsia="仿宋" w:cs="仿宋"/>
                <w:kern w:val="0"/>
                <w:sz w:val="24"/>
                <w:u w:val="single"/>
              </w:rPr>
              <w:t xml:space="preserve"> </w:t>
            </w:r>
          </w:p>
          <w:p w14:paraId="2BCE2640">
            <w:pPr>
              <w:snapToGrid w:val="0"/>
              <w:spacing w:line="360" w:lineRule="auto"/>
              <w:contextualSpacing/>
              <w:rPr>
                <w:rFonts w:ascii="仿宋" w:hAnsi="仿宋" w:eastAsia="仿宋" w:cs="仿宋"/>
                <w:kern w:val="0"/>
                <w:sz w:val="24"/>
              </w:rPr>
            </w:pPr>
            <w:r>
              <w:rPr>
                <w:rFonts w:hint="eastAsia" w:ascii="仿宋" w:hAnsi="仿宋" w:eastAsia="仿宋" w:cs="仿宋"/>
                <w:sz w:val="24"/>
                <w:u w:val="single"/>
              </w:rPr>
              <w:t>根据《关于印发中小企业划型标准规定的通知》（工信部联企业〔2011〕300号）第四条规定：（十五）租赁和商务服务业【说明：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sz w:val="24"/>
              </w:rPr>
              <w:t>。】</w:t>
            </w:r>
          </w:p>
        </w:tc>
      </w:tr>
      <w:tr w14:paraId="41FE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Align w:val="center"/>
          </w:tcPr>
          <w:p w14:paraId="5A0FDE88">
            <w:pPr>
              <w:snapToGrid w:val="0"/>
              <w:jc w:val="center"/>
              <w:rPr>
                <w:rFonts w:ascii="仿宋" w:hAnsi="仿宋" w:eastAsia="仿宋" w:cs="仿宋"/>
                <w:sz w:val="24"/>
              </w:rPr>
            </w:pPr>
            <w:r>
              <w:rPr>
                <w:rFonts w:hint="eastAsia" w:ascii="仿宋" w:hAnsi="仿宋" w:eastAsia="仿宋" w:cs="仿宋"/>
                <w:sz w:val="24"/>
              </w:rPr>
              <w:t>3</w:t>
            </w:r>
          </w:p>
        </w:tc>
        <w:tc>
          <w:tcPr>
            <w:tcW w:w="1843" w:type="dxa"/>
            <w:vAlign w:val="center"/>
          </w:tcPr>
          <w:p w14:paraId="43998A73">
            <w:pPr>
              <w:snapToGrid w:val="0"/>
              <w:jc w:val="center"/>
              <w:rPr>
                <w:rFonts w:ascii="仿宋" w:hAnsi="仿宋" w:eastAsia="仿宋" w:cs="仿宋"/>
                <w:b/>
                <w:sz w:val="24"/>
              </w:rPr>
            </w:pPr>
            <w:r>
              <w:rPr>
                <w:rFonts w:hint="eastAsia" w:ascii="仿宋" w:hAnsi="仿宋" w:eastAsia="仿宋" w:cs="仿宋"/>
                <w:b/>
                <w:sz w:val="24"/>
              </w:rPr>
              <w:t>是否允许采购进口产品</w:t>
            </w:r>
          </w:p>
        </w:tc>
        <w:tc>
          <w:tcPr>
            <w:tcW w:w="6803" w:type="dxa"/>
            <w:vAlign w:val="center"/>
          </w:tcPr>
          <w:p w14:paraId="5FDAF982">
            <w:pPr>
              <w:snapToGrid w:val="0"/>
              <w:spacing w:line="360" w:lineRule="auto"/>
              <w:contextualSpacing/>
              <w:rPr>
                <w:rFonts w:ascii="仿宋" w:hAnsi="仿宋" w:eastAsia="仿宋" w:cs="仿宋"/>
                <w:kern w:val="0"/>
                <w:sz w:val="24"/>
              </w:rPr>
            </w:pPr>
            <w:r>
              <w:rPr>
                <w:rFonts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711A5DC4">
            <w:pPr>
              <w:snapToGrid w:val="0"/>
              <w:spacing w:line="360" w:lineRule="auto"/>
              <w:contextualSpacing/>
              <w:rPr>
                <w:rFonts w:ascii="仿宋" w:hAnsi="仿宋" w:eastAsia="仿宋" w:cs="仿宋"/>
              </w:rPr>
            </w:pPr>
            <w:r>
              <w:rPr>
                <w:rFonts w:hint="eastAsia" w:ascii="仿宋" w:hAnsi="仿宋" w:eastAsia="仿宋" w:cs="仿宋"/>
                <w:kern w:val="0"/>
                <w:sz w:val="24"/>
              </w:rPr>
              <w:t>☐可以就采购进口产品。</w:t>
            </w:r>
          </w:p>
        </w:tc>
      </w:tr>
      <w:tr w14:paraId="61619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0A26F86C">
            <w:pPr>
              <w:snapToGrid w:val="0"/>
              <w:jc w:val="center"/>
              <w:rPr>
                <w:rFonts w:ascii="仿宋" w:hAnsi="仿宋" w:eastAsia="仿宋" w:cs="仿宋"/>
                <w:sz w:val="24"/>
              </w:rPr>
            </w:pPr>
            <w:r>
              <w:rPr>
                <w:rFonts w:hint="eastAsia" w:ascii="仿宋" w:hAnsi="仿宋" w:eastAsia="仿宋" w:cs="仿宋"/>
                <w:sz w:val="24"/>
              </w:rPr>
              <w:t>4</w:t>
            </w:r>
          </w:p>
        </w:tc>
        <w:tc>
          <w:tcPr>
            <w:tcW w:w="1843" w:type="dxa"/>
            <w:vAlign w:val="center"/>
          </w:tcPr>
          <w:p w14:paraId="4A280707">
            <w:pPr>
              <w:snapToGrid w:val="0"/>
              <w:jc w:val="center"/>
              <w:rPr>
                <w:rFonts w:ascii="仿宋" w:hAnsi="仿宋" w:eastAsia="仿宋" w:cs="仿宋"/>
                <w:b/>
                <w:sz w:val="24"/>
              </w:rPr>
            </w:pPr>
            <w:r>
              <w:rPr>
                <w:rFonts w:hint="eastAsia" w:ascii="仿宋" w:hAnsi="仿宋" w:eastAsia="仿宋" w:cs="仿宋"/>
                <w:b/>
                <w:sz w:val="24"/>
              </w:rPr>
              <w:t>分包</w:t>
            </w:r>
          </w:p>
        </w:tc>
        <w:tc>
          <w:tcPr>
            <w:tcW w:w="6803" w:type="dxa"/>
            <w:vAlign w:val="center"/>
          </w:tcPr>
          <w:p w14:paraId="4AAF22C4">
            <w:pPr>
              <w:snapToGrid w:val="0"/>
              <w:spacing w:line="360" w:lineRule="auto"/>
              <w:contextualSpacing/>
              <w:rPr>
                <w:rFonts w:ascii="仿宋" w:hAnsi="仿宋" w:eastAsia="仿宋" w:cs="仿宋"/>
                <w:sz w:val="24"/>
              </w:rPr>
            </w:pPr>
            <w:r>
              <w:rPr>
                <w:rFonts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b/>
                <w:kern w:val="0"/>
                <w:sz w:val="24"/>
              </w:rPr>
              <w:t>软件部分中违法举报</w:t>
            </w:r>
            <w:r>
              <w:rPr>
                <w:rFonts w:hint="eastAsia" w:ascii="仿宋" w:hAnsi="仿宋" w:eastAsia="仿宋" w:cs="仿宋"/>
                <w:sz w:val="24"/>
              </w:rPr>
              <w:t>工作分包。</w:t>
            </w:r>
          </w:p>
          <w:p w14:paraId="4B29480E">
            <w:pPr>
              <w:snapToGrid w:val="0"/>
              <w:spacing w:line="360" w:lineRule="auto"/>
              <w:contextualSpacing/>
              <w:rPr>
                <w:rFonts w:ascii="仿宋" w:hAnsi="仿宋" w:eastAsia="仿宋" w:cs="仿宋"/>
                <w:sz w:val="24"/>
              </w:rPr>
            </w:pPr>
            <w:r>
              <w:rPr>
                <w:rFonts w:ascii="仿宋" w:hAnsi="仿宋" w:eastAsia="仿宋" w:cs="仿宋"/>
                <w:kern w:val="0"/>
                <w:sz w:val="24"/>
              </w:rPr>
              <w:sym w:font="Wingdings" w:char="00A8"/>
            </w:r>
            <w:r>
              <w:rPr>
                <w:rFonts w:hint="eastAsia" w:ascii="仿宋" w:hAnsi="仿宋" w:eastAsia="仿宋" w:cs="仿宋"/>
                <w:kern w:val="0"/>
                <w:sz w:val="24"/>
              </w:rPr>
              <w:t xml:space="preserve">  B</w:t>
            </w:r>
            <w:r>
              <w:rPr>
                <w:rFonts w:hint="eastAsia" w:ascii="仿宋" w:hAnsi="仿宋" w:eastAsia="仿宋" w:cs="仿宋"/>
                <w:sz w:val="24"/>
              </w:rPr>
              <w:t>不同意分包。</w:t>
            </w:r>
          </w:p>
          <w:p w14:paraId="2A8665B3">
            <w:pPr>
              <w:snapToGrid w:val="0"/>
              <w:spacing w:line="360" w:lineRule="auto"/>
              <w:contextualSpacing/>
              <w:rPr>
                <w:rFonts w:ascii="仿宋" w:hAnsi="仿宋" w:eastAsia="仿宋" w:cs="仿宋"/>
                <w:sz w:val="24"/>
              </w:rPr>
            </w:pPr>
            <w:r>
              <w:rPr>
                <w:rFonts w:hint="eastAsia" w:ascii="仿宋" w:hAnsi="仿宋" w:eastAsia="仿宋" w:cs="仿宋"/>
                <w:sz w:val="24"/>
              </w:rPr>
              <w:t>注：不得限制大中型企业向小微企业合理分包。</w:t>
            </w:r>
          </w:p>
        </w:tc>
      </w:tr>
      <w:tr w14:paraId="49EE5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4" w:hRule="atLeast"/>
          <w:jc w:val="center"/>
        </w:trPr>
        <w:tc>
          <w:tcPr>
            <w:tcW w:w="629" w:type="dxa"/>
            <w:vAlign w:val="center"/>
          </w:tcPr>
          <w:p w14:paraId="224AB7B9">
            <w:pPr>
              <w:snapToGrid w:val="0"/>
              <w:jc w:val="center"/>
              <w:rPr>
                <w:rFonts w:ascii="仿宋" w:hAnsi="仿宋" w:eastAsia="仿宋" w:cs="仿宋"/>
                <w:sz w:val="24"/>
              </w:rPr>
            </w:pPr>
            <w:r>
              <w:rPr>
                <w:rFonts w:hint="eastAsia" w:ascii="仿宋" w:hAnsi="仿宋" w:eastAsia="仿宋" w:cs="仿宋"/>
                <w:sz w:val="24"/>
              </w:rPr>
              <w:t>5</w:t>
            </w:r>
          </w:p>
        </w:tc>
        <w:tc>
          <w:tcPr>
            <w:tcW w:w="1843" w:type="dxa"/>
            <w:vAlign w:val="center"/>
          </w:tcPr>
          <w:p w14:paraId="3F4211CA">
            <w:pPr>
              <w:snapToGrid w:val="0"/>
              <w:jc w:val="center"/>
              <w:rPr>
                <w:rFonts w:ascii="仿宋" w:hAnsi="仿宋" w:eastAsia="仿宋" w:cs="仿宋"/>
                <w:b/>
                <w:sz w:val="24"/>
              </w:rPr>
            </w:pPr>
            <w:r>
              <w:rPr>
                <w:rFonts w:hint="eastAsia" w:ascii="仿宋" w:hAnsi="仿宋" w:eastAsia="仿宋" w:cs="仿宋"/>
                <w:b/>
                <w:sz w:val="24"/>
              </w:rPr>
              <w:t>开标前答疑会或现场考察</w:t>
            </w:r>
          </w:p>
        </w:tc>
        <w:tc>
          <w:tcPr>
            <w:tcW w:w="6803" w:type="dxa"/>
            <w:vAlign w:val="center"/>
          </w:tcPr>
          <w:p w14:paraId="3AFCEF5B">
            <w:pPr>
              <w:snapToGrid w:val="0"/>
              <w:spacing w:line="360" w:lineRule="auto"/>
              <w:contextualSpacing/>
              <w:rPr>
                <w:rFonts w:ascii="仿宋" w:hAnsi="仿宋" w:eastAsia="仿宋" w:cs="仿宋"/>
                <w:sz w:val="24"/>
              </w:rPr>
            </w:pPr>
            <w:r>
              <w:rPr>
                <w:rFonts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E2E117E">
            <w:pPr>
              <w:snapToGrid w:val="0"/>
              <w:spacing w:line="360" w:lineRule="auto"/>
              <w:contextualSpacing/>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p w14:paraId="5B194EB2">
            <w:pPr>
              <w:pStyle w:val="91"/>
              <w:ind w:firstLine="0" w:firstLineChars="0"/>
            </w:pPr>
            <w:r>
              <w:rPr>
                <w:rFonts w:hint="eastAsia" w:ascii="仿宋" w:hAnsi="仿宋" w:eastAsia="仿宋" w:cs="仿宋"/>
                <w:kern w:val="2"/>
                <w:sz w:val="24"/>
                <w:szCs w:val="24"/>
              </w:rPr>
              <w:t>☐C不统一组织，供应商在获取采购文件后，自行至项目现场考察。地点： ，联系人： ，联系方式： 。</w:t>
            </w:r>
          </w:p>
        </w:tc>
      </w:tr>
      <w:tr w14:paraId="263DD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vAlign w:val="center"/>
          </w:tcPr>
          <w:p w14:paraId="6769E217">
            <w:pPr>
              <w:snapToGrid w:val="0"/>
              <w:jc w:val="center"/>
              <w:rPr>
                <w:rFonts w:ascii="仿宋" w:hAnsi="仿宋" w:eastAsia="仿宋" w:cs="仿宋"/>
                <w:sz w:val="24"/>
              </w:rPr>
            </w:pPr>
            <w:r>
              <w:rPr>
                <w:rFonts w:hint="eastAsia" w:ascii="仿宋" w:hAnsi="仿宋" w:eastAsia="仿宋" w:cs="仿宋"/>
                <w:sz w:val="24"/>
              </w:rPr>
              <w:t>6</w:t>
            </w:r>
          </w:p>
        </w:tc>
        <w:tc>
          <w:tcPr>
            <w:tcW w:w="1843" w:type="dxa"/>
            <w:vAlign w:val="center"/>
          </w:tcPr>
          <w:p w14:paraId="0280719A">
            <w:pPr>
              <w:snapToGrid w:val="0"/>
              <w:jc w:val="center"/>
              <w:rPr>
                <w:rFonts w:ascii="仿宋" w:hAnsi="仿宋" w:eastAsia="仿宋" w:cs="仿宋"/>
                <w:b/>
                <w:sz w:val="24"/>
              </w:rPr>
            </w:pPr>
            <w:r>
              <w:rPr>
                <w:rFonts w:hint="eastAsia" w:ascii="仿宋" w:hAnsi="仿宋" w:eastAsia="仿宋" w:cs="仿宋"/>
                <w:b/>
                <w:sz w:val="24"/>
              </w:rPr>
              <w:t>样品提供</w:t>
            </w:r>
          </w:p>
        </w:tc>
        <w:tc>
          <w:tcPr>
            <w:tcW w:w="6803" w:type="dxa"/>
            <w:vAlign w:val="center"/>
          </w:tcPr>
          <w:p w14:paraId="1F641E61">
            <w:pPr>
              <w:snapToGrid w:val="0"/>
              <w:spacing w:line="360" w:lineRule="auto"/>
              <w:contextualSpacing/>
              <w:rPr>
                <w:rFonts w:ascii="仿宋" w:hAnsi="仿宋" w:eastAsia="仿宋" w:cs="仿宋"/>
                <w:sz w:val="24"/>
              </w:rPr>
            </w:pPr>
            <w:r>
              <w:rPr>
                <w:rFonts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不要求提供。</w:t>
            </w:r>
          </w:p>
          <w:p w14:paraId="6B2700B1">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☐B要求提供，</w:t>
            </w:r>
          </w:p>
          <w:p w14:paraId="7F97280D">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14:paraId="46874416">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39E22985">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94D862D">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0E532525">
            <w:pPr>
              <w:snapToGrid w:val="0"/>
              <w:spacing w:line="360" w:lineRule="auto"/>
              <w:contextualSpacing/>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5B527932">
            <w:pPr>
              <w:snapToGrid w:val="0"/>
              <w:spacing w:line="360" w:lineRule="auto"/>
              <w:contextualSpacing/>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36A4A65">
            <w:pPr>
              <w:snapToGrid w:val="0"/>
              <w:spacing w:line="360" w:lineRule="auto"/>
              <w:contextualSpacing/>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6EC5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06C1E99D">
            <w:pPr>
              <w:snapToGrid w:val="0"/>
              <w:jc w:val="center"/>
              <w:rPr>
                <w:rFonts w:ascii="仿宋" w:hAnsi="仿宋" w:eastAsia="仿宋" w:cs="仿宋"/>
                <w:sz w:val="24"/>
              </w:rPr>
            </w:pPr>
            <w:r>
              <w:rPr>
                <w:rFonts w:hint="eastAsia" w:ascii="仿宋" w:hAnsi="仿宋" w:eastAsia="仿宋" w:cs="仿宋"/>
                <w:sz w:val="24"/>
              </w:rPr>
              <w:t>7</w:t>
            </w:r>
          </w:p>
        </w:tc>
        <w:tc>
          <w:tcPr>
            <w:tcW w:w="1843" w:type="dxa"/>
            <w:vAlign w:val="center"/>
          </w:tcPr>
          <w:p w14:paraId="65D87F5A">
            <w:pPr>
              <w:snapToGrid w:val="0"/>
              <w:jc w:val="center"/>
              <w:rPr>
                <w:rFonts w:ascii="仿宋" w:hAnsi="仿宋" w:eastAsia="仿宋" w:cs="仿宋"/>
                <w:bCs/>
                <w:sz w:val="24"/>
              </w:rPr>
            </w:pPr>
            <w:r>
              <w:rPr>
                <w:rFonts w:hint="eastAsia" w:ascii="仿宋" w:hAnsi="仿宋" w:eastAsia="仿宋" w:cs="仿宋"/>
                <w:b/>
                <w:sz w:val="24"/>
              </w:rPr>
              <w:t>方案讲解演示</w:t>
            </w:r>
          </w:p>
        </w:tc>
        <w:tc>
          <w:tcPr>
            <w:tcW w:w="6803" w:type="dxa"/>
            <w:vAlign w:val="center"/>
          </w:tcPr>
          <w:p w14:paraId="6A531D09">
            <w:pPr>
              <w:snapToGrid w:val="0"/>
              <w:spacing w:line="360" w:lineRule="auto"/>
              <w:contextualSpacing/>
              <w:rPr>
                <w:rFonts w:ascii="仿宋" w:hAnsi="仿宋" w:eastAsia="仿宋" w:cs="仿宋"/>
                <w:sz w:val="24"/>
              </w:rPr>
            </w:pPr>
            <w:r>
              <w:rPr>
                <w:rFonts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3FA1BBFA">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☐B组织。</w:t>
            </w:r>
          </w:p>
          <w:p w14:paraId="63222D57">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（1）在评标时安排每个供应商进行方案讲解演示。每个供应商时间不超过20分钟，讲解次序以投标文件解密时间先后次序为准，讲解演示人员不超过3人。讲解演示结束后按要求解答评标委员会提问。</w:t>
            </w:r>
          </w:p>
          <w:p w14:paraId="6CEDEDF2">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5E8154C5">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kern w:val="0"/>
                <w:sz w:val="24"/>
              </w:rPr>
              <w:t>方式一：</w:t>
            </w:r>
            <w:r>
              <w:rPr>
                <w:rFonts w:hint="eastAsia" w:ascii="仿宋" w:hAnsi="仿宋" w:eastAsia="仿宋" w:cs="仿宋"/>
                <w:kern w:val="0"/>
                <w:sz w:val="24"/>
              </w:rPr>
              <w:t>政采云平台在线讲解演示。政采云平台在线讲解需供应商根据政采云平台操作要求做好准备工作，提前完善软硬件配置环境。</w:t>
            </w:r>
          </w:p>
          <w:p w14:paraId="54BBB475">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kern w:val="0"/>
                <w:sz w:val="24"/>
              </w:rPr>
              <w:t>方式二：</w:t>
            </w:r>
            <w:r>
              <w:rPr>
                <w:rFonts w:hint="eastAsia" w:ascii="仿宋" w:hAnsi="仿宋" w:eastAsia="仿宋" w:cs="仿宋"/>
                <w:kern w:val="0"/>
                <w:sz w:val="24"/>
              </w:rPr>
              <w:t>代理机构评标场所现场讲解演示。现场讲解地点为，讲解演示所用电脑等设备由供应商自备。现场讲解演示人员进场时提供讲解人员名单（加盖公章）及身份证明，否则不得讲解演示。</w:t>
            </w:r>
          </w:p>
          <w:p w14:paraId="232071FC">
            <w:pPr>
              <w:snapToGrid w:val="0"/>
              <w:spacing w:line="360" w:lineRule="auto"/>
              <w:contextualSpacing/>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E1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87" w:hRule="atLeast"/>
          <w:jc w:val="center"/>
        </w:trPr>
        <w:tc>
          <w:tcPr>
            <w:tcW w:w="629" w:type="dxa"/>
            <w:vMerge w:val="restart"/>
            <w:vAlign w:val="center"/>
          </w:tcPr>
          <w:p w14:paraId="1D421376">
            <w:pPr>
              <w:snapToGrid w:val="0"/>
              <w:jc w:val="center"/>
              <w:rPr>
                <w:rFonts w:ascii="仿宋" w:hAnsi="仿宋" w:eastAsia="仿宋" w:cs="仿宋"/>
                <w:sz w:val="24"/>
              </w:rPr>
            </w:pPr>
            <w:r>
              <w:rPr>
                <w:rFonts w:hint="eastAsia" w:ascii="仿宋" w:hAnsi="仿宋" w:eastAsia="仿宋" w:cs="仿宋"/>
                <w:sz w:val="24"/>
              </w:rPr>
              <w:t>8</w:t>
            </w:r>
          </w:p>
        </w:tc>
        <w:tc>
          <w:tcPr>
            <w:tcW w:w="1843" w:type="dxa"/>
            <w:vMerge w:val="restart"/>
            <w:vAlign w:val="center"/>
          </w:tcPr>
          <w:p w14:paraId="47F280F9">
            <w:pPr>
              <w:snapToGrid w:val="0"/>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803" w:type="dxa"/>
            <w:vAlign w:val="center"/>
          </w:tcPr>
          <w:p w14:paraId="47F447BB">
            <w:pPr>
              <w:snapToGrid w:val="0"/>
              <w:spacing w:line="360" w:lineRule="auto"/>
              <w:contextualSpacing/>
              <w:rPr>
                <w:rFonts w:ascii="仿宋" w:hAnsi="仿宋" w:eastAsia="仿宋" w:cs="仿宋"/>
                <w:sz w:val="24"/>
              </w:rPr>
            </w:pPr>
            <w:r>
              <w:rPr>
                <w:rFonts w:hint="eastAsia" w:ascii="仿宋" w:hAnsi="仿宋" w:eastAsia="仿宋" w:cs="仿宋"/>
                <w:sz w:val="24"/>
              </w:rPr>
              <w:t>（1）资格证明文件：见招标文件第二部分11.1。</w:t>
            </w:r>
          </w:p>
          <w:p w14:paraId="2ED90C84">
            <w:pPr>
              <w:snapToGrid w:val="0"/>
              <w:spacing w:line="360" w:lineRule="auto"/>
              <w:contextualSpacing/>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供应商未提供有效的资格证明文件的，视为供应商不具备招标文件中规定的资格要求，投标无效。</w:t>
            </w:r>
          </w:p>
        </w:tc>
      </w:tr>
      <w:tr w14:paraId="7DD4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vAlign w:val="center"/>
          </w:tcPr>
          <w:p w14:paraId="619C11B9"/>
        </w:tc>
        <w:tc>
          <w:tcPr>
            <w:tcW w:w="1843" w:type="dxa"/>
            <w:vMerge w:val="continue"/>
            <w:vAlign w:val="center"/>
          </w:tcPr>
          <w:p w14:paraId="4A61FFE6"/>
        </w:tc>
        <w:tc>
          <w:tcPr>
            <w:tcW w:w="6803" w:type="dxa"/>
            <w:vAlign w:val="center"/>
          </w:tcPr>
          <w:p w14:paraId="7C502F09">
            <w:pPr>
              <w:snapToGrid w:val="0"/>
              <w:spacing w:line="360" w:lineRule="auto"/>
              <w:contextualSpacing/>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07814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63DFEA52">
            <w:pPr>
              <w:snapToGrid w:val="0"/>
              <w:jc w:val="center"/>
              <w:rPr>
                <w:rFonts w:ascii="仿宋" w:hAnsi="仿宋" w:eastAsia="仿宋" w:cs="仿宋"/>
                <w:sz w:val="24"/>
              </w:rPr>
            </w:pPr>
            <w:r>
              <w:rPr>
                <w:rFonts w:hint="eastAsia" w:ascii="仿宋" w:hAnsi="仿宋" w:eastAsia="仿宋" w:cs="仿宋"/>
                <w:sz w:val="24"/>
              </w:rPr>
              <w:t>9</w:t>
            </w:r>
          </w:p>
        </w:tc>
        <w:tc>
          <w:tcPr>
            <w:tcW w:w="1843" w:type="dxa"/>
            <w:vAlign w:val="center"/>
          </w:tcPr>
          <w:p w14:paraId="7B448A83">
            <w:pPr>
              <w:snapToGrid w:val="0"/>
              <w:jc w:val="center"/>
              <w:rPr>
                <w:rFonts w:ascii="仿宋" w:hAnsi="仿宋" w:eastAsia="仿宋" w:cs="仿宋"/>
                <w:b/>
                <w:sz w:val="24"/>
              </w:rPr>
            </w:pPr>
            <w:r>
              <w:rPr>
                <w:rFonts w:hint="eastAsia" w:ascii="仿宋" w:hAnsi="仿宋" w:eastAsia="仿宋" w:cs="仿宋"/>
                <w:b/>
                <w:sz w:val="24"/>
              </w:rPr>
              <w:t>节能产品、环境标志产品</w:t>
            </w:r>
          </w:p>
        </w:tc>
        <w:tc>
          <w:tcPr>
            <w:tcW w:w="6803" w:type="dxa"/>
            <w:vAlign w:val="center"/>
          </w:tcPr>
          <w:p w14:paraId="66DFCE67">
            <w:pPr>
              <w:snapToGrid w:val="0"/>
              <w:spacing w:line="360" w:lineRule="auto"/>
              <w:contextualSpacing/>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83065F">
            <w:pPr>
              <w:pStyle w:val="91"/>
              <w:ind w:firstLine="480"/>
              <w:jc w:val="both"/>
              <w:rPr>
                <w:rFonts w:ascii="仿宋" w:hAnsi="仿宋" w:eastAsia="仿宋" w:cs="仿宋"/>
                <w:sz w:val="24"/>
                <w:szCs w:val="24"/>
              </w:rPr>
            </w:pPr>
            <w:r>
              <w:rPr>
                <w:rFonts w:hint="eastAsia" w:ascii="仿宋" w:hAnsi="仿宋" w:eastAsia="仿宋" w:cs="仿宋"/>
                <w:sz w:val="24"/>
                <w:szCs w:val="24"/>
              </w:rPr>
              <w:t xml:space="preserve">☐强制采购。产品：    </w:t>
            </w:r>
          </w:p>
          <w:p w14:paraId="2A2D0F6E">
            <w:pPr>
              <w:pStyle w:val="91"/>
              <w:ind w:firstLine="480"/>
              <w:jc w:val="both"/>
              <w:rPr>
                <w:rFonts w:ascii="仿宋" w:hAnsi="仿宋" w:eastAsia="仿宋" w:cs="仿宋"/>
                <w:sz w:val="24"/>
                <w:szCs w:val="24"/>
              </w:rPr>
            </w:pPr>
            <w:r>
              <w:rPr>
                <w:rFonts w:hint="eastAsia" w:ascii="仿宋" w:hAnsi="仿宋" w:eastAsia="仿宋" w:cs="仿宋"/>
                <w:sz w:val="24"/>
                <w:szCs w:val="24"/>
              </w:rPr>
              <w:t xml:space="preserve">□优先采购节能产品。产品：   </w:t>
            </w:r>
          </w:p>
          <w:p w14:paraId="70B90DE7">
            <w:pPr>
              <w:pStyle w:val="91"/>
              <w:ind w:firstLine="480"/>
              <w:jc w:val="both"/>
              <w:rPr>
                <w:rFonts w:ascii="仿宋" w:hAnsi="仿宋" w:eastAsia="仿宋" w:cs="仿宋"/>
                <w:sz w:val="24"/>
                <w:szCs w:val="24"/>
              </w:rPr>
            </w:pPr>
            <w:r>
              <w:rPr>
                <w:rFonts w:hint="eastAsia" w:ascii="仿宋" w:hAnsi="仿宋" w:eastAsia="仿宋" w:cs="仿宋"/>
                <w:sz w:val="24"/>
                <w:szCs w:val="24"/>
              </w:rPr>
              <w:t xml:space="preserve">□优先采购环保产品。产品：    </w:t>
            </w:r>
          </w:p>
          <w:p w14:paraId="2BF2ACF7">
            <w:pPr>
              <w:pStyle w:val="91"/>
              <w:ind w:firstLine="480"/>
            </w:pPr>
            <w:r>
              <w:rPr>
                <w:rFonts w:ascii="仿宋" w:hAnsi="仿宋" w:eastAsia="仿宋" w:cs="仿宋"/>
                <w:sz w:val="24"/>
              </w:rPr>
              <w:sym w:font="Wingdings" w:char="F0FE"/>
            </w:r>
            <w:r>
              <w:rPr>
                <w:rFonts w:hint="eastAsia" w:ascii="仿宋" w:hAnsi="仿宋" w:eastAsia="仿宋" w:cs="仿宋"/>
                <w:sz w:val="24"/>
                <w:szCs w:val="24"/>
              </w:rPr>
              <w:t>无</w:t>
            </w:r>
          </w:p>
        </w:tc>
      </w:tr>
      <w:tr w14:paraId="2429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14:paraId="3A758337">
            <w:pPr>
              <w:snapToGrid w:val="0"/>
              <w:jc w:val="center"/>
              <w:rPr>
                <w:rFonts w:ascii="仿宋" w:hAnsi="仿宋" w:eastAsia="仿宋" w:cs="仿宋"/>
                <w:sz w:val="24"/>
              </w:rPr>
            </w:pPr>
            <w:r>
              <w:rPr>
                <w:rFonts w:hint="eastAsia" w:ascii="仿宋" w:hAnsi="仿宋" w:eastAsia="仿宋" w:cs="仿宋"/>
                <w:sz w:val="24"/>
              </w:rPr>
              <w:t>10</w:t>
            </w:r>
          </w:p>
        </w:tc>
        <w:tc>
          <w:tcPr>
            <w:tcW w:w="1843" w:type="dxa"/>
            <w:vAlign w:val="center"/>
          </w:tcPr>
          <w:p w14:paraId="63FAA0A4">
            <w:pPr>
              <w:snapToGrid w:val="0"/>
              <w:jc w:val="center"/>
              <w:rPr>
                <w:rFonts w:ascii="仿宋" w:hAnsi="仿宋" w:eastAsia="仿宋" w:cs="仿宋"/>
                <w:b/>
                <w:sz w:val="24"/>
              </w:rPr>
            </w:pPr>
            <w:r>
              <w:rPr>
                <w:rFonts w:hint="eastAsia" w:ascii="仿宋" w:hAnsi="仿宋" w:eastAsia="仿宋" w:cs="仿宋"/>
                <w:b/>
                <w:sz w:val="24"/>
              </w:rPr>
              <w:t>报价要求</w:t>
            </w:r>
          </w:p>
        </w:tc>
        <w:tc>
          <w:tcPr>
            <w:tcW w:w="6803" w:type="dxa"/>
            <w:vAlign w:val="center"/>
          </w:tcPr>
          <w:p w14:paraId="7A6702B7">
            <w:pPr>
              <w:snapToGrid w:val="0"/>
              <w:spacing w:line="360" w:lineRule="auto"/>
              <w:ind w:firstLine="240" w:firstLineChars="100"/>
              <w:contextualSpacing/>
              <w:jc w:val="left"/>
              <w:rPr>
                <w:rFonts w:ascii="仿宋" w:hAnsi="仿宋" w:eastAsia="仿宋" w:cs="仿宋"/>
                <w:bCs/>
                <w:sz w:val="24"/>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Cs/>
                <w:sz w:val="24"/>
              </w:rPr>
              <w:t>投标报价包含本项目实施所需的软硬件租赁、流量费、运行维护、技术支持和税金、人工费用（包括服务人员工资、加班费、《中华人民共和国劳动合同法》规定的社保费、办公费、交通费、食宿等）等所涉及的一切费用均计入。</w:t>
            </w:r>
          </w:p>
          <w:p w14:paraId="00AEA2A8">
            <w:pPr>
              <w:snapToGrid w:val="0"/>
              <w:spacing w:line="360" w:lineRule="auto"/>
              <w:ind w:firstLine="241" w:firstLineChars="100"/>
              <w:contextualSpacing/>
              <w:jc w:val="left"/>
              <w:rPr>
                <w:rFonts w:ascii="仿宋" w:hAnsi="仿宋" w:eastAsia="仿宋" w:cs="仿宋"/>
                <w:kern w:val="0"/>
                <w:sz w:val="24"/>
                <w:lang w:val="zh-CN"/>
              </w:rPr>
            </w:pP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开标一览表（报价表）是报价的唯一载体，如供应商在政府采购云平台填写的投标报价与投标文件报价文件中开标一览表（报价表）不一致的，以报价文件中开标一览表（报价表）为准。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投标文件中价格全部采用人民币报价。招标文件未列明，而供应商认为必需的费用也需列入报价。</w:t>
            </w:r>
          </w:p>
          <w:p w14:paraId="4F04F147">
            <w:pPr>
              <w:snapToGrid w:val="0"/>
              <w:spacing w:line="360" w:lineRule="auto"/>
              <w:ind w:firstLine="241" w:firstLineChars="100"/>
              <w:contextualSpacing/>
              <w:jc w:val="left"/>
              <w:rPr>
                <w:rFonts w:ascii="仿宋" w:hAnsi="仿宋" w:eastAsia="仿宋" w:cs="仿宋"/>
                <w:b/>
                <w:kern w:val="0"/>
                <w:sz w:val="24"/>
                <w:lang w:val="zh-CN"/>
              </w:rPr>
            </w:pPr>
            <w:r>
              <w:rPr>
                <w:rFonts w:hint="eastAsia" w:ascii="仿宋" w:hAnsi="仿宋" w:eastAsia="仿宋" w:cs="仿宋"/>
                <w:b/>
                <w:kern w:val="0"/>
                <w:sz w:val="24"/>
                <w:lang w:val="zh-CN"/>
              </w:rPr>
              <w:t>提醒：验收时检测费用由采购人承担，不包含在投标总价中。</w:t>
            </w:r>
          </w:p>
          <w:p w14:paraId="6F954091">
            <w:pPr>
              <w:snapToGrid w:val="0"/>
              <w:spacing w:line="360" w:lineRule="auto"/>
              <w:ind w:firstLine="241" w:firstLineChars="100"/>
              <w:contextualSpacing/>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4DC9FFF">
            <w:pPr>
              <w:snapToGrid w:val="0"/>
              <w:spacing w:line="360" w:lineRule="auto"/>
              <w:ind w:firstLine="241" w:firstLineChars="100"/>
              <w:contextualSpacing/>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7A94EA44">
            <w:pPr>
              <w:snapToGrid w:val="0"/>
              <w:spacing w:line="360" w:lineRule="auto"/>
              <w:ind w:firstLine="241" w:firstLineChars="100"/>
              <w:contextualSpacing/>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6FC8272F">
            <w:pPr>
              <w:snapToGrid w:val="0"/>
              <w:spacing w:line="360" w:lineRule="auto"/>
              <w:ind w:firstLine="241" w:firstLineChars="100"/>
              <w:contextualSpacing/>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57B02D1">
            <w:pPr>
              <w:snapToGrid w:val="0"/>
              <w:spacing w:line="360" w:lineRule="auto"/>
              <w:ind w:firstLine="241" w:firstLineChars="100"/>
              <w:contextualSpacing/>
              <w:rPr>
                <w:rFonts w:ascii="仿宋" w:hAnsi="仿宋" w:eastAsia="仿宋" w:cs="仿宋"/>
                <w:b/>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p w14:paraId="72A33EDF">
            <w:pPr>
              <w:snapToGrid w:val="0"/>
              <w:spacing w:line="360" w:lineRule="auto"/>
              <w:ind w:firstLine="241" w:firstLineChars="100"/>
              <w:contextualSpacing/>
              <w:rPr>
                <w:rFonts w:ascii="仿宋" w:hAnsi="仿宋" w:eastAsia="仿宋" w:cs="仿宋"/>
                <w:sz w:val="24"/>
              </w:rPr>
            </w:pPr>
            <w:r>
              <w:rPr>
                <w:rFonts w:hint="eastAsia" w:ascii="仿宋" w:hAnsi="仿宋" w:eastAsia="仿宋" w:cs="仿宋"/>
                <w:b/>
                <w:sz w:val="24"/>
              </w:rPr>
              <w:t>供应商报价若低于本项目预算50%的，未在报价文件中详细阐述不影响产品质量或者诚信履约的具体原因的。</w:t>
            </w:r>
          </w:p>
        </w:tc>
      </w:tr>
      <w:tr w14:paraId="3D141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4" w:hRule="atLeast"/>
          <w:jc w:val="center"/>
        </w:trPr>
        <w:tc>
          <w:tcPr>
            <w:tcW w:w="629" w:type="dxa"/>
            <w:vAlign w:val="center"/>
          </w:tcPr>
          <w:p w14:paraId="468042C3">
            <w:pPr>
              <w:snapToGrid w:val="0"/>
              <w:jc w:val="center"/>
              <w:rPr>
                <w:rFonts w:ascii="仿宋" w:hAnsi="仿宋" w:eastAsia="仿宋" w:cs="仿宋"/>
                <w:sz w:val="24"/>
              </w:rPr>
            </w:pPr>
            <w:r>
              <w:rPr>
                <w:rFonts w:hint="eastAsia" w:ascii="仿宋" w:hAnsi="仿宋" w:eastAsia="仿宋" w:cs="仿宋"/>
                <w:sz w:val="24"/>
              </w:rPr>
              <w:t>11</w:t>
            </w:r>
          </w:p>
        </w:tc>
        <w:tc>
          <w:tcPr>
            <w:tcW w:w="1843" w:type="dxa"/>
            <w:vAlign w:val="center"/>
          </w:tcPr>
          <w:p w14:paraId="650C661B">
            <w:pPr>
              <w:snapToGrid w:val="0"/>
              <w:jc w:val="center"/>
              <w:rPr>
                <w:rFonts w:ascii="仿宋" w:hAnsi="仿宋" w:eastAsia="仿宋" w:cs="仿宋"/>
                <w:b/>
                <w:sz w:val="24"/>
              </w:rPr>
            </w:pPr>
            <w:r>
              <w:rPr>
                <w:rFonts w:hint="eastAsia" w:ascii="仿宋" w:hAnsi="仿宋" w:eastAsia="仿宋" w:cs="仿宋"/>
                <w:b/>
                <w:sz w:val="24"/>
              </w:rPr>
              <w:t>中小企业信用融资</w:t>
            </w:r>
          </w:p>
        </w:tc>
        <w:tc>
          <w:tcPr>
            <w:tcW w:w="6803" w:type="dxa"/>
            <w:vAlign w:val="center"/>
          </w:tcPr>
          <w:p w14:paraId="082B633A">
            <w:pPr>
              <w:snapToGrid w:val="0"/>
              <w:spacing w:line="360" w:lineRule="auto"/>
              <w:ind w:firstLine="480" w:firstLineChars="200"/>
              <w:contextualSpacing/>
              <w:rPr>
                <w:rFonts w:ascii="仿宋" w:hAnsi="仿宋" w:eastAsia="仿宋" w:cs="仿宋"/>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79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5" w:hRule="atLeast"/>
          <w:jc w:val="center"/>
        </w:trPr>
        <w:tc>
          <w:tcPr>
            <w:tcW w:w="629" w:type="dxa"/>
            <w:vAlign w:val="center"/>
          </w:tcPr>
          <w:p w14:paraId="3D57FD1F">
            <w:pPr>
              <w:snapToGrid w:val="0"/>
              <w:jc w:val="center"/>
              <w:rPr>
                <w:rFonts w:ascii="仿宋" w:hAnsi="仿宋" w:eastAsia="仿宋" w:cs="仿宋"/>
                <w:sz w:val="24"/>
              </w:rPr>
            </w:pPr>
            <w:r>
              <w:rPr>
                <w:rFonts w:hint="eastAsia" w:ascii="仿宋" w:hAnsi="仿宋" w:eastAsia="仿宋" w:cs="仿宋"/>
                <w:sz w:val="24"/>
              </w:rPr>
              <w:t>12</w:t>
            </w:r>
          </w:p>
        </w:tc>
        <w:tc>
          <w:tcPr>
            <w:tcW w:w="1843" w:type="dxa"/>
            <w:vAlign w:val="center"/>
          </w:tcPr>
          <w:p w14:paraId="4E411D32">
            <w:pPr>
              <w:snapToGrid w:val="0"/>
              <w:jc w:val="center"/>
              <w:rPr>
                <w:rFonts w:ascii="仿宋" w:hAnsi="仿宋" w:eastAsia="仿宋" w:cs="仿宋"/>
                <w:b/>
                <w:sz w:val="24"/>
              </w:rPr>
            </w:pPr>
            <w:r>
              <w:rPr>
                <w:rFonts w:hint="eastAsia" w:ascii="仿宋" w:hAnsi="仿宋" w:eastAsia="仿宋" w:cs="仿宋"/>
                <w:b/>
                <w:sz w:val="24"/>
              </w:rPr>
              <w:t>备份投标文件送达地点和签收人员</w:t>
            </w:r>
          </w:p>
        </w:tc>
        <w:tc>
          <w:tcPr>
            <w:tcW w:w="6803" w:type="dxa"/>
            <w:vAlign w:val="center"/>
          </w:tcPr>
          <w:p w14:paraId="3ADBC56F">
            <w:pPr>
              <w:snapToGrid w:val="0"/>
              <w:spacing w:line="360" w:lineRule="auto"/>
              <w:ind w:firstLine="482"/>
              <w:jc w:val="left"/>
              <w:rPr>
                <w:rFonts w:ascii="仿宋" w:hAnsi="仿宋" w:eastAsia="仿宋" w:cs="仿宋"/>
                <w:b/>
                <w:sz w:val="24"/>
              </w:rPr>
            </w:pPr>
            <w:r>
              <w:rPr>
                <w:rFonts w:hint="eastAsia" w:ascii="Calibri" w:hAnsi="Calibri" w:eastAsia="仿宋"/>
                <w:snapToGrid w:val="0"/>
                <w:kern w:val="28"/>
                <w:sz w:val="24"/>
              </w:rPr>
              <w:t>①</w:t>
            </w:r>
            <w:r>
              <w:rPr>
                <w:rFonts w:hint="eastAsia" w:ascii="仿宋" w:hAnsi="仿宋" w:eastAsia="仿宋" w:cs="仿宋"/>
                <w:b/>
                <w:sz w:val="24"/>
              </w:rPr>
              <w:t>备份投标文件送达地点：杭州市西湖区教工路269号保翌大厦14楼（浙江中诺招标代理有限公司）；</w:t>
            </w:r>
          </w:p>
          <w:p w14:paraId="28995F36">
            <w:pPr>
              <w:snapToGrid w:val="0"/>
              <w:spacing w:line="360" w:lineRule="auto"/>
              <w:ind w:firstLine="482"/>
              <w:jc w:val="left"/>
              <w:rPr>
                <w:rFonts w:ascii="仿宋" w:hAnsi="仿宋" w:eastAsia="仿宋" w:cs="仿宋"/>
                <w:snapToGrid w:val="0"/>
                <w:sz w:val="24"/>
              </w:rPr>
            </w:pPr>
            <w:r>
              <w:rPr>
                <w:rFonts w:hint="eastAsia" w:ascii="仿宋" w:hAnsi="仿宋" w:eastAsia="仿宋" w:cs="仿宋"/>
                <w:b/>
                <w:sz w:val="24"/>
              </w:rPr>
              <w:t>②备份投标文件签收人员联系电话：</w:t>
            </w:r>
            <w:r>
              <w:rPr>
                <w:rFonts w:hint="eastAsia" w:ascii="仿宋" w:hAnsi="仿宋" w:eastAsia="仿宋" w:cs="仿宋"/>
                <w:b/>
                <w:sz w:val="24"/>
                <w:u w:val="single"/>
              </w:rPr>
              <w:t>周伶 13857112698</w:t>
            </w:r>
            <w:r>
              <w:rPr>
                <w:rFonts w:hint="eastAsia" w:ascii="仿宋" w:hAnsi="仿宋" w:eastAsia="仿宋" w:cs="仿宋"/>
                <w:b/>
                <w:sz w:val="24"/>
              </w:rPr>
              <w:t>。</w:t>
            </w:r>
            <w:r>
              <w:rPr>
                <w:rFonts w:hint="eastAsia" w:ascii="仿宋" w:hAnsi="仿宋" w:eastAsia="仿宋" w:cs="仿宋"/>
                <w:snapToGrid w:val="0"/>
                <w:sz w:val="24"/>
              </w:rPr>
              <w:t>以电子邮件方式递交备份投标文件的，供应商应于投标截止时间前将备份文件传送至采购代理机构邮箱（</w:t>
            </w:r>
            <w:r>
              <w:fldChar w:fldCharType="begin"/>
            </w:r>
            <w:r>
              <w:instrText xml:space="preserve"> HYPERLINK "mailto:info@zngpa.cn" </w:instrText>
            </w:r>
            <w:r>
              <w:fldChar w:fldCharType="separate"/>
            </w:r>
            <w:r>
              <w:rPr>
                <w:rStyle w:val="88"/>
                <w:rFonts w:hint="eastAsia" w:ascii="仿宋" w:hAnsi="仿宋" w:eastAsia="仿宋" w:cs="仿宋"/>
                <w:kern w:val="2"/>
                <w:sz w:val="24"/>
                <w:szCs w:val="24"/>
              </w:rPr>
              <w:t>info@zngpa.cn</w:t>
            </w:r>
            <w:r>
              <w:rPr>
                <w:rStyle w:val="88"/>
                <w:rFonts w:hint="eastAsia" w:ascii="仿宋" w:hAnsi="仿宋" w:eastAsia="仿宋" w:cs="仿宋"/>
                <w:kern w:val="2"/>
                <w:sz w:val="24"/>
                <w:szCs w:val="24"/>
              </w:rPr>
              <w:fldChar w:fldCharType="end"/>
            </w:r>
            <w:r>
              <w:rPr>
                <w:rFonts w:hint="eastAsia" w:ascii="仿宋" w:hAnsi="仿宋" w:eastAsia="仿宋" w:cs="仿宋"/>
                <w:snapToGrid w:val="0"/>
                <w:sz w:val="24"/>
              </w:rPr>
              <w:t>）。</w:t>
            </w:r>
          </w:p>
          <w:p w14:paraId="55257D6F">
            <w:pPr>
              <w:snapToGrid w:val="0"/>
              <w:spacing w:line="360" w:lineRule="auto"/>
              <w:jc w:val="left"/>
              <w:rPr>
                <w:rFonts w:ascii="仿宋" w:hAnsi="仿宋" w:eastAsia="仿宋" w:cs="仿宋"/>
                <w:b/>
                <w:sz w:val="24"/>
              </w:rPr>
            </w:pPr>
            <w:r>
              <w:rPr>
                <w:rFonts w:hint="eastAsia" w:ascii="Calibri" w:hAnsi="Calibri" w:eastAsia="仿宋" w:cs="仿宋_GB2312"/>
                <w:b/>
                <w:snapToGrid w:val="0"/>
                <w:sz w:val="24"/>
              </w:rPr>
              <w:t>以上二种方式任选其一即可。</w:t>
            </w:r>
          </w:p>
          <w:p w14:paraId="5E1D7834">
            <w:pPr>
              <w:pStyle w:val="41"/>
              <w:snapToGrid w:val="0"/>
              <w:spacing w:line="360" w:lineRule="auto"/>
              <w:contextualSpacing/>
              <w:jc w:val="left"/>
              <w:rPr>
                <w:rFonts w:ascii="仿宋" w:hAnsi="仿宋" w:eastAsia="仿宋" w:cs="仿宋"/>
                <w:sz w:val="24"/>
                <w:szCs w:val="24"/>
              </w:rPr>
            </w:pPr>
            <w:r>
              <w:rPr>
                <w:rFonts w:hint="eastAsia" w:ascii="仿宋" w:hAnsi="仿宋" w:eastAsia="仿宋" w:cs="仿宋"/>
                <w:sz w:val="24"/>
                <w:szCs w:val="24"/>
              </w:rPr>
              <w:t>第一中标候选人在评标结束后2天内向采购代理机构提供3套纸质版投标文件，并确保纸质投标文件与最终上传电子加密投标文件一致，因纸质投标文件与电子投标文件不一致产生的一切结果，均由中标候选人承担。</w:t>
            </w:r>
          </w:p>
          <w:p w14:paraId="1663239E">
            <w:pPr>
              <w:pStyle w:val="41"/>
              <w:snapToGrid w:val="0"/>
              <w:spacing w:line="360" w:lineRule="auto"/>
              <w:contextualSpacing/>
              <w:jc w:val="left"/>
              <w:rPr>
                <w:rFonts w:ascii="仿宋" w:hAnsi="仿宋" w:eastAsia="仿宋" w:cs="仿宋"/>
                <w:kern w:val="28"/>
                <w:sz w:val="24"/>
              </w:rPr>
            </w:pPr>
            <w:r>
              <w:rPr>
                <w:rFonts w:hint="eastAsia" w:ascii="仿宋" w:hAnsi="仿宋" w:eastAsia="仿宋" w:cs="仿宋"/>
                <w:b/>
                <w:sz w:val="24"/>
              </w:rPr>
              <w:t>采购人、采购代理机构不强制或变相强制投标人提交备份投标文件。</w:t>
            </w:r>
          </w:p>
        </w:tc>
      </w:tr>
      <w:tr w14:paraId="2233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29" w:type="dxa"/>
            <w:vMerge w:val="restart"/>
            <w:vAlign w:val="center"/>
          </w:tcPr>
          <w:p w14:paraId="1D63A5BF">
            <w:pPr>
              <w:snapToGrid w:val="0"/>
              <w:jc w:val="center"/>
              <w:rPr>
                <w:rFonts w:ascii="仿宋" w:hAnsi="仿宋" w:eastAsia="仿宋" w:cs="仿宋"/>
                <w:sz w:val="24"/>
              </w:rPr>
            </w:pPr>
            <w:r>
              <w:rPr>
                <w:rFonts w:hint="eastAsia" w:ascii="仿宋" w:hAnsi="仿宋" w:eastAsia="仿宋" w:cs="仿宋"/>
                <w:sz w:val="24"/>
              </w:rPr>
              <w:t>13</w:t>
            </w:r>
          </w:p>
        </w:tc>
        <w:tc>
          <w:tcPr>
            <w:tcW w:w="1843" w:type="dxa"/>
            <w:vMerge w:val="restart"/>
            <w:vAlign w:val="center"/>
          </w:tcPr>
          <w:p w14:paraId="4A20D0CF">
            <w:pPr>
              <w:snapToGrid w:val="0"/>
              <w:jc w:val="center"/>
              <w:rPr>
                <w:rFonts w:ascii="仿宋" w:hAnsi="仿宋" w:eastAsia="仿宋" w:cs="仿宋"/>
                <w:b/>
                <w:sz w:val="24"/>
              </w:rPr>
            </w:pPr>
            <w:r>
              <w:rPr>
                <w:rFonts w:hint="eastAsia" w:ascii="仿宋" w:hAnsi="仿宋" w:eastAsia="仿宋" w:cs="仿宋"/>
                <w:b/>
                <w:sz w:val="24"/>
              </w:rPr>
              <w:t>特别说明</w:t>
            </w:r>
          </w:p>
        </w:tc>
        <w:tc>
          <w:tcPr>
            <w:tcW w:w="6803" w:type="dxa"/>
            <w:vAlign w:val="center"/>
          </w:tcPr>
          <w:p w14:paraId="4C1E507C">
            <w:pPr>
              <w:snapToGrid w:val="0"/>
              <w:spacing w:line="360" w:lineRule="auto"/>
              <w:contextualSpacing/>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7C13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Merge w:val="continue"/>
            <w:vAlign w:val="center"/>
          </w:tcPr>
          <w:p w14:paraId="7D7E7B50"/>
        </w:tc>
        <w:tc>
          <w:tcPr>
            <w:tcW w:w="1843" w:type="dxa"/>
            <w:vMerge w:val="continue"/>
            <w:vAlign w:val="center"/>
          </w:tcPr>
          <w:p w14:paraId="3F7D695A"/>
        </w:tc>
        <w:tc>
          <w:tcPr>
            <w:tcW w:w="6803" w:type="dxa"/>
            <w:vAlign w:val="center"/>
          </w:tcPr>
          <w:p w14:paraId="344D530E">
            <w:pPr>
              <w:snapToGrid w:val="0"/>
              <w:spacing w:line="360" w:lineRule="auto"/>
              <w:contextualSpacing/>
              <w:rPr>
                <w:rFonts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20FF1678">
            <w:pPr>
              <w:snapToGrid w:val="0"/>
              <w:spacing w:line="360" w:lineRule="auto"/>
              <w:contextualSpacing/>
              <w:rPr>
                <w:rFonts w:ascii="仿宋" w:hAnsi="仿宋" w:eastAsia="仿宋" w:cs="仿宋"/>
                <w:snapToGrid w:val="0"/>
                <w:kern w:val="28"/>
                <w:sz w:val="24"/>
              </w:rPr>
            </w:pPr>
            <w:r>
              <w:rPr>
                <w:rFonts w:ascii="仿宋" w:hAnsi="仿宋" w:eastAsia="仿宋" w:cs="仿宋"/>
                <w:kern w:val="0"/>
                <w:sz w:val="24"/>
              </w:rPr>
              <w:sym w:font="Wingdings" w:char="F0FE"/>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F54F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629" w:type="dxa"/>
          </w:tcPr>
          <w:p w14:paraId="055EEEDB">
            <w:pPr>
              <w:snapToGrid w:val="0"/>
              <w:spacing w:line="360" w:lineRule="auto"/>
              <w:jc w:val="center"/>
              <w:rPr>
                <w:rFonts w:ascii="仿宋" w:hAnsi="仿宋" w:eastAsia="仿宋" w:cs="仿宋"/>
                <w:snapToGrid w:val="0"/>
                <w:kern w:val="28"/>
                <w:sz w:val="24"/>
              </w:rPr>
            </w:pPr>
            <w:bookmarkStart w:id="14" w:name="第三部分"/>
            <w:bookmarkStart w:id="15" w:name="_Toc164416483"/>
            <w:r>
              <w:rPr>
                <w:rFonts w:hint="eastAsia" w:ascii="仿宋" w:hAnsi="仿宋" w:eastAsia="仿宋" w:cs="仿宋"/>
                <w:snapToGrid w:val="0"/>
                <w:kern w:val="28"/>
                <w:sz w:val="24"/>
              </w:rPr>
              <w:t>14</w:t>
            </w:r>
          </w:p>
        </w:tc>
        <w:tc>
          <w:tcPr>
            <w:tcW w:w="1843" w:type="dxa"/>
            <w:vAlign w:val="center"/>
          </w:tcPr>
          <w:p w14:paraId="1E86BFF4">
            <w:pPr>
              <w:snapToGrid w:val="0"/>
              <w:spacing w:line="360" w:lineRule="auto"/>
              <w:jc w:val="center"/>
              <w:rPr>
                <w:rFonts w:ascii="仿宋" w:hAnsi="仿宋" w:eastAsia="仿宋" w:cs="仿宋"/>
                <w:snapToGrid w:val="0"/>
                <w:kern w:val="28"/>
                <w:sz w:val="24"/>
              </w:rPr>
            </w:pPr>
            <w:r>
              <w:rPr>
                <w:rFonts w:hint="eastAsia" w:ascii="仿宋" w:hAnsi="仿宋" w:eastAsia="仿宋" w:cs="仿宋"/>
                <w:snapToGrid w:val="0"/>
                <w:kern w:val="28"/>
                <w:sz w:val="24"/>
              </w:rPr>
              <w:t>中标候选人数量</w:t>
            </w:r>
          </w:p>
        </w:tc>
        <w:tc>
          <w:tcPr>
            <w:tcW w:w="6803" w:type="dxa"/>
            <w:vAlign w:val="center"/>
          </w:tcPr>
          <w:p w14:paraId="6D5C6D7A">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本项目推荐的中标候选人数量：</w:t>
            </w:r>
            <w:r>
              <w:rPr>
                <w:rFonts w:hint="eastAsia" w:ascii="仿宋" w:hAnsi="仿宋" w:eastAsia="仿宋" w:cs="仿宋"/>
                <w:snapToGrid w:val="0"/>
                <w:kern w:val="28"/>
                <w:sz w:val="24"/>
                <w:u w:val="single"/>
              </w:rPr>
              <w:t xml:space="preserve">   1   个</w:t>
            </w:r>
            <w:r>
              <w:rPr>
                <w:rFonts w:hint="eastAsia" w:ascii="仿宋" w:hAnsi="仿宋" w:eastAsia="仿宋" w:cs="仿宋"/>
                <w:snapToGrid w:val="0"/>
                <w:kern w:val="28"/>
                <w:sz w:val="24"/>
              </w:rPr>
              <w:t xml:space="preserve">    。</w:t>
            </w:r>
          </w:p>
        </w:tc>
      </w:tr>
      <w:tr w14:paraId="71A9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51" w:hRule="atLeast"/>
          <w:jc w:val="center"/>
        </w:trPr>
        <w:tc>
          <w:tcPr>
            <w:tcW w:w="629" w:type="dxa"/>
            <w:vAlign w:val="center"/>
          </w:tcPr>
          <w:p w14:paraId="72E44F24">
            <w:pPr>
              <w:snapToGrid w:val="0"/>
              <w:jc w:val="center"/>
              <w:rPr>
                <w:rFonts w:ascii="仿宋" w:hAnsi="仿宋" w:eastAsia="仿宋" w:cs="仿宋"/>
                <w:snapToGrid w:val="0"/>
                <w:kern w:val="28"/>
                <w:sz w:val="24"/>
              </w:rPr>
            </w:pPr>
            <w:r>
              <w:rPr>
                <w:rFonts w:hint="eastAsia" w:ascii="宋体" w:hAnsi="宋体" w:eastAsia="仿宋" w:cs="宋体"/>
                <w:sz w:val="24"/>
              </w:rPr>
              <w:t>15</w:t>
            </w:r>
          </w:p>
        </w:tc>
        <w:tc>
          <w:tcPr>
            <w:tcW w:w="1843" w:type="dxa"/>
            <w:vAlign w:val="center"/>
          </w:tcPr>
          <w:p w14:paraId="2E5A2175">
            <w:pPr>
              <w:snapToGrid w:val="0"/>
              <w:jc w:val="center"/>
              <w:rPr>
                <w:rFonts w:ascii="仿宋" w:hAnsi="仿宋" w:eastAsia="仿宋" w:cs="仿宋"/>
                <w:snapToGrid w:val="0"/>
                <w:kern w:val="28"/>
                <w:sz w:val="24"/>
              </w:rPr>
            </w:pPr>
            <w:r>
              <w:rPr>
                <w:rFonts w:hint="eastAsia" w:ascii="宋体" w:hAnsi="宋体" w:eastAsia="仿宋" w:cs="仿宋_GB2312"/>
                <w:b/>
                <w:sz w:val="24"/>
              </w:rPr>
              <w:t>代理费用收取方式及标准</w:t>
            </w:r>
          </w:p>
        </w:tc>
        <w:tc>
          <w:tcPr>
            <w:tcW w:w="6803" w:type="dxa"/>
            <w:vAlign w:val="center"/>
          </w:tcPr>
          <w:p w14:paraId="51C9AA35">
            <w:pPr>
              <w:jc w:val="left"/>
              <w:rPr>
                <w:rFonts w:ascii="仿宋" w:hAnsi="仿宋" w:eastAsia="仿宋" w:cs="仿宋"/>
                <w:snapToGrid w:val="0"/>
                <w:kern w:val="28"/>
                <w:sz w:val="24"/>
              </w:rPr>
            </w:pPr>
            <w:r>
              <w:rPr>
                <w:rFonts w:hint="eastAsia" w:ascii="仿宋" w:hAnsi="仿宋" w:eastAsia="仿宋" w:cs="仿宋"/>
                <w:snapToGrid w:val="0"/>
                <w:kern w:val="28"/>
                <w:sz w:val="24"/>
              </w:rPr>
              <w:t>中标人需向浙江中诺招标代理有限公司支付招标代理服务费，收费标准为：</w:t>
            </w:r>
          </w:p>
          <w:p w14:paraId="28B551A9">
            <w:pPr>
              <w:jc w:val="left"/>
              <w:rPr>
                <w:rFonts w:ascii="仿宋" w:hAnsi="仿宋" w:eastAsia="仿宋" w:cs="仿宋"/>
                <w:snapToGrid w:val="0"/>
                <w:kern w:val="28"/>
                <w:sz w:val="24"/>
              </w:rPr>
            </w:pPr>
            <w:r>
              <w:rPr>
                <w:rFonts w:hint="eastAsia" w:ascii="仿宋" w:hAnsi="仿宋" w:eastAsia="仿宋" w:cs="仿宋"/>
                <w:snapToGrid w:val="0"/>
                <w:kern w:val="28"/>
                <w:sz w:val="24"/>
              </w:rPr>
              <w:t>以中标（成交）金额为计费基准，按照《关于杭州市招标代理服务收费管理有关问题的通知》(杭价费[2003]148号)文件下浮25%计算的服务类收费标准计取。</w:t>
            </w:r>
          </w:p>
          <w:p w14:paraId="0E13FBD8">
            <w:pPr>
              <w:jc w:val="left"/>
              <w:rPr>
                <w:rFonts w:ascii="仿宋" w:hAnsi="仿宋" w:eastAsia="仿宋" w:cs="仿宋"/>
                <w:snapToGrid w:val="0"/>
                <w:kern w:val="28"/>
                <w:sz w:val="24"/>
              </w:rPr>
            </w:pPr>
            <w:r>
              <w:rPr>
                <w:rFonts w:hint="eastAsia" w:ascii="仿宋" w:hAnsi="仿宋" w:eastAsia="仿宋" w:cs="仿宋"/>
                <w:snapToGrid w:val="0"/>
                <w:kern w:val="28"/>
                <w:sz w:val="24"/>
              </w:rPr>
              <w:t>结算方式及时间为：在领取中标通知书时由中标人一次性向采购代理机构付清。</w:t>
            </w:r>
          </w:p>
          <w:p w14:paraId="00E528F1">
            <w:pPr>
              <w:jc w:val="left"/>
              <w:rPr>
                <w:rFonts w:ascii="仿宋" w:hAnsi="仿宋" w:eastAsia="仿宋" w:cs="仿宋"/>
                <w:snapToGrid w:val="0"/>
                <w:kern w:val="28"/>
                <w:sz w:val="24"/>
              </w:rPr>
            </w:pPr>
            <w:r>
              <w:rPr>
                <w:rFonts w:hint="eastAsia" w:ascii="仿宋" w:hAnsi="仿宋" w:eastAsia="仿宋" w:cs="仿宋"/>
                <w:snapToGrid w:val="0"/>
                <w:kern w:val="28"/>
                <w:sz w:val="24"/>
              </w:rPr>
              <w:t>收款单位（户名）：浙江中诺招标代理有限公司</w:t>
            </w:r>
          </w:p>
          <w:p w14:paraId="1351A6AB">
            <w:pPr>
              <w:jc w:val="left"/>
              <w:rPr>
                <w:rFonts w:ascii="仿宋" w:hAnsi="仿宋" w:eastAsia="仿宋" w:cs="仿宋"/>
                <w:snapToGrid w:val="0"/>
                <w:kern w:val="28"/>
                <w:sz w:val="24"/>
              </w:rPr>
            </w:pPr>
            <w:r>
              <w:rPr>
                <w:rFonts w:hint="eastAsia" w:ascii="仿宋" w:hAnsi="仿宋" w:eastAsia="仿宋" w:cs="仿宋"/>
                <w:snapToGrid w:val="0"/>
                <w:kern w:val="28"/>
                <w:sz w:val="24"/>
              </w:rPr>
              <w:t>开户银行：中信银行杭州玉泉支行</w:t>
            </w:r>
          </w:p>
          <w:p w14:paraId="7D2EDE21">
            <w:pPr>
              <w:jc w:val="left"/>
              <w:rPr>
                <w:rFonts w:ascii="仿宋" w:hAnsi="仿宋" w:eastAsia="仿宋" w:cs="仿宋"/>
                <w:snapToGrid w:val="0"/>
                <w:kern w:val="28"/>
                <w:sz w:val="24"/>
              </w:rPr>
            </w:pPr>
            <w:r>
              <w:rPr>
                <w:rFonts w:hint="eastAsia" w:ascii="仿宋" w:hAnsi="仿宋" w:eastAsia="仿宋" w:cs="仿宋"/>
                <w:snapToGrid w:val="0"/>
                <w:kern w:val="28"/>
                <w:sz w:val="24"/>
              </w:rPr>
              <w:t>银行账号：8110801012600973488</w:t>
            </w:r>
          </w:p>
        </w:tc>
      </w:tr>
      <w:bookmarkEnd w:id="9"/>
    </w:tbl>
    <w:p w14:paraId="30939C9F">
      <w:pPr>
        <w:widowControl/>
        <w:adjustRightInd/>
        <w:jc w:val="left"/>
        <w:rPr>
          <w:rFonts w:ascii="仿宋" w:hAnsi="仿宋" w:eastAsia="仿宋" w:cs="仿宋"/>
          <w:b/>
          <w:sz w:val="32"/>
          <w:szCs w:val="20"/>
        </w:rPr>
      </w:pPr>
      <w:r>
        <w:rPr>
          <w:rFonts w:hint="eastAsia" w:ascii="仿宋" w:hAnsi="仿宋" w:eastAsia="仿宋" w:cs="仿宋"/>
          <w:b/>
          <w:sz w:val="32"/>
          <w:szCs w:val="20"/>
        </w:rPr>
        <w:br w:type="page"/>
      </w:r>
    </w:p>
    <w:p w14:paraId="2BE79121">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一、总则</w:t>
      </w:r>
    </w:p>
    <w:p w14:paraId="53337EF2">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1.适用范围</w:t>
      </w:r>
    </w:p>
    <w:p w14:paraId="71966A0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E6755B8">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2.定义</w:t>
      </w:r>
    </w:p>
    <w:p w14:paraId="6344B7E9">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D5A225B">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“采购机构”系指招标公告中载明的本项目的采购代理机构。</w:t>
      </w:r>
    </w:p>
    <w:p w14:paraId="55DBDB6D">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“投标人”系指响应招标、参加投标竞争的法人、其他组织或者自然人。</w:t>
      </w:r>
    </w:p>
    <w:p w14:paraId="2FF6A058">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230C444">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7D72C3E">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79BAD2F">
      <w:pPr>
        <w:pStyle w:val="79"/>
        <w:spacing w:line="360" w:lineRule="auto"/>
        <w:ind w:left="0" w:leftChars="0" w:firstLine="480" w:firstLineChars="0"/>
        <w:rPr>
          <w:rFonts w:ascii="仿宋" w:hAnsi="仿宋" w:eastAsia="仿宋" w:cs="仿宋"/>
          <w:sz w:val="24"/>
        </w:rPr>
      </w:pPr>
      <w:r>
        <w:rPr>
          <w:rFonts w:hint="eastAsia" w:ascii="仿宋" w:hAnsi="仿宋" w:eastAsia="仿宋" w:cs="仿宋"/>
          <w:sz w:val="24"/>
        </w:rPr>
        <w:t>2.7 “▲”参数为实质性要求，不允许负偏离，负偏离将按投标无效处理。“★”为本项目关键技术指标。列入评审的参数，评审时需提供相应材料作为佐证材料（详见第四部分评分标准）。在技术偏离表上须标明该条款所在投标文件中对应的页码、条款。</w:t>
      </w:r>
    </w:p>
    <w:p w14:paraId="44D5DC0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sym w:font="Wingdings" w:char="F0FE"/>
      </w:r>
      <w:r>
        <w:rPr>
          <w:rFonts w:hint="eastAsia" w:ascii="仿宋" w:hAnsi="仿宋" w:eastAsia="仿宋" w:cs="仿宋"/>
          <w:sz w:val="24"/>
        </w:rPr>
        <w:t>” 系指适用本项目的要求，“☐” 系指不适用本项目的要求。</w:t>
      </w:r>
    </w:p>
    <w:p w14:paraId="6B41EC45">
      <w:pPr>
        <w:snapToGrid w:val="0"/>
        <w:spacing w:line="360" w:lineRule="auto"/>
        <w:jc w:val="left"/>
        <w:outlineLvl w:val="2"/>
        <w:rPr>
          <w:rFonts w:ascii="仿宋" w:hAnsi="仿宋" w:eastAsia="仿宋" w:cs="仿宋"/>
          <w:b/>
          <w:sz w:val="24"/>
        </w:rPr>
      </w:pPr>
      <w:r>
        <w:rPr>
          <w:rFonts w:hint="eastAsia" w:ascii="仿宋" w:hAnsi="仿宋" w:eastAsia="仿宋" w:cs="仿宋"/>
          <w:b/>
          <w:sz w:val="24"/>
        </w:rPr>
        <w:t>3.采购项目需要落实的政府采购政策</w:t>
      </w:r>
    </w:p>
    <w:p w14:paraId="67DEB14B">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278E32E">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62AA3E07">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仿宋" w:hAnsi="仿宋" w:eastAsia="仿宋" w:cs="仿宋"/>
          <w:b/>
          <w:sz w:val="24"/>
        </w:rPr>
        <w:t>▲采购人拟采购的产品属于政府强制采购的节能产品品目清单范围的，供应商相应的投标产品未获得国家确定的认证机构出具的、处于有效期之内的节能产品认证证书的，投标无效。</w:t>
      </w:r>
    </w:p>
    <w:p w14:paraId="742EBB66">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6029862E">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8389F9">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CB312B0">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55928325">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92568D">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076966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4497611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67A58FB">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83E15DE">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21A33F0">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B94F90">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1D734557">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5ACCC831">
      <w:pPr>
        <w:spacing w:line="360" w:lineRule="auto"/>
        <w:ind w:firstLine="480" w:firstLineChars="200"/>
        <w:rPr>
          <w:rFonts w:ascii="仿宋" w:hAnsi="仿宋" w:eastAsia="仿宋" w:cs="仿宋"/>
          <w:sz w:val="24"/>
        </w:rPr>
      </w:pPr>
      <w:r>
        <w:rPr>
          <w:rFonts w:hint="eastAsia" w:ascii="仿宋" w:hAnsi="仿宋" w:eastAsia="仿宋" w:cs="仿宋"/>
          <w:sz w:val="24"/>
        </w:rPr>
        <w:t>3.4支持创新发展</w:t>
      </w:r>
    </w:p>
    <w:p w14:paraId="263279D7">
      <w:pPr>
        <w:spacing w:line="360" w:lineRule="auto"/>
        <w:ind w:firstLine="480" w:firstLineChars="200"/>
        <w:rPr>
          <w:rFonts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76EE5C0">
      <w:pPr>
        <w:spacing w:line="360" w:lineRule="auto"/>
        <w:ind w:firstLine="480" w:firstLineChars="200"/>
        <w:rPr>
          <w:rFonts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3B39F271">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14:paraId="005B1EB3">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w:t>
      </w:r>
      <w:r>
        <w:rPr>
          <w:rFonts w:hint="eastAsia" w:ascii="仿宋" w:hAnsi="仿宋" w:eastAsia="仿宋" w:cs="仿宋"/>
          <w:b/>
          <w:color w:val="000000"/>
          <w:sz w:val="24"/>
        </w:rPr>
        <w:t>诉、补偿救济</w:t>
      </w:r>
    </w:p>
    <w:p w14:paraId="1204F70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w:t>
      </w:r>
    </w:p>
    <w:p w14:paraId="6C67CF0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F2FAC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54F18E8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A3A130">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3B779AF0">
      <w:pPr>
        <w:pStyle w:val="4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8B920CD">
      <w:pPr>
        <w:pStyle w:val="4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5BB2ECE">
      <w:pPr>
        <w:pStyle w:val="4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4.3.2.1对招标文件提出质疑的，质疑期限为供应商获得招标文件之日或者招标文件公告期限届满之日起计算。</w:t>
      </w:r>
    </w:p>
    <w:p w14:paraId="01B862C6">
      <w:pPr>
        <w:pStyle w:val="4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3D0D128A">
      <w:pPr>
        <w:pStyle w:val="4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7B567E94">
      <w:pPr>
        <w:pStyle w:val="4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4.3.3供应商提出质疑应当提交质疑函和必要的证明材料。质疑函应当包括下列内容：</w:t>
      </w:r>
    </w:p>
    <w:p w14:paraId="6DBCC2D2">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5BC7F309">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1F19B59">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6193E53B">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4.3.3.4事实依据；</w:t>
      </w:r>
    </w:p>
    <w:p w14:paraId="38C55FBF">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4.3.3.5必要的法律依据；</w:t>
      </w:r>
    </w:p>
    <w:p w14:paraId="03DA545B">
      <w:pPr>
        <w:pStyle w:val="41"/>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0E6A3C2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34E41DF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14:paraId="7B76244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4.3.4对同一采购程序环节的质疑，供应商须在法定质疑期内一次性提出。</w:t>
      </w:r>
    </w:p>
    <w:p w14:paraId="1F259BD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9F0868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4.3.6询问或者质疑事项可能影响采购结果的，采购人应当暂停签订合同，已经签订合同的，应当中止履行合同。</w:t>
      </w:r>
    </w:p>
    <w:p w14:paraId="3D237CDE">
      <w:pPr>
        <w:autoSpaceDE w:val="0"/>
        <w:autoSpaceDN w:val="0"/>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4.4供应商投诉</w:t>
      </w:r>
    </w:p>
    <w:p w14:paraId="1A285DB3">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4.4.1质疑供应商对采购人、采购机构的答复不满意或者采购人、采购机构未在规定的时间内作出答复的，可以在答复期满后十五个工作日内向同级政府采购监督管理部门提出投诉。</w:t>
      </w:r>
    </w:p>
    <w:p w14:paraId="65CC98F4">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64D8A96C">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4.4.3供应商投诉应当有明确的请求和必要的证明材料。</w:t>
      </w:r>
    </w:p>
    <w:p w14:paraId="454ADD4F">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12345EF3">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w:t>
      </w:r>
      <w:bookmarkStart w:id="16" w:name="OLE_LINK171"/>
      <w:bookmarkStart w:id="17" w:name="OLE_LINK170"/>
      <w:bookmarkStart w:id="18" w:name="OLE_LINK172"/>
      <w:r>
        <w:rPr>
          <w:rFonts w:hint="eastAsia" w:ascii="仿宋" w:hAnsi="仿宋" w:eastAsia="仿宋" w:cs="仿宋"/>
        </w:rPr>
        <w:t>杭州市上城区清泰街549号城建综合大楼11楼（快递仅限ems或顺丰）</w:t>
      </w:r>
      <w:bookmarkEnd w:id="16"/>
      <w:bookmarkEnd w:id="17"/>
      <w:bookmarkEnd w:id="18"/>
      <w:r>
        <w:rPr>
          <w:rFonts w:hint="eastAsia" w:ascii="仿宋" w:hAnsi="仿宋" w:eastAsia="仿宋" w:cs="仿宋"/>
        </w:rPr>
        <w:t>，收件人：朱女士、王女士，电话：</w:t>
      </w:r>
      <w:bookmarkStart w:id="19" w:name="OLE_LINK169"/>
      <w:bookmarkStart w:id="20" w:name="OLE_LINK167"/>
      <w:bookmarkStart w:id="21" w:name="OLE_LINK168"/>
      <w:r>
        <w:rPr>
          <w:rFonts w:hint="eastAsia" w:ascii="仿宋" w:hAnsi="仿宋" w:eastAsia="仿宋" w:cs="仿宋"/>
        </w:rPr>
        <w:t>0571-87227671,0571-87800218</w:t>
      </w:r>
      <w:bookmarkEnd w:id="19"/>
      <w:r>
        <w:rPr>
          <w:rFonts w:hint="eastAsia" w:ascii="仿宋" w:hAnsi="仿宋" w:eastAsia="仿宋" w:cs="仿宋"/>
        </w:rPr>
        <w:t>。</w:t>
      </w:r>
      <w:bookmarkEnd w:id="20"/>
      <w:bookmarkEnd w:id="21"/>
    </w:p>
    <w:p w14:paraId="28182B69">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4.5 补偿救济</w:t>
      </w:r>
    </w:p>
    <w:p w14:paraId="5A48C002">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7DE35964">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14:paraId="52F965AE">
      <w:pPr>
        <w:pStyle w:val="180"/>
        <w:snapToGrid w:val="0"/>
        <w:spacing w:before="0"/>
        <w:ind w:firstLine="360"/>
        <w:rPr>
          <w:rFonts w:ascii="仿宋" w:hAnsi="仿宋" w:eastAsia="仿宋" w:cs="仿宋"/>
          <w:sz w:val="18"/>
          <w:szCs w:val="18"/>
        </w:rPr>
      </w:pPr>
    </w:p>
    <w:p w14:paraId="649C7AD2">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14:paraId="38693D95">
      <w:pPr>
        <w:snapToGrid w:val="0"/>
        <w:spacing w:line="360" w:lineRule="auto"/>
        <w:jc w:val="left"/>
        <w:outlineLvl w:val="2"/>
        <w:rPr>
          <w:rFonts w:ascii="仿宋" w:hAnsi="仿宋" w:eastAsia="仿宋" w:cs="仿宋"/>
          <w:b/>
          <w:sz w:val="24"/>
        </w:rPr>
      </w:pPr>
      <w:r>
        <w:rPr>
          <w:rFonts w:hint="eastAsia" w:ascii="仿宋" w:hAnsi="仿宋" w:eastAsia="仿宋" w:cs="仿宋"/>
          <w:b/>
          <w:sz w:val="24"/>
        </w:rPr>
        <w:t>5.招标文件的构成</w:t>
      </w:r>
    </w:p>
    <w:p w14:paraId="4A6BA171">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5.1招标文件包括下列文件及附件：</w:t>
      </w:r>
    </w:p>
    <w:p w14:paraId="45173859">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rPr>
        <w:t>5.1.1招标公告；</w:t>
      </w:r>
    </w:p>
    <w:p w14:paraId="18429EA3">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rPr>
        <w:t>5.1.2供应商须知；</w:t>
      </w:r>
    </w:p>
    <w:p w14:paraId="1FEE74D0">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rPr>
        <w:t>5.1.3采购需求；</w:t>
      </w:r>
    </w:p>
    <w:p w14:paraId="58FD2C86">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rPr>
        <w:t>5.1.4评标办法；</w:t>
      </w:r>
    </w:p>
    <w:p w14:paraId="5ECDD5AC">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rPr>
        <w:t>5.1.5拟签订的合同文本；</w:t>
      </w:r>
    </w:p>
    <w:p w14:paraId="5589DCBE">
      <w:pPr>
        <w:tabs>
          <w:tab w:val="left" w:pos="840"/>
        </w:tabs>
        <w:spacing w:line="360" w:lineRule="auto"/>
        <w:ind w:firstLine="960" w:firstLineChars="400"/>
        <w:rPr>
          <w:rFonts w:ascii="仿宋" w:hAnsi="仿宋" w:eastAsia="仿宋" w:cs="仿宋"/>
          <w:snapToGrid w:val="0"/>
          <w:sz w:val="24"/>
        </w:rPr>
      </w:pPr>
      <w:r>
        <w:rPr>
          <w:rFonts w:hint="eastAsia" w:ascii="仿宋" w:hAnsi="仿宋" w:eastAsia="仿宋" w:cs="仿宋"/>
          <w:snapToGrid w:val="0"/>
          <w:sz w:val="24"/>
          <w:szCs w:val="21"/>
        </w:rPr>
        <w:t>5.1.6</w:t>
      </w:r>
      <w:r>
        <w:rPr>
          <w:rFonts w:hint="eastAsia" w:ascii="仿宋" w:hAnsi="仿宋" w:eastAsia="仿宋" w:cs="仿宋"/>
          <w:snapToGrid w:val="0"/>
          <w:sz w:val="24"/>
        </w:rPr>
        <w:t>应提交的有关格式范例。</w:t>
      </w:r>
    </w:p>
    <w:p w14:paraId="1F004EA6">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A14DFC0">
      <w:pPr>
        <w:snapToGrid w:val="0"/>
        <w:spacing w:line="360" w:lineRule="auto"/>
        <w:jc w:val="left"/>
        <w:outlineLvl w:val="2"/>
        <w:rPr>
          <w:rFonts w:ascii="仿宋" w:hAnsi="仿宋" w:eastAsia="仿宋" w:cs="仿宋"/>
          <w:b/>
          <w:sz w:val="24"/>
        </w:rPr>
      </w:pPr>
      <w:r>
        <w:rPr>
          <w:rFonts w:hint="eastAsia" w:ascii="仿宋" w:hAnsi="仿宋" w:eastAsia="仿宋" w:cs="仿宋"/>
          <w:b/>
          <w:sz w:val="24"/>
        </w:rPr>
        <w:t>6.招标文件的澄清、修改</w:t>
      </w:r>
    </w:p>
    <w:p w14:paraId="6CAAADC3">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6.1已获取招标文件的潜在供应商，若有问题需要澄清，应于投标截止时间前，以书面形式向采购代理机构提出。</w:t>
      </w:r>
    </w:p>
    <w:p w14:paraId="719C0E2D">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6.2采购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0FB4E7D0">
      <w:pPr>
        <w:widowControl/>
        <w:shd w:val="clear" w:color="auto" w:fill="FFFFFF"/>
        <w:adjustRightInd/>
        <w:snapToGrid w:val="0"/>
        <w:spacing w:line="360" w:lineRule="auto"/>
        <w:ind w:firstLine="480" w:firstLineChars="200"/>
        <w:contextualSpacing/>
        <w:jc w:val="left"/>
        <w:rPr>
          <w:rFonts w:ascii="仿宋" w:hAnsi="仿宋" w:eastAsia="仿宋" w:cs="仿宋"/>
          <w:kern w:val="0"/>
          <w:sz w:val="24"/>
          <w:lang w:val="zh-CN"/>
        </w:rPr>
      </w:pPr>
    </w:p>
    <w:p w14:paraId="5E8EC4C1">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三、投标</w:t>
      </w:r>
    </w:p>
    <w:p w14:paraId="086ED929">
      <w:pPr>
        <w:snapToGrid w:val="0"/>
        <w:spacing w:line="360" w:lineRule="auto"/>
        <w:jc w:val="left"/>
        <w:outlineLvl w:val="2"/>
        <w:rPr>
          <w:rFonts w:ascii="仿宋" w:hAnsi="仿宋" w:eastAsia="仿宋" w:cs="仿宋"/>
          <w:b/>
          <w:sz w:val="24"/>
        </w:rPr>
      </w:pPr>
      <w:r>
        <w:rPr>
          <w:rFonts w:hint="eastAsia" w:ascii="仿宋" w:hAnsi="仿宋" w:eastAsia="仿宋" w:cs="仿宋"/>
          <w:b/>
          <w:sz w:val="24"/>
        </w:rPr>
        <w:t>7.招标文件的获取</w:t>
      </w:r>
    </w:p>
    <w:p w14:paraId="61AC412B">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7B26695">
      <w:pPr>
        <w:snapToGrid w:val="0"/>
        <w:spacing w:line="360" w:lineRule="auto"/>
        <w:jc w:val="left"/>
        <w:outlineLvl w:val="2"/>
        <w:rPr>
          <w:rFonts w:ascii="仿宋" w:hAnsi="仿宋" w:eastAsia="仿宋" w:cs="仿宋"/>
          <w:b/>
          <w:sz w:val="24"/>
        </w:rPr>
      </w:pPr>
      <w:r>
        <w:rPr>
          <w:rFonts w:hint="eastAsia" w:ascii="仿宋" w:hAnsi="仿宋" w:eastAsia="仿宋" w:cs="仿宋"/>
          <w:b/>
          <w:sz w:val="24"/>
        </w:rPr>
        <w:t>8.开标前答疑会或现场考察</w:t>
      </w:r>
    </w:p>
    <w:p w14:paraId="7BBA9A64">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采购人组织潜在供应商现场考察或者召开开标前答疑会的，潜在供应商按第二部分供应商须知前附表的规定参加现场考察或者开标前答疑会。</w:t>
      </w:r>
    </w:p>
    <w:p w14:paraId="7AEE1FD3">
      <w:pPr>
        <w:snapToGrid w:val="0"/>
        <w:spacing w:line="360" w:lineRule="auto"/>
        <w:jc w:val="left"/>
        <w:outlineLvl w:val="2"/>
        <w:rPr>
          <w:rFonts w:ascii="仿宋" w:hAnsi="仿宋" w:eastAsia="仿宋" w:cs="仿宋"/>
          <w:b/>
          <w:sz w:val="24"/>
        </w:rPr>
      </w:pPr>
      <w:r>
        <w:rPr>
          <w:rFonts w:hint="eastAsia" w:ascii="仿宋" w:hAnsi="仿宋" w:eastAsia="仿宋" w:cs="仿宋"/>
          <w:b/>
          <w:sz w:val="24"/>
        </w:rPr>
        <w:t>9.投标保证金</w:t>
      </w:r>
    </w:p>
    <w:p w14:paraId="509D204B">
      <w:pPr>
        <w:widowControl/>
        <w:snapToGrid w:val="0"/>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本项目不需缴纳投标保证金。</w:t>
      </w:r>
    </w:p>
    <w:p w14:paraId="3C19E948">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10.投标文件的语言</w:t>
      </w:r>
    </w:p>
    <w:p w14:paraId="7EC8B9A4">
      <w:pPr>
        <w:widowControl/>
        <w:snapToGrid w:val="0"/>
        <w:spacing w:line="360" w:lineRule="auto"/>
        <w:ind w:firstLine="480" w:firstLineChars="200"/>
        <w:rPr>
          <w:rFonts w:ascii="仿宋" w:hAnsi="仿宋" w:eastAsia="仿宋" w:cs="仿宋"/>
          <w:snapToGrid w:val="0"/>
          <w:kern w:val="28"/>
          <w:sz w:val="24"/>
          <w:szCs w:val="20"/>
          <w:lang w:val="zh-CN"/>
        </w:rPr>
      </w:pPr>
      <w:r>
        <w:rPr>
          <w:rFonts w:hint="eastAsia" w:ascii="仿宋" w:hAnsi="仿宋" w:eastAsia="仿宋" w:cs="仿宋"/>
          <w:snapToGrid w:val="0"/>
          <w:kern w:val="28"/>
          <w:sz w:val="24"/>
          <w:szCs w:val="20"/>
        </w:rPr>
        <w:t>投标文件及供应商与采购有关的来往通知、函件和文件均应使用中文。</w:t>
      </w:r>
    </w:p>
    <w:p w14:paraId="587EFC42">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11.投标文件的组成</w:t>
      </w:r>
    </w:p>
    <w:p w14:paraId="28360896">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11.1资格文件：</w:t>
      </w:r>
    </w:p>
    <w:p w14:paraId="5CCF2DA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07C9B97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4F1D0BE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2614F2E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7F48A0D">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11.2商务技术文件：</w:t>
      </w:r>
    </w:p>
    <w:p w14:paraId="3E3F725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14601E2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7DF5AF1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11.2.3分包意向协议（如果有)；</w:t>
      </w:r>
    </w:p>
    <w:p w14:paraId="06679A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31B3344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14:paraId="2CA2F25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14:paraId="16E5431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AE47AC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11.2.8政府采购供应商廉洁自律承诺书；</w:t>
      </w:r>
    </w:p>
    <w:p w14:paraId="238A292B">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11.3报价文件：</w:t>
      </w:r>
    </w:p>
    <w:p w14:paraId="7C8D4BB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02AFD51">
      <w:pPr>
        <w:pStyle w:val="4"/>
        <w:adjustRightInd w:val="0"/>
        <w:ind w:left="0" w:firstLine="960" w:firstLineChars="400"/>
      </w:pPr>
      <w:r>
        <w:rPr>
          <w:rFonts w:hint="eastAsia" w:ascii="仿宋" w:eastAsia="仿宋" w:cs="仿宋"/>
          <w:b w:val="0"/>
          <w:bCs w:val="0"/>
          <w:sz w:val="24"/>
          <w:szCs w:val="24"/>
          <w:lang w:val="en-US"/>
        </w:rPr>
        <w:t>11.3.2 报价情况说明（如供应商报价低于项目预算50%的，应当提交本文档，详细阐述不影响产品质量或者诚信履约的具体原因）；</w:t>
      </w:r>
    </w:p>
    <w:p w14:paraId="77E8E726">
      <w:pPr>
        <w:spacing w:line="360" w:lineRule="auto"/>
        <w:ind w:firstLine="723" w:firstLineChars="300"/>
        <w:rPr>
          <w:rFonts w:ascii="仿宋" w:hAnsi="仿宋" w:eastAsia="仿宋" w:cs="仿宋"/>
          <w:b/>
          <w:color w:val="000000"/>
          <w:sz w:val="24"/>
        </w:rPr>
      </w:pPr>
      <w:r>
        <w:rPr>
          <w:rFonts w:hint="eastAsia" w:ascii="仿宋" w:hAnsi="仿宋" w:eastAsia="仿宋" w:cs="仿宋"/>
          <w:b/>
          <w:color w:val="000000"/>
          <w:sz w:val="24"/>
        </w:rPr>
        <w:t>投标文件含有采购人不能接受的附加条件的，投标无效；</w:t>
      </w:r>
    </w:p>
    <w:p w14:paraId="56AA89FA">
      <w:pPr>
        <w:spacing w:line="360" w:lineRule="auto"/>
        <w:ind w:firstLine="723" w:firstLineChars="300"/>
        <w:rPr>
          <w:rFonts w:ascii="仿宋" w:hAnsi="仿宋" w:eastAsia="仿宋" w:cs="仿宋"/>
          <w:b/>
          <w:color w:val="000000"/>
          <w:sz w:val="24"/>
        </w:rPr>
      </w:pPr>
      <w:r>
        <w:rPr>
          <w:rFonts w:hint="eastAsia" w:ascii="仿宋" w:hAnsi="仿宋" w:eastAsia="仿宋" w:cs="仿宋"/>
          <w:b/>
          <w:color w:val="000000"/>
          <w:sz w:val="24"/>
        </w:rPr>
        <w:t>投标人提供虚假材料投标的，投标无效。</w:t>
      </w:r>
    </w:p>
    <w:p w14:paraId="786576EE">
      <w:pPr>
        <w:snapToGrid w:val="0"/>
        <w:spacing w:line="360" w:lineRule="auto"/>
        <w:ind w:firstLine="720" w:firstLineChars="300"/>
        <w:jc w:val="left"/>
        <w:outlineLvl w:val="2"/>
        <w:rPr>
          <w:rFonts w:ascii="仿宋" w:hAnsi="仿宋" w:eastAsia="仿宋" w:cs="仿宋"/>
          <w:bCs/>
          <w:sz w:val="24"/>
        </w:rPr>
      </w:pPr>
      <w:r>
        <w:rPr>
          <w:rFonts w:hint="eastAsia" w:ascii="仿宋" w:hAnsi="仿宋" w:eastAsia="仿宋" w:cs="仿宋"/>
          <w:bCs/>
          <w:sz w:val="24"/>
        </w:rPr>
        <w:t>投标人应对投标文件中材料的真实性、合法性负责。投标人可事先在公开官网查询、核对相关证书和报告内容，确保投标（响应）文件资料准确无误。</w:t>
      </w:r>
    </w:p>
    <w:p w14:paraId="0F2FC4F6">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12.投标文件的编制</w:t>
      </w:r>
    </w:p>
    <w:p w14:paraId="3FEF6325">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3ADD2CE8">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7E20B3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70DDD68">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13.投标文件的签署、盖章</w:t>
      </w:r>
    </w:p>
    <w:p w14:paraId="21BFE382">
      <w:pPr>
        <w:snapToGrid w:val="0"/>
        <w:spacing w:line="360" w:lineRule="auto"/>
        <w:ind w:firstLine="480" w:firstLineChars="200"/>
        <w:rPr>
          <w:rFonts w:ascii="仿宋" w:hAnsi="仿宋" w:eastAsia="仿宋" w:cs="仿宋"/>
          <w:b/>
          <w:sz w:val="24"/>
          <w:szCs w:val="20"/>
        </w:rPr>
      </w:pPr>
      <w:r>
        <w:rPr>
          <w:rFonts w:hint="eastAsia" w:ascii="仿宋" w:hAnsi="仿宋" w:eastAsia="仿宋" w:cs="仿宋"/>
          <w:sz w:val="24"/>
        </w:rPr>
        <w:t>13.1投标文件按照招标文件第六部分格式要</w:t>
      </w:r>
      <w:r>
        <w:rPr>
          <w:rFonts w:hint="eastAsia" w:ascii="仿宋" w:hAnsi="仿宋" w:eastAsia="仿宋" w:cs="仿宋"/>
          <w:sz w:val="24"/>
          <w:szCs w:val="20"/>
        </w:rPr>
        <w:t>求进行签署、盖章。</w:t>
      </w:r>
      <w:r>
        <w:rPr>
          <w:rFonts w:hint="eastAsia" w:ascii="仿宋" w:hAnsi="仿宋" w:eastAsia="仿宋" w:cs="仿宋"/>
          <w:b/>
          <w:sz w:val="24"/>
          <w:szCs w:val="20"/>
        </w:rPr>
        <w:t>▲投标人的投标文件未按照招标文件要求签署、盖章的，其投标无效</w:t>
      </w:r>
      <w:r>
        <w:rPr>
          <w:rFonts w:hint="eastAsia" w:ascii="仿宋" w:hAnsi="仿宋" w:eastAsia="仿宋" w:cs="仿宋"/>
          <w:sz w:val="24"/>
        </w:rPr>
        <w:t>。</w:t>
      </w:r>
    </w:p>
    <w:p w14:paraId="1D1D5FA3">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13.2为确保网上操作合法、有效和安全，供应商应当在投标截止时间前完成在“政府采购云平台”的身份认证，确保在电子投标过程中能够对相关数据电文进行加密和使用电子签名。</w:t>
      </w:r>
    </w:p>
    <w:p w14:paraId="024BB453">
      <w:pPr>
        <w:snapToGrid w:val="0"/>
        <w:spacing w:line="360" w:lineRule="auto"/>
        <w:ind w:firstLine="480" w:firstLineChars="200"/>
        <w:rPr>
          <w:rFonts w:ascii="仿宋" w:hAnsi="仿宋" w:eastAsia="仿宋" w:cs="仿宋"/>
          <w:sz w:val="24"/>
        </w:rPr>
      </w:pPr>
      <w:r>
        <w:rPr>
          <w:rFonts w:hint="eastAsia" w:ascii="仿宋" w:hAnsi="仿宋" w:eastAsia="仿宋" w:cs="仿宋"/>
          <w:sz w:val="24"/>
          <w:szCs w:val="20"/>
        </w:rPr>
        <w:t>13.3招标文件对投标文件签署、盖章的要求适用于电子签名。</w:t>
      </w:r>
    </w:p>
    <w:p w14:paraId="75871060">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14.投标文件的提交、补充、修改、撤回</w:t>
      </w:r>
    </w:p>
    <w:p w14:paraId="7996F1E1">
      <w:pPr>
        <w:spacing w:line="360" w:lineRule="auto"/>
        <w:ind w:firstLine="480" w:firstLineChars="200"/>
        <w:rPr>
          <w:rFonts w:ascii="仿宋" w:hAnsi="仿宋" w:eastAsia="仿宋" w:cs="仿宋"/>
          <w:sz w:val="24"/>
        </w:rPr>
      </w:pPr>
      <w:r>
        <w:rPr>
          <w:rFonts w:hint="eastAsia" w:ascii="仿宋" w:hAnsi="仿宋" w:eastAsia="仿宋" w:cs="仿宋"/>
          <w:sz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6F314E">
      <w:pPr>
        <w:spacing w:line="360" w:lineRule="auto"/>
        <w:ind w:firstLine="480" w:firstLineChars="200"/>
        <w:rPr>
          <w:rFonts w:ascii="仿宋" w:hAnsi="仿宋" w:eastAsia="仿宋" w:cs="仿宋"/>
          <w:sz w:val="24"/>
        </w:rPr>
      </w:pPr>
      <w:r>
        <w:rPr>
          <w:rFonts w:hint="eastAsia" w:ascii="仿宋" w:hAnsi="仿宋" w:eastAsia="仿宋" w:cs="仿宋"/>
          <w:sz w:val="24"/>
        </w:rPr>
        <w:t>14.2电子交易平台收到投标文件，将妥善保存并即时向供应商发出确认回执通知。在投标截止时间前，除供应商补充、修改或者撤回投标文件外，任何单位和个人不得解密或提取投标文件。</w:t>
      </w:r>
    </w:p>
    <w:p w14:paraId="541C8BCB">
      <w:pPr>
        <w:spacing w:line="360" w:lineRule="auto"/>
        <w:ind w:firstLine="480" w:firstLineChars="200"/>
        <w:rPr>
          <w:rFonts w:ascii="仿宋" w:hAnsi="仿宋" w:eastAsia="仿宋" w:cs="仿宋"/>
          <w:sz w:val="24"/>
        </w:rPr>
      </w:pPr>
      <w:r>
        <w:rPr>
          <w:rFonts w:hint="eastAsia" w:ascii="仿宋" w:hAnsi="仿宋" w:eastAsia="仿宋" w:cs="仿宋"/>
          <w:sz w:val="24"/>
        </w:rPr>
        <w:t>14.3采购人、采购机构可以视情况延长投标文件提交的截止时间。在上述情况下，采购机构与供应商以前在投标截止期方面的全部权利、责任和义务，将适用于延长至新的投标截止期。</w:t>
      </w:r>
    </w:p>
    <w:p w14:paraId="1668C826">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15.备份投标文件</w:t>
      </w:r>
    </w:p>
    <w:p w14:paraId="40523635">
      <w:pPr>
        <w:spacing w:line="360" w:lineRule="auto"/>
        <w:ind w:firstLine="480" w:firstLineChars="200"/>
        <w:rPr>
          <w:rFonts w:ascii="仿宋" w:hAnsi="仿宋" w:eastAsia="仿宋" w:cs="仿宋"/>
          <w:b/>
          <w:snapToGrid w:val="0"/>
          <w:sz w:val="24"/>
        </w:rPr>
      </w:pPr>
      <w:r>
        <w:rPr>
          <w:rFonts w:hint="eastAsia" w:ascii="仿宋" w:hAnsi="仿宋" w:eastAsia="仿宋" w:cs="仿宋"/>
          <w:snapToGrid w:val="0"/>
          <w:sz w:val="24"/>
        </w:rPr>
        <w:t>15.1供应商在电子交易平台传输递交投标文件后，还可以在投标截止时间前直接提交或者以邮政快递方式递交备份投标文件1份，</w:t>
      </w:r>
      <w:r>
        <w:rPr>
          <w:rFonts w:hint="eastAsia" w:ascii="仿宋" w:hAnsi="仿宋" w:eastAsia="仿宋" w:cs="仿宋"/>
          <w:b/>
          <w:snapToGrid w:val="0"/>
          <w:sz w:val="24"/>
        </w:rPr>
        <w:t>但采购人、采购机构不强制或变相强制供应商提交备份投标文件。</w:t>
      </w:r>
    </w:p>
    <w:p w14:paraId="5A14386D">
      <w:pPr>
        <w:spacing w:line="360" w:lineRule="auto"/>
        <w:ind w:firstLine="480" w:firstLineChars="200"/>
        <w:rPr>
          <w:rFonts w:ascii="仿宋" w:hAnsi="仿宋" w:eastAsia="仿宋" w:cs="仿宋"/>
          <w:b/>
          <w:snapToGrid w:val="0"/>
          <w:sz w:val="24"/>
        </w:rPr>
      </w:pPr>
      <w:r>
        <w:rPr>
          <w:rFonts w:hint="eastAsia" w:ascii="仿宋" w:hAnsi="仿宋" w:eastAsia="仿宋" w:cs="仿宋"/>
          <w:snapToGrid w:val="0"/>
          <w:sz w:val="24"/>
        </w:rPr>
        <w:t>15.2备份投标文件须在“政采云投标客户端”制作生成，并储存在</w:t>
      </w:r>
      <w:r>
        <w:rPr>
          <w:rFonts w:hint="eastAsia" w:ascii="仿宋" w:hAnsi="仿宋" w:eastAsia="仿宋" w:cs="仿宋"/>
          <w:snapToGrid w:val="0"/>
          <w:sz w:val="24"/>
          <w:szCs w:val="21"/>
        </w:rPr>
        <w:t>DVD光盘或U盘</w:t>
      </w:r>
      <w:r>
        <w:rPr>
          <w:rFonts w:hint="eastAsia" w:ascii="仿宋" w:hAnsi="仿宋" w:eastAsia="仿宋" w:cs="仿宋"/>
          <w:snapToGrid w:val="0"/>
          <w:sz w:val="24"/>
        </w:rPr>
        <w:t>中。</w:t>
      </w:r>
      <w:r>
        <w:rPr>
          <w:rFonts w:hint="eastAsia" w:ascii="仿宋" w:hAnsi="仿宋" w:eastAsia="仿宋" w:cs="仿宋"/>
          <w:b/>
          <w:bCs/>
          <w:snapToGrid w:val="0"/>
          <w:sz w:val="24"/>
        </w:rPr>
        <w:t>备份投标文件应当密封包装并在包装上加盖公章并注明投标项目名称，供应商名称</w:t>
      </w:r>
      <w:r>
        <w:rPr>
          <w:rFonts w:hint="eastAsia" w:ascii="仿宋" w:hAnsi="仿宋" w:eastAsia="仿宋" w:cs="仿宋"/>
          <w:snapToGrid w:val="0"/>
          <w:sz w:val="24"/>
        </w:rPr>
        <w:t>(联合体投标的，包装物封面需注明联合体投标，并注明联合体成员各方的名称和联合协议中约定的牵头人的名称)。</w:t>
      </w:r>
      <w:r>
        <w:rPr>
          <w:rFonts w:hint="eastAsia" w:ascii="仿宋" w:hAnsi="仿宋" w:eastAsia="仿宋" w:cs="仿宋"/>
          <w:b/>
          <w:snapToGrid w:val="0"/>
          <w:sz w:val="24"/>
          <w:szCs w:val="21"/>
        </w:rPr>
        <w:t>不符合上述制作、</w:t>
      </w:r>
      <w:r>
        <w:rPr>
          <w:rFonts w:hint="eastAsia" w:ascii="仿宋" w:hAnsi="仿宋" w:eastAsia="仿宋" w:cs="仿宋"/>
          <w:b/>
          <w:snapToGrid w:val="0"/>
          <w:sz w:val="24"/>
        </w:rPr>
        <w:t>存储、密封规定的备份投标文件将被视为无效或者被拒绝接收。</w:t>
      </w:r>
    </w:p>
    <w:p w14:paraId="396C1275">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15.3直接提交备份投标文件的，供应商应于投标截止时间前在招标公告中载明的开标地点将备份投标文件提交给采购机构，采购机构将拒绝接受逾期送达的备份投标文件。</w:t>
      </w:r>
    </w:p>
    <w:p w14:paraId="4117A5B0">
      <w:pPr>
        <w:spacing w:line="360" w:lineRule="auto"/>
        <w:ind w:firstLine="480" w:firstLineChars="200"/>
        <w:rPr>
          <w:rFonts w:ascii="仿宋" w:hAnsi="仿宋" w:eastAsia="仿宋" w:cs="仿宋"/>
          <w:bCs/>
          <w:snapToGrid w:val="0"/>
          <w:sz w:val="24"/>
        </w:rPr>
      </w:pPr>
      <w:r>
        <w:rPr>
          <w:rFonts w:hint="eastAsia" w:ascii="仿宋" w:hAnsi="仿宋" w:eastAsia="仿宋" w:cs="仿宋"/>
          <w:bCs/>
          <w:snapToGrid w:val="0"/>
          <w:sz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4BAF723">
      <w:pPr>
        <w:spacing w:line="360" w:lineRule="auto"/>
        <w:ind w:firstLine="482" w:firstLineChars="200"/>
        <w:rPr>
          <w:rFonts w:ascii="仿宋" w:hAnsi="仿宋" w:eastAsia="仿宋" w:cs="仿宋"/>
          <w:b/>
          <w:snapToGrid w:val="0"/>
          <w:sz w:val="24"/>
        </w:rPr>
      </w:pPr>
      <w:r>
        <w:rPr>
          <w:rFonts w:hint="eastAsia" w:ascii="仿宋" w:hAnsi="仿宋" w:eastAsia="仿宋" w:cs="仿宋"/>
          <w:b/>
          <w:snapToGrid w:val="0"/>
          <w:sz w:val="24"/>
        </w:rPr>
        <w:t>15.5投标人仅提交备份投标文件，未在电子交易平台传输递交投标文件的，投标无效。</w:t>
      </w:r>
    </w:p>
    <w:p w14:paraId="68F289CF">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16.投标文件的无效处理</w:t>
      </w:r>
    </w:p>
    <w:p w14:paraId="15AB4965">
      <w:pPr>
        <w:pStyle w:val="7"/>
        <w:spacing w:line="360" w:lineRule="auto"/>
        <w:ind w:firstLine="480"/>
        <w:rPr>
          <w:rFonts w:ascii="仿宋" w:hAnsi="仿宋" w:eastAsia="仿宋" w:cs="仿宋"/>
          <w:szCs w:val="21"/>
        </w:rPr>
      </w:pPr>
      <w:r>
        <w:rPr>
          <w:rFonts w:hint="eastAsia" w:ascii="仿宋" w:hAnsi="仿宋" w:eastAsia="仿宋" w:cs="仿宋"/>
          <w:szCs w:val="21"/>
        </w:rPr>
        <w:t>有招标文件第四部分4.2规定的情形之一的，投标无效：</w:t>
      </w:r>
    </w:p>
    <w:p w14:paraId="18AC7732">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17.投标有效期</w:t>
      </w:r>
    </w:p>
    <w:p w14:paraId="5D5640AA">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05DAD8B1">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17.2投标文件合格投递后，自投标截止日期起，在投标有效期内有效。</w:t>
      </w:r>
    </w:p>
    <w:p w14:paraId="5D351519">
      <w:pPr>
        <w:widowControl/>
        <w:shd w:val="clear" w:color="auto" w:fill="FFFFFF"/>
        <w:adjustRightInd/>
        <w:snapToGrid w:val="0"/>
        <w:spacing w:line="360" w:lineRule="auto"/>
        <w:ind w:firstLine="480" w:firstLineChars="200"/>
        <w:contextualSpacing/>
        <w:jc w:val="left"/>
        <w:rPr>
          <w:rFonts w:ascii="仿宋" w:hAnsi="仿宋" w:eastAsia="仿宋" w:cs="仿宋"/>
          <w:kern w:val="0"/>
          <w:sz w:val="24"/>
          <w:lang w:val="zh-CN"/>
        </w:rPr>
      </w:pPr>
      <w:r>
        <w:rPr>
          <w:rFonts w:hint="eastAsia" w:ascii="仿宋" w:hAnsi="仿宋" w:eastAsia="仿宋" w:cs="仿宋"/>
          <w:kern w:val="0"/>
          <w:sz w:val="24"/>
        </w:rPr>
        <w:t>17.3在原定投标有效期满之前，如果出现特殊情况，采购机构可以以书面形式通知供应商延长投标有效期。供应商同意延长的，不得要求或被允许修改其投标文件，供应商拒绝延长的，其投标无效。</w:t>
      </w:r>
    </w:p>
    <w:p w14:paraId="71AE83D9">
      <w:pPr>
        <w:widowControl/>
        <w:shd w:val="clear" w:color="auto" w:fill="FFFFFF"/>
        <w:adjustRightInd/>
        <w:snapToGrid w:val="0"/>
        <w:spacing w:line="360" w:lineRule="auto"/>
        <w:ind w:firstLine="480" w:firstLineChars="200"/>
        <w:contextualSpacing/>
        <w:jc w:val="left"/>
        <w:rPr>
          <w:rFonts w:ascii="仿宋" w:hAnsi="仿宋" w:eastAsia="仿宋" w:cs="仿宋"/>
          <w:kern w:val="0"/>
          <w:sz w:val="24"/>
          <w:lang w:val="zh-CN"/>
        </w:rPr>
      </w:pPr>
    </w:p>
    <w:p w14:paraId="36967104">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四、开标、资格审查与信用信息查询</w:t>
      </w:r>
    </w:p>
    <w:p w14:paraId="1EDFD360">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18.开标</w:t>
      </w:r>
    </w:p>
    <w:p w14:paraId="2CB2B9BE">
      <w:pPr>
        <w:autoSpaceDE w:val="0"/>
        <w:autoSpaceDN w:val="0"/>
        <w:spacing w:line="360" w:lineRule="auto"/>
        <w:ind w:firstLine="480" w:firstLineChars="200"/>
        <w:contextualSpacing/>
        <w:rPr>
          <w:rFonts w:ascii="仿宋" w:hAnsi="仿宋" w:eastAsia="仿宋" w:cs="仿宋"/>
          <w:kern w:val="0"/>
          <w:sz w:val="24"/>
          <w:szCs w:val="20"/>
        </w:rPr>
      </w:pPr>
      <w:r>
        <w:rPr>
          <w:rFonts w:hint="eastAsia" w:ascii="仿宋" w:hAnsi="仿宋" w:eastAsia="仿宋" w:cs="仿宋"/>
          <w:kern w:val="0"/>
          <w:sz w:val="24"/>
          <w:szCs w:val="20"/>
        </w:rPr>
        <w:t>18.1采购机构按照招标文件规定的时间通过电子交易平台组织开标，所有供应商均应当准时在线参加。供应商不足3家的，不得开标。</w:t>
      </w:r>
    </w:p>
    <w:p w14:paraId="76A43462">
      <w:pPr>
        <w:autoSpaceDE w:val="0"/>
        <w:autoSpaceDN w:val="0"/>
        <w:spacing w:line="360" w:lineRule="auto"/>
        <w:ind w:firstLine="480" w:firstLineChars="200"/>
        <w:contextualSpacing/>
        <w:rPr>
          <w:rFonts w:ascii="仿宋" w:hAnsi="仿宋" w:eastAsia="仿宋" w:cs="仿宋"/>
          <w:kern w:val="0"/>
          <w:sz w:val="24"/>
          <w:szCs w:val="20"/>
        </w:rPr>
      </w:pPr>
      <w:r>
        <w:rPr>
          <w:rFonts w:hint="eastAsia" w:ascii="仿宋" w:hAnsi="仿宋" w:eastAsia="仿宋" w:cs="仿宋"/>
          <w:kern w:val="0"/>
          <w:sz w:val="24"/>
          <w:szCs w:val="20"/>
        </w:rPr>
        <w:t>18.2开标时，电子交易平台按开标时间自动提取所有投标文件。采购机构依托电子交易平台发起开始解密指令，供应商按照平台提示和招标文件的规定在半小时内完成在线解密。</w:t>
      </w:r>
    </w:p>
    <w:p w14:paraId="69E236A4">
      <w:pPr>
        <w:autoSpaceDE w:val="0"/>
        <w:autoSpaceDN w:val="0"/>
        <w:spacing w:line="360" w:lineRule="auto"/>
        <w:ind w:firstLine="480" w:firstLineChars="200"/>
        <w:contextualSpacing/>
        <w:rPr>
          <w:rFonts w:ascii="仿宋" w:hAnsi="仿宋" w:eastAsia="仿宋" w:cs="仿宋"/>
          <w:b/>
          <w:kern w:val="0"/>
          <w:sz w:val="24"/>
          <w:szCs w:val="20"/>
        </w:rPr>
      </w:pPr>
      <w:r>
        <w:rPr>
          <w:rFonts w:hint="eastAsia" w:ascii="仿宋" w:hAnsi="仿宋" w:eastAsia="仿宋" w:cs="仿宋"/>
          <w:kern w:val="0"/>
          <w:sz w:val="24"/>
          <w:szCs w:val="20"/>
        </w:rPr>
        <w:t>18.3</w:t>
      </w:r>
      <w:r>
        <w:rPr>
          <w:rFonts w:hint="eastAsia" w:ascii="仿宋" w:hAnsi="仿宋" w:eastAsia="仿宋" w:cs="仿宋"/>
          <w:b/>
          <w:kern w:val="0"/>
          <w:sz w:val="24"/>
          <w:szCs w:val="20"/>
        </w:rPr>
        <w:t>投标文件未按时解密，供应商提供了备份投标文件的，以备份投标文件作为依据，否则视为投标文件撤回。投标文件已按时解密的，备份投标文件自动失效。</w:t>
      </w:r>
    </w:p>
    <w:p w14:paraId="45D565D6">
      <w:pPr>
        <w:snapToGrid w:val="0"/>
        <w:spacing w:line="360" w:lineRule="auto"/>
        <w:jc w:val="left"/>
        <w:outlineLvl w:val="2"/>
        <w:rPr>
          <w:rFonts w:ascii="仿宋" w:hAnsi="仿宋" w:eastAsia="仿宋" w:cs="仿宋"/>
          <w:b/>
          <w:sz w:val="24"/>
        </w:rPr>
      </w:pPr>
      <w:r>
        <w:rPr>
          <w:rFonts w:hint="eastAsia" w:ascii="仿宋" w:hAnsi="仿宋" w:eastAsia="仿宋" w:cs="仿宋"/>
          <w:b/>
          <w:sz w:val="24"/>
        </w:rPr>
        <w:t>19、资格审查</w:t>
      </w:r>
    </w:p>
    <w:p w14:paraId="107F7993">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采购人或采购机构依据法律法规和招标文件的规定，对供应商的资格进行审查。</w:t>
      </w:r>
    </w:p>
    <w:p w14:paraId="7B4D1E3D">
      <w:pPr>
        <w:pStyle w:val="180"/>
        <w:spacing w:before="0"/>
        <w:ind w:firstLine="480"/>
        <w:rPr>
          <w:rFonts w:ascii="仿宋" w:hAnsi="仿宋" w:eastAsia="仿宋" w:cs="仿宋"/>
        </w:rPr>
      </w:pPr>
      <w:r>
        <w:rPr>
          <w:rFonts w:hint="eastAsia" w:ascii="仿宋" w:hAnsi="仿宋" w:eastAsia="仿宋" w:cs="仿宋"/>
          <w:kern w:val="0"/>
          <w:szCs w:val="24"/>
        </w:rPr>
        <w:t>19.2供应商未按照招标文件要求提供与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供应商不具备招标文件中规定的资格要求，其投标无效。</w:t>
      </w:r>
    </w:p>
    <w:p w14:paraId="303DF939">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rPr>
        <w:t>19.</w:t>
      </w:r>
      <w:r>
        <w:rPr>
          <w:rFonts w:hint="eastAsia" w:ascii="仿宋" w:hAnsi="仿宋" w:eastAsia="仿宋" w:cs="仿宋"/>
          <w:sz w:val="24"/>
          <w:szCs w:val="20"/>
        </w:rPr>
        <w:t>3对未通过资格审查的供应商，采购人或采购机构告知其未通过的原因。</w:t>
      </w:r>
    </w:p>
    <w:p w14:paraId="24CAC448">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rPr>
        <w:t>19.</w:t>
      </w:r>
      <w:r>
        <w:rPr>
          <w:rFonts w:hint="eastAsia" w:ascii="仿宋" w:hAnsi="仿宋" w:eastAsia="仿宋" w:cs="仿宋"/>
          <w:sz w:val="24"/>
          <w:szCs w:val="20"/>
        </w:rPr>
        <w:t>4合格供应商不足3家的，不再评标。</w:t>
      </w:r>
    </w:p>
    <w:p w14:paraId="7F0A1A8D">
      <w:pPr>
        <w:snapToGrid w:val="0"/>
        <w:spacing w:line="360" w:lineRule="auto"/>
        <w:jc w:val="left"/>
        <w:outlineLvl w:val="2"/>
        <w:rPr>
          <w:rFonts w:ascii="仿宋" w:hAnsi="仿宋" w:eastAsia="仿宋" w:cs="仿宋"/>
          <w:b/>
          <w:sz w:val="24"/>
          <w:lang w:eastAsia="zh-TW"/>
        </w:rPr>
      </w:pPr>
      <w:r>
        <w:rPr>
          <w:rFonts w:hint="eastAsia" w:ascii="仿宋" w:hAnsi="仿宋" w:eastAsia="仿宋" w:cs="仿宋"/>
          <w:b/>
          <w:sz w:val="24"/>
          <w:lang w:eastAsia="zh-TW"/>
        </w:rPr>
        <w:t>20、信用信息查询</w:t>
      </w:r>
    </w:p>
    <w:p w14:paraId="21C2CFFC">
      <w:pPr>
        <w:pStyle w:val="180"/>
        <w:spacing w:before="0"/>
        <w:ind w:firstLine="480"/>
        <w:rPr>
          <w:rFonts w:ascii="仿宋" w:hAnsi="仿宋" w:eastAsia="仿宋" w:cs="仿宋"/>
          <w:kern w:val="0"/>
          <w:szCs w:val="24"/>
          <w:lang w:eastAsia="zh-TW"/>
        </w:rPr>
      </w:pPr>
      <w:r>
        <w:rPr>
          <w:rFonts w:hint="eastAsia" w:ascii="仿宋" w:hAnsi="仿宋" w:eastAsia="仿宋" w:cs="仿宋"/>
          <w:kern w:val="0"/>
          <w:szCs w:val="24"/>
          <w:lang w:eastAsia="zh-TW"/>
        </w:rPr>
        <w:t>20.1信用信息查询渠道及截止时间：采购机构将在资格审查时通过“信用中国”网站(www.creditchina.gov.cn)、中国政府采购网(www.ccgp.gov.cn)渠道查询供应商接受资格时的信用记录。</w:t>
      </w:r>
    </w:p>
    <w:p w14:paraId="0D3DF995">
      <w:pPr>
        <w:pStyle w:val="180"/>
        <w:spacing w:before="0"/>
        <w:ind w:firstLine="480"/>
        <w:rPr>
          <w:rFonts w:ascii="仿宋" w:hAnsi="仿宋" w:eastAsia="仿宋" w:cs="仿宋"/>
          <w:kern w:val="0"/>
          <w:szCs w:val="24"/>
        </w:rPr>
      </w:pPr>
      <w:bookmarkStart w:id="22" w:name="_Hlk125840869"/>
      <w:bookmarkStart w:id="23" w:name="_Toc91899903"/>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2DD67A89">
      <w:pPr>
        <w:pStyle w:val="180"/>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7B1D31B4">
      <w:pPr>
        <w:pStyle w:val="18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bookmarkEnd w:id="22"/>
    <w:p w14:paraId="437E9A26">
      <w:pPr>
        <w:pStyle w:val="914"/>
        <w:shd w:val="clear" w:color="auto" w:fill="FFFFFF"/>
        <w:snapToGrid w:val="0"/>
        <w:spacing w:before="0" w:beforeAutospacing="0" w:after="0" w:afterAutospacing="0" w:line="360" w:lineRule="auto"/>
        <w:ind w:firstLine="480" w:firstLineChars="200"/>
        <w:contextualSpacing/>
        <w:rPr>
          <w:rFonts w:ascii="仿宋" w:hAnsi="仿宋" w:eastAsia="仿宋" w:cs="仿宋"/>
          <w:lang w:val="zh-CN"/>
        </w:rPr>
      </w:pPr>
    </w:p>
    <w:p w14:paraId="7DB96B98">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五、评标</w:t>
      </w:r>
    </w:p>
    <w:p w14:paraId="4DF5DDE8">
      <w:pPr>
        <w:snapToGrid w:val="0"/>
        <w:spacing w:line="360" w:lineRule="auto"/>
        <w:jc w:val="left"/>
        <w:outlineLvl w:val="2"/>
        <w:rPr>
          <w:rFonts w:ascii="仿宋" w:hAnsi="仿宋" w:eastAsia="仿宋" w:cs="仿宋"/>
          <w:b/>
          <w:sz w:val="24"/>
        </w:rPr>
      </w:pPr>
      <w:r>
        <w:rPr>
          <w:rFonts w:ascii="Calibri" w:hAnsi="Calibri" w:eastAsia="仿宋"/>
          <w:b/>
          <w:sz w:val="24"/>
        </w:rPr>
        <w:t>2</w:t>
      </w:r>
      <w:r>
        <w:rPr>
          <w:rFonts w:hint="eastAsia" w:ascii="Calibri" w:hAnsi="Calibri" w:eastAsia="仿宋"/>
          <w:b/>
          <w:sz w:val="24"/>
        </w:rPr>
        <w:t>1</w:t>
      </w:r>
      <w:r>
        <w:rPr>
          <w:rFonts w:ascii="Calibri" w:hAnsi="Calibri" w:eastAsia="仿宋"/>
          <w:b/>
          <w:sz w:val="24"/>
        </w:rPr>
        <w:t>.</w:t>
      </w:r>
      <w:r>
        <w:rPr>
          <w:rFonts w:hint="eastAsia" w:ascii="Calibri" w:hAnsi="Calibri" w:eastAsia="仿宋"/>
          <w:b/>
          <w:sz w:val="24"/>
        </w:rPr>
        <w:t xml:space="preserve"> </w:t>
      </w:r>
      <w:r>
        <w:rPr>
          <w:rFonts w:hint="eastAsia" w:ascii="仿宋" w:hAnsi="仿宋" w:eastAsia="仿宋" w:cs="仿宋"/>
          <w:bCs/>
          <w:sz w:val="24"/>
        </w:rPr>
        <w:t>评标委员会【评标委员会由采购人代表和评审专家组成，成员人数为5人（采购人代表1人，评标专家4人（第三方机构在政采云专家库相关专业随机抽取）】</w:t>
      </w:r>
    </w:p>
    <w:p w14:paraId="23345D00">
      <w:pPr>
        <w:snapToGrid w:val="0"/>
        <w:spacing w:line="360" w:lineRule="auto"/>
        <w:jc w:val="left"/>
        <w:outlineLvl w:val="2"/>
        <w:rPr>
          <w:rFonts w:ascii="仿宋" w:hAnsi="仿宋" w:eastAsia="仿宋" w:cs="仿宋"/>
          <w:b/>
          <w:sz w:val="24"/>
        </w:rPr>
      </w:pPr>
      <w:r>
        <w:rPr>
          <w:rFonts w:hint="eastAsia" w:ascii="Calibri" w:hAnsi="Calibri" w:eastAsia="仿宋"/>
          <w:b/>
          <w:sz w:val="24"/>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31771E84">
      <w:pPr>
        <w:spacing w:line="360" w:lineRule="auto"/>
        <w:ind w:firstLine="420" w:firstLineChars="200"/>
        <w:rPr>
          <w:rFonts w:ascii="仿宋" w:hAnsi="仿宋" w:eastAsia="仿宋" w:cs="仿宋"/>
          <w:lang w:val="zh-CN"/>
        </w:rPr>
      </w:pPr>
    </w:p>
    <w:p w14:paraId="1DADFB4F">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六、定标</w:t>
      </w:r>
    </w:p>
    <w:p w14:paraId="0F2DADD7">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22. 确定中标供应商</w:t>
      </w:r>
    </w:p>
    <w:p w14:paraId="6FFE6398">
      <w:pPr>
        <w:pStyle w:val="18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 w:hAnsi="仿宋" w:eastAsia="仿宋" w:cs="仿宋"/>
          <w:b/>
          <w:bCs/>
          <w:szCs w:val="24"/>
        </w:rPr>
        <w:t>2个工作日内</w:t>
      </w:r>
      <w:r>
        <w:rPr>
          <w:rFonts w:hint="eastAsia" w:ascii="仿宋" w:hAnsi="仿宋" w:eastAsia="仿宋" w:cs="仿宋"/>
          <w:szCs w:val="24"/>
        </w:rPr>
        <w:t>在线确定中标或者成交供应商，为提高政府采购效率，鼓励在收到评审报告当天在线确定中标或者成交供应商。中标、成交通知书和中标、成交结果公告应当在规定时间内同时发出。</w:t>
      </w:r>
    </w:p>
    <w:p w14:paraId="28D80ED8">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23. 中标通知与中标结果公告</w:t>
      </w:r>
    </w:p>
    <w:p w14:paraId="1ECF983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384D410B">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24" w:name="_Hlk101184471"/>
      <w:r>
        <w:rPr>
          <w:rFonts w:hint="eastAsia" w:ascii="仿宋" w:hAnsi="仿宋" w:eastAsia="仿宋" w:cs="仿宋"/>
          <w:sz w:val="24"/>
        </w:rPr>
        <w:t>资格审查情况、评审专家抽取规则、符合性审查情况、</w:t>
      </w:r>
      <w:bookmarkEnd w:id="24"/>
      <w:r>
        <w:rPr>
          <w:rFonts w:hint="eastAsia" w:ascii="仿宋" w:hAnsi="仿宋" w:eastAsia="仿宋" w:cs="仿宋"/>
          <w:sz w:val="24"/>
        </w:rPr>
        <w:t>未中标情况说明、中标公告期限以及评审专家名单、评分汇总及明细、中小企业声明函。</w:t>
      </w:r>
    </w:p>
    <w:p w14:paraId="0A2D4EA1">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23.3公告期限为1个工作日。</w:t>
      </w:r>
    </w:p>
    <w:p w14:paraId="23812C88">
      <w:pPr>
        <w:pStyle w:val="180"/>
        <w:snapToGrid w:val="0"/>
        <w:spacing w:before="0"/>
        <w:ind w:firstLine="482"/>
        <w:rPr>
          <w:rStyle w:val="90"/>
          <w:color w:val="FF0000"/>
        </w:rPr>
      </w:pPr>
      <w:r>
        <w:rPr>
          <w:rFonts w:hint="eastAsia" w:ascii="仿宋" w:hAnsi="仿宋" w:eastAsia="仿宋" w:cs="仿宋"/>
          <w:b/>
          <w:color w:val="000000"/>
          <w:szCs w:val="24"/>
        </w:rPr>
        <w:t xml:space="preserve">23.4 </w:t>
      </w:r>
      <w:r>
        <w:rPr>
          <w:rFonts w:hint="eastAsia" w:ascii="仿宋" w:hAnsi="仿宋" w:eastAsia="仿宋" w:cs="仿宋"/>
          <w:bCs/>
          <w:color w:val="000000"/>
          <w:szCs w:val="24"/>
        </w:rPr>
        <w:t>由于中标、成交供应商原因导致重新采购的，应当承担支付代理费和专家评审费等费用在内的赔偿责任。</w:t>
      </w:r>
    </w:p>
    <w:p w14:paraId="26C35174">
      <w:pPr>
        <w:widowControl/>
        <w:shd w:val="clear" w:color="auto" w:fill="FFFFFF"/>
        <w:adjustRightInd/>
        <w:snapToGrid w:val="0"/>
        <w:spacing w:line="360" w:lineRule="auto"/>
        <w:contextualSpacing/>
        <w:jc w:val="left"/>
        <w:rPr>
          <w:rFonts w:ascii="仿宋" w:hAnsi="仿宋" w:eastAsia="仿宋" w:cs="仿宋"/>
          <w:kern w:val="0"/>
          <w:sz w:val="24"/>
          <w:lang w:val="zh-CN"/>
        </w:rPr>
      </w:pPr>
    </w:p>
    <w:p w14:paraId="733437B1">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七、合同授予</w:t>
      </w:r>
    </w:p>
    <w:p w14:paraId="35C40A4A">
      <w:pPr>
        <w:spacing w:line="360" w:lineRule="auto"/>
        <w:ind w:left="479" w:hanging="479" w:hangingChars="199"/>
        <w:rPr>
          <w:rFonts w:ascii="仿宋" w:hAnsi="仿宋" w:eastAsia="仿宋" w:cs="仿宋"/>
          <w:b/>
          <w:sz w:val="24"/>
          <w:lang w:val="zh-CN"/>
        </w:rPr>
      </w:pPr>
      <w:r>
        <w:rPr>
          <w:rFonts w:hint="eastAsia" w:ascii="仿宋" w:hAnsi="仿宋" w:eastAsia="仿宋" w:cs="仿宋"/>
          <w:b/>
          <w:sz w:val="24"/>
          <w:lang w:val="zh-CN"/>
        </w:rPr>
        <w:t xml:space="preserve">24. </w:t>
      </w:r>
      <w:r>
        <w:rPr>
          <w:rFonts w:hint="eastAsia" w:ascii="仿宋" w:hAnsi="仿宋" w:eastAsia="仿宋" w:cs="仿宋"/>
          <w:sz w:val="24"/>
          <w:lang w:val="zh-CN"/>
        </w:rPr>
        <w:t>合同主要条款详见第五部分拟签订的合同文本。</w:t>
      </w:r>
    </w:p>
    <w:p w14:paraId="41DC61E8">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25. 合同的签订</w:t>
      </w:r>
    </w:p>
    <w:p w14:paraId="58388649">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CDB0D0">
      <w:pPr>
        <w:pStyle w:val="18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26A2B93">
      <w:pPr>
        <w:pStyle w:val="18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6AA3ACD">
      <w:pPr>
        <w:pStyle w:val="18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336E96F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25.5采购合同由采购人与中标供应商根据招标文件、投标文件等内容通过政府采购电子交易平台在线签订，自动备案。</w:t>
      </w:r>
    </w:p>
    <w:p w14:paraId="59EE4607">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26. 履约保证金</w:t>
      </w:r>
    </w:p>
    <w:p w14:paraId="167CDC91">
      <w:pPr>
        <w:tabs>
          <w:tab w:val="left" w:pos="0"/>
        </w:tabs>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r>
        <w:rPr>
          <w:rFonts w:hint="eastAsia" w:ascii="仿宋" w:hAnsi="仿宋" w:eastAsia="仿宋" w:cs="仿宋"/>
          <w:sz w:val="24"/>
          <w:u w:val="single"/>
        </w:rPr>
        <w:t>履约保证金的数额不得超过政府采购合同金额的1%。</w:t>
      </w:r>
      <w:r>
        <w:rPr>
          <w:rFonts w:hint="eastAsia" w:ascii="仿宋" w:hAnsi="仿宋" w:eastAsia="仿宋" w:cs="仿宋"/>
          <w:sz w:val="24"/>
        </w:rPr>
        <w:t>鼓励根据项目特点、供应商诚信等因素免收履约保证金或降低缴纳比例。鼓励和支持供应商以银行、保险公司出具的保函形式提供履约保证金。</w:t>
      </w:r>
      <w:r>
        <w:rPr>
          <w:rFonts w:hint="eastAsia" w:ascii="仿宋" w:hAnsi="仿宋" w:eastAsia="仿宋" w:cs="仿宋"/>
          <w:b/>
          <w:bCs/>
          <w:sz w:val="24"/>
        </w:rPr>
        <w:t>采购人不得拒收履约保函</w:t>
      </w:r>
      <w:r>
        <w:rPr>
          <w:rFonts w:hint="eastAsia" w:ascii="仿宋" w:hAnsi="仿宋" w:eastAsia="仿宋" w:cs="仿宋"/>
          <w:sz w:val="24"/>
        </w:rPr>
        <w:t>，项目验收结束后应及时退还，延迟退还的，应当按照合同约定和法律规定承担相应的赔偿责任。</w:t>
      </w:r>
    </w:p>
    <w:p w14:paraId="05EEEE24">
      <w:pPr>
        <w:snapToGrid w:val="0"/>
        <w:spacing w:line="360" w:lineRule="auto"/>
        <w:ind w:firstLine="480" w:firstLineChars="200"/>
        <w:rPr>
          <w:rFonts w:ascii="仿宋" w:hAnsi="仿宋" w:eastAsia="仿宋" w:cs="仿宋"/>
          <w:sz w:val="24"/>
        </w:rPr>
      </w:pPr>
      <w:bookmarkStart w:id="25" w:name="_Hlk125841185"/>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6A12632">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27.预付款</w:t>
      </w:r>
    </w:p>
    <w:p w14:paraId="40F6EFDD">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87DAFEB">
      <w:pPr>
        <w:tabs>
          <w:tab w:val="left" w:pos="0"/>
        </w:tabs>
        <w:spacing w:line="360" w:lineRule="auto"/>
        <w:ind w:firstLine="480" w:firstLineChars="200"/>
        <w:rPr>
          <w:rFonts w:ascii="仿宋" w:hAnsi="仿宋" w:eastAsia="仿宋" w:cs="仿宋"/>
          <w:kern w:val="0"/>
          <w:sz w:val="24"/>
        </w:rPr>
      </w:pPr>
    </w:p>
    <w:bookmarkEnd w:id="25"/>
    <w:p w14:paraId="00C5980F">
      <w:pPr>
        <w:widowControl/>
        <w:shd w:val="clear" w:color="auto" w:fill="FFFFFF"/>
        <w:adjustRightInd/>
        <w:snapToGrid w:val="0"/>
        <w:spacing w:line="360" w:lineRule="auto"/>
        <w:ind w:firstLine="480" w:firstLineChars="200"/>
        <w:contextualSpacing/>
        <w:jc w:val="left"/>
        <w:rPr>
          <w:rFonts w:ascii="仿宋" w:hAnsi="仿宋" w:eastAsia="仿宋" w:cs="仿宋"/>
          <w:kern w:val="0"/>
          <w:sz w:val="24"/>
          <w:lang w:val="zh-CN"/>
        </w:rPr>
      </w:pPr>
    </w:p>
    <w:p w14:paraId="66F59455">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八、电子交易活动的中止</w:t>
      </w:r>
    </w:p>
    <w:p w14:paraId="03167E4D">
      <w:pPr>
        <w:snapToGrid w:val="0"/>
        <w:spacing w:line="360" w:lineRule="auto"/>
        <w:jc w:val="left"/>
        <w:outlineLvl w:val="2"/>
        <w:rPr>
          <w:rFonts w:ascii="仿宋" w:hAnsi="仿宋" w:eastAsia="仿宋" w:cs="仿宋"/>
          <w:b/>
          <w:sz w:val="24"/>
        </w:rPr>
      </w:pPr>
      <w:r>
        <w:rPr>
          <w:rFonts w:hint="eastAsia" w:ascii="仿宋" w:hAnsi="仿宋" w:eastAsia="仿宋" w:cs="仿宋"/>
          <w:b/>
          <w:sz w:val="24"/>
        </w:rPr>
        <w:t>28. 电子交易活动的中止。</w:t>
      </w:r>
    </w:p>
    <w:p w14:paraId="613C44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采购过程中出现以下情形，导致电子交易平台无法正常运行，或者无法保证电子交易的公平、公正和安全时，采购机构可中止电子交易活动：</w:t>
      </w:r>
    </w:p>
    <w:p w14:paraId="76D536F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28.1电子交易平台发生故障而无法登录访问的； </w:t>
      </w:r>
    </w:p>
    <w:p w14:paraId="20A4AF4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28.2电子交易平台应用或数据库出现错误，不能进行正常操作的；</w:t>
      </w:r>
    </w:p>
    <w:p w14:paraId="274CA2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28.3电子交易平台发现严重安全漏洞，有潜在泄密危险的；</w:t>
      </w:r>
    </w:p>
    <w:p w14:paraId="1D897A2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28.4病毒发作导致不能进行正常操作的； </w:t>
      </w:r>
    </w:p>
    <w:p w14:paraId="1B06B10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28.5其他无法保证电子交易的公平、公正和安全的情况。</w:t>
      </w:r>
    </w:p>
    <w:p w14:paraId="7CE91C30">
      <w:pPr>
        <w:snapToGrid w:val="0"/>
        <w:spacing w:line="360" w:lineRule="auto"/>
        <w:rPr>
          <w:rFonts w:ascii="仿宋" w:hAnsi="仿宋" w:eastAsia="仿宋" w:cs="仿宋"/>
          <w:sz w:val="24"/>
          <w:szCs w:val="20"/>
        </w:rPr>
      </w:pPr>
      <w:r>
        <w:rPr>
          <w:rFonts w:hint="eastAsia" w:ascii="仿宋" w:hAnsi="仿宋" w:eastAsia="仿宋" w:cs="仿宋"/>
          <w:b/>
          <w:bCs/>
          <w:sz w:val="24"/>
          <w:szCs w:val="20"/>
        </w:rPr>
        <w:t>29.</w:t>
      </w:r>
      <w:r>
        <w:rPr>
          <w:rFonts w:hint="eastAsia" w:ascii="仿宋" w:hAnsi="仿宋" w:eastAsia="仿宋" w:cs="仿宋"/>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30C180D8">
      <w:pPr>
        <w:widowControl/>
        <w:shd w:val="clear" w:color="auto" w:fill="FFFFFF"/>
        <w:adjustRightInd/>
        <w:snapToGrid w:val="0"/>
        <w:spacing w:line="360" w:lineRule="auto"/>
        <w:ind w:firstLine="480" w:firstLineChars="200"/>
        <w:contextualSpacing/>
        <w:jc w:val="left"/>
        <w:rPr>
          <w:rFonts w:ascii="仿宋" w:hAnsi="仿宋" w:eastAsia="仿宋" w:cs="仿宋"/>
          <w:kern w:val="0"/>
          <w:sz w:val="24"/>
          <w:lang w:val="zh-CN"/>
        </w:rPr>
      </w:pPr>
    </w:p>
    <w:p w14:paraId="37DE18F4">
      <w:pPr>
        <w:snapToGrid w:val="0"/>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九、验收</w:t>
      </w:r>
    </w:p>
    <w:p w14:paraId="05B23DEC">
      <w:pPr>
        <w:snapToGrid w:val="0"/>
        <w:spacing w:line="360" w:lineRule="auto"/>
        <w:jc w:val="left"/>
        <w:outlineLvl w:val="2"/>
        <w:rPr>
          <w:rFonts w:ascii="仿宋" w:hAnsi="仿宋" w:eastAsia="仿宋" w:cs="仿宋"/>
          <w:b/>
          <w:sz w:val="24"/>
        </w:rPr>
      </w:pPr>
      <w:r>
        <w:rPr>
          <w:rFonts w:hint="eastAsia" w:ascii="仿宋" w:hAnsi="仿宋" w:eastAsia="仿宋" w:cs="仿宋"/>
          <w:b/>
          <w:sz w:val="24"/>
        </w:rPr>
        <w:t>30.验收</w:t>
      </w:r>
    </w:p>
    <w:bookmarkEnd w:id="14"/>
    <w:bookmarkEnd w:id="15"/>
    <w:bookmarkEnd w:id="23"/>
    <w:p w14:paraId="551F4AF1">
      <w:pPr>
        <w:snapToGrid w:val="0"/>
        <w:spacing w:line="360" w:lineRule="auto"/>
        <w:ind w:firstLine="480" w:firstLineChars="200"/>
        <w:rPr>
          <w:rFonts w:ascii="仿宋" w:hAnsi="仿宋" w:eastAsia="仿宋" w:cs="仿宋"/>
          <w:sz w:val="24"/>
        </w:rPr>
      </w:pPr>
      <w:bookmarkStart w:id="26" w:name="第四部分"/>
      <w:r>
        <w:rPr>
          <w:rFonts w:hint="eastAsia" w:ascii="仿宋" w:hAnsi="仿宋" w:eastAsia="仿宋" w:cs="仿宋"/>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91F0C4">
      <w:pPr>
        <w:spacing w:line="360" w:lineRule="auto"/>
        <w:ind w:firstLine="420"/>
        <w:jc w:val="left"/>
        <w:rPr>
          <w:rFonts w:ascii="仿宋" w:hAnsi="仿宋" w:eastAsia="仿宋" w:cs="仿宋"/>
          <w:sz w:val="24"/>
        </w:rPr>
      </w:pPr>
      <w:r>
        <w:rPr>
          <w:rFonts w:hint="eastAsia" w:ascii="仿宋" w:hAnsi="仿宋" w:eastAsia="仿宋" w:cs="仿宋"/>
          <w:sz w:val="24"/>
        </w:rPr>
        <w:t>30.2采购人可以邀请参加本项目的其他供应商或者第三方机构参与验收。参与验收的供应商或者第三方机构的意见作为验收书的参考资料一并存档。</w:t>
      </w:r>
    </w:p>
    <w:p w14:paraId="15A80C1D">
      <w:pPr>
        <w:spacing w:line="360" w:lineRule="auto"/>
        <w:ind w:firstLine="420"/>
        <w:jc w:val="left"/>
        <w:rPr>
          <w:rFonts w:ascii="仿宋" w:hAnsi="仿宋" w:eastAsia="仿宋" w:cs="仿宋"/>
          <w:sz w:val="24"/>
        </w:rPr>
      </w:pPr>
      <w:r>
        <w:rPr>
          <w:rFonts w:hint="eastAsia" w:ascii="仿宋" w:hAnsi="仿宋" w:eastAsia="仿宋" w:cs="仿宋"/>
          <w:sz w:val="24"/>
        </w:rPr>
        <w:t>30.3严格按照采购合同开展履约验收。</w:t>
      </w:r>
      <w:r>
        <w:rPr>
          <w:rFonts w:hint="eastAsia" w:ascii="宋体" w:hAnsi="宋体" w:eastAsia="仿宋"/>
          <w:sz w:val="24"/>
        </w:rPr>
        <w:t>采购人委托第三方机构组织验收，成立验收小组,</w:t>
      </w:r>
      <w:r>
        <w:rPr>
          <w:rFonts w:hint="eastAsia" w:ascii="宋体" w:hAnsi="宋体" w:eastAsia="仿宋" w:cs="宋体"/>
          <w:sz w:val="24"/>
        </w:rPr>
        <w:t>验收小组由5人组成：其中采购人1名，</w:t>
      </w:r>
      <w:r>
        <w:rPr>
          <w:rFonts w:hint="eastAsia" w:ascii="宋体" w:hAnsi="宋体" w:eastAsia="仿宋"/>
          <w:sz w:val="24"/>
        </w:rPr>
        <w:t>专家4名（第三方机构从乐采云专家库相关专业随机抽取）</w:t>
      </w:r>
      <w:r>
        <w:rPr>
          <w:rFonts w:hint="eastAsia" w:ascii="Calibri" w:hAnsi="Calibri" w:eastAsia="仿宋" w:cs="仿宋_GB2312"/>
          <w:sz w:val="24"/>
        </w:rPr>
        <w:t>，</w:t>
      </w:r>
      <w:r>
        <w:rPr>
          <w:rFonts w:hint="eastAsia" w:ascii="仿宋" w:hAnsi="仿宋" w:eastAsia="仿宋" w:cs="仿宋"/>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FA69F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2A6F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0493229">
      <w:pPr>
        <w:snapToGrid w:val="0"/>
        <w:spacing w:line="360" w:lineRule="auto"/>
        <w:ind w:firstLine="480" w:firstLineChars="200"/>
        <w:rPr>
          <w:rFonts w:ascii="仿宋" w:hAnsi="仿宋" w:eastAsia="仿宋" w:cs="仿宋"/>
          <w:sz w:val="24"/>
        </w:rPr>
      </w:pPr>
    </w:p>
    <w:p w14:paraId="0357CBFB">
      <w:pPr>
        <w:adjustRightInd/>
        <w:spacing w:line="360" w:lineRule="auto"/>
        <w:outlineLvl w:val="0"/>
        <w:rPr>
          <w:rFonts w:ascii="仿宋" w:hAnsi="仿宋" w:eastAsia="仿宋" w:cs="仿宋"/>
          <w:kern w:val="0"/>
          <w:sz w:val="24"/>
        </w:rPr>
      </w:pPr>
      <w:bookmarkStart w:id="27" w:name="_Hlt68072998"/>
      <w:bookmarkEnd w:id="27"/>
      <w:bookmarkStart w:id="28" w:name="_Hlt68403820"/>
      <w:bookmarkEnd w:id="28"/>
      <w:bookmarkStart w:id="29" w:name="_Hlt74729768"/>
      <w:bookmarkEnd w:id="29"/>
      <w:bookmarkStart w:id="30" w:name="_Hlt68057669"/>
      <w:bookmarkEnd w:id="30"/>
      <w:bookmarkStart w:id="31" w:name="_Hlt75236011"/>
      <w:bookmarkEnd w:id="31"/>
      <w:bookmarkStart w:id="32" w:name="_Hlt75236101"/>
      <w:bookmarkEnd w:id="32"/>
      <w:bookmarkStart w:id="33" w:name="_Hlt74714665"/>
      <w:bookmarkEnd w:id="33"/>
      <w:bookmarkStart w:id="34" w:name="_Hlt68073093"/>
      <w:bookmarkEnd w:id="34"/>
      <w:bookmarkStart w:id="35" w:name="_Hlt74707468"/>
      <w:bookmarkEnd w:id="35"/>
      <w:bookmarkStart w:id="36" w:name="_Hlt75236290"/>
      <w:bookmarkEnd w:id="36"/>
      <w:bookmarkStart w:id="37" w:name="_Hlt74730295"/>
      <w:bookmarkEnd w:id="37"/>
      <w:bookmarkStart w:id="38" w:name="_Hlt68072990"/>
      <w:bookmarkEnd w:id="38"/>
      <w:r>
        <w:rPr>
          <w:rFonts w:hint="eastAsia" w:ascii="仿宋" w:hAnsi="仿宋" w:eastAsia="仿宋" w:cs="仿宋"/>
          <w:kern w:val="0"/>
          <w:sz w:val="24"/>
        </w:rPr>
        <w:t xml:space="preserve">                    </w:t>
      </w:r>
      <w:bookmarkStart w:id="39" w:name="_Hlk143282583"/>
    </w:p>
    <w:p w14:paraId="0760D787">
      <w:pPr>
        <w:adjustRightInd/>
        <w:spacing w:line="360" w:lineRule="auto"/>
        <w:ind w:firstLine="2168" w:firstLineChars="600"/>
        <w:outlineLvl w:val="0"/>
        <w:rPr>
          <w:rFonts w:ascii="仿宋" w:hAnsi="仿宋" w:eastAsia="仿宋" w:cs="仿宋"/>
          <w:b/>
          <w:sz w:val="36"/>
          <w:szCs w:val="20"/>
        </w:rPr>
      </w:pPr>
      <w:r>
        <w:rPr>
          <w:rFonts w:hint="eastAsia" w:ascii="仿宋" w:hAnsi="仿宋" w:eastAsia="仿宋" w:cs="仿宋"/>
          <w:b/>
          <w:sz w:val="36"/>
          <w:szCs w:val="20"/>
        </w:rPr>
        <w:t>第三部分  采购需求</w:t>
      </w:r>
    </w:p>
    <w:p w14:paraId="3546C81C">
      <w:pPr>
        <w:spacing w:line="360" w:lineRule="auto"/>
        <w:rPr>
          <w:rFonts w:ascii="仿宋" w:hAnsi="仿宋" w:eastAsia="仿宋" w:cs="仿宋"/>
          <w:b/>
          <w:kern w:val="0"/>
          <w:sz w:val="24"/>
        </w:rPr>
      </w:pPr>
      <w:r>
        <w:rPr>
          <w:rFonts w:hint="eastAsia" w:ascii="宋体" w:hAnsi="宋体" w:cs="宋体"/>
          <w:b/>
          <w:kern w:val="0"/>
          <w:sz w:val="24"/>
        </w:rPr>
        <w:t>（</w:t>
      </w:r>
      <w:r>
        <w:rPr>
          <w:rFonts w:hint="eastAsia" w:ascii="仿宋" w:hAnsi="仿宋" w:eastAsia="仿宋" w:cs="仿宋"/>
          <w:b/>
          <w:kern w:val="0"/>
          <w:sz w:val="24"/>
        </w:rPr>
        <w:t>一）项目概况</w:t>
      </w:r>
    </w:p>
    <w:p w14:paraId="67E6931C">
      <w:pPr>
        <w:spacing w:line="360" w:lineRule="auto"/>
        <w:ind w:firstLine="480" w:firstLineChars="200"/>
        <w:rPr>
          <w:rFonts w:ascii="仿宋" w:hAnsi="仿宋" w:eastAsia="仿宋" w:cs="仿宋"/>
          <w:bCs/>
          <w:sz w:val="24"/>
          <w:u w:val="single"/>
        </w:rPr>
      </w:pPr>
      <w:r>
        <w:rPr>
          <w:rFonts w:hint="eastAsia" w:ascii="仿宋" w:hAnsi="仿宋" w:eastAsia="仿宋" w:cs="仿宋"/>
          <w:bCs/>
          <w:sz w:val="24"/>
          <w:u w:val="single"/>
        </w:rPr>
        <w:t>租赁内容：以购买服务方式，提供公安交通集成指挥平台的使用服务，包括集成指挥平台基础运行环境搭建、集成指挥平台配套系统建设等。</w:t>
      </w:r>
    </w:p>
    <w:p w14:paraId="6558E5E5">
      <w:pPr>
        <w:adjustRightInd/>
        <w:spacing w:line="360" w:lineRule="auto"/>
        <w:ind w:firstLine="480" w:firstLineChars="200"/>
        <w:jc w:val="left"/>
        <w:rPr>
          <w:rFonts w:ascii="宋体" w:hAnsi="宋体" w:cs="宋体"/>
          <w:b/>
          <w:kern w:val="0"/>
          <w:sz w:val="24"/>
        </w:rPr>
      </w:pPr>
      <w:r>
        <w:rPr>
          <w:rFonts w:hint="eastAsia" w:ascii="仿宋" w:hAnsi="仿宋" w:eastAsia="仿宋" w:cs="仿宋"/>
          <w:bCs/>
          <w:sz w:val="24"/>
          <w:u w:val="single"/>
        </w:rPr>
        <w:t>合同履约期限：12个月（2025年8月1日-2026年7月31日）。</w:t>
      </w:r>
    </w:p>
    <w:p w14:paraId="01CC06C4">
      <w:pPr>
        <w:adjustRightInd/>
        <w:spacing w:line="360" w:lineRule="auto"/>
        <w:jc w:val="left"/>
        <w:rPr>
          <w:rFonts w:ascii="仿宋" w:hAnsi="仿宋" w:eastAsia="仿宋" w:cs="仿宋"/>
          <w:bCs/>
          <w:sz w:val="24"/>
          <w:u w:val="single"/>
        </w:rPr>
      </w:pPr>
      <w:r>
        <w:rPr>
          <w:rFonts w:hint="eastAsia" w:ascii="宋体" w:hAnsi="宋体" w:cs="宋体"/>
          <w:b/>
          <w:kern w:val="0"/>
          <w:sz w:val="24"/>
        </w:rPr>
        <w:t>（</w:t>
      </w:r>
      <w:r>
        <w:rPr>
          <w:rFonts w:hint="eastAsia" w:ascii="仿宋" w:hAnsi="仿宋" w:eastAsia="仿宋" w:cs="仿宋"/>
          <w:b/>
          <w:kern w:val="0"/>
          <w:sz w:val="24"/>
        </w:rPr>
        <w:t>二）</w:t>
      </w:r>
      <w:r>
        <w:rPr>
          <w:rFonts w:hint="eastAsia" w:ascii="仿宋" w:hAnsi="仿宋" w:eastAsia="仿宋" w:cs="仿宋"/>
          <w:b/>
          <w:color w:val="000000"/>
          <w:sz w:val="24"/>
        </w:rPr>
        <w:t>预算金额（万元）：</w:t>
      </w:r>
      <w:r>
        <w:rPr>
          <w:rFonts w:hint="eastAsia" w:ascii="仿宋" w:hAnsi="仿宋" w:eastAsia="仿宋" w:cs="仿宋"/>
          <w:bCs/>
          <w:sz w:val="24"/>
        </w:rPr>
        <w:t>预算</w:t>
      </w:r>
      <w:r>
        <w:rPr>
          <w:rFonts w:hint="eastAsia" w:ascii="仿宋" w:hAnsi="仿宋" w:eastAsia="仿宋" w:cs="仿宋"/>
          <w:bCs/>
          <w:sz w:val="24"/>
          <w:u w:val="single"/>
        </w:rPr>
        <w:t>367.54万元（其中2025年安排183.77万元）。</w:t>
      </w:r>
    </w:p>
    <w:p w14:paraId="16CB8E96">
      <w:pPr>
        <w:pStyle w:val="31"/>
        <w:ind w:firstLine="723" w:firstLineChars="300"/>
        <w:rPr>
          <w:rFonts w:ascii="仿宋" w:hAnsi="仿宋" w:eastAsia="仿宋" w:cs="仿宋"/>
          <w:bCs/>
          <w:snapToGrid/>
          <w:szCs w:val="24"/>
          <w:u w:val="single"/>
          <w:lang w:val="en-US" w:eastAsia="en-US"/>
        </w:rPr>
      </w:pPr>
      <w:r>
        <w:rPr>
          <w:rFonts w:hint="eastAsia" w:ascii="仿宋" w:hAnsi="仿宋" w:eastAsia="仿宋" w:cs="仿宋"/>
          <w:b/>
          <w:bCs/>
          <w:snapToGrid/>
          <w:szCs w:val="24"/>
          <w:u w:val="single"/>
          <w:lang w:val="en-US" w:eastAsia="en-US"/>
        </w:rPr>
        <w:t>最高限价（万元）：</w:t>
      </w:r>
      <w:r>
        <w:rPr>
          <w:rFonts w:hint="eastAsia" w:ascii="仿宋" w:hAnsi="仿宋" w:eastAsia="仿宋" w:cs="仿宋"/>
          <w:bCs/>
          <w:sz w:val="24"/>
          <w:u w:val="single"/>
        </w:rPr>
        <w:t>3</w:t>
      </w:r>
      <w:r>
        <w:rPr>
          <w:rFonts w:hint="eastAsia" w:ascii="仿宋" w:hAnsi="仿宋" w:eastAsia="仿宋" w:cs="仿宋"/>
          <w:bCs/>
          <w:sz w:val="24"/>
          <w:u w:val="single"/>
          <w:lang w:val="en-US" w:eastAsia="zh-CN"/>
        </w:rPr>
        <w:t>52</w:t>
      </w:r>
      <w:r>
        <w:rPr>
          <w:rFonts w:hint="eastAsia" w:ascii="仿宋" w:hAnsi="仿宋" w:eastAsia="仿宋" w:cs="仿宋"/>
          <w:bCs/>
          <w:sz w:val="24"/>
          <w:u w:val="single"/>
        </w:rPr>
        <w:t>.</w:t>
      </w:r>
      <w:r>
        <w:rPr>
          <w:rFonts w:hint="eastAsia" w:ascii="仿宋" w:hAnsi="仿宋" w:eastAsia="仿宋" w:cs="仿宋"/>
          <w:bCs/>
          <w:sz w:val="24"/>
          <w:u w:val="single"/>
          <w:lang w:val="en-US" w:eastAsia="zh-CN"/>
        </w:rPr>
        <w:t>0</w:t>
      </w:r>
      <w:r>
        <w:rPr>
          <w:rFonts w:hint="eastAsia" w:ascii="仿宋" w:hAnsi="仿宋" w:eastAsia="仿宋" w:cs="仿宋"/>
          <w:bCs/>
          <w:sz w:val="24"/>
          <w:u w:val="single"/>
        </w:rPr>
        <w:t>4</w:t>
      </w:r>
      <w:r>
        <w:rPr>
          <w:rFonts w:hint="eastAsia" w:ascii="仿宋" w:hAnsi="仿宋" w:eastAsia="仿宋" w:cs="仿宋"/>
          <w:bCs/>
          <w:snapToGrid/>
          <w:szCs w:val="24"/>
          <w:u w:val="single"/>
          <w:lang w:val="en-US" w:eastAsia="en-US"/>
        </w:rPr>
        <w:t>万元。</w:t>
      </w:r>
    </w:p>
    <w:p w14:paraId="1FC7DB8F">
      <w:pPr>
        <w:pStyle w:val="31"/>
        <w:rPr>
          <w:rFonts w:ascii="仿宋" w:hAnsi="仿宋" w:eastAsia="仿宋" w:cs="仿宋"/>
          <w:b/>
          <w:color w:val="000000"/>
        </w:rPr>
      </w:pPr>
      <w:r>
        <w:rPr>
          <w:rFonts w:hint="eastAsia" w:ascii="仿宋" w:hAnsi="仿宋" w:eastAsia="仿宋" w:cs="仿宋"/>
          <w:b/>
          <w:color w:val="000000"/>
        </w:rPr>
        <w:t>（三）需满足的政府采购政策目标和具体支持对象</w:t>
      </w:r>
    </w:p>
    <w:p w14:paraId="0EB53E7B">
      <w:pPr>
        <w:spacing w:line="360" w:lineRule="auto"/>
        <w:ind w:firstLine="241" w:firstLineChars="100"/>
        <w:rPr>
          <w:rFonts w:ascii="仿宋" w:hAnsi="仿宋" w:eastAsia="仿宋" w:cs="仿宋"/>
          <w:b/>
          <w:color w:val="000000"/>
          <w:sz w:val="24"/>
        </w:rPr>
      </w:pPr>
      <w:r>
        <w:rPr>
          <w:rFonts w:ascii="仿宋" w:hAnsi="仿宋" w:eastAsia="仿宋" w:cs="仿宋"/>
          <w:b/>
          <w:color w:val="000000"/>
          <w:sz w:val="24"/>
        </w:rPr>
        <w:sym w:font="Wingdings" w:char="00FE"/>
      </w:r>
      <w:r>
        <w:rPr>
          <w:rFonts w:hint="eastAsia" w:ascii="仿宋" w:hAnsi="仿宋" w:eastAsia="仿宋" w:cs="仿宋"/>
          <w:b/>
          <w:color w:val="000000"/>
          <w:sz w:val="24"/>
        </w:rPr>
        <w:t xml:space="preserve">扶持中小企业  </w:t>
      </w:r>
      <w:r>
        <w:rPr>
          <w:rFonts w:ascii="仿宋" w:hAnsi="仿宋" w:eastAsia="仿宋" w:cs="仿宋"/>
          <w:b/>
          <w:color w:val="000000"/>
          <w:sz w:val="24"/>
        </w:rPr>
        <w:sym w:font="Wingdings" w:char="00A8"/>
      </w:r>
      <w:r>
        <w:rPr>
          <w:rFonts w:hint="eastAsia" w:ascii="仿宋" w:hAnsi="仿宋" w:eastAsia="仿宋" w:cs="仿宋"/>
          <w:b/>
          <w:color w:val="000000"/>
          <w:sz w:val="24"/>
        </w:rPr>
        <w:t xml:space="preserve">节能环保   </w:t>
      </w:r>
      <w:r>
        <w:rPr>
          <w:rFonts w:ascii="仿宋" w:hAnsi="仿宋" w:eastAsia="仿宋" w:cs="仿宋"/>
          <w:b/>
          <w:color w:val="000000"/>
          <w:sz w:val="24"/>
        </w:rPr>
        <w:sym w:font="Wingdings" w:char="00A8"/>
      </w:r>
      <w:r>
        <w:rPr>
          <w:rFonts w:hint="eastAsia" w:ascii="仿宋" w:hAnsi="仿宋" w:eastAsia="仿宋" w:cs="仿宋"/>
          <w:b/>
          <w:color w:val="000000"/>
          <w:sz w:val="24"/>
        </w:rPr>
        <w:t>其他（</w:t>
      </w:r>
      <w:r>
        <w:rPr>
          <w:rFonts w:hint="eastAsia" w:ascii="仿宋" w:hAnsi="仿宋" w:eastAsia="仿宋" w:cs="仿宋"/>
          <w:b/>
          <w:color w:val="000000"/>
          <w:sz w:val="24"/>
          <w:u w:val="single"/>
        </w:rPr>
        <w:t>本项目专门面向小微企业</w:t>
      </w:r>
      <w:r>
        <w:rPr>
          <w:rFonts w:hint="eastAsia" w:ascii="仿宋" w:hAnsi="仿宋" w:eastAsia="仿宋" w:cs="仿宋"/>
          <w:b/>
          <w:color w:val="000000"/>
          <w:sz w:val="24"/>
        </w:rPr>
        <w:t>）</w:t>
      </w:r>
    </w:p>
    <w:p w14:paraId="35A70ED6">
      <w:pPr>
        <w:pStyle w:val="4"/>
        <w:rPr>
          <w:rFonts w:ascii="仿宋" w:eastAsia="仿宋" w:cs="仿宋"/>
          <w:bCs w:val="0"/>
          <w:color w:val="000000"/>
          <w:sz w:val="24"/>
          <w:szCs w:val="24"/>
        </w:rPr>
      </w:pPr>
      <w:r>
        <w:rPr>
          <w:rFonts w:hint="eastAsia" w:ascii="仿宋" w:eastAsia="仿宋" w:cs="仿宋"/>
          <w:bCs w:val="0"/>
          <w:color w:val="000000"/>
          <w:sz w:val="24"/>
          <w:szCs w:val="24"/>
        </w:rPr>
        <w:t>（四）采购标的是否进口产品： □进口  □国产，本项目为服务采购。</w:t>
      </w:r>
    </w:p>
    <w:p w14:paraId="281B3C00">
      <w:pPr>
        <w:pStyle w:val="4"/>
        <w:rPr>
          <w:rFonts w:ascii="仿宋" w:eastAsia="仿宋" w:cs="仿宋"/>
          <w:bCs w:val="0"/>
          <w:color w:val="000000"/>
          <w:sz w:val="24"/>
          <w:szCs w:val="24"/>
        </w:rPr>
      </w:pPr>
      <w:r>
        <w:rPr>
          <w:rFonts w:hint="eastAsia" w:ascii="仿宋" w:eastAsia="仿宋" w:cs="仿宋"/>
          <w:bCs w:val="0"/>
          <w:color w:val="000000"/>
          <w:sz w:val="24"/>
          <w:szCs w:val="24"/>
        </w:rPr>
        <w:t>（五）拟采购标的及服务要求</w:t>
      </w:r>
    </w:p>
    <w:p w14:paraId="0C031CF5">
      <w:pPr>
        <w:spacing w:line="360" w:lineRule="auto"/>
        <w:rPr>
          <w:rFonts w:ascii="宋体" w:hAnsi="宋体" w:eastAsia="仿宋" w:cs="宋体"/>
          <w:sz w:val="24"/>
        </w:rPr>
      </w:pPr>
      <w:r>
        <w:rPr>
          <w:rFonts w:hint="eastAsia" w:ascii="宋体" w:hAnsi="宋体" w:eastAsia="仿宋" w:cs="宋体"/>
          <w:sz w:val="24"/>
        </w:rPr>
        <w:t>一）项目服务内容</w:t>
      </w:r>
    </w:p>
    <w:p w14:paraId="109E3214">
      <w:pPr>
        <w:spacing w:line="360" w:lineRule="auto"/>
        <w:rPr>
          <w:rFonts w:ascii="宋体" w:hAnsi="宋体" w:eastAsia="仿宋" w:cs="宋体"/>
          <w:sz w:val="24"/>
        </w:rPr>
      </w:pPr>
      <w:r>
        <w:rPr>
          <w:rFonts w:hint="eastAsia" w:ascii="宋体" w:hAnsi="宋体" w:eastAsia="仿宋" w:cs="宋体"/>
          <w:sz w:val="24"/>
        </w:rPr>
        <w:t>拟采购标的</w:t>
      </w:r>
      <w:r>
        <w:rPr>
          <w:rFonts w:hint="eastAsia" w:ascii="宋体" w:hAnsi="宋体" w:eastAsia="仿宋" w:cs="宋体"/>
          <w:sz w:val="24"/>
        </w:rPr>
        <w:br w:type="textWrapping"/>
      </w:r>
      <w:r>
        <w:rPr>
          <w:rFonts w:hint="eastAsia" w:ascii="宋体" w:hAnsi="宋体" w:eastAsia="仿宋" w:cs="宋体"/>
          <w:sz w:val="24"/>
        </w:rPr>
        <w:t xml:space="preserve"> “▲”参数为实质性要求（不列入评审参数），不允许负偏离，负偏离将按投标无效处理。“★”为本项目关键技术指标。列入评审的参数，评审时需提供相应材料作为佐证材料（详见第四部分评分标准）。在技术偏离表上须标明该条款所在投标文件中对应的页码、条款。</w:t>
      </w:r>
    </w:p>
    <w:p w14:paraId="2D6D0BF2">
      <w:pPr>
        <w:spacing w:line="360" w:lineRule="auto"/>
        <w:rPr>
          <w:rFonts w:ascii="宋体" w:hAnsi="宋体" w:eastAsia="仿宋" w:cs="宋体"/>
          <w:sz w:val="24"/>
        </w:rPr>
      </w:pPr>
    </w:p>
    <w:tbl>
      <w:tblPr>
        <w:tblStyle w:val="80"/>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33"/>
        <w:gridCol w:w="2417"/>
        <w:gridCol w:w="1366"/>
        <w:gridCol w:w="4071"/>
      </w:tblGrid>
      <w:tr w14:paraId="54339AC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35" w:hRule="atLeast"/>
          <w:jc w:val="center"/>
        </w:trPr>
        <w:tc>
          <w:tcPr>
            <w:tcW w:w="1458" w:type="dxa"/>
            <w:tcBorders>
              <w:top w:val="single" w:color="808080" w:sz="4" w:space="0"/>
              <w:left w:val="single" w:color="808080" w:sz="4" w:space="0"/>
              <w:bottom w:val="single" w:color="808080" w:sz="4" w:space="0"/>
              <w:right w:val="single" w:color="808080" w:sz="4" w:space="0"/>
            </w:tcBorders>
            <w:noWrap/>
            <w:vAlign w:val="center"/>
          </w:tcPr>
          <w:p w14:paraId="48AD15BE">
            <w:pPr>
              <w:spacing w:line="360" w:lineRule="auto"/>
              <w:jc w:val="center"/>
              <w:rPr>
                <w:rFonts w:ascii="宋体" w:hAnsi="宋体" w:eastAsia="仿宋" w:cs="宋体"/>
                <w:sz w:val="24"/>
              </w:rPr>
            </w:pPr>
            <w:r>
              <w:rPr>
                <w:rFonts w:hint="eastAsia" w:ascii="宋体" w:hAnsi="宋体" w:eastAsia="仿宋" w:cs="宋体"/>
                <w:sz w:val="24"/>
              </w:rPr>
              <w:t>标的内容</w:t>
            </w:r>
          </w:p>
        </w:tc>
        <w:tc>
          <w:tcPr>
            <w:tcW w:w="7829" w:type="dxa"/>
            <w:gridSpan w:val="3"/>
            <w:tcBorders>
              <w:top w:val="single" w:color="808080" w:sz="4" w:space="0"/>
              <w:left w:val="single" w:color="808080" w:sz="4" w:space="0"/>
              <w:bottom w:val="single" w:color="808080" w:sz="4" w:space="0"/>
              <w:right w:val="single" w:color="808080" w:sz="4" w:space="0"/>
            </w:tcBorders>
            <w:noWrap/>
            <w:vAlign w:val="center"/>
          </w:tcPr>
          <w:p w14:paraId="2CEEC160">
            <w:pPr>
              <w:spacing w:line="360" w:lineRule="auto"/>
              <w:rPr>
                <w:rFonts w:ascii="宋体" w:hAnsi="宋体" w:eastAsia="仿宋" w:cs="宋体"/>
                <w:sz w:val="24"/>
              </w:rPr>
            </w:pPr>
            <w:r>
              <w:rPr>
                <w:rFonts w:hint="eastAsia" w:ascii="宋体" w:hAnsi="宋体" w:eastAsia="仿宋" w:cs="宋体"/>
                <w:sz w:val="24"/>
              </w:rPr>
              <w:t>公安交通集成指挥平台使用服务</w:t>
            </w:r>
          </w:p>
        </w:tc>
      </w:tr>
      <w:tr w14:paraId="7FEC20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458" w:type="dxa"/>
            <w:tcBorders>
              <w:top w:val="single" w:color="808080" w:sz="4" w:space="0"/>
              <w:left w:val="single" w:color="808080" w:sz="4" w:space="0"/>
              <w:bottom w:val="single" w:color="808080" w:sz="4" w:space="0"/>
              <w:right w:val="single" w:color="808080" w:sz="4" w:space="0"/>
            </w:tcBorders>
            <w:noWrap/>
            <w:vAlign w:val="center"/>
          </w:tcPr>
          <w:p w14:paraId="0A602E4D">
            <w:pPr>
              <w:spacing w:line="360" w:lineRule="auto"/>
              <w:jc w:val="center"/>
              <w:rPr>
                <w:rFonts w:ascii="宋体" w:hAnsi="宋体" w:eastAsia="仿宋" w:cs="宋体"/>
                <w:sz w:val="24"/>
              </w:rPr>
            </w:pPr>
            <w:r>
              <w:rPr>
                <w:rFonts w:hint="eastAsia" w:ascii="宋体" w:hAnsi="宋体" w:eastAsia="仿宋" w:cs="宋体"/>
                <w:sz w:val="24"/>
              </w:rPr>
              <w:t>数量</w:t>
            </w:r>
          </w:p>
        </w:tc>
        <w:tc>
          <w:tcPr>
            <w:tcW w:w="2409" w:type="dxa"/>
            <w:tcBorders>
              <w:top w:val="single" w:color="808080" w:sz="4" w:space="0"/>
              <w:left w:val="single" w:color="808080" w:sz="4" w:space="0"/>
              <w:bottom w:val="single" w:color="808080" w:sz="4" w:space="0"/>
              <w:right w:val="single" w:color="808080" w:sz="4" w:space="0"/>
            </w:tcBorders>
            <w:noWrap/>
            <w:vAlign w:val="center"/>
          </w:tcPr>
          <w:p w14:paraId="06E16032">
            <w:pPr>
              <w:spacing w:line="360" w:lineRule="auto"/>
              <w:jc w:val="center"/>
              <w:rPr>
                <w:rFonts w:ascii="宋体" w:hAnsi="宋体" w:eastAsia="仿宋" w:cs="宋体"/>
                <w:sz w:val="24"/>
              </w:rPr>
            </w:pPr>
            <w:r>
              <w:rPr>
                <w:rFonts w:hint="eastAsia" w:ascii="宋体" w:hAnsi="宋体" w:eastAsia="仿宋" w:cs="宋体"/>
                <w:sz w:val="24"/>
              </w:rPr>
              <w:t>1</w:t>
            </w:r>
          </w:p>
        </w:tc>
        <w:tc>
          <w:tcPr>
            <w:tcW w:w="1360" w:type="dxa"/>
            <w:tcBorders>
              <w:top w:val="single" w:color="808080" w:sz="4" w:space="0"/>
              <w:left w:val="single" w:color="808080" w:sz="4" w:space="0"/>
              <w:bottom w:val="single" w:color="808080" w:sz="4" w:space="0"/>
              <w:right w:val="single" w:color="808080" w:sz="4" w:space="0"/>
            </w:tcBorders>
            <w:noWrap/>
            <w:vAlign w:val="center"/>
          </w:tcPr>
          <w:p w14:paraId="2F6DC0EB">
            <w:pPr>
              <w:spacing w:line="360" w:lineRule="auto"/>
              <w:jc w:val="center"/>
              <w:rPr>
                <w:rFonts w:ascii="宋体" w:hAnsi="宋体" w:eastAsia="仿宋" w:cs="宋体"/>
                <w:sz w:val="24"/>
              </w:rPr>
            </w:pPr>
            <w:r>
              <w:rPr>
                <w:rFonts w:hint="eastAsia" w:ascii="宋体" w:hAnsi="宋体" w:eastAsia="仿宋" w:cs="宋体"/>
                <w:sz w:val="24"/>
              </w:rPr>
              <w:t>单位</w:t>
            </w:r>
          </w:p>
        </w:tc>
        <w:tc>
          <w:tcPr>
            <w:tcW w:w="4060" w:type="dxa"/>
            <w:tcBorders>
              <w:top w:val="single" w:color="808080" w:sz="4" w:space="0"/>
              <w:left w:val="single" w:color="808080" w:sz="4" w:space="0"/>
              <w:bottom w:val="single" w:color="808080" w:sz="4" w:space="0"/>
              <w:right w:val="single" w:color="808080" w:sz="4" w:space="0"/>
            </w:tcBorders>
            <w:noWrap/>
            <w:vAlign w:val="center"/>
          </w:tcPr>
          <w:p w14:paraId="47490F53">
            <w:pPr>
              <w:spacing w:line="360" w:lineRule="auto"/>
              <w:jc w:val="center"/>
              <w:rPr>
                <w:rFonts w:ascii="宋体" w:hAnsi="宋体" w:eastAsia="仿宋" w:cs="宋体"/>
                <w:sz w:val="24"/>
              </w:rPr>
            </w:pPr>
            <w:r>
              <w:rPr>
                <w:rFonts w:hint="eastAsia" w:ascii="宋体" w:hAnsi="宋体" w:eastAsia="仿宋" w:cs="宋体"/>
                <w:sz w:val="24"/>
              </w:rPr>
              <w:t>项</w:t>
            </w:r>
          </w:p>
        </w:tc>
      </w:tr>
      <w:tr w14:paraId="2D5303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458" w:type="dxa"/>
            <w:tcBorders>
              <w:top w:val="single" w:color="808080" w:sz="4" w:space="0"/>
              <w:left w:val="single" w:color="808080" w:sz="4" w:space="0"/>
              <w:bottom w:val="single" w:color="808080" w:sz="4" w:space="0"/>
              <w:right w:val="single" w:color="808080" w:sz="4" w:space="0"/>
            </w:tcBorders>
            <w:noWrap/>
          </w:tcPr>
          <w:p w14:paraId="4F882BD2">
            <w:pPr>
              <w:spacing w:line="360" w:lineRule="auto"/>
              <w:jc w:val="center"/>
              <w:rPr>
                <w:rFonts w:ascii="宋体" w:hAnsi="宋体" w:eastAsia="仿宋" w:cs="宋体"/>
                <w:sz w:val="24"/>
                <w:highlight w:val="none"/>
              </w:rPr>
            </w:pPr>
            <w:r>
              <w:rPr>
                <w:rFonts w:hint="eastAsia" w:ascii="宋体" w:hAnsi="宋体" w:eastAsia="仿宋" w:cs="宋体"/>
                <w:sz w:val="24"/>
                <w:highlight w:val="none"/>
              </w:rPr>
              <w:t>功能和质量</w:t>
            </w:r>
          </w:p>
          <w:p w14:paraId="675AB853">
            <w:pPr>
              <w:spacing w:line="360" w:lineRule="auto"/>
              <w:jc w:val="center"/>
              <w:rPr>
                <w:rFonts w:ascii="宋体" w:hAnsi="宋体" w:eastAsia="仿宋" w:cs="宋体"/>
                <w:sz w:val="24"/>
                <w:highlight w:val="none"/>
              </w:rPr>
            </w:pPr>
            <w:r>
              <w:rPr>
                <w:rFonts w:hint="eastAsia" w:ascii="宋体" w:hAnsi="宋体" w:eastAsia="仿宋" w:cs="宋体"/>
                <w:sz w:val="24"/>
                <w:highlight w:val="none"/>
              </w:rPr>
              <w:t>要求</w:t>
            </w:r>
          </w:p>
        </w:tc>
        <w:tc>
          <w:tcPr>
            <w:tcW w:w="7829" w:type="dxa"/>
            <w:gridSpan w:val="3"/>
            <w:tcBorders>
              <w:top w:val="single" w:color="808080" w:sz="4" w:space="0"/>
              <w:left w:val="single" w:color="808080" w:sz="4" w:space="0"/>
              <w:bottom w:val="single" w:color="808080" w:sz="4" w:space="0"/>
              <w:right w:val="single" w:color="808080" w:sz="4" w:space="0"/>
            </w:tcBorders>
            <w:noWrap/>
          </w:tcPr>
          <w:p w14:paraId="34D9D89C">
            <w:pPr>
              <w:spacing w:line="360" w:lineRule="auto"/>
              <w:jc w:val="left"/>
              <w:rPr>
                <w:rFonts w:ascii="宋体" w:hAnsi="宋体" w:eastAsia="仿宋" w:cs="宋体"/>
                <w:sz w:val="24"/>
                <w:highlight w:val="none"/>
              </w:rPr>
            </w:pPr>
            <w:r>
              <w:rPr>
                <w:rFonts w:hint="eastAsia" w:ascii="宋体" w:hAnsi="宋体" w:eastAsia="仿宋" w:cs="宋体"/>
                <w:sz w:val="24"/>
                <w:highlight w:val="none"/>
              </w:rPr>
              <w:t>一、本次租赁项目采购内容如下</w:t>
            </w:r>
          </w:p>
          <w:p w14:paraId="3360B286">
            <w:pPr>
              <w:spacing w:line="360" w:lineRule="auto"/>
              <w:ind w:firstLine="480"/>
              <w:jc w:val="left"/>
              <w:rPr>
                <w:rFonts w:ascii="宋体" w:hAnsi="宋体" w:eastAsia="仿宋" w:cs="宋体"/>
                <w:sz w:val="24"/>
                <w:highlight w:val="none"/>
              </w:rPr>
            </w:pPr>
            <w:r>
              <w:rPr>
                <w:rFonts w:hint="eastAsia" w:ascii="宋体" w:hAnsi="宋体" w:eastAsia="仿宋" w:cs="宋体"/>
                <w:sz w:val="24"/>
                <w:highlight w:val="none"/>
              </w:rPr>
              <w:t>产品参数应提供的产品样本彩页或官网技术参数或提供具有CMA资质的第三方检测机构或国家认可的检测机构出具的检测报告证明。</w:t>
            </w:r>
          </w:p>
          <w:p w14:paraId="6C4881C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1、硬件部分</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584"/>
              <w:gridCol w:w="1007"/>
              <w:gridCol w:w="4086"/>
              <w:gridCol w:w="651"/>
              <w:gridCol w:w="651"/>
            </w:tblGrid>
            <w:tr w14:paraId="04C2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000000" w:fill="auto"/>
                  <w:noWrap/>
                  <w:vAlign w:val="center"/>
                </w:tcPr>
                <w:p w14:paraId="668C5DC0">
                  <w:pPr>
                    <w:widowControl/>
                    <w:spacing w:line="360" w:lineRule="auto"/>
                    <w:jc w:val="center"/>
                    <w:rPr>
                      <w:rFonts w:ascii="宋体" w:hAnsi="宋体" w:eastAsia="仿宋" w:cs="宋体"/>
                      <w:sz w:val="24"/>
                      <w:highlight w:val="none"/>
                    </w:rPr>
                  </w:pPr>
                  <w:bookmarkStart w:id="40" w:name="_Hlk188453932" w:colFirst="0" w:colLast="5"/>
                  <w:r>
                    <w:rPr>
                      <w:rFonts w:hint="eastAsia" w:ascii="宋体" w:hAnsi="宋体" w:eastAsia="仿宋" w:cs="宋体"/>
                      <w:sz w:val="24"/>
                      <w:highlight w:val="none"/>
                    </w:rPr>
                    <w:t>序号</w:t>
                  </w:r>
                </w:p>
              </w:tc>
              <w:tc>
                <w:tcPr>
                  <w:tcW w:w="1618" w:type="dxa"/>
                  <w:gridSpan w:val="2"/>
                  <w:shd w:val="clear" w:color="000000" w:fill="auto"/>
                  <w:noWrap/>
                  <w:vAlign w:val="center"/>
                </w:tcPr>
                <w:p w14:paraId="0B206CF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设备名称</w:t>
                  </w:r>
                </w:p>
              </w:tc>
              <w:tc>
                <w:tcPr>
                  <w:tcW w:w="4003" w:type="dxa"/>
                  <w:shd w:val="clear" w:color="000000" w:fill="auto"/>
                  <w:noWrap/>
                  <w:vAlign w:val="center"/>
                </w:tcPr>
                <w:p w14:paraId="28732B1A">
                  <w:pPr>
                    <w:widowControl/>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参数/性能要求</w:t>
                  </w:r>
                </w:p>
              </w:tc>
              <w:tc>
                <w:tcPr>
                  <w:tcW w:w="661" w:type="dxa"/>
                  <w:shd w:val="clear" w:color="000000" w:fill="auto"/>
                  <w:noWrap/>
                  <w:vAlign w:val="center"/>
                </w:tcPr>
                <w:p w14:paraId="5FDAB1AB">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单位</w:t>
                  </w:r>
                </w:p>
              </w:tc>
              <w:tc>
                <w:tcPr>
                  <w:tcW w:w="661" w:type="dxa"/>
                  <w:shd w:val="clear" w:color="000000" w:fill="auto"/>
                  <w:noWrap/>
                  <w:vAlign w:val="center"/>
                </w:tcPr>
                <w:p w14:paraId="7CDA389B">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数量</w:t>
                  </w:r>
                </w:p>
              </w:tc>
            </w:tr>
            <w:tr w14:paraId="1B5C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09082999">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1618" w:type="dxa"/>
                  <w:gridSpan w:val="2"/>
                  <w:noWrap/>
                  <w:vAlign w:val="center"/>
                </w:tcPr>
                <w:p w14:paraId="2E57DFBD">
                  <w:pPr>
                    <w:widowControl/>
                    <w:spacing w:line="360" w:lineRule="auto"/>
                    <w:rPr>
                      <w:rFonts w:ascii="宋体" w:hAnsi="宋体" w:eastAsia="仿宋" w:cs="宋体"/>
                      <w:sz w:val="24"/>
                      <w:highlight w:val="none"/>
                    </w:rPr>
                  </w:pPr>
                  <w:r>
                    <w:rPr>
                      <w:rFonts w:hint="eastAsia" w:ascii="宋体" w:hAnsi="宋体" w:eastAsia="仿宋" w:cs="宋体"/>
                      <w:sz w:val="24"/>
                      <w:highlight w:val="none"/>
                    </w:rPr>
                    <w:t>超融合应用服务一体机</w:t>
                  </w:r>
                </w:p>
              </w:tc>
              <w:tc>
                <w:tcPr>
                  <w:tcW w:w="4003" w:type="dxa"/>
                  <w:noWrap/>
                  <w:vAlign w:val="center"/>
                </w:tcPr>
                <w:p w14:paraId="1BAB653E">
                  <w:pPr>
                    <w:widowControl/>
                    <w:spacing w:line="360" w:lineRule="auto"/>
                    <w:rPr>
                      <w:rFonts w:ascii="宋体" w:hAnsi="宋体" w:eastAsia="仿宋" w:cs="宋体"/>
                      <w:sz w:val="24"/>
                      <w:highlight w:val="none"/>
                    </w:rPr>
                  </w:pPr>
                  <w:r>
                    <w:rPr>
                      <w:rFonts w:hint="eastAsia" w:ascii="宋体" w:hAnsi="宋体" w:eastAsia="仿宋" w:cs="宋体"/>
                      <w:sz w:val="24"/>
                      <w:highlight w:val="none"/>
                    </w:rPr>
                    <w:t>超融合服务一体机</w:t>
                  </w:r>
                </w:p>
                <w:p w14:paraId="12C892ED">
                  <w:pPr>
                    <w:widowControl/>
                    <w:spacing w:line="360" w:lineRule="auto"/>
                    <w:rPr>
                      <w:rFonts w:ascii="宋体" w:hAnsi="宋体" w:eastAsia="仿宋" w:cs="宋体"/>
                      <w:sz w:val="24"/>
                      <w:highlight w:val="none"/>
                    </w:rPr>
                  </w:pPr>
                  <w:r>
                    <w:rPr>
                      <w:rFonts w:hint="eastAsia" w:ascii="宋体" w:hAnsi="宋体" w:eastAsia="仿宋" w:cs="宋体"/>
                      <w:sz w:val="24"/>
                      <w:highlight w:val="none"/>
                    </w:rPr>
                    <w:t>单节点配置要求如下：</w:t>
                  </w:r>
                </w:p>
                <w:p w14:paraId="011E2E5A">
                  <w:pPr>
                    <w:widowControl/>
                    <w:spacing w:line="360" w:lineRule="auto"/>
                    <w:rPr>
                      <w:rFonts w:ascii="宋体" w:hAnsi="宋体" w:eastAsia="仿宋" w:cs="宋体"/>
                      <w:sz w:val="24"/>
                      <w:highlight w:val="none"/>
                    </w:rPr>
                  </w:pPr>
                  <w:r>
                    <w:rPr>
                      <w:rFonts w:hint="eastAsia" w:ascii="宋体" w:hAnsi="宋体" w:eastAsia="仿宋" w:cs="宋体"/>
                      <w:sz w:val="24"/>
                      <w:highlight w:val="none"/>
                    </w:rPr>
                    <w:t>规格：2U；</w:t>
                  </w:r>
                </w:p>
                <w:p w14:paraId="3D1D0A1E">
                  <w:pPr>
                    <w:widowControl/>
                    <w:spacing w:line="360" w:lineRule="auto"/>
                    <w:rPr>
                      <w:rFonts w:ascii="宋体" w:hAnsi="宋体" w:eastAsia="仿宋" w:cs="宋体"/>
                      <w:sz w:val="24"/>
                      <w:highlight w:val="none"/>
                    </w:rPr>
                  </w:pPr>
                  <w:r>
                    <w:rPr>
                      <w:rFonts w:hint="eastAsia" w:ascii="宋体" w:hAnsi="宋体" w:eastAsia="仿宋" w:cs="宋体"/>
                      <w:sz w:val="24"/>
                      <w:highlight w:val="none"/>
                    </w:rPr>
                    <w:t>国产处理器：≥2*32C，主频≥2.0GHz；</w:t>
                  </w:r>
                </w:p>
                <w:p w14:paraId="5D8EC9B5">
                  <w:pPr>
                    <w:widowControl/>
                    <w:spacing w:line="360" w:lineRule="auto"/>
                    <w:rPr>
                      <w:rFonts w:ascii="宋体" w:hAnsi="宋体" w:eastAsia="仿宋" w:cs="宋体"/>
                      <w:sz w:val="24"/>
                      <w:highlight w:val="none"/>
                    </w:rPr>
                  </w:pPr>
                  <w:r>
                    <w:rPr>
                      <w:rFonts w:hint="eastAsia" w:ascii="宋体" w:hAnsi="宋体" w:eastAsia="仿宋" w:cs="宋体"/>
                      <w:sz w:val="24"/>
                      <w:highlight w:val="none"/>
                    </w:rPr>
                    <w:t>内存：≥256GB DDR4；</w:t>
                  </w:r>
                </w:p>
                <w:p w14:paraId="52B307CD">
                  <w:pPr>
                    <w:widowControl/>
                    <w:spacing w:line="360" w:lineRule="auto"/>
                    <w:rPr>
                      <w:rFonts w:ascii="宋体" w:hAnsi="宋体" w:eastAsia="仿宋" w:cs="宋体"/>
                      <w:sz w:val="24"/>
                      <w:highlight w:val="none"/>
                    </w:rPr>
                  </w:pPr>
                  <w:r>
                    <w:rPr>
                      <w:rFonts w:hint="eastAsia" w:ascii="宋体" w:hAnsi="宋体" w:eastAsia="仿宋" w:cs="宋体"/>
                      <w:sz w:val="24"/>
                      <w:highlight w:val="none"/>
                    </w:rPr>
                    <w:t>硬盘：系统盘：≥2*480GB SATA SSD ，缓存盘：≥2*480G SSD，数据盘：≥3*2.4TB SAS盘；</w:t>
                  </w:r>
                </w:p>
                <w:p w14:paraId="052614D9">
                  <w:pPr>
                    <w:widowControl/>
                    <w:spacing w:line="360" w:lineRule="auto"/>
                    <w:rPr>
                      <w:rFonts w:ascii="宋体" w:hAnsi="宋体" w:eastAsia="仿宋" w:cs="宋体"/>
                      <w:sz w:val="24"/>
                      <w:highlight w:val="none"/>
                    </w:rPr>
                  </w:pPr>
                  <w:r>
                    <w:rPr>
                      <w:rFonts w:hint="eastAsia" w:ascii="宋体" w:hAnsi="宋体" w:eastAsia="仿宋" w:cs="宋体"/>
                      <w:sz w:val="24"/>
                      <w:highlight w:val="none"/>
                    </w:rPr>
                    <w:t>电源：冗余电源；</w:t>
                  </w:r>
                </w:p>
                <w:p w14:paraId="421E4AF5">
                  <w:pPr>
                    <w:widowControl/>
                    <w:spacing w:line="360" w:lineRule="auto"/>
                    <w:rPr>
                      <w:rFonts w:ascii="宋体" w:hAnsi="宋体" w:eastAsia="仿宋" w:cs="宋体"/>
                      <w:sz w:val="24"/>
                      <w:highlight w:val="none"/>
                    </w:rPr>
                  </w:pPr>
                  <w:r>
                    <w:rPr>
                      <w:rFonts w:hint="eastAsia" w:ascii="宋体" w:hAnsi="宋体" w:eastAsia="仿宋" w:cs="宋体"/>
                      <w:sz w:val="24"/>
                      <w:highlight w:val="none"/>
                    </w:rPr>
                    <w:t>网卡：≥2*千兆电口+2*双光口万兆网卡（含光模块）。</w:t>
                  </w:r>
                </w:p>
                <w:p w14:paraId="262A43BB">
                  <w:pPr>
                    <w:widowControl/>
                    <w:spacing w:line="360" w:lineRule="auto"/>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p w14:paraId="674D1C37">
                  <w:pPr>
                    <w:widowControl/>
                    <w:spacing w:line="360" w:lineRule="auto"/>
                    <w:rPr>
                      <w:rFonts w:ascii="宋体" w:hAnsi="宋体" w:eastAsia="仿宋" w:cs="宋体"/>
                      <w:sz w:val="24"/>
                      <w:highlight w:val="none"/>
                    </w:rPr>
                  </w:pPr>
                  <w:r>
                    <w:rPr>
                      <w:rFonts w:hint="eastAsia" w:ascii="宋体" w:hAnsi="宋体" w:eastAsia="仿宋" w:cs="宋体"/>
                      <w:sz w:val="24"/>
                      <w:highlight w:val="none"/>
                    </w:rPr>
                    <w:t>含国产操作系统</w:t>
                  </w:r>
                </w:p>
                <w:p w14:paraId="497E6396">
                  <w:pPr>
                    <w:widowControl/>
                    <w:spacing w:line="360" w:lineRule="auto"/>
                    <w:rPr>
                      <w:rFonts w:ascii="宋体" w:hAnsi="宋体" w:eastAsia="仿宋" w:cs="宋体"/>
                      <w:sz w:val="24"/>
                      <w:highlight w:val="none"/>
                    </w:rPr>
                  </w:pPr>
                  <w:r>
                    <w:rPr>
                      <w:rFonts w:hint="eastAsia" w:ascii="宋体" w:hAnsi="宋体" w:eastAsia="仿宋" w:cs="宋体"/>
                      <w:sz w:val="24"/>
                      <w:highlight w:val="none"/>
                    </w:rPr>
                    <w:t>1、总体要求：</w:t>
                  </w:r>
                </w:p>
                <w:p w14:paraId="3148C21B">
                  <w:pPr>
                    <w:widowControl/>
                    <w:spacing w:line="360" w:lineRule="auto"/>
                    <w:rPr>
                      <w:rFonts w:ascii="宋体" w:hAnsi="宋体" w:eastAsia="仿宋" w:cs="宋体"/>
                      <w:sz w:val="24"/>
                      <w:highlight w:val="none"/>
                    </w:rPr>
                  </w:pPr>
                  <w:r>
                    <w:rPr>
                      <w:rFonts w:hint="eastAsia" w:ascii="宋体" w:hAnsi="宋体" w:eastAsia="仿宋" w:cs="宋体"/>
                      <w:sz w:val="24"/>
                      <w:highlight w:val="none"/>
                    </w:rPr>
                    <w:t>兼容性：虚拟化软件应兼容主流硬件，可支持X86架构CPU</w:t>
                  </w:r>
                </w:p>
                <w:p w14:paraId="6C6459F7">
                  <w:pPr>
                    <w:widowControl/>
                    <w:spacing w:line="360" w:lineRule="auto"/>
                    <w:rPr>
                      <w:rFonts w:ascii="宋体" w:hAnsi="宋体" w:eastAsia="仿宋" w:cs="宋体"/>
                      <w:sz w:val="24"/>
                      <w:highlight w:val="none"/>
                    </w:rPr>
                  </w:pPr>
                  <w:r>
                    <w:rPr>
                      <w:rFonts w:hint="eastAsia" w:ascii="宋体" w:hAnsi="宋体" w:eastAsia="仿宋" w:cs="宋体"/>
                      <w:sz w:val="24"/>
                      <w:highlight w:val="none"/>
                    </w:rPr>
                    <w:t>集群管理：支持集群管理，包含集群创建、节点加入；支持查看集群健康状态、集群资源信息，如CPU、内存、存储使用率；支持查看节点的在线状态和资源使用率；支持控制节点高可用，控制节点支持分离式和融合式部署架构，在任意控制节点出现故障时，虚拟化平台仍然能够正常工作，不影响业务运行；支持节点在线扩容和升级，过程中不影响业务正常运行</w:t>
                  </w:r>
                </w:p>
                <w:p w14:paraId="4AFA782D">
                  <w:pPr>
                    <w:widowControl/>
                    <w:spacing w:line="360" w:lineRule="auto"/>
                    <w:rPr>
                      <w:rFonts w:ascii="宋体" w:hAnsi="宋体" w:eastAsia="仿宋" w:cs="宋体"/>
                      <w:sz w:val="24"/>
                      <w:highlight w:val="none"/>
                    </w:rPr>
                  </w:pPr>
                  <w:r>
                    <w:rPr>
                      <w:rFonts w:hint="eastAsia" w:ascii="宋体" w:hAnsi="宋体" w:eastAsia="仿宋" w:cs="宋体"/>
                      <w:sz w:val="24"/>
                      <w:highlight w:val="none"/>
                    </w:rPr>
                    <w:t>操作系统兼容性：虚拟机兼容常见的操作系统，如 Windows、Ubuntu、Centos、RHEL、Kylin、UOS、openEuler、Anolis等操作系统</w:t>
                  </w:r>
                </w:p>
                <w:p w14:paraId="35BCC39C">
                  <w:pPr>
                    <w:widowControl/>
                    <w:spacing w:line="360" w:lineRule="auto"/>
                    <w:rPr>
                      <w:rFonts w:ascii="宋体" w:hAnsi="宋体" w:eastAsia="仿宋" w:cs="宋体"/>
                      <w:sz w:val="24"/>
                      <w:highlight w:val="none"/>
                    </w:rPr>
                  </w:pPr>
                  <w:r>
                    <w:rPr>
                      <w:rFonts w:hint="eastAsia" w:ascii="宋体" w:hAnsi="宋体" w:eastAsia="仿宋" w:cs="宋体"/>
                      <w:sz w:val="24"/>
                      <w:highlight w:val="none"/>
                    </w:rPr>
                    <w:t>OVF模板管理：支持从第三方虚拟化平台导出虚拟主机OVF模板，可将OVF、VMDK格式按需导入虚拟机</w:t>
                  </w:r>
                </w:p>
                <w:p w14:paraId="12BCDECB">
                  <w:pPr>
                    <w:widowControl/>
                    <w:spacing w:line="360" w:lineRule="auto"/>
                    <w:rPr>
                      <w:rFonts w:ascii="宋体" w:hAnsi="宋体" w:eastAsia="仿宋" w:cs="宋体"/>
                      <w:sz w:val="24"/>
                      <w:highlight w:val="none"/>
                    </w:rPr>
                  </w:pPr>
                  <w:r>
                    <w:rPr>
                      <w:rFonts w:hint="eastAsia" w:ascii="宋体" w:hAnsi="宋体" w:eastAsia="仿宋" w:cs="宋体"/>
                      <w:sz w:val="24"/>
                      <w:highlight w:val="none"/>
                    </w:rPr>
                    <w:t>快照及镜像管理：支持在线创建快照，创建快照不影响业务正常运行；同时支持将虚拟机转换、克隆、迁移，支持ISO镜像导入，通过虚拟机镜像可以创建虚拟机，支持镜像的查看及管理</w:t>
                  </w:r>
                </w:p>
                <w:p w14:paraId="025C8D8A">
                  <w:pPr>
                    <w:widowControl/>
                    <w:spacing w:line="360" w:lineRule="auto"/>
                    <w:rPr>
                      <w:rFonts w:ascii="宋体" w:hAnsi="宋体" w:eastAsia="仿宋" w:cs="宋体"/>
                      <w:sz w:val="24"/>
                      <w:highlight w:val="none"/>
                    </w:rPr>
                  </w:pPr>
                  <w:r>
                    <w:rPr>
                      <w:rFonts w:hint="eastAsia" w:ascii="宋体" w:hAnsi="宋体" w:eastAsia="仿宋" w:cs="宋体"/>
                      <w:sz w:val="24"/>
                      <w:highlight w:val="none"/>
                    </w:rPr>
                    <w:t>虚拟机管理：支持虚拟机的创建、移除、编辑、启动、关机、停止、重启等；支持虚拟机备份、复制、快照；支持虚拟机操作日志的查看；支持虚拟机冷、热迁移；支持虚拟机变更，如调整CPU、内存和磁盘容量等；支持硬件添加：如硬盘、网络设备、PCI设备等</w:t>
                  </w:r>
                </w:p>
                <w:p w14:paraId="0A8AFC17">
                  <w:pPr>
                    <w:widowControl/>
                    <w:spacing w:line="360" w:lineRule="auto"/>
                    <w:rPr>
                      <w:rFonts w:ascii="宋体" w:hAnsi="宋体" w:eastAsia="仿宋" w:cs="宋体"/>
                      <w:sz w:val="24"/>
                      <w:highlight w:val="none"/>
                    </w:rPr>
                  </w:pPr>
                  <w:r>
                    <w:rPr>
                      <w:rFonts w:hint="eastAsia" w:ascii="宋体" w:hAnsi="宋体" w:eastAsia="仿宋" w:cs="宋体"/>
                      <w:sz w:val="24"/>
                      <w:highlight w:val="none"/>
                    </w:rPr>
                    <w:t>高可用：支持虚拟机配置高可用模式，计划性维护或突发情况导致虚拟机异常关机或宿主机宕机时，可触发虚拟机自动迁移或重启，提高虚拟机可用性</w:t>
                  </w:r>
                </w:p>
                <w:p w14:paraId="3FCE9B67">
                  <w:pPr>
                    <w:widowControl/>
                    <w:spacing w:line="360" w:lineRule="auto"/>
                    <w:rPr>
                      <w:rFonts w:ascii="宋体" w:hAnsi="宋体" w:eastAsia="仿宋" w:cs="宋体"/>
                      <w:sz w:val="24"/>
                      <w:highlight w:val="none"/>
                    </w:rPr>
                  </w:pPr>
                  <w:r>
                    <w:rPr>
                      <w:rFonts w:hint="eastAsia" w:ascii="宋体" w:hAnsi="宋体" w:eastAsia="仿宋" w:cs="宋体"/>
                      <w:sz w:val="24"/>
                      <w:highlight w:val="none"/>
                    </w:rPr>
                    <w:t>设备厂商要求：要求厂商具有公安交管核心业务系统的配套建设经验和能力，提供相关证明材料</w:t>
                  </w:r>
                </w:p>
                <w:p w14:paraId="471E3E79">
                  <w:pPr>
                    <w:widowControl/>
                    <w:spacing w:line="360" w:lineRule="auto"/>
                    <w:rPr>
                      <w:rFonts w:ascii="宋体" w:hAnsi="宋体" w:eastAsia="仿宋" w:cs="宋体"/>
                      <w:sz w:val="24"/>
                      <w:highlight w:val="none"/>
                    </w:rPr>
                  </w:pPr>
                  <w:r>
                    <w:rPr>
                      <w:rFonts w:hint="eastAsia" w:ascii="宋体" w:hAnsi="宋体" w:eastAsia="仿宋" w:cs="宋体"/>
                      <w:sz w:val="24"/>
                      <w:highlight w:val="none"/>
                    </w:rPr>
                    <w:t>2、存储虚拟化要求</w:t>
                  </w:r>
                </w:p>
                <w:p w14:paraId="11561D15">
                  <w:pPr>
                    <w:widowControl/>
                    <w:spacing w:line="360" w:lineRule="auto"/>
                    <w:rPr>
                      <w:rFonts w:ascii="宋体" w:hAnsi="宋体" w:eastAsia="仿宋" w:cs="宋体"/>
                      <w:sz w:val="24"/>
                      <w:highlight w:val="none"/>
                    </w:rPr>
                  </w:pPr>
                  <w:r>
                    <w:rPr>
                      <w:rFonts w:hint="eastAsia" w:ascii="宋体" w:hAnsi="宋体" w:eastAsia="仿宋" w:cs="宋体"/>
                      <w:sz w:val="24"/>
                      <w:highlight w:val="none"/>
                    </w:rPr>
                    <w:t>存储架构：基于通用服务器硬件部署，采用分布式存储架构，提供高可用能力，可实现单磁盘和单节点损坏存储系统依然正常运行，且性能稳定</w:t>
                  </w:r>
                </w:p>
                <w:p w14:paraId="15C0B735">
                  <w:pPr>
                    <w:widowControl/>
                    <w:spacing w:line="360" w:lineRule="auto"/>
                    <w:rPr>
                      <w:rFonts w:ascii="宋体" w:hAnsi="宋体" w:eastAsia="仿宋" w:cs="宋体"/>
                      <w:sz w:val="24"/>
                      <w:highlight w:val="none"/>
                    </w:rPr>
                  </w:pPr>
                  <w:r>
                    <w:rPr>
                      <w:rFonts w:hint="eastAsia" w:ascii="宋体" w:hAnsi="宋体" w:eastAsia="仿宋" w:cs="宋体"/>
                      <w:sz w:val="24"/>
                      <w:highlight w:val="none"/>
                    </w:rPr>
                    <w:t>保护机制：支持多副本保护策略，副本支持1-7副本，支持动态调整副本数</w:t>
                  </w:r>
                </w:p>
                <w:p w14:paraId="5BD18075">
                  <w:pPr>
                    <w:widowControl/>
                    <w:spacing w:line="360" w:lineRule="auto"/>
                    <w:rPr>
                      <w:rFonts w:ascii="宋体" w:hAnsi="宋体" w:eastAsia="仿宋" w:cs="宋体"/>
                      <w:sz w:val="24"/>
                      <w:highlight w:val="none"/>
                    </w:rPr>
                  </w:pPr>
                  <w:r>
                    <w:rPr>
                      <w:rFonts w:hint="eastAsia" w:ascii="宋体" w:hAnsi="宋体" w:eastAsia="仿宋" w:cs="宋体"/>
                      <w:sz w:val="24"/>
                      <w:highlight w:val="none"/>
                    </w:rPr>
                    <w:t>硬盘管理：支持查看磁盘基本信息，如磁盘类型、大小、使用率，磁盘健康状态，支持磁盘格式化</w:t>
                  </w:r>
                </w:p>
                <w:p w14:paraId="32E40DBE">
                  <w:pPr>
                    <w:widowControl/>
                    <w:spacing w:line="360" w:lineRule="auto"/>
                    <w:rPr>
                      <w:rFonts w:ascii="宋体" w:hAnsi="宋体" w:eastAsia="仿宋" w:cs="宋体"/>
                      <w:sz w:val="24"/>
                      <w:highlight w:val="none"/>
                    </w:rPr>
                  </w:pPr>
                  <w:r>
                    <w:rPr>
                      <w:rFonts w:hint="eastAsia" w:ascii="宋体" w:hAnsi="宋体" w:eastAsia="仿宋" w:cs="宋体"/>
                      <w:sz w:val="24"/>
                      <w:highlight w:val="none"/>
                    </w:rPr>
                    <w:t>3、网络要求</w:t>
                  </w:r>
                </w:p>
                <w:p w14:paraId="05FC5BEE">
                  <w:pPr>
                    <w:widowControl/>
                    <w:spacing w:line="360" w:lineRule="auto"/>
                    <w:rPr>
                      <w:rFonts w:ascii="宋体" w:hAnsi="宋体" w:eastAsia="仿宋" w:cs="宋体"/>
                      <w:sz w:val="24"/>
                      <w:highlight w:val="none"/>
                    </w:rPr>
                  </w:pPr>
                  <w:r>
                    <w:rPr>
                      <w:rFonts w:hint="eastAsia" w:ascii="宋体" w:hAnsi="宋体" w:eastAsia="仿宋" w:cs="宋体"/>
                      <w:sz w:val="24"/>
                      <w:highlight w:val="none"/>
                    </w:rPr>
                    <w:t>网络管理：支持创建、修改、删除Bridge、Bond、VLAN</w:t>
                  </w:r>
                </w:p>
                <w:p w14:paraId="439C52BA">
                  <w:pPr>
                    <w:widowControl/>
                    <w:spacing w:line="360" w:lineRule="auto"/>
                    <w:rPr>
                      <w:rFonts w:ascii="宋体" w:hAnsi="宋体" w:eastAsia="仿宋" w:cs="宋体"/>
                      <w:sz w:val="24"/>
                      <w:highlight w:val="none"/>
                    </w:rPr>
                  </w:pPr>
                  <w:r>
                    <w:rPr>
                      <w:rFonts w:hint="eastAsia" w:ascii="宋体" w:hAnsi="宋体" w:eastAsia="仿宋" w:cs="宋体"/>
                      <w:sz w:val="24"/>
                      <w:highlight w:val="none"/>
                    </w:rPr>
                    <w:t>网卡虚拟化：支持物理网卡虚拟化成多张虚拟网卡直接给虚拟机使用</w:t>
                  </w:r>
                </w:p>
                <w:p w14:paraId="538FE2B1">
                  <w:pPr>
                    <w:widowControl/>
                    <w:spacing w:line="360" w:lineRule="auto"/>
                    <w:rPr>
                      <w:rFonts w:ascii="宋体" w:hAnsi="宋体" w:eastAsia="仿宋" w:cs="宋体"/>
                      <w:sz w:val="24"/>
                      <w:highlight w:val="none"/>
                    </w:rPr>
                  </w:pPr>
                  <w:r>
                    <w:rPr>
                      <w:rFonts w:hint="eastAsia" w:ascii="宋体" w:hAnsi="宋体" w:eastAsia="仿宋" w:cs="宋体"/>
                      <w:sz w:val="24"/>
                      <w:highlight w:val="none"/>
                    </w:rPr>
                    <w:t>安全设置：需支持安全组和虚拟防火墙，用户可自定义安全组和防火墙规则，提高网络安全</w:t>
                  </w:r>
                </w:p>
                <w:p w14:paraId="61606108">
                  <w:pPr>
                    <w:widowControl/>
                    <w:spacing w:line="360" w:lineRule="auto"/>
                    <w:rPr>
                      <w:rFonts w:ascii="宋体" w:hAnsi="宋体" w:eastAsia="仿宋" w:cs="宋体"/>
                      <w:sz w:val="24"/>
                      <w:highlight w:val="none"/>
                    </w:rPr>
                  </w:pPr>
                  <w:r>
                    <w:rPr>
                      <w:rFonts w:hint="eastAsia" w:ascii="宋体" w:hAnsi="宋体" w:eastAsia="仿宋" w:cs="宋体"/>
                      <w:sz w:val="24"/>
                      <w:highlight w:val="none"/>
                    </w:rPr>
                    <w:t>4、安全要求</w:t>
                  </w:r>
                </w:p>
                <w:p w14:paraId="0E31AD1E">
                  <w:pPr>
                    <w:widowControl/>
                    <w:spacing w:line="360" w:lineRule="auto"/>
                    <w:rPr>
                      <w:rFonts w:ascii="宋体" w:hAnsi="宋体" w:eastAsia="仿宋" w:cs="宋体"/>
                      <w:sz w:val="24"/>
                      <w:highlight w:val="none"/>
                    </w:rPr>
                  </w:pPr>
                  <w:r>
                    <w:rPr>
                      <w:rFonts w:hint="eastAsia" w:ascii="宋体" w:hAnsi="宋体" w:eastAsia="仿宋" w:cs="宋体"/>
                      <w:sz w:val="24"/>
                      <w:highlight w:val="none"/>
                    </w:rPr>
                    <w:t>权限管理：支持权限管理模式，包含超级管理员、系统管理员、虚拟机管理员、虚拟机用户等角色，满足不同场景权限分离需求</w:t>
                  </w:r>
                </w:p>
              </w:tc>
              <w:tc>
                <w:tcPr>
                  <w:tcW w:w="661" w:type="dxa"/>
                  <w:noWrap/>
                  <w:vAlign w:val="center"/>
                </w:tcPr>
                <w:p w14:paraId="00A8251F">
                  <w:pPr>
                    <w:widowControl/>
                    <w:spacing w:line="360" w:lineRule="auto"/>
                    <w:rPr>
                      <w:rFonts w:ascii="宋体" w:hAnsi="宋体" w:eastAsia="仿宋" w:cs="宋体"/>
                      <w:sz w:val="24"/>
                      <w:highlight w:val="none"/>
                    </w:rPr>
                  </w:pPr>
                  <w:r>
                    <w:rPr>
                      <w:rFonts w:hint="eastAsia" w:ascii="宋体" w:hAnsi="宋体" w:eastAsia="仿宋" w:cs="宋体"/>
                      <w:sz w:val="24"/>
                      <w:highlight w:val="none"/>
                    </w:rPr>
                    <w:t>7</w:t>
                  </w:r>
                </w:p>
              </w:tc>
              <w:tc>
                <w:tcPr>
                  <w:tcW w:w="661" w:type="dxa"/>
                  <w:noWrap/>
                  <w:vAlign w:val="center"/>
                </w:tcPr>
                <w:p w14:paraId="20B8C302">
                  <w:pPr>
                    <w:widowControl/>
                    <w:spacing w:line="360" w:lineRule="auto"/>
                    <w:rPr>
                      <w:rFonts w:ascii="宋体" w:hAnsi="宋体" w:eastAsia="仿宋" w:cs="宋体"/>
                      <w:sz w:val="24"/>
                      <w:highlight w:val="none"/>
                    </w:rPr>
                  </w:pPr>
                  <w:r>
                    <w:rPr>
                      <w:rFonts w:hint="eastAsia" w:ascii="宋体" w:hAnsi="宋体" w:eastAsia="仿宋" w:cs="宋体"/>
                      <w:sz w:val="24"/>
                      <w:highlight w:val="none"/>
                    </w:rPr>
                    <w:t>节点</w:t>
                  </w:r>
                </w:p>
              </w:tc>
            </w:tr>
            <w:tr w14:paraId="29A7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72CFA9C7">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2</w:t>
                  </w:r>
                </w:p>
              </w:tc>
              <w:tc>
                <w:tcPr>
                  <w:tcW w:w="593" w:type="dxa"/>
                  <w:vMerge w:val="restart"/>
                  <w:noWrap/>
                  <w:vAlign w:val="center"/>
                </w:tcPr>
                <w:p w14:paraId="73437AE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大数据平台</w:t>
                  </w:r>
                </w:p>
              </w:tc>
              <w:tc>
                <w:tcPr>
                  <w:tcW w:w="1025" w:type="dxa"/>
                  <w:noWrap/>
                  <w:vAlign w:val="center"/>
                </w:tcPr>
                <w:p w14:paraId="304592B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大数据平台流式计算服务一体机</w:t>
                  </w:r>
                </w:p>
              </w:tc>
              <w:tc>
                <w:tcPr>
                  <w:tcW w:w="4003" w:type="dxa"/>
                  <w:noWrap/>
                  <w:vAlign w:val="center"/>
                </w:tcPr>
                <w:p w14:paraId="6CF2F49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国产处理器：≥2*16C，主频≥2.5</w:t>
                  </w:r>
                  <w:r>
                    <w:rPr>
                      <w:rFonts w:ascii="宋体" w:hAnsi="宋体" w:eastAsia="仿宋" w:cs="宋体"/>
                      <w:sz w:val="24"/>
                      <w:highlight w:val="none"/>
                    </w:rPr>
                    <w:t>GHz</w:t>
                  </w:r>
                </w:p>
                <w:p w14:paraId="79F663F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内存：≥256</w:t>
                  </w:r>
                  <w:r>
                    <w:rPr>
                      <w:rFonts w:ascii="宋体" w:hAnsi="宋体" w:eastAsia="仿宋" w:cs="宋体"/>
                      <w:sz w:val="24"/>
                      <w:highlight w:val="none"/>
                    </w:rPr>
                    <w:t xml:space="preserve">GB </w:t>
                  </w:r>
                  <w:r>
                    <w:rPr>
                      <w:rFonts w:hint="eastAsia" w:ascii="宋体" w:hAnsi="宋体" w:eastAsia="仿宋" w:cs="宋体"/>
                      <w:sz w:val="24"/>
                      <w:highlight w:val="none"/>
                    </w:rPr>
                    <w:t>DDR4；</w:t>
                  </w:r>
                </w:p>
                <w:p w14:paraId="6C3B197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硬盘：≥2*480G SATA企业级SSD，≥2*4TB SATA企业级硬盘</w:t>
                  </w:r>
                </w:p>
                <w:p w14:paraId="03C0A40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RAID卡：2G或以上缓存RAID卡，支持RAID 0,1,5,6</w:t>
                  </w:r>
                </w:p>
                <w:p w14:paraId="54E00D8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网卡：≥1*双电口千兆网卡，≥1*双光口万兆网卡（含光模块）</w:t>
                  </w:r>
                </w:p>
                <w:p w14:paraId="66632835">
                  <w:pPr>
                    <w:widowControl/>
                    <w:spacing w:line="360" w:lineRule="auto"/>
                    <w:jc w:val="left"/>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p w14:paraId="77E24004">
                  <w:pPr>
                    <w:widowControl/>
                    <w:spacing w:line="360" w:lineRule="auto"/>
                    <w:rPr>
                      <w:rFonts w:ascii="宋体" w:hAnsi="宋体" w:eastAsia="仿宋" w:cs="宋体"/>
                      <w:sz w:val="24"/>
                      <w:highlight w:val="none"/>
                    </w:rPr>
                  </w:pPr>
                  <w:r>
                    <w:rPr>
                      <w:rFonts w:hint="eastAsia" w:ascii="宋体" w:hAnsi="宋体" w:eastAsia="仿宋" w:cs="宋体"/>
                      <w:sz w:val="24"/>
                      <w:highlight w:val="none"/>
                    </w:rPr>
                    <w:t>含国产操作系统</w:t>
                  </w:r>
                </w:p>
              </w:tc>
              <w:tc>
                <w:tcPr>
                  <w:tcW w:w="661" w:type="dxa"/>
                  <w:noWrap/>
                  <w:vAlign w:val="center"/>
                </w:tcPr>
                <w:p w14:paraId="30A39697">
                  <w:pPr>
                    <w:widowControl/>
                    <w:spacing w:line="360" w:lineRule="auto"/>
                    <w:rPr>
                      <w:rFonts w:ascii="宋体" w:hAnsi="宋体" w:eastAsia="仿宋" w:cs="宋体"/>
                      <w:sz w:val="24"/>
                      <w:highlight w:val="none"/>
                    </w:rPr>
                  </w:pPr>
                  <w:r>
                    <w:rPr>
                      <w:rFonts w:hint="eastAsia" w:ascii="宋体" w:hAnsi="宋体" w:eastAsia="仿宋" w:cs="宋体"/>
                      <w:sz w:val="24"/>
                      <w:highlight w:val="none"/>
                    </w:rPr>
                    <w:t>12</w:t>
                  </w:r>
                </w:p>
              </w:tc>
              <w:tc>
                <w:tcPr>
                  <w:tcW w:w="661" w:type="dxa"/>
                  <w:noWrap/>
                  <w:vAlign w:val="center"/>
                </w:tcPr>
                <w:p w14:paraId="5B8FC0A9">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7515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6905934C">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3</w:t>
                  </w:r>
                </w:p>
              </w:tc>
              <w:tc>
                <w:tcPr>
                  <w:tcW w:w="593" w:type="dxa"/>
                  <w:vMerge w:val="continue"/>
                  <w:noWrap/>
                  <w:vAlign w:val="center"/>
                </w:tcPr>
                <w:p w14:paraId="4C60E1C0">
                  <w:pPr>
                    <w:rPr>
                      <w:highlight w:val="none"/>
                    </w:rPr>
                  </w:pPr>
                </w:p>
              </w:tc>
              <w:tc>
                <w:tcPr>
                  <w:tcW w:w="1025" w:type="dxa"/>
                  <w:noWrap/>
                  <w:vAlign w:val="center"/>
                </w:tcPr>
                <w:p w14:paraId="3EA1DC1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实时流处理引擎软件</w:t>
                  </w:r>
                </w:p>
              </w:tc>
              <w:tc>
                <w:tcPr>
                  <w:tcW w:w="4003" w:type="dxa"/>
                  <w:noWrap/>
                  <w:vAlign w:val="center"/>
                </w:tcPr>
                <w:p w14:paraId="0885403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(1)支持数据实时写入。</w:t>
                  </w:r>
                </w:p>
                <w:p w14:paraId="2F418DE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(2)支持流数据处理，包括数据过滤、转换操作、数据按Key做聚合计算、数据基于多种时间窗口计算、数据流之间做join关联等。</w:t>
                  </w:r>
                </w:p>
                <w:p w14:paraId="6D11674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(3)支持流数据处理保序列</w:t>
                  </w:r>
                </w:p>
                <w:p w14:paraId="0B8A541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(4)流处理单节点吞吐量≥10万条记录/秒</w:t>
                  </w:r>
                </w:p>
                <w:p w14:paraId="12B7E90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(5)流处理数据框架延迟≤2秒</w:t>
                  </w:r>
                </w:p>
                <w:p w14:paraId="19E1491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(6)投标产品须兼容国产化服务器与国产化操作系统。</w:t>
                  </w:r>
                </w:p>
                <w:p w14:paraId="4EE73E4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w:t>
                  </w:r>
                  <w:r>
                    <w:rPr>
                      <w:rFonts w:ascii="宋体" w:hAnsi="宋体" w:eastAsia="仿宋" w:cs="宋体"/>
                      <w:sz w:val="24"/>
                      <w:highlight w:val="none"/>
                    </w:rPr>
                    <w:t>所投产品代码自主率</w:t>
                  </w:r>
                  <w:r>
                    <w:rPr>
                      <w:rFonts w:hint="eastAsia" w:ascii="宋体" w:hAnsi="宋体" w:eastAsia="仿宋" w:cs="宋体"/>
                      <w:sz w:val="24"/>
                      <w:highlight w:val="none"/>
                    </w:rPr>
                    <w:t>（行数）</w:t>
                  </w:r>
                  <w:r>
                    <w:rPr>
                      <w:rFonts w:ascii="宋体" w:hAnsi="宋体" w:eastAsia="仿宋" w:cs="宋体"/>
                      <w:sz w:val="24"/>
                      <w:highlight w:val="none"/>
                    </w:rPr>
                    <w:t>大于</w:t>
                  </w:r>
                  <w:r>
                    <w:rPr>
                      <w:rFonts w:hint="eastAsia" w:ascii="宋体" w:hAnsi="宋体" w:eastAsia="仿宋" w:cs="宋体"/>
                      <w:sz w:val="24"/>
                      <w:highlight w:val="none"/>
                    </w:rPr>
                    <w:t>7</w:t>
                  </w:r>
                  <w:r>
                    <w:rPr>
                      <w:rFonts w:ascii="宋体" w:hAnsi="宋体" w:eastAsia="仿宋" w:cs="宋体"/>
                      <w:sz w:val="24"/>
                      <w:highlight w:val="none"/>
                    </w:rPr>
                    <w:t>0%</w:t>
                  </w:r>
                  <w:r>
                    <w:rPr>
                      <w:rFonts w:hint="eastAsia" w:ascii="宋体" w:hAnsi="宋体" w:eastAsia="仿宋" w:cs="宋体"/>
                      <w:sz w:val="24"/>
                      <w:highlight w:val="none"/>
                    </w:rPr>
                    <w:t>。</w:t>
                  </w:r>
                  <w:r>
                    <w:rPr>
                      <w:rFonts w:ascii="宋体" w:hAnsi="宋体" w:eastAsia="仿宋" w:cs="宋体"/>
                      <w:sz w:val="24"/>
                      <w:highlight w:val="none"/>
                    </w:rPr>
                    <w:t>（</w:t>
                  </w:r>
                  <w:r>
                    <w:rPr>
                      <w:rStyle w:val="90"/>
                      <w:rFonts w:ascii="宋体" w:hAnsi="宋体" w:eastAsia="仿宋" w:cs="宋体"/>
                      <w:sz w:val="24"/>
                      <w:highlight w:val="none"/>
                    </w:rPr>
                    <w:t>提供具有CMA资质的</w:t>
                  </w:r>
                  <w:r>
                    <w:rPr>
                      <w:rStyle w:val="90"/>
                      <w:rFonts w:hint="eastAsia" w:ascii="宋体" w:hAnsi="宋体" w:eastAsia="仿宋" w:cs="宋体"/>
                      <w:sz w:val="24"/>
                      <w:highlight w:val="none"/>
                    </w:rPr>
                    <w:t>第三方检测机构</w:t>
                  </w:r>
                  <w:r>
                    <w:rPr>
                      <w:rStyle w:val="90"/>
                      <w:rFonts w:ascii="宋体" w:hAnsi="宋体" w:eastAsia="仿宋" w:cs="宋体"/>
                      <w:sz w:val="24"/>
                      <w:highlight w:val="none"/>
                    </w:rPr>
                    <w:t>或</w:t>
                  </w:r>
                  <w:r>
                    <w:rPr>
                      <w:rStyle w:val="90"/>
                      <w:rFonts w:hint="eastAsia" w:ascii="宋体" w:hAnsi="宋体" w:eastAsia="仿宋" w:cs="宋体"/>
                      <w:sz w:val="24"/>
                      <w:highlight w:val="none"/>
                    </w:rPr>
                    <w:t>国家认可的检测机构</w:t>
                  </w:r>
                  <w:r>
                    <w:rPr>
                      <w:rStyle w:val="90"/>
                      <w:rFonts w:ascii="宋体" w:hAnsi="宋体" w:eastAsia="仿宋" w:cs="宋体"/>
                      <w:sz w:val="24"/>
                      <w:highlight w:val="none"/>
                    </w:rPr>
                    <w:t>出具的检测报告证明</w:t>
                  </w:r>
                  <w:r>
                    <w:rPr>
                      <w:rFonts w:ascii="宋体" w:hAnsi="宋体" w:eastAsia="仿宋" w:cs="宋体"/>
                      <w:sz w:val="24"/>
                      <w:highlight w:val="none"/>
                    </w:rPr>
                    <w:t>)</w:t>
                  </w:r>
                </w:p>
                <w:p w14:paraId="7B71727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(8)提供技术支持服务，提供5x8小时响应服务，支持400电话渠道、在线服务平台、微信公众号、邮件渠道和技术专家远程联机分析服务，提供产品/平台更新升级和升级指导，提供完整产品使用手册，远程支持年度巡检，并提供巡检报告。</w:t>
                  </w:r>
                </w:p>
              </w:tc>
              <w:tc>
                <w:tcPr>
                  <w:tcW w:w="661" w:type="dxa"/>
                  <w:noWrap/>
                  <w:vAlign w:val="center"/>
                </w:tcPr>
                <w:p w14:paraId="0AF6A937">
                  <w:pPr>
                    <w:widowControl/>
                    <w:spacing w:line="360" w:lineRule="auto"/>
                    <w:rPr>
                      <w:rFonts w:ascii="宋体" w:hAnsi="宋体" w:eastAsia="仿宋" w:cs="宋体"/>
                      <w:sz w:val="24"/>
                      <w:highlight w:val="none"/>
                    </w:rPr>
                  </w:pPr>
                  <w:r>
                    <w:rPr>
                      <w:rFonts w:hint="eastAsia" w:ascii="宋体" w:hAnsi="宋体" w:eastAsia="仿宋" w:cs="宋体"/>
                      <w:sz w:val="24"/>
                      <w:highlight w:val="none"/>
                    </w:rPr>
                    <w:t>12</w:t>
                  </w:r>
                </w:p>
              </w:tc>
              <w:tc>
                <w:tcPr>
                  <w:tcW w:w="661" w:type="dxa"/>
                  <w:noWrap/>
                  <w:vAlign w:val="center"/>
                </w:tcPr>
                <w:p w14:paraId="15FE22E6">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5639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2F9BD334">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4</w:t>
                  </w:r>
                </w:p>
              </w:tc>
              <w:tc>
                <w:tcPr>
                  <w:tcW w:w="593" w:type="dxa"/>
                  <w:vMerge w:val="continue"/>
                  <w:noWrap/>
                  <w:vAlign w:val="center"/>
                </w:tcPr>
                <w:p w14:paraId="2DB7B102">
                  <w:pPr>
                    <w:rPr>
                      <w:highlight w:val="none"/>
                    </w:rPr>
                  </w:pPr>
                </w:p>
              </w:tc>
              <w:tc>
                <w:tcPr>
                  <w:tcW w:w="1025" w:type="dxa"/>
                  <w:noWrap/>
                  <w:vAlign w:val="center"/>
                </w:tcPr>
                <w:p w14:paraId="0CC9C75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大数据平台数据存储服务一体机</w:t>
                  </w:r>
                </w:p>
              </w:tc>
              <w:tc>
                <w:tcPr>
                  <w:tcW w:w="4003" w:type="dxa"/>
                  <w:noWrap/>
                  <w:vAlign w:val="center"/>
                </w:tcPr>
                <w:p w14:paraId="77DE78E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国产处理器：≥2*16C，主频≥2.5G</w:t>
                  </w:r>
                  <w:r>
                    <w:rPr>
                      <w:rFonts w:ascii="宋体" w:hAnsi="宋体" w:eastAsia="仿宋" w:cs="宋体"/>
                      <w:sz w:val="24"/>
                      <w:highlight w:val="none"/>
                    </w:rPr>
                    <w:t>H</w:t>
                  </w:r>
                  <w:r>
                    <w:rPr>
                      <w:rFonts w:hint="eastAsia" w:ascii="宋体" w:hAnsi="宋体" w:eastAsia="仿宋" w:cs="宋体"/>
                      <w:sz w:val="24"/>
                      <w:highlight w:val="none"/>
                    </w:rPr>
                    <w:t>z</w:t>
                  </w:r>
                </w:p>
                <w:p w14:paraId="23A7E26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内存：≥256</w:t>
                  </w:r>
                  <w:r>
                    <w:rPr>
                      <w:rFonts w:ascii="宋体" w:hAnsi="宋体" w:eastAsia="仿宋" w:cs="宋体"/>
                      <w:sz w:val="24"/>
                      <w:highlight w:val="none"/>
                    </w:rPr>
                    <w:t xml:space="preserve">GB </w:t>
                  </w:r>
                  <w:r>
                    <w:rPr>
                      <w:rFonts w:hint="eastAsia" w:ascii="宋体" w:hAnsi="宋体" w:eastAsia="仿宋" w:cs="宋体"/>
                      <w:sz w:val="24"/>
                      <w:highlight w:val="none"/>
                    </w:rPr>
                    <w:t>DDR4；</w:t>
                  </w:r>
                </w:p>
                <w:p w14:paraId="199E975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硬盘：≥2*480G SATA企业级SSD，≥10*6TB SATA企业级硬盘</w:t>
                  </w:r>
                </w:p>
                <w:p w14:paraId="7825B04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RAID卡：≥2G或以上缓存RAID卡，支持RAID 0,1,5,6</w:t>
                  </w:r>
                </w:p>
                <w:p w14:paraId="73FD65B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网卡：≥1块双电口千兆网卡，≥1块双光口万兆网卡（含光模块）</w:t>
                  </w:r>
                </w:p>
                <w:p w14:paraId="538AC169">
                  <w:pPr>
                    <w:widowControl/>
                    <w:spacing w:line="360" w:lineRule="auto"/>
                    <w:jc w:val="left"/>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p w14:paraId="6F54D1EF">
                  <w:pPr>
                    <w:widowControl/>
                    <w:spacing w:line="360" w:lineRule="auto"/>
                    <w:jc w:val="left"/>
                    <w:rPr>
                      <w:rFonts w:ascii="宋体" w:hAnsi="宋体" w:eastAsia="仿宋" w:cs="宋体"/>
                      <w:b/>
                      <w:bCs/>
                      <w:sz w:val="24"/>
                      <w:highlight w:val="none"/>
                    </w:rPr>
                  </w:pPr>
                  <w:r>
                    <w:rPr>
                      <w:rFonts w:hint="eastAsia" w:ascii="宋体" w:hAnsi="宋体" w:eastAsia="仿宋" w:cs="宋体"/>
                      <w:sz w:val="24"/>
                      <w:highlight w:val="none"/>
                    </w:rPr>
                    <w:t>含国产操作系统</w:t>
                  </w:r>
                </w:p>
              </w:tc>
              <w:tc>
                <w:tcPr>
                  <w:tcW w:w="661" w:type="dxa"/>
                  <w:noWrap/>
                  <w:vAlign w:val="center"/>
                </w:tcPr>
                <w:p w14:paraId="31571D40">
                  <w:pPr>
                    <w:widowControl/>
                    <w:spacing w:line="360" w:lineRule="auto"/>
                    <w:rPr>
                      <w:rFonts w:ascii="宋体" w:hAnsi="宋体" w:eastAsia="仿宋" w:cs="宋体"/>
                      <w:sz w:val="24"/>
                      <w:highlight w:val="none"/>
                    </w:rPr>
                  </w:pPr>
                  <w:r>
                    <w:rPr>
                      <w:rFonts w:hint="eastAsia" w:ascii="宋体" w:hAnsi="宋体" w:eastAsia="仿宋" w:cs="宋体"/>
                      <w:sz w:val="24"/>
                      <w:highlight w:val="none"/>
                    </w:rPr>
                    <w:t>7</w:t>
                  </w:r>
                </w:p>
              </w:tc>
              <w:tc>
                <w:tcPr>
                  <w:tcW w:w="661" w:type="dxa"/>
                  <w:noWrap/>
                  <w:vAlign w:val="center"/>
                </w:tcPr>
                <w:p w14:paraId="12123E02">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14A4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55412285">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5</w:t>
                  </w:r>
                </w:p>
              </w:tc>
              <w:tc>
                <w:tcPr>
                  <w:tcW w:w="593" w:type="dxa"/>
                  <w:vMerge w:val="continue"/>
                  <w:noWrap/>
                  <w:vAlign w:val="center"/>
                </w:tcPr>
                <w:p w14:paraId="282CFF02">
                  <w:pPr>
                    <w:rPr>
                      <w:highlight w:val="none"/>
                    </w:rPr>
                  </w:pPr>
                </w:p>
              </w:tc>
              <w:tc>
                <w:tcPr>
                  <w:tcW w:w="1025" w:type="dxa"/>
                  <w:noWrap/>
                  <w:vAlign w:val="center"/>
                </w:tcPr>
                <w:p w14:paraId="6B960B7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实时数据管理软件</w:t>
                  </w:r>
                </w:p>
              </w:tc>
              <w:tc>
                <w:tcPr>
                  <w:tcW w:w="4003" w:type="dxa"/>
                  <w:noWrap/>
                  <w:vAlign w:val="center"/>
                </w:tcPr>
                <w:p w14:paraId="40B789D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(1)支持查看Hbase的监控信息，包括但不限于每秒请求数据信息。</w:t>
                  </w:r>
                </w:p>
                <w:p w14:paraId="113BAC9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(2)支持查看脏数据已剔除及原因信息。</w:t>
                  </w:r>
                </w:p>
                <w:p w14:paraId="4D17E42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(3)支持查看数据库中的库名、字段、表包含中文信息</w:t>
                  </w:r>
                </w:p>
                <w:p w14:paraId="76BCA30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(4)支持SQL引擎对SQL方言支持</w:t>
                  </w:r>
                </w:p>
                <w:p w14:paraId="28A8D72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(5)支持数据合并、不等值连接</w:t>
                  </w:r>
                </w:p>
                <w:p w14:paraId="7B6A7EF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(6)支持原子性回滚、原子性全部提交</w:t>
                  </w:r>
                </w:p>
                <w:p w14:paraId="54B1867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(7)支持分布式事务隔离性</w:t>
                  </w:r>
                </w:p>
                <w:p w14:paraId="3C5D227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(8)支持单台服务器扫描数据性能≥1.5GB/秒</w:t>
                  </w:r>
                </w:p>
                <w:p w14:paraId="499C383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★(9)投标产品须兼容国产化服务器与国产化操作系统。</w:t>
                  </w:r>
                </w:p>
                <w:p w14:paraId="2DD589D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（要求提供投标产品兼容现有主流国产操作系统承诺函）</w:t>
                  </w:r>
                </w:p>
                <w:p w14:paraId="3B4C346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★(10)</w:t>
                  </w:r>
                  <w:r>
                    <w:rPr>
                      <w:rFonts w:ascii="宋体" w:hAnsi="宋体" w:eastAsia="仿宋" w:cs="宋体"/>
                      <w:sz w:val="24"/>
                      <w:highlight w:val="none"/>
                    </w:rPr>
                    <w:t>所投产品代码自主率</w:t>
                  </w:r>
                  <w:r>
                    <w:rPr>
                      <w:rFonts w:hint="eastAsia" w:ascii="宋体" w:hAnsi="宋体" w:eastAsia="仿宋" w:cs="宋体"/>
                      <w:sz w:val="24"/>
                      <w:highlight w:val="none"/>
                    </w:rPr>
                    <w:t>（行数）</w:t>
                  </w:r>
                  <w:r>
                    <w:rPr>
                      <w:rFonts w:ascii="宋体" w:hAnsi="宋体" w:eastAsia="仿宋" w:cs="宋体"/>
                      <w:sz w:val="24"/>
                      <w:highlight w:val="none"/>
                    </w:rPr>
                    <w:t>大于</w:t>
                  </w:r>
                  <w:r>
                    <w:rPr>
                      <w:rFonts w:hint="eastAsia" w:ascii="宋体" w:hAnsi="宋体" w:eastAsia="仿宋" w:cs="宋体"/>
                      <w:sz w:val="24"/>
                      <w:highlight w:val="none"/>
                    </w:rPr>
                    <w:t>7</w:t>
                  </w:r>
                  <w:r>
                    <w:rPr>
                      <w:rFonts w:ascii="宋体" w:hAnsi="宋体" w:eastAsia="仿宋" w:cs="宋体"/>
                      <w:sz w:val="24"/>
                      <w:highlight w:val="none"/>
                    </w:rPr>
                    <w:t>0%</w:t>
                  </w:r>
                  <w:r>
                    <w:rPr>
                      <w:rFonts w:hint="eastAsia" w:ascii="宋体" w:hAnsi="宋体" w:eastAsia="仿宋" w:cs="宋体"/>
                      <w:sz w:val="24"/>
                      <w:highlight w:val="none"/>
                    </w:rPr>
                    <w:t>。（提供具有CMA资质的第三方检测机构或国家认可的检测机构出具的检测报告证明)</w:t>
                  </w:r>
                </w:p>
                <w:p w14:paraId="7275978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(11)提供技术支持服务，提供5x8小时响应服务，支持400电话渠道、在线服务平台、微信公众号、邮件渠道和技术专家远程联机分析服务，提供产品/平台更新升级和升级指导，提供完整产品使用手册，远程支持年度巡检，并提供巡检报告。</w:t>
                  </w:r>
                </w:p>
              </w:tc>
              <w:tc>
                <w:tcPr>
                  <w:tcW w:w="661" w:type="dxa"/>
                  <w:noWrap/>
                  <w:vAlign w:val="center"/>
                </w:tcPr>
                <w:p w14:paraId="30173E1B">
                  <w:pPr>
                    <w:widowControl/>
                    <w:spacing w:line="360" w:lineRule="auto"/>
                    <w:rPr>
                      <w:rFonts w:ascii="宋体" w:hAnsi="宋体" w:eastAsia="仿宋" w:cs="宋体"/>
                      <w:sz w:val="24"/>
                      <w:highlight w:val="none"/>
                    </w:rPr>
                  </w:pPr>
                  <w:r>
                    <w:rPr>
                      <w:rFonts w:hint="eastAsia" w:ascii="宋体" w:hAnsi="宋体" w:eastAsia="仿宋" w:cs="宋体"/>
                      <w:sz w:val="24"/>
                      <w:highlight w:val="none"/>
                    </w:rPr>
                    <w:t>7</w:t>
                  </w:r>
                </w:p>
              </w:tc>
              <w:tc>
                <w:tcPr>
                  <w:tcW w:w="661" w:type="dxa"/>
                  <w:noWrap/>
                  <w:vAlign w:val="center"/>
                </w:tcPr>
                <w:p w14:paraId="22FF0B4D">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6EEA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3C8F1E99">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6</w:t>
                  </w:r>
                </w:p>
              </w:tc>
              <w:tc>
                <w:tcPr>
                  <w:tcW w:w="593" w:type="dxa"/>
                  <w:vMerge w:val="continue"/>
                  <w:noWrap/>
                  <w:vAlign w:val="center"/>
                </w:tcPr>
                <w:p w14:paraId="0D8E506C">
                  <w:pPr>
                    <w:rPr>
                      <w:highlight w:val="none"/>
                    </w:rPr>
                  </w:pPr>
                </w:p>
              </w:tc>
              <w:tc>
                <w:tcPr>
                  <w:tcW w:w="1025" w:type="dxa"/>
                  <w:noWrap/>
                  <w:vAlign w:val="center"/>
                </w:tcPr>
                <w:p w14:paraId="32EAAE8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现场安装调试服务</w:t>
                  </w:r>
                </w:p>
              </w:tc>
              <w:tc>
                <w:tcPr>
                  <w:tcW w:w="4003" w:type="dxa"/>
                  <w:noWrap/>
                  <w:vAlign w:val="center"/>
                </w:tcPr>
                <w:p w14:paraId="0B834F1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提供现场安装调试服务，提供现有历史数据转换和迁移服务，从原大数据平台运行环境迁移至新运行环境，提供系统安装部署与调试，集指应用对接等技术服务</w:t>
                  </w:r>
                </w:p>
              </w:tc>
              <w:tc>
                <w:tcPr>
                  <w:tcW w:w="661" w:type="dxa"/>
                  <w:noWrap/>
                  <w:vAlign w:val="center"/>
                </w:tcPr>
                <w:p w14:paraId="3F335C7C">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0172EC9D">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0012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6B18836E">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7</w:t>
                  </w:r>
                </w:p>
              </w:tc>
              <w:tc>
                <w:tcPr>
                  <w:tcW w:w="1618" w:type="dxa"/>
                  <w:gridSpan w:val="2"/>
                  <w:noWrap/>
                  <w:vAlign w:val="center"/>
                </w:tcPr>
                <w:p w14:paraId="58FCFC1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视频服务网关</w:t>
                  </w:r>
                </w:p>
              </w:tc>
              <w:tc>
                <w:tcPr>
                  <w:tcW w:w="4003" w:type="dxa"/>
                  <w:noWrap/>
                  <w:vAlign w:val="center"/>
                </w:tcPr>
                <w:p w14:paraId="3BC23F7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一、系统联网要求</w:t>
                  </w:r>
                </w:p>
                <w:p w14:paraId="3440381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1、应接入“公安交通集成指挥平台”提供视频显示、控制、目录查询、录像查询和下载等服务功能；</w:t>
                  </w:r>
                </w:p>
                <w:p w14:paraId="3FA0519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2、应支持公安科信“视频图像信息综合应用平台”与“公安交通集成指挥平台”之间视频级联和资源共享，支持对不同应用平台场景化策略管理和权限控制；</w:t>
                  </w:r>
                </w:p>
                <w:p w14:paraId="0F0C61E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3、应支持GB/T 28181-2022标准，兼容GB/T 28181-2016标准和GB/T 28181-2011的视频接入、联网和转发，支持行业内所有监控厂商视频平台国标接入；</w:t>
                  </w:r>
                </w:p>
                <w:p w14:paraId="611EC1B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4、应支持符合GB/T28181协议标准的视频共享联网平台直接级联接入；</w:t>
                  </w:r>
                </w:p>
                <w:p w14:paraId="0D9A418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5、应支持开放接口支持SDK、OCX、JSX多种模式视频播放控制服务，支持RTSP、RTMP、RTP/RTCP等格式；</w:t>
                  </w:r>
                </w:p>
                <w:p w14:paraId="605276B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6、应支持H.264、H.265、SVAC编码协议的视频解码播放；</w:t>
                  </w:r>
                </w:p>
                <w:p w14:paraId="6798C2B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7、码流转发量：≥256路@4Mbps；</w:t>
                  </w:r>
                </w:p>
                <w:p w14:paraId="4B78C1A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8、监控联网平台：支持同时接入≥20个；</w:t>
                  </w:r>
                </w:p>
                <w:p w14:paraId="3D3D7C8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9、设备量：最大支持管理150000个；</w:t>
                  </w:r>
                </w:p>
                <w:p w14:paraId="4FA06A7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10、接入模式：单节点；</w:t>
                  </w:r>
                </w:p>
                <w:p w14:paraId="77FDF54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二、系统功能要求</w:t>
                  </w:r>
                </w:p>
                <w:p w14:paraId="16214A6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1、可以提供接入设备状态检测，设备基本信息查询，支持设备实时视频浏览、录像查询可以支持接入设备按平台编号、设备编号、设备名称、设备IP、通道号、设备状态和接入方式等条件查询；</w:t>
                  </w:r>
                </w:p>
                <w:p w14:paraId="110A9DF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2、可以支持浏览器无插件实时视频的浏览，包括多画面浏览实现选择1,4,9,16多种画面分割模式以及全屏显示，同时能提供多种分辨率的选择；</w:t>
                  </w:r>
                </w:p>
                <w:p w14:paraId="5482F68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3、可以支持多级平台级联管理，实现新增下级网关管理，提供UDP、TCP、KCP等多种级联协议模式，支持公安网和专网级联配置，可以查看下级平台推送设备目录，并支持推送设备查询及目录检索；</w:t>
                  </w:r>
                </w:p>
                <w:p w14:paraId="47C4063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4、可以界面化动态配置网关接入及分发，对网关服务接口状态可视化展示。分布式子系统微服务运行状态可视化展示；</w:t>
                  </w:r>
                </w:p>
                <w:p w14:paraId="0EA52ADB">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5、对前端云台镜头的全功能远程控制。云台控制支持客户端在图像分屏和全屏显示状态下都可进行;云台控制具有上下左右转动、巡逻功能。</w:t>
                  </w:r>
                </w:p>
                <w:p w14:paraId="0D99ECD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应支持CBR/VBR两种码率控制方式，并支持高并发的视频访问能力，并且根据客户端的不同处理能力，自动探测网络状况和动态调整编码策略的机制和功能，瞬时动态调整视频的分辨率，满足用户需求的同时降低网络带宽的消耗；</w:t>
                  </w:r>
                </w:p>
                <w:p w14:paraId="0039FBC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7、运行环境：应支持在国产化的操作系统、浏览器环境中实现资源管理及多路视频播放，建立安全可控的实时视频联网服务；</w:t>
                  </w:r>
                </w:p>
                <w:p w14:paraId="2FA7A53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 xml:space="preserve">三、配置要求 </w:t>
                  </w:r>
                </w:p>
                <w:p w14:paraId="61EDEFF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 高度：2U机架式；</w:t>
                  </w:r>
                </w:p>
                <w:p w14:paraId="6280AC7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2.国产处理器：≥2*24核，主频≥2.6GHz；</w:t>
                  </w:r>
                </w:p>
                <w:p w14:paraId="08B91E4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 内存：≥128GB</w:t>
                  </w:r>
                  <w:r>
                    <w:rPr>
                      <w:rFonts w:ascii="宋体" w:hAnsi="宋体" w:eastAsia="仿宋" w:cs="宋体"/>
                      <w:sz w:val="24"/>
                      <w:highlight w:val="none"/>
                    </w:rPr>
                    <w:t xml:space="preserve"> DDR</w:t>
                  </w:r>
                  <w:r>
                    <w:rPr>
                      <w:rFonts w:hint="eastAsia" w:ascii="宋体" w:hAnsi="宋体" w:eastAsia="仿宋" w:cs="宋体"/>
                      <w:sz w:val="24"/>
                      <w:highlight w:val="none"/>
                    </w:rPr>
                    <w:t>4；</w:t>
                  </w:r>
                </w:p>
                <w:p w14:paraId="13EFB0A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 硬盘：≥960GB  SSD；</w:t>
                  </w:r>
                </w:p>
                <w:p w14:paraId="3CE4E05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 网络：≥4*千兆双口RJ45；</w:t>
                  </w:r>
                </w:p>
                <w:p w14:paraId="22A52D3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硬件部分详细参数要求附后</w:t>
                  </w:r>
                </w:p>
              </w:tc>
              <w:tc>
                <w:tcPr>
                  <w:tcW w:w="661" w:type="dxa"/>
                  <w:noWrap/>
                  <w:vAlign w:val="center"/>
                </w:tcPr>
                <w:p w14:paraId="54C6CB09">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6E193DB2">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577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425DD9FD">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8</w:t>
                  </w:r>
                </w:p>
              </w:tc>
              <w:tc>
                <w:tcPr>
                  <w:tcW w:w="1618" w:type="dxa"/>
                  <w:gridSpan w:val="2"/>
                  <w:noWrap/>
                  <w:vAlign w:val="center"/>
                </w:tcPr>
                <w:p w14:paraId="4B135BC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集成指挥平台升级服务一体机</w:t>
                  </w:r>
                </w:p>
              </w:tc>
              <w:tc>
                <w:tcPr>
                  <w:tcW w:w="4003" w:type="dxa"/>
                  <w:noWrap/>
                  <w:vAlign w:val="center"/>
                </w:tcPr>
                <w:p w14:paraId="2959397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部署公安交通集成指挥平台应用服务，具体配置如下：</w:t>
                  </w:r>
                </w:p>
                <w:p w14:paraId="1D0D01C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1）2U机架式</w:t>
                  </w:r>
                </w:p>
                <w:p w14:paraId="5938077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2）国产处理器：≥2*16</w:t>
                  </w:r>
                  <w:r>
                    <w:rPr>
                      <w:rFonts w:ascii="宋体" w:hAnsi="宋体" w:eastAsia="仿宋" w:cs="宋体"/>
                      <w:sz w:val="24"/>
                      <w:highlight w:val="none"/>
                    </w:rPr>
                    <w:t>C</w:t>
                  </w:r>
                  <w:r>
                    <w:rPr>
                      <w:rFonts w:hint="eastAsia" w:ascii="宋体" w:hAnsi="宋体" w:eastAsia="仿宋" w:cs="宋体"/>
                      <w:sz w:val="24"/>
                      <w:highlight w:val="none"/>
                    </w:rPr>
                    <w:t>，主频≥2.5GHz</w:t>
                  </w:r>
                </w:p>
                <w:p w14:paraId="0DF45C4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3）内存：≥128</w:t>
                  </w:r>
                  <w:r>
                    <w:rPr>
                      <w:rFonts w:ascii="宋体" w:hAnsi="宋体" w:eastAsia="仿宋" w:cs="宋体"/>
                      <w:sz w:val="24"/>
                      <w:highlight w:val="none"/>
                    </w:rPr>
                    <w:t>GB DDR</w:t>
                  </w:r>
                  <w:r>
                    <w:rPr>
                      <w:rFonts w:hint="eastAsia" w:ascii="宋体" w:hAnsi="宋体" w:eastAsia="仿宋" w:cs="宋体"/>
                      <w:sz w:val="24"/>
                      <w:highlight w:val="none"/>
                    </w:rPr>
                    <w:t>4</w:t>
                  </w:r>
                </w:p>
                <w:p w14:paraId="6F2ABB3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4）硬盘：≥4*600G</w:t>
                  </w:r>
                  <w:r>
                    <w:rPr>
                      <w:rFonts w:ascii="宋体" w:hAnsi="宋体" w:eastAsia="仿宋" w:cs="宋体"/>
                      <w:sz w:val="24"/>
                      <w:highlight w:val="none"/>
                    </w:rPr>
                    <w:t>B</w:t>
                  </w:r>
                  <w:r>
                    <w:rPr>
                      <w:rFonts w:hint="eastAsia" w:ascii="宋体" w:hAnsi="宋体" w:eastAsia="仿宋" w:cs="宋体"/>
                      <w:sz w:val="24"/>
                      <w:highlight w:val="none"/>
                    </w:rPr>
                    <w:t xml:space="preserve"> SAS硬盘</w:t>
                  </w:r>
                </w:p>
                <w:p w14:paraId="6EE7C25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5）网络：≥2*千兆双口RJ45</w:t>
                  </w:r>
                </w:p>
                <w:p w14:paraId="54E0517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6）电源：1+1冗余电源</w:t>
                  </w:r>
                </w:p>
                <w:p w14:paraId="39EA3659">
                  <w:pPr>
                    <w:widowControl/>
                    <w:spacing w:line="360" w:lineRule="auto"/>
                    <w:jc w:val="left"/>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p w14:paraId="20DA45E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含国产操作系统</w:t>
                  </w:r>
                </w:p>
              </w:tc>
              <w:tc>
                <w:tcPr>
                  <w:tcW w:w="661" w:type="dxa"/>
                  <w:noWrap/>
                  <w:vAlign w:val="center"/>
                </w:tcPr>
                <w:p w14:paraId="371D8D85">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3AAB2229">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79AE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1F02E745">
                  <w:pPr>
                    <w:widowControl/>
                    <w:jc w:val="center"/>
                    <w:rPr>
                      <w:rFonts w:ascii="宋体" w:hAnsi="宋体" w:eastAsia="仿宋" w:cs="宋体"/>
                      <w:sz w:val="24"/>
                      <w:highlight w:val="none"/>
                    </w:rPr>
                  </w:pPr>
                  <w:r>
                    <w:rPr>
                      <w:rFonts w:hint="eastAsia" w:ascii="仿宋" w:hAnsi="仿宋" w:eastAsia="仿宋" w:cs="仿宋"/>
                      <w:sz w:val="24"/>
                      <w:highlight w:val="none"/>
                    </w:rPr>
                    <w:t>9</w:t>
                  </w:r>
                </w:p>
              </w:tc>
              <w:tc>
                <w:tcPr>
                  <w:tcW w:w="1618" w:type="dxa"/>
                  <w:gridSpan w:val="2"/>
                  <w:noWrap/>
                  <w:vAlign w:val="center"/>
                </w:tcPr>
                <w:p w14:paraId="2412EC67">
                  <w:pPr>
                    <w:widowControl/>
                    <w:jc w:val="left"/>
                    <w:rPr>
                      <w:rFonts w:ascii="宋体" w:hAnsi="宋体" w:eastAsia="仿宋" w:cs="宋体"/>
                      <w:sz w:val="24"/>
                      <w:highlight w:val="none"/>
                    </w:rPr>
                  </w:pPr>
                  <w:r>
                    <w:rPr>
                      <w:rFonts w:hint="eastAsia" w:ascii="仿宋" w:hAnsi="仿宋" w:eastAsia="仿宋" w:cs="仿宋"/>
                      <w:sz w:val="24"/>
                      <w:highlight w:val="none"/>
                    </w:rPr>
                    <w:t>负载均衡器1</w:t>
                  </w:r>
                </w:p>
              </w:tc>
              <w:tc>
                <w:tcPr>
                  <w:tcW w:w="4003" w:type="dxa"/>
                  <w:noWrap/>
                  <w:vAlign w:val="center"/>
                </w:tcPr>
                <w:p w14:paraId="0DEE981A">
                  <w:pPr>
                    <w:widowControl/>
                    <w:jc w:val="left"/>
                    <w:rPr>
                      <w:rFonts w:hint="eastAsia" w:ascii="仿宋" w:hAnsi="仿宋" w:eastAsia="仿宋" w:cs="仿宋"/>
                      <w:sz w:val="24"/>
                      <w:highlight w:val="none"/>
                    </w:rPr>
                  </w:pPr>
                  <w:r>
                    <w:rPr>
                      <w:rFonts w:hint="eastAsia" w:ascii="仿宋" w:hAnsi="仿宋" w:eastAsia="仿宋" w:cs="仿宋"/>
                      <w:sz w:val="24"/>
                      <w:highlight w:val="none"/>
                    </w:rPr>
                    <w:t>性能参数：4层吞吐量 （默认网口）：7Gbps，四层并发连接数：≥700W，4层新建连接数 CPS：≥7W，7层新建连接数 RPS：≥7W。硬件参数：规格：≥1U，内存大小：≥8G，硬盘容量：≥240GB SSD，电源：冗余电源，接口：6千兆电口+4千兆光口SFP。</w:t>
                  </w:r>
                </w:p>
                <w:p w14:paraId="185A65B0">
                  <w:pPr>
                    <w:widowControl/>
                    <w:jc w:val="left"/>
                    <w:rPr>
                      <w:rFonts w:hint="eastAsia" w:ascii="仿宋" w:hAnsi="仿宋" w:eastAsia="仿宋" w:cs="仿宋"/>
                      <w:sz w:val="24"/>
                      <w:highlight w:val="none"/>
                    </w:rPr>
                  </w:pPr>
                  <w:r>
                    <w:rPr>
                      <w:rFonts w:hint="eastAsia" w:ascii="仿宋" w:hAnsi="仿宋" w:eastAsia="仿宋" w:cs="仿宋"/>
                      <w:sz w:val="24"/>
                      <w:highlight w:val="none"/>
                    </w:rPr>
                    <w:t>功能要求：</w:t>
                  </w:r>
                </w:p>
                <w:p w14:paraId="1D9ED97F">
                  <w:pPr>
                    <w:widowControl/>
                    <w:jc w:val="left"/>
                    <w:rPr>
                      <w:rFonts w:hint="eastAsia" w:ascii="仿宋" w:hAnsi="仿宋" w:eastAsia="仿宋" w:cs="仿宋"/>
                      <w:sz w:val="24"/>
                      <w:highlight w:val="none"/>
                    </w:rPr>
                  </w:pPr>
                  <w:r>
                    <w:rPr>
                      <w:rFonts w:hint="eastAsia" w:ascii="仿宋" w:hAnsi="仿宋" w:eastAsia="仿宋" w:cs="仿宋"/>
                      <w:sz w:val="24"/>
                      <w:highlight w:val="none"/>
                    </w:rPr>
                    <w:t>1、多合一功能集成：单一设备可同时支持包括链路负载均衡、全局负载均衡和服务器负载均衡的功能。三种功能同时处于激活可使用状态;</w:t>
                  </w:r>
                </w:p>
                <w:p w14:paraId="51E69D09">
                  <w:pPr>
                    <w:widowControl/>
                    <w:jc w:val="left"/>
                    <w:rPr>
                      <w:rFonts w:hint="eastAsia" w:ascii="仿宋" w:hAnsi="仿宋" w:eastAsia="仿宋" w:cs="仿宋"/>
                      <w:sz w:val="24"/>
                      <w:highlight w:val="none"/>
                    </w:rPr>
                  </w:pPr>
                  <w:r>
                    <w:rPr>
                      <w:rFonts w:hint="eastAsia" w:ascii="仿宋" w:hAnsi="仿宋" w:eastAsia="仿宋" w:cs="仿宋"/>
                      <w:sz w:val="24"/>
                      <w:highlight w:val="none"/>
                    </w:rPr>
                    <w:t>2、服务器负载均衡：</w:t>
                  </w:r>
                </w:p>
                <w:p w14:paraId="63B558D4">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p>
                <w:p w14:paraId="00DDA93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支持多种语言的脚本功能，包括LUA和TCL等，实现兼容主流厂商的脚本；</w:t>
                  </w:r>
                </w:p>
                <w:p w14:paraId="20BC233B">
                  <w:pPr>
                    <w:widowControl/>
                    <w:jc w:val="left"/>
                    <w:rPr>
                      <w:rFonts w:hint="eastAsia" w:ascii="仿宋" w:hAnsi="仿宋" w:eastAsia="仿宋" w:cs="仿宋"/>
                      <w:sz w:val="24"/>
                      <w:highlight w:val="none"/>
                    </w:rPr>
                  </w:pPr>
                  <w:r>
                    <w:rPr>
                      <w:rFonts w:hint="eastAsia" w:ascii="仿宋" w:hAnsi="仿宋" w:eastAsia="仿宋" w:cs="仿宋"/>
                      <w:sz w:val="24"/>
                      <w:highlight w:val="none"/>
                    </w:rPr>
                    <w:t>支持HTTP、TCP、HTTPS、SIP-TCP、SIP-UDP、8583、DNS等服务类型；</w:t>
                  </w:r>
                </w:p>
                <w:p w14:paraId="0FB4ECA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支持配置每台的业务主机的并发连接数、新建连接数和每秒请求数限制，同时可配置每个虚拟服务的单个IP或所有IP的最大新建和最大并发限制；</w:t>
                  </w:r>
                </w:p>
                <w:p w14:paraId="4001ECF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支持SIP开启/禁用插入Via头部和开启/禁用插入Record-Route 头部等策略；</w:t>
                  </w:r>
                </w:p>
                <w:p w14:paraId="2BECE4A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图片优化技术，通过对图片格式的转换，减少传输流量，提升web页面加载速度。无需改动服务器端的图片源文件，可根据浏览器种类自动识别转换类型，将图片转换为对应支持的WebP或JPEG格式，优化加速效果；</w:t>
                  </w:r>
                </w:p>
                <w:p w14:paraId="62BCAD9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虚拟服务地图方式展示VS和Pool与Memeber的关联关系以及对应的状态信息，可按虚拟服务名称或者状态来进行排序，同时也能根据虚拟服务/节点池/节点/主机的状态来进行过滤展示，可在不跳转页面的情况下通过对象名称快捷查看其详细配置信息，以及虚拟服务的性能压力统计数据；</w:t>
                  </w:r>
                </w:p>
                <w:p w14:paraId="319668AD">
                  <w:pPr>
                    <w:widowControl/>
                    <w:jc w:val="left"/>
                    <w:rPr>
                      <w:rFonts w:hint="eastAsia" w:ascii="仿宋" w:hAnsi="仿宋" w:eastAsia="仿宋" w:cs="仿宋"/>
                      <w:sz w:val="24"/>
                      <w:highlight w:val="none"/>
                    </w:rPr>
                  </w:pPr>
                  <w:r>
                    <w:rPr>
                      <w:rFonts w:hint="eastAsia" w:ascii="仿宋" w:hAnsi="仿宋" w:eastAsia="仿宋" w:cs="仿宋"/>
                      <w:sz w:val="24"/>
                      <w:highlight w:val="none"/>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14:paraId="134CA385">
                  <w:pPr>
                    <w:widowControl/>
                    <w:jc w:val="left"/>
                    <w:rPr>
                      <w:rFonts w:hint="eastAsia" w:ascii="仿宋" w:hAnsi="仿宋" w:eastAsia="仿宋" w:cs="仿宋"/>
                      <w:sz w:val="24"/>
                      <w:highlight w:val="none"/>
                    </w:rPr>
                  </w:pPr>
                  <w:r>
                    <w:rPr>
                      <w:rFonts w:hint="eastAsia" w:ascii="仿宋" w:hAnsi="仿宋" w:eastAsia="仿宋" w:cs="仿宋"/>
                      <w:sz w:val="24"/>
                      <w:highlight w:val="none"/>
                    </w:rPr>
                    <w:t>3、IPv6改造</w:t>
                  </w:r>
                </w:p>
                <w:p w14:paraId="596653DF">
                  <w:pPr>
                    <w:widowControl/>
                    <w:jc w:val="left"/>
                    <w:rPr>
                      <w:rFonts w:hint="eastAsia" w:ascii="仿宋" w:hAnsi="仿宋" w:eastAsia="仿宋" w:cs="仿宋"/>
                      <w:sz w:val="24"/>
                      <w:highlight w:val="none"/>
                    </w:rPr>
                  </w:pPr>
                  <w:r>
                    <w:rPr>
                      <w:rFonts w:hint="eastAsia" w:ascii="仿宋" w:hAnsi="仿宋" w:eastAsia="仿宋" w:cs="仿宋"/>
                      <w:sz w:val="24"/>
                      <w:highlight w:val="none"/>
                    </w:rPr>
                    <w:t>IPv6改造方案能够解决天窗问题，支持一条策略匹配多个外链网站，同时外链和网站子链发生修改时支持自动识别并做主动修改，不允许通过人工解析配置的方式解决天窗问题；</w:t>
                  </w:r>
                </w:p>
                <w:p w14:paraId="68060F5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支持网站页面IP形式和域名形式外部链接的正常访问；支持静态和动态网站页面静态和动态引用站外内容的正常显示；支持静态和动态网站页面静态和动态外部链接的无限级正常跳转；</w:t>
                  </w:r>
                </w:p>
                <w:p w14:paraId="7D3B7B6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过syslog的方式实现IPv4/IPv6协议转换日志功能，累积存储和查询3个月内数据；提供IPv6/IPv4协议翻译和互通的日志信息，包括源/目的IP地址和端口，被访问的URL等信息，并在需要的情况下，回溯查询用户信息；</w:t>
                  </w:r>
                </w:p>
                <w:p w14:paraId="4CCD5F1A">
                  <w:pPr>
                    <w:widowControl/>
                    <w:jc w:val="left"/>
                    <w:rPr>
                      <w:rFonts w:hint="eastAsia" w:ascii="仿宋" w:hAnsi="仿宋" w:eastAsia="仿宋" w:cs="仿宋"/>
                      <w:sz w:val="24"/>
                      <w:highlight w:val="none"/>
                    </w:rPr>
                  </w:pPr>
                  <w:r>
                    <w:rPr>
                      <w:rFonts w:hint="eastAsia" w:ascii="仿宋" w:hAnsi="仿宋" w:eastAsia="仿宋" w:cs="仿宋"/>
                      <w:sz w:val="24"/>
                      <w:highlight w:val="none"/>
                    </w:rPr>
                    <w:t>4、高可用性</w:t>
                  </w:r>
                </w:p>
                <w:p w14:paraId="5EA9023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支持双机热备部署方式，可自动同步配置并提供连接会话的镜像功能，实现无缝故障切换；</w:t>
                  </w:r>
                </w:p>
                <w:p w14:paraId="1E1E113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支持基于链路流量进行有效性判断，能够在预设时间内进行主动探测；</w:t>
                  </w:r>
                </w:p>
                <w:p w14:paraId="0C25B621">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支持高可用集群N+M部署方式，单集群支持16台设备，可自动同步配置并提供连接会话的镜像功能，实现无缝故障切换；</w:t>
                  </w:r>
                </w:p>
                <w:p w14:paraId="0FCBB53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支持会话保持表项与连接表项独立同步功能，可根据使用需要定义同步的会话保持表；</w:t>
                  </w:r>
                </w:p>
                <w:p w14:paraId="29B84A5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支持基于vlan链路的零流量状态来进行高可用故障切换</w:t>
                  </w:r>
                </w:p>
                <w:p w14:paraId="5413385B">
                  <w:pPr>
                    <w:widowControl/>
                    <w:jc w:val="left"/>
                    <w:rPr>
                      <w:rFonts w:hint="eastAsia" w:ascii="仿宋" w:hAnsi="仿宋" w:eastAsia="仿宋" w:cs="仿宋"/>
                      <w:sz w:val="24"/>
                      <w:highlight w:val="none"/>
                    </w:rPr>
                  </w:pPr>
                  <w:r>
                    <w:rPr>
                      <w:rFonts w:hint="eastAsia" w:ascii="仿宋" w:hAnsi="仿宋" w:eastAsia="仿宋" w:cs="仿宋"/>
                      <w:sz w:val="24"/>
                      <w:highlight w:val="none"/>
                    </w:rPr>
                    <w:t>5、运维管理</w:t>
                  </w:r>
                </w:p>
                <w:p w14:paraId="31A9E9A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支持全中文管理界面HTTPS方式登录、SSH命令行方式管理、用户角色管理、多级授权管理，HTTPS登陆时可设置TLS协议版本SSH登陆时可设置加密算法、SSH MAC算法和SSH密钥交换算法；</w:t>
                  </w:r>
                </w:p>
                <w:p w14:paraId="7A85BF4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支持大数据输出功能，输出必须包括客户端IP、x-forwarded-For IP、访问时间、访问IP、访问URL、响应时间和资源大小；</w:t>
                  </w:r>
                </w:p>
                <w:p w14:paraId="3614B62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支持启用RAS事件告警，当设备PCIE或内存出现硬件故障时发送RAS告警；</w:t>
                  </w:r>
                </w:p>
                <w:p w14:paraId="678CFAC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支持设备巡检功能，被检测设备无需访问互联网，实现离线巡检，并且可针对安全巡检、功能巡检以及健康巡检等多场景进行需要巡检的模块；</w:t>
                  </w:r>
                </w:p>
                <w:p w14:paraId="3489912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支持端口枯竭告警功能，并支持针对告警阈值和告警间隔时间进行设置；</w:t>
                  </w:r>
                </w:p>
                <w:p w14:paraId="0995006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支持对设备的管理日志进行新旧配置对比，及时发现设备管理上的变化；</w:t>
                  </w:r>
                </w:p>
                <w:p w14:paraId="07F50480">
                  <w:pPr>
                    <w:widowControl/>
                    <w:jc w:val="left"/>
                    <w:rPr>
                      <w:rFonts w:hint="eastAsia" w:ascii="仿宋" w:hAnsi="仿宋" w:eastAsia="仿宋" w:cs="仿宋"/>
                      <w:sz w:val="24"/>
                      <w:highlight w:val="none"/>
                    </w:rPr>
                  </w:pPr>
                </w:p>
                <w:p w14:paraId="01875385">
                  <w:pPr>
                    <w:widowControl/>
                    <w:jc w:val="left"/>
                    <w:rPr>
                      <w:rFonts w:ascii="宋体" w:hAnsi="宋体" w:eastAsia="仿宋" w:cs="宋体"/>
                      <w:sz w:val="24"/>
                      <w:highlight w:val="none"/>
                    </w:rPr>
                  </w:pPr>
                </w:p>
              </w:tc>
              <w:tc>
                <w:tcPr>
                  <w:tcW w:w="661" w:type="dxa"/>
                  <w:noWrap/>
                  <w:vAlign w:val="center"/>
                </w:tcPr>
                <w:p w14:paraId="27C2418B">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2010770A">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55A9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21E5394D">
                  <w:pPr>
                    <w:widowControl/>
                    <w:jc w:val="center"/>
                    <w:rPr>
                      <w:rFonts w:ascii="宋体" w:hAnsi="宋体" w:eastAsia="仿宋" w:cs="宋体"/>
                      <w:sz w:val="24"/>
                      <w:highlight w:val="none"/>
                    </w:rPr>
                  </w:pPr>
                  <w:r>
                    <w:rPr>
                      <w:rFonts w:hint="eastAsia" w:ascii="仿宋" w:hAnsi="仿宋" w:eastAsia="仿宋" w:cs="仿宋"/>
                      <w:sz w:val="24"/>
                      <w:highlight w:val="none"/>
                    </w:rPr>
                    <w:t>10</w:t>
                  </w:r>
                </w:p>
              </w:tc>
              <w:tc>
                <w:tcPr>
                  <w:tcW w:w="1618" w:type="dxa"/>
                  <w:gridSpan w:val="2"/>
                  <w:noWrap/>
                  <w:vAlign w:val="center"/>
                </w:tcPr>
                <w:p w14:paraId="09B8D093">
                  <w:pPr>
                    <w:widowControl/>
                    <w:jc w:val="left"/>
                    <w:rPr>
                      <w:rFonts w:ascii="宋体" w:hAnsi="宋体" w:eastAsia="仿宋" w:cs="宋体"/>
                      <w:sz w:val="24"/>
                      <w:highlight w:val="none"/>
                    </w:rPr>
                  </w:pPr>
                  <w:r>
                    <w:rPr>
                      <w:rFonts w:hint="eastAsia" w:ascii="仿宋" w:hAnsi="仿宋" w:eastAsia="仿宋" w:cs="仿宋"/>
                      <w:sz w:val="24"/>
                      <w:highlight w:val="none"/>
                    </w:rPr>
                    <w:t>负载均衡器2</w:t>
                  </w:r>
                </w:p>
              </w:tc>
              <w:tc>
                <w:tcPr>
                  <w:tcW w:w="4003" w:type="dxa"/>
                  <w:noWrap/>
                  <w:vAlign w:val="center"/>
                </w:tcPr>
                <w:p w14:paraId="4027ECD5">
                  <w:pPr>
                    <w:widowControl/>
                    <w:jc w:val="left"/>
                    <w:rPr>
                      <w:rFonts w:hint="eastAsia" w:ascii="仿宋" w:hAnsi="仿宋" w:eastAsia="仿宋" w:cs="仿宋"/>
                      <w:sz w:val="24"/>
                      <w:highlight w:val="none"/>
                    </w:rPr>
                  </w:pPr>
                  <w:r>
                    <w:rPr>
                      <w:rFonts w:hint="eastAsia" w:ascii="仿宋" w:hAnsi="仿宋" w:eastAsia="仿宋" w:cs="仿宋"/>
                      <w:sz w:val="24"/>
                      <w:highlight w:val="none"/>
                    </w:rPr>
                    <w:t>性能参数：4层吞吐量 （默认网口）：≥20Gbps，四层并发连接数：≥2000W，4层新建连接数 CPS：≥30W，7层新建连接数 RPS：≥50W。</w:t>
                  </w:r>
                </w:p>
                <w:p w14:paraId="6AE4704A">
                  <w:pPr>
                    <w:widowControl/>
                    <w:jc w:val="left"/>
                    <w:rPr>
                      <w:rFonts w:hint="eastAsia" w:ascii="仿宋" w:hAnsi="仿宋" w:eastAsia="仿宋" w:cs="仿宋"/>
                      <w:sz w:val="24"/>
                      <w:highlight w:val="none"/>
                    </w:rPr>
                  </w:pPr>
                  <w:r>
                    <w:rPr>
                      <w:rFonts w:hint="eastAsia" w:ascii="仿宋" w:hAnsi="仿宋" w:eastAsia="仿宋" w:cs="仿宋"/>
                      <w:sz w:val="24"/>
                      <w:highlight w:val="none"/>
                    </w:rPr>
                    <w:t>硬件参数：规格：2U，内存大小：≥16G，硬盘容量：≥240GB SSD，电源：冗余电源，接口：6千兆电口+2万兆光口SFP+， CPU：兆芯6780A， 操作系统：麒麟V10。</w:t>
                  </w:r>
                </w:p>
                <w:p w14:paraId="08CDF8E3">
                  <w:pPr>
                    <w:widowControl/>
                    <w:jc w:val="left"/>
                    <w:rPr>
                      <w:rFonts w:hint="eastAsia" w:ascii="仿宋" w:hAnsi="仿宋" w:eastAsia="仿宋" w:cs="仿宋"/>
                      <w:sz w:val="24"/>
                      <w:highlight w:val="none"/>
                    </w:rPr>
                  </w:pPr>
                  <w:r>
                    <w:rPr>
                      <w:rFonts w:hint="eastAsia" w:ascii="仿宋" w:hAnsi="仿宋" w:eastAsia="仿宋" w:cs="仿宋"/>
                      <w:sz w:val="24"/>
                      <w:highlight w:val="none"/>
                    </w:rPr>
                    <w:t>功能要求：</w:t>
                  </w:r>
                </w:p>
                <w:p w14:paraId="328C049A">
                  <w:pPr>
                    <w:widowControl/>
                    <w:jc w:val="left"/>
                    <w:rPr>
                      <w:rFonts w:hint="eastAsia" w:ascii="仿宋" w:hAnsi="仿宋" w:eastAsia="仿宋" w:cs="仿宋"/>
                      <w:sz w:val="24"/>
                      <w:highlight w:val="none"/>
                    </w:rPr>
                  </w:pPr>
                  <w:r>
                    <w:rPr>
                      <w:rFonts w:hint="eastAsia" w:ascii="仿宋" w:hAnsi="仿宋" w:eastAsia="仿宋" w:cs="仿宋"/>
                      <w:sz w:val="24"/>
                      <w:highlight w:val="none"/>
                    </w:rPr>
                    <w:t>1、多合一功能集成：单一设备可同时支持包括链路负载均衡、全局负载均衡和服务器负载均衡的功能。三种功能同时处于激活可使用状态;</w:t>
                  </w:r>
                </w:p>
                <w:p w14:paraId="57076B93">
                  <w:pPr>
                    <w:widowControl/>
                    <w:jc w:val="left"/>
                    <w:rPr>
                      <w:rFonts w:hint="eastAsia" w:ascii="仿宋" w:hAnsi="仿宋" w:eastAsia="仿宋" w:cs="仿宋"/>
                      <w:sz w:val="24"/>
                      <w:highlight w:val="none"/>
                    </w:rPr>
                  </w:pPr>
                  <w:r>
                    <w:rPr>
                      <w:rFonts w:hint="eastAsia" w:ascii="仿宋" w:hAnsi="仿宋" w:eastAsia="仿宋" w:cs="仿宋"/>
                      <w:sz w:val="24"/>
                      <w:highlight w:val="none"/>
                    </w:rPr>
                    <w:t>2、服务器负载均衡：</w:t>
                  </w:r>
                </w:p>
                <w:p w14:paraId="38E951D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p>
                <w:p w14:paraId="5ED11CE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支持多种语言的脚本功能，包括LUA和TCL等，实现兼容主流厂商的脚本；</w:t>
                  </w:r>
                </w:p>
                <w:p w14:paraId="4839463D">
                  <w:pPr>
                    <w:widowControl/>
                    <w:jc w:val="left"/>
                    <w:rPr>
                      <w:rFonts w:hint="eastAsia" w:ascii="仿宋" w:hAnsi="仿宋" w:eastAsia="仿宋" w:cs="仿宋"/>
                      <w:sz w:val="24"/>
                      <w:highlight w:val="none"/>
                    </w:rPr>
                  </w:pPr>
                  <w:r>
                    <w:rPr>
                      <w:rFonts w:hint="eastAsia" w:ascii="仿宋" w:hAnsi="仿宋" w:eastAsia="仿宋" w:cs="仿宋"/>
                      <w:sz w:val="24"/>
                      <w:highlight w:val="none"/>
                    </w:rPr>
                    <w:t>支持HTTP、TCP、HTTPS、SIP-TCP、SIP-UDP、8583、DNS等服务类型；</w:t>
                  </w:r>
                </w:p>
                <w:p w14:paraId="1319693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支持配置每台的业务主机的并发连接数、新建连接数和每秒请求数限制，同时可配置每个虚拟服务的单个IP或所有IP的最大新建和最大并发限制；</w:t>
                  </w:r>
                </w:p>
                <w:p w14:paraId="2A3AFB54">
                  <w:pPr>
                    <w:widowControl/>
                    <w:jc w:val="left"/>
                    <w:rPr>
                      <w:rFonts w:hint="eastAsia" w:ascii="仿宋" w:hAnsi="仿宋" w:eastAsia="仿宋" w:cs="仿宋"/>
                      <w:sz w:val="24"/>
                      <w:highlight w:val="none"/>
                    </w:rPr>
                  </w:pPr>
                  <w:r>
                    <w:rPr>
                      <w:rFonts w:hint="eastAsia" w:ascii="仿宋" w:hAnsi="仿宋" w:eastAsia="仿宋" w:cs="仿宋"/>
                      <w:sz w:val="24"/>
                      <w:highlight w:val="none"/>
                    </w:rPr>
                    <w:t>支持SIP开启/禁用插入Via头部和开启/禁用插入Record-Route 头部等策略；</w:t>
                  </w:r>
                </w:p>
                <w:p w14:paraId="02AA25A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图片优化技术，通过对图片格式的转换，减少传输流量，提升web页面加载速度。无需改动服务器端的图片源文件，可根据浏览器种类自动识别转换类型，将图片转换为对应支持的WebP或JPEG格式，优化加速效果；</w:t>
                  </w:r>
                </w:p>
                <w:p w14:paraId="0C214435">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虚拟服务地图方式展示VS和Pool与Memeber的关联关系以及对应的状态信息，可按虚拟服务名称或者状态来进行排序，同时也能根据虚拟服务/节点池/节点/主机的状态来进行过滤展示，可在不跳转页面的情况下通过对象名称快捷查看其详细配置信息，以及虚拟服务的性能压力统计数据；</w:t>
                  </w:r>
                </w:p>
                <w:p w14:paraId="1E43C3AA">
                  <w:pPr>
                    <w:widowControl/>
                    <w:jc w:val="left"/>
                    <w:rPr>
                      <w:rFonts w:hint="eastAsia" w:ascii="仿宋" w:hAnsi="仿宋" w:eastAsia="仿宋" w:cs="仿宋"/>
                      <w:sz w:val="24"/>
                      <w:highlight w:val="none"/>
                    </w:rPr>
                  </w:pPr>
                  <w:r>
                    <w:rPr>
                      <w:rFonts w:hint="eastAsia" w:ascii="仿宋" w:hAnsi="仿宋" w:eastAsia="仿宋" w:cs="仿宋"/>
                      <w:sz w:val="24"/>
                      <w:highlight w:val="none"/>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14:paraId="21F851CB">
                  <w:pPr>
                    <w:widowControl/>
                    <w:jc w:val="left"/>
                    <w:rPr>
                      <w:rFonts w:hint="eastAsia" w:ascii="仿宋" w:hAnsi="仿宋" w:eastAsia="仿宋" w:cs="仿宋"/>
                      <w:sz w:val="24"/>
                      <w:highlight w:val="none"/>
                    </w:rPr>
                  </w:pPr>
                  <w:r>
                    <w:rPr>
                      <w:rFonts w:hint="eastAsia" w:ascii="仿宋" w:hAnsi="仿宋" w:eastAsia="仿宋" w:cs="仿宋"/>
                      <w:sz w:val="24"/>
                      <w:highlight w:val="none"/>
                    </w:rPr>
                    <w:t>3、IPv6改造</w:t>
                  </w:r>
                </w:p>
                <w:p w14:paraId="1CB10481">
                  <w:pPr>
                    <w:widowControl/>
                    <w:jc w:val="left"/>
                    <w:rPr>
                      <w:rFonts w:hint="eastAsia" w:ascii="仿宋" w:hAnsi="仿宋" w:eastAsia="仿宋" w:cs="仿宋"/>
                      <w:sz w:val="24"/>
                      <w:highlight w:val="none"/>
                    </w:rPr>
                  </w:pPr>
                  <w:r>
                    <w:rPr>
                      <w:rFonts w:hint="eastAsia" w:ascii="仿宋" w:hAnsi="仿宋" w:eastAsia="仿宋" w:cs="仿宋"/>
                      <w:sz w:val="24"/>
                      <w:highlight w:val="none"/>
                    </w:rPr>
                    <w:t>IPv6改造方案能够解决天窗问题，支持一条策略匹配多个外链网站，同时外链和网站子链发生修改时支持自动识别并做主动修改，不允许通过人工解析配置的方式解决天窗问题；</w:t>
                  </w:r>
                </w:p>
                <w:p w14:paraId="79B3AD0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支持网站页面IP形式和域名形式外部链接的正常访问；支持静态和动态网站页面静态和动态引用站外内容的正常显示；支持静态和动态网站页面静态和动态外部链接的无限级正常跳转；</w:t>
                  </w:r>
                </w:p>
                <w:p w14:paraId="2146E35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过syslog的方式实现IPv4/IPv6协议转换日志功能，累积存储和查询3个月内数据；提供IPv6/IPv4协议翻译和互通的日志信息，包括源/目的IP地址和端口，被访问的URL等信息，并在需要的情况下，回溯查询用户信息；</w:t>
                  </w:r>
                </w:p>
                <w:p w14:paraId="35ADF16D">
                  <w:pPr>
                    <w:widowControl/>
                    <w:jc w:val="left"/>
                    <w:rPr>
                      <w:rFonts w:hint="eastAsia" w:ascii="仿宋" w:hAnsi="仿宋" w:eastAsia="仿宋" w:cs="仿宋"/>
                      <w:sz w:val="24"/>
                      <w:highlight w:val="none"/>
                    </w:rPr>
                  </w:pPr>
                  <w:r>
                    <w:rPr>
                      <w:rFonts w:hint="eastAsia" w:ascii="仿宋" w:hAnsi="仿宋" w:eastAsia="仿宋" w:cs="仿宋"/>
                      <w:sz w:val="24"/>
                      <w:highlight w:val="none"/>
                    </w:rPr>
                    <w:t>4、高可用性</w:t>
                  </w:r>
                </w:p>
                <w:p w14:paraId="34AE866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支持双机热备部署方式，可自动同步配置并提供连接会话的镜像功能，实现无缝故障切换；</w:t>
                  </w:r>
                </w:p>
                <w:p w14:paraId="58ED228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支持基于链路流量进行有效性判断，能够在预设时间内进行主动探测；</w:t>
                  </w:r>
                </w:p>
                <w:p w14:paraId="2FD7972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支持高可用集群N+M部署方式，单集群支持16台设备，可自动同步配置并提供连接会话的镜像功能，实现无缝故障切换；</w:t>
                  </w:r>
                </w:p>
                <w:p w14:paraId="58FC0D3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支持会话保持表项与连接表项独立同步功能，可根据使用需要定义同步的会话保持表；</w:t>
                  </w:r>
                </w:p>
                <w:p w14:paraId="09AF3AC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支持基于vlan链路的零流量状态来进行高可用故障切换</w:t>
                  </w:r>
                </w:p>
                <w:p w14:paraId="2E67A58C">
                  <w:pPr>
                    <w:widowControl/>
                    <w:jc w:val="left"/>
                    <w:rPr>
                      <w:rFonts w:hint="eastAsia" w:ascii="仿宋" w:hAnsi="仿宋" w:eastAsia="仿宋" w:cs="仿宋"/>
                      <w:sz w:val="24"/>
                      <w:highlight w:val="none"/>
                    </w:rPr>
                  </w:pPr>
                  <w:r>
                    <w:rPr>
                      <w:rFonts w:hint="eastAsia" w:ascii="仿宋" w:hAnsi="仿宋" w:eastAsia="仿宋" w:cs="仿宋"/>
                      <w:sz w:val="24"/>
                      <w:highlight w:val="none"/>
                    </w:rPr>
                    <w:t>5、运维管理</w:t>
                  </w:r>
                </w:p>
                <w:p w14:paraId="217DF44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支持全中文管理界面HTTPS方式登录、SSH命令行方式管理、用户角色管理、多级授权管理，HTTPS登陆时可设置TLS协议版本SSH登陆时可设置加密算法、SSH MAC算法和SSH密钥交换算法；</w:t>
                  </w:r>
                </w:p>
                <w:p w14:paraId="2333789E">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支持大数据输出功能，输出必须包括客户端IP、x-forwarded-For IP、访问时间、访问IP、访问URL、响应时间和资源大小；</w:t>
                  </w:r>
                </w:p>
                <w:p w14:paraId="564E4C5C">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支持启用RAS事件告警，当设备PCIE或内存出现硬件故障时发送RAS告警；</w:t>
                  </w:r>
                </w:p>
                <w:p w14:paraId="65D5AB7E">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支持设备巡检功能，被检测设备无需访问互联网，实现离线巡检，并且可针对安全巡检、功能巡检以及健康巡检等多场景进行需要巡检的模块；</w:t>
                  </w:r>
                </w:p>
                <w:p w14:paraId="447FA72D">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支持端口枯竭告警功能，并支持针对告警阈值和告警间隔时间进行设置；</w:t>
                  </w:r>
                </w:p>
                <w:p w14:paraId="59AC6B1B">
                  <w:pPr>
                    <w:widowControl/>
                    <w:jc w:val="left"/>
                    <w:rPr>
                      <w:rFonts w:ascii="宋体" w:hAnsi="宋体" w:eastAsia="仿宋" w:cs="宋体"/>
                      <w:sz w:val="24"/>
                      <w:highlight w:val="none"/>
                    </w:rPr>
                  </w:pPr>
                  <w:r>
                    <w:rPr>
                      <w:rFonts w:hint="eastAsia" w:ascii="仿宋" w:hAnsi="仿宋" w:eastAsia="仿宋" w:cs="仿宋"/>
                      <w:sz w:val="24"/>
                      <w:highlight w:val="none"/>
                    </w:rPr>
                    <w:t>支持对设备的管理日志进行新旧配置对比，及时发现设备管理上的变化；</w:t>
                  </w:r>
                </w:p>
              </w:tc>
              <w:tc>
                <w:tcPr>
                  <w:tcW w:w="661" w:type="dxa"/>
                  <w:noWrap/>
                  <w:vAlign w:val="center"/>
                </w:tcPr>
                <w:p w14:paraId="34462481">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52DAD555">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6F4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76FA4412">
                  <w:pPr>
                    <w:widowControl/>
                    <w:jc w:val="center"/>
                    <w:rPr>
                      <w:rFonts w:ascii="宋体" w:hAnsi="宋体" w:eastAsia="仿宋" w:cs="宋体"/>
                      <w:sz w:val="24"/>
                      <w:highlight w:val="none"/>
                    </w:rPr>
                  </w:pPr>
                  <w:r>
                    <w:rPr>
                      <w:rFonts w:hint="eastAsia" w:ascii="仿宋" w:hAnsi="仿宋" w:eastAsia="仿宋" w:cs="仿宋"/>
                      <w:sz w:val="24"/>
                      <w:highlight w:val="none"/>
                    </w:rPr>
                    <w:t>11</w:t>
                  </w:r>
                </w:p>
              </w:tc>
              <w:tc>
                <w:tcPr>
                  <w:tcW w:w="1618" w:type="dxa"/>
                  <w:gridSpan w:val="2"/>
                  <w:noWrap/>
                  <w:vAlign w:val="center"/>
                </w:tcPr>
                <w:p w14:paraId="10CB770A">
                  <w:pPr>
                    <w:widowControl/>
                    <w:jc w:val="left"/>
                    <w:rPr>
                      <w:rFonts w:ascii="宋体" w:hAnsi="宋体" w:eastAsia="仿宋" w:cs="宋体"/>
                      <w:sz w:val="24"/>
                      <w:highlight w:val="none"/>
                    </w:rPr>
                  </w:pPr>
                  <w:r>
                    <w:rPr>
                      <w:rFonts w:hint="eastAsia" w:ascii="仿宋" w:hAnsi="仿宋" w:eastAsia="仿宋" w:cs="仿宋"/>
                      <w:sz w:val="24"/>
                      <w:highlight w:val="none"/>
                    </w:rPr>
                    <w:t>融合调度网关一体机</w:t>
                  </w:r>
                </w:p>
              </w:tc>
              <w:tc>
                <w:tcPr>
                  <w:tcW w:w="4003" w:type="dxa"/>
                  <w:noWrap/>
                  <w:vAlign w:val="center"/>
                </w:tcPr>
                <w:p w14:paraId="299FB5FE">
                  <w:pPr>
                    <w:rPr>
                      <w:highlight w:val="none"/>
                    </w:rPr>
                  </w:pPr>
                </w:p>
                <w:p w14:paraId="2EFB32F4">
                  <w:pPr>
                    <w:widowControl/>
                    <w:jc w:val="left"/>
                    <w:rPr>
                      <w:rFonts w:hint="eastAsia" w:ascii="仿宋" w:hAnsi="仿宋" w:eastAsia="仿宋" w:cs="仿宋"/>
                      <w:sz w:val="24"/>
                      <w:highlight w:val="none"/>
                    </w:rPr>
                  </w:pPr>
                  <w:r>
                    <w:rPr>
                      <w:rFonts w:hint="eastAsia" w:ascii="仿宋" w:hAnsi="仿宋" w:eastAsia="仿宋" w:cs="仿宋"/>
                      <w:sz w:val="24"/>
                      <w:highlight w:val="none"/>
                    </w:rPr>
                    <w:t>国产处理器：≥2*16C，主频≥2.5GHz;</w:t>
                  </w:r>
                </w:p>
                <w:p w14:paraId="1C2AAB3B">
                  <w:pPr>
                    <w:widowControl/>
                    <w:jc w:val="left"/>
                    <w:rPr>
                      <w:rFonts w:hint="eastAsia" w:ascii="仿宋" w:hAnsi="仿宋" w:eastAsia="仿宋" w:cs="仿宋"/>
                      <w:sz w:val="24"/>
                      <w:highlight w:val="none"/>
                    </w:rPr>
                  </w:pPr>
                  <w:r>
                    <w:rPr>
                      <w:rFonts w:hint="eastAsia" w:ascii="仿宋" w:hAnsi="仿宋" w:eastAsia="仿宋" w:cs="仿宋"/>
                      <w:sz w:val="24"/>
                      <w:highlight w:val="none"/>
                    </w:rPr>
                    <w:t>内存：≥128GB DDR4；</w:t>
                  </w:r>
                </w:p>
                <w:p w14:paraId="078063EA">
                  <w:pPr>
                    <w:widowControl/>
                    <w:jc w:val="left"/>
                    <w:rPr>
                      <w:rFonts w:hint="eastAsia" w:ascii="仿宋" w:hAnsi="仿宋" w:eastAsia="仿宋" w:cs="仿宋"/>
                      <w:sz w:val="24"/>
                      <w:highlight w:val="none"/>
                    </w:rPr>
                  </w:pPr>
                  <w:r>
                    <w:rPr>
                      <w:rFonts w:hint="eastAsia" w:ascii="仿宋" w:hAnsi="仿宋" w:eastAsia="仿宋" w:cs="仿宋"/>
                      <w:sz w:val="24"/>
                      <w:highlight w:val="none"/>
                    </w:rPr>
                    <w:t>硬盘：≥3*4TB SATA硬盘,支持RAID5；</w:t>
                  </w:r>
                </w:p>
                <w:p w14:paraId="0F1DBFA1">
                  <w:pPr>
                    <w:widowControl/>
                    <w:jc w:val="left"/>
                    <w:rPr>
                      <w:rFonts w:hint="eastAsia" w:ascii="仿宋" w:hAnsi="仿宋" w:eastAsia="仿宋" w:cs="仿宋"/>
                      <w:sz w:val="24"/>
                      <w:highlight w:val="none"/>
                    </w:rPr>
                  </w:pPr>
                  <w:r>
                    <w:rPr>
                      <w:rFonts w:hint="eastAsia" w:ascii="仿宋" w:hAnsi="仿宋" w:eastAsia="仿宋" w:cs="仿宋"/>
                      <w:sz w:val="24"/>
                      <w:highlight w:val="none"/>
                    </w:rPr>
                    <w:t>网卡：≥2*千兆网卡；</w:t>
                  </w:r>
                </w:p>
                <w:p w14:paraId="0CA280DB">
                  <w:pPr>
                    <w:widowControl/>
                    <w:jc w:val="left"/>
                    <w:rPr>
                      <w:rFonts w:hint="eastAsia" w:ascii="仿宋" w:hAnsi="仿宋" w:eastAsia="仿宋" w:cs="仿宋"/>
                      <w:sz w:val="24"/>
                      <w:highlight w:val="none"/>
                    </w:rPr>
                  </w:pPr>
                  <w:r>
                    <w:rPr>
                      <w:rFonts w:hint="eastAsia" w:ascii="仿宋" w:hAnsi="仿宋" w:eastAsia="仿宋" w:cs="仿宋"/>
                      <w:sz w:val="24"/>
                      <w:highlight w:val="none"/>
                    </w:rPr>
                    <w:t>采集的音视频均按照国标GBT/28181协议或RTP格式（TCP协议）进行传输，符合公安部相关安全边界要求；</w:t>
                  </w:r>
                </w:p>
                <w:p w14:paraId="35ACB552">
                  <w:pPr>
                    <w:widowControl/>
                    <w:jc w:val="left"/>
                    <w:rPr>
                      <w:rFonts w:hint="eastAsia" w:ascii="仿宋" w:hAnsi="仿宋" w:eastAsia="仿宋" w:cs="仿宋"/>
                      <w:sz w:val="24"/>
                      <w:highlight w:val="none"/>
                    </w:rPr>
                  </w:pPr>
                  <w:r>
                    <w:rPr>
                      <w:rFonts w:hint="eastAsia" w:ascii="仿宋" w:hAnsi="仿宋" w:eastAsia="仿宋" w:cs="仿宋"/>
                      <w:sz w:val="24"/>
                      <w:highlight w:val="none"/>
                    </w:rPr>
                    <w:t>融合调度模块实现集成指挥平台标准接口对接；</w:t>
                  </w:r>
                </w:p>
                <w:p w14:paraId="638C87D0">
                  <w:pPr>
                    <w:widowControl/>
                    <w:jc w:val="left"/>
                    <w:rPr>
                      <w:rFonts w:hint="eastAsia" w:ascii="仿宋" w:hAnsi="仿宋" w:eastAsia="仿宋" w:cs="仿宋"/>
                      <w:sz w:val="24"/>
                      <w:highlight w:val="none"/>
                    </w:rPr>
                  </w:pPr>
                  <w:r>
                    <w:rPr>
                      <w:rFonts w:hint="eastAsia" w:ascii="仿宋" w:hAnsi="仿宋" w:eastAsia="仿宋" w:cs="仿宋"/>
                      <w:sz w:val="24"/>
                      <w:highlight w:val="none"/>
                    </w:rPr>
                    <w:t>提供集成指挥平台OCX插件包、移动执法终端音视频软件SDK包。与公安交通集成指挥平台无缝对接，各功能菜单在集成指挥平台展示；</w:t>
                  </w:r>
                </w:p>
                <w:p w14:paraId="21FB14E3">
                  <w:pPr>
                    <w:widowControl/>
                    <w:jc w:val="left"/>
                    <w:rPr>
                      <w:rFonts w:hint="eastAsia" w:ascii="仿宋" w:hAnsi="仿宋" w:eastAsia="仿宋" w:cs="仿宋"/>
                      <w:sz w:val="24"/>
                      <w:highlight w:val="none"/>
                    </w:rPr>
                  </w:pPr>
                  <w:r>
                    <w:rPr>
                      <w:rFonts w:hint="eastAsia" w:ascii="仿宋" w:hAnsi="仿宋" w:eastAsia="仿宋" w:cs="仿宋"/>
                      <w:sz w:val="24"/>
                      <w:highlight w:val="none"/>
                    </w:rPr>
                    <w:t>用户容量≥2000个；</w:t>
                  </w:r>
                </w:p>
                <w:p w14:paraId="2E704AEF">
                  <w:pPr>
                    <w:widowControl/>
                    <w:jc w:val="left"/>
                    <w:rPr>
                      <w:rFonts w:hint="eastAsia" w:ascii="仿宋" w:hAnsi="仿宋" w:eastAsia="仿宋" w:cs="仿宋"/>
                      <w:sz w:val="24"/>
                      <w:highlight w:val="none"/>
                    </w:rPr>
                  </w:pPr>
                  <w:r>
                    <w:rPr>
                      <w:rFonts w:hint="eastAsia" w:ascii="仿宋" w:hAnsi="仿宋" w:eastAsia="仿宋" w:cs="仿宋"/>
                      <w:sz w:val="24"/>
                      <w:highlight w:val="none"/>
                    </w:rPr>
                    <w:t>并发呼叫人数≥1024个；</w:t>
                  </w:r>
                </w:p>
                <w:p w14:paraId="37B1A095">
                  <w:pPr>
                    <w:widowControl/>
                    <w:jc w:val="left"/>
                    <w:rPr>
                      <w:rFonts w:hint="eastAsia" w:ascii="仿宋" w:hAnsi="仿宋" w:eastAsia="仿宋" w:cs="仿宋"/>
                      <w:sz w:val="24"/>
                      <w:highlight w:val="none"/>
                    </w:rPr>
                  </w:pPr>
                  <w:r>
                    <w:rPr>
                      <w:rFonts w:hint="eastAsia" w:ascii="仿宋" w:hAnsi="仿宋" w:eastAsia="仿宋" w:cs="仿宋"/>
                      <w:sz w:val="24"/>
                      <w:highlight w:val="none"/>
                    </w:rPr>
                    <w:t>音视频业务处理响应能力≤2秒；</w:t>
                  </w:r>
                </w:p>
                <w:p w14:paraId="62A8C2F2">
                  <w:pPr>
                    <w:widowControl/>
                    <w:jc w:val="left"/>
                    <w:rPr>
                      <w:rFonts w:hint="eastAsia" w:ascii="仿宋" w:hAnsi="仿宋" w:eastAsia="仿宋" w:cs="仿宋"/>
                      <w:sz w:val="24"/>
                      <w:highlight w:val="none"/>
                    </w:rPr>
                  </w:pPr>
                  <w:r>
                    <w:rPr>
                      <w:rFonts w:hint="eastAsia" w:ascii="仿宋" w:hAnsi="仿宋" w:eastAsia="仿宋" w:cs="仿宋"/>
                      <w:sz w:val="24"/>
                      <w:highlight w:val="none"/>
                    </w:rPr>
                    <w:t>业务处理响应能力≥1024个；</w:t>
                  </w:r>
                </w:p>
                <w:p w14:paraId="133CD00C">
                  <w:pPr>
                    <w:widowControl/>
                    <w:jc w:val="left"/>
                    <w:rPr>
                      <w:rFonts w:hint="eastAsia" w:ascii="仿宋" w:hAnsi="仿宋" w:eastAsia="仿宋" w:cs="仿宋"/>
                      <w:sz w:val="24"/>
                      <w:highlight w:val="none"/>
                    </w:rPr>
                  </w:pPr>
                  <w:r>
                    <w:rPr>
                      <w:rFonts w:hint="eastAsia" w:ascii="仿宋" w:hAnsi="仿宋" w:eastAsia="仿宋" w:cs="仿宋"/>
                      <w:sz w:val="24"/>
                      <w:highlight w:val="none"/>
                    </w:rPr>
                    <w:t>视频接口并发能力≥128路；</w:t>
                  </w:r>
                </w:p>
                <w:p w14:paraId="1B0C151D">
                  <w:pPr>
                    <w:widowControl/>
                    <w:jc w:val="left"/>
                    <w:rPr>
                      <w:rFonts w:hint="eastAsia" w:ascii="仿宋" w:hAnsi="仿宋" w:eastAsia="仿宋" w:cs="仿宋"/>
                      <w:sz w:val="24"/>
                      <w:highlight w:val="none"/>
                    </w:rPr>
                  </w:pPr>
                  <w:r>
                    <w:rPr>
                      <w:rFonts w:hint="eastAsia" w:ascii="仿宋" w:hAnsi="仿宋" w:eastAsia="仿宋" w:cs="仿宋"/>
                      <w:sz w:val="24"/>
                      <w:highlight w:val="none"/>
                    </w:rPr>
                    <w:t>信息推送并发能力≥2000条/秒；</w:t>
                  </w:r>
                </w:p>
                <w:p w14:paraId="3B31C1B6">
                  <w:pPr>
                    <w:widowControl/>
                    <w:jc w:val="left"/>
                    <w:rPr>
                      <w:rFonts w:hint="eastAsia" w:ascii="仿宋" w:hAnsi="仿宋" w:eastAsia="仿宋" w:cs="仿宋"/>
                      <w:sz w:val="24"/>
                      <w:highlight w:val="none"/>
                    </w:rPr>
                  </w:pPr>
                  <w:r>
                    <w:rPr>
                      <w:rFonts w:hint="eastAsia" w:ascii="仿宋" w:hAnsi="仿宋" w:eastAsia="仿宋" w:cs="仿宋"/>
                      <w:sz w:val="24"/>
                      <w:highlight w:val="none"/>
                    </w:rPr>
                    <w:t>创建组呼响应能力≤1秒；</w:t>
                  </w:r>
                </w:p>
                <w:p w14:paraId="1D1D6E84">
                  <w:pPr>
                    <w:widowControl/>
                    <w:jc w:val="left"/>
                    <w:rPr>
                      <w:rFonts w:hint="eastAsia" w:ascii="仿宋" w:hAnsi="仿宋" w:eastAsia="仿宋" w:cs="仿宋"/>
                      <w:sz w:val="24"/>
                      <w:highlight w:val="none"/>
                    </w:rPr>
                  </w:pPr>
                  <w:r>
                    <w:rPr>
                      <w:rFonts w:hint="eastAsia" w:ascii="仿宋" w:hAnsi="仿宋" w:eastAsia="仿宋" w:cs="仿宋"/>
                      <w:sz w:val="24"/>
                      <w:highlight w:val="none"/>
                    </w:rPr>
                    <w:t>音频延迟≤500ms；</w:t>
                  </w:r>
                </w:p>
                <w:p w14:paraId="77797706">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视频延迟≤500ms；</w:t>
                  </w:r>
                </w:p>
                <w:p w14:paraId="54B1B325">
                  <w:pPr>
                    <w:widowControl/>
                    <w:jc w:val="left"/>
                    <w:rPr>
                      <w:rFonts w:hint="eastAsia" w:ascii="仿宋" w:hAnsi="仿宋" w:eastAsia="仿宋" w:cs="仿宋"/>
                      <w:sz w:val="24"/>
                      <w:highlight w:val="none"/>
                    </w:rPr>
                  </w:pPr>
                  <w:r>
                    <w:rPr>
                      <w:rFonts w:hint="eastAsia" w:ascii="仿宋" w:hAnsi="仿宋" w:eastAsia="仿宋" w:cs="仿宋"/>
                      <w:sz w:val="24"/>
                      <w:highlight w:val="none"/>
                    </w:rPr>
                    <w:t>音频对讲并发≥512个；</w:t>
                  </w:r>
                </w:p>
                <w:p w14:paraId="3BF66E25">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视频对讲并发≥512个；</w:t>
                  </w:r>
                </w:p>
                <w:p w14:paraId="79EF193A">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视频对讲带宽占用≤100k/路。</w:t>
                  </w:r>
                </w:p>
                <w:p w14:paraId="1FA23E72">
                  <w:pPr>
                    <w:widowControl/>
                    <w:jc w:val="left"/>
                    <w:rPr>
                      <w:rFonts w:hint="eastAsia" w:ascii="仿宋" w:hAnsi="仿宋" w:eastAsia="仿宋" w:cs="仿宋"/>
                      <w:sz w:val="24"/>
                      <w:highlight w:val="none"/>
                    </w:rPr>
                  </w:pPr>
                  <w:r>
                    <w:rPr>
                      <w:rFonts w:hint="eastAsia" w:ascii="仿宋" w:hAnsi="仿宋" w:eastAsia="仿宋" w:cs="仿宋"/>
                      <w:sz w:val="24"/>
                      <w:highlight w:val="none"/>
                    </w:rPr>
                    <w:t>业务属性和功能要求：</w:t>
                  </w:r>
                </w:p>
                <w:p w14:paraId="34D3F71E">
                  <w:pPr>
                    <w:widowControl/>
                    <w:jc w:val="left"/>
                    <w:rPr>
                      <w:rFonts w:hint="eastAsia" w:ascii="仿宋" w:hAnsi="仿宋" w:eastAsia="仿宋" w:cs="仿宋"/>
                      <w:sz w:val="24"/>
                      <w:highlight w:val="none"/>
                    </w:rPr>
                  </w:pPr>
                  <w:r>
                    <w:rPr>
                      <w:rFonts w:hint="eastAsia" w:ascii="仿宋" w:hAnsi="仿宋" w:eastAsia="仿宋" w:cs="仿宋"/>
                      <w:sz w:val="24"/>
                      <w:highlight w:val="none"/>
                    </w:rPr>
                    <w:t>1、多层级音视频调度</w:t>
                  </w:r>
                </w:p>
                <w:p w14:paraId="33DBC0E6">
                  <w:pPr>
                    <w:widowControl/>
                    <w:jc w:val="left"/>
                    <w:rPr>
                      <w:rFonts w:hint="eastAsia" w:ascii="仿宋" w:hAnsi="仿宋" w:eastAsia="仿宋" w:cs="仿宋"/>
                      <w:sz w:val="24"/>
                      <w:highlight w:val="none"/>
                    </w:rPr>
                  </w:pPr>
                  <w:r>
                    <w:rPr>
                      <w:rFonts w:hint="eastAsia" w:ascii="仿宋" w:hAnsi="仿宋" w:eastAsia="仿宋" w:cs="仿宋"/>
                      <w:sz w:val="24"/>
                      <w:highlight w:val="none"/>
                    </w:rPr>
                    <w:t>依托集成指挥平台按照部省市三级部署融合通信网关，各级网关公安网内进行网状连接，实现音视频全国联网，同时通过与视频会议系统的对接实现为部局研判室、各级指挥中心提供音视频连线服务。</w:t>
                  </w:r>
                </w:p>
                <w:p w14:paraId="25678C72">
                  <w:pPr>
                    <w:widowControl/>
                    <w:jc w:val="left"/>
                    <w:rPr>
                      <w:rFonts w:hint="eastAsia" w:ascii="仿宋" w:hAnsi="仿宋" w:eastAsia="仿宋" w:cs="仿宋"/>
                      <w:sz w:val="24"/>
                      <w:highlight w:val="none"/>
                    </w:rPr>
                  </w:pPr>
                  <w:r>
                    <w:rPr>
                      <w:rFonts w:hint="eastAsia" w:ascii="仿宋" w:hAnsi="仿宋" w:eastAsia="仿宋" w:cs="仿宋"/>
                      <w:sz w:val="24"/>
                      <w:highlight w:val="none"/>
                    </w:rPr>
                    <w:t>2、音视频资源统一管理</w:t>
                  </w:r>
                </w:p>
                <w:p w14:paraId="00B95DDC">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对具备改造条件的路面监控视频，警务通、350M集群对讲系统、执法记录仪等个人配发执勤执法装备以及室内软视频会议系统等终端统一接入，实现终端音视频的统一管理。并可通过平台实现对各类终端选择、切换、静音开启、呼叫插入等功能。</w:t>
                  </w:r>
                </w:p>
                <w:p w14:paraId="16D26356">
                  <w:pPr>
                    <w:widowControl/>
                    <w:jc w:val="left"/>
                    <w:rPr>
                      <w:rFonts w:hint="eastAsia" w:ascii="仿宋" w:hAnsi="仿宋" w:eastAsia="仿宋" w:cs="仿宋"/>
                      <w:sz w:val="24"/>
                      <w:highlight w:val="none"/>
                    </w:rPr>
                  </w:pPr>
                  <w:r>
                    <w:rPr>
                      <w:rFonts w:hint="eastAsia" w:ascii="仿宋" w:hAnsi="仿宋" w:eastAsia="仿宋" w:cs="仿宋"/>
                      <w:sz w:val="24"/>
                      <w:highlight w:val="none"/>
                    </w:rPr>
                    <w:t>3、可视化指挥调度</w:t>
                  </w:r>
                </w:p>
                <w:p w14:paraId="0141DA97">
                  <w:pPr>
                    <w:widowControl/>
                    <w:jc w:val="left"/>
                    <w:rPr>
                      <w:rFonts w:hint="eastAsia" w:ascii="仿宋" w:hAnsi="仿宋" w:eastAsia="仿宋" w:cs="仿宋"/>
                      <w:sz w:val="24"/>
                      <w:highlight w:val="none"/>
                    </w:rPr>
                  </w:pPr>
                  <w:r>
                    <w:rPr>
                      <w:rFonts w:hint="eastAsia" w:ascii="仿宋" w:hAnsi="仿宋" w:eastAsia="仿宋" w:cs="仿宋"/>
                      <w:sz w:val="24"/>
                      <w:highlight w:val="none"/>
                    </w:rPr>
                    <w:t>实现基础视频调度。支持分级部署，实现跨单位多层级音视频实时通话，构建大范围统一指挥调度体系。支持调阅指定终端用户的音视频回传，双方建立通讯临时频道，支持呼叫过程中加入终端成员。</w:t>
                  </w:r>
                </w:p>
                <w:p w14:paraId="05507AAE">
                  <w:pPr>
                    <w:widowControl/>
                    <w:jc w:val="left"/>
                    <w:rPr>
                      <w:rFonts w:hint="eastAsia" w:ascii="仿宋" w:hAnsi="仿宋" w:eastAsia="仿宋" w:cs="仿宋"/>
                      <w:sz w:val="24"/>
                      <w:highlight w:val="none"/>
                    </w:rPr>
                  </w:pPr>
                  <w:r>
                    <w:rPr>
                      <w:rFonts w:hint="eastAsia" w:ascii="仿宋" w:hAnsi="仿宋" w:eastAsia="仿宋" w:cs="仿宋"/>
                      <w:sz w:val="24"/>
                      <w:highlight w:val="none"/>
                    </w:rPr>
                    <w:t>4、可视化处警</w:t>
                  </w:r>
                </w:p>
                <w:p w14:paraId="19EAC70F">
                  <w:pPr>
                    <w:widowControl/>
                    <w:jc w:val="left"/>
                    <w:rPr>
                      <w:rFonts w:hint="eastAsia" w:ascii="仿宋" w:hAnsi="仿宋" w:eastAsia="仿宋" w:cs="仿宋"/>
                      <w:sz w:val="24"/>
                      <w:highlight w:val="none"/>
                    </w:rPr>
                  </w:pPr>
                  <w:r>
                    <w:rPr>
                      <w:rFonts w:hint="eastAsia" w:ascii="仿宋" w:hAnsi="仿宋" w:eastAsia="仿宋" w:cs="仿宋"/>
                      <w:sz w:val="24"/>
                      <w:highlight w:val="none"/>
                    </w:rPr>
                    <w:t>实现路面民警通过警务通、车载平板调度周边路面监控视频、车载视频，支持民警音视频通话，提高处警效率。</w:t>
                  </w:r>
                </w:p>
                <w:p w14:paraId="79771FE6">
                  <w:pPr>
                    <w:widowControl/>
                    <w:jc w:val="left"/>
                    <w:rPr>
                      <w:rFonts w:hint="eastAsia" w:ascii="仿宋" w:hAnsi="仿宋" w:eastAsia="仿宋" w:cs="仿宋"/>
                      <w:sz w:val="24"/>
                      <w:highlight w:val="none"/>
                    </w:rPr>
                  </w:pPr>
                  <w:r>
                    <w:rPr>
                      <w:rFonts w:hint="eastAsia" w:ascii="仿宋" w:hAnsi="仿宋" w:eastAsia="仿宋" w:cs="仿宋"/>
                      <w:sz w:val="24"/>
                      <w:highlight w:val="none"/>
                    </w:rPr>
                    <w:t>5、可视化协助</w:t>
                  </w:r>
                </w:p>
                <w:p w14:paraId="45BE8E13">
                  <w:pPr>
                    <w:widowControl/>
                    <w:jc w:val="left"/>
                    <w:rPr>
                      <w:rFonts w:hint="eastAsia" w:ascii="仿宋" w:hAnsi="仿宋" w:eastAsia="仿宋" w:cs="仿宋"/>
                      <w:sz w:val="24"/>
                      <w:highlight w:val="none"/>
                    </w:rPr>
                  </w:pPr>
                  <w:r>
                    <w:rPr>
                      <w:rFonts w:hint="eastAsia" w:ascii="仿宋" w:hAnsi="仿宋" w:eastAsia="仿宋" w:cs="仿宋"/>
                      <w:sz w:val="24"/>
                      <w:highlight w:val="none"/>
                    </w:rPr>
                    <w:t>实现路面民警通过警务通向指挥中心申请协助，协助可以音视频方式发起，构建路指协同体系。</w:t>
                  </w:r>
                </w:p>
                <w:p w14:paraId="3F949680">
                  <w:pPr>
                    <w:widowControl/>
                    <w:jc w:val="left"/>
                    <w:rPr>
                      <w:rFonts w:hint="eastAsia" w:ascii="仿宋" w:hAnsi="仿宋" w:eastAsia="仿宋" w:cs="仿宋"/>
                      <w:sz w:val="24"/>
                      <w:highlight w:val="none"/>
                    </w:rPr>
                  </w:pPr>
                  <w:r>
                    <w:rPr>
                      <w:rFonts w:hint="eastAsia" w:ascii="仿宋" w:hAnsi="仿宋" w:eastAsia="仿宋" w:cs="仿宋"/>
                      <w:sz w:val="24"/>
                      <w:highlight w:val="none"/>
                    </w:rPr>
                    <w:t>6、终端入会</w:t>
                  </w:r>
                </w:p>
                <w:p w14:paraId="5C9D7FAB">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支持将集成的音视频终端通过软硬件形式接入MCU视频会议系统，支持分级构建视频会议，支持部局研判室通过视频会议系统调度各地终端视频，支持各地监控视频终端入会。</w:t>
                  </w:r>
                </w:p>
                <w:p w14:paraId="6ED2B9AB">
                  <w:pPr>
                    <w:widowControl/>
                    <w:jc w:val="left"/>
                    <w:rPr>
                      <w:rFonts w:hint="eastAsia" w:ascii="仿宋" w:hAnsi="仿宋" w:eastAsia="仿宋" w:cs="仿宋"/>
                      <w:sz w:val="24"/>
                      <w:highlight w:val="none"/>
                    </w:rPr>
                  </w:pPr>
                  <w:r>
                    <w:rPr>
                      <w:rFonts w:hint="eastAsia" w:ascii="仿宋" w:hAnsi="仿宋" w:eastAsia="仿宋" w:cs="仿宋"/>
                      <w:sz w:val="24"/>
                      <w:highlight w:val="none"/>
                    </w:rPr>
                    <w:t>7、语音接入</w:t>
                  </w:r>
                </w:p>
                <w:p w14:paraId="1CA2F1DC">
                  <w:pPr>
                    <w:widowControl/>
                    <w:jc w:val="left"/>
                    <w:rPr>
                      <w:rFonts w:hint="eastAsia" w:ascii="仿宋" w:hAnsi="仿宋" w:eastAsia="仿宋" w:cs="仿宋"/>
                      <w:sz w:val="24"/>
                      <w:highlight w:val="none"/>
                    </w:rPr>
                  </w:pPr>
                  <w:r>
                    <w:rPr>
                      <w:rFonts w:hint="eastAsia" w:ascii="仿宋" w:hAnsi="仿宋" w:eastAsia="仿宋" w:cs="仿宋"/>
                      <w:sz w:val="24"/>
                      <w:highlight w:val="none"/>
                    </w:rPr>
                    <w:t>集成PSTN电话网，实现移动手机与固定电话的语音接入。一个用户同时支持一路电话通讯和多路对讲机对话。可用户数与语音卡支持接入数量相关。电话通讯过程中同时支持其他终端的音视频对话。</w:t>
                  </w:r>
                </w:p>
                <w:p w14:paraId="7BD04E98">
                  <w:pPr>
                    <w:widowControl/>
                    <w:jc w:val="left"/>
                    <w:rPr>
                      <w:rFonts w:hint="eastAsia" w:ascii="仿宋" w:hAnsi="仿宋" w:eastAsia="仿宋" w:cs="仿宋"/>
                      <w:sz w:val="24"/>
                      <w:highlight w:val="none"/>
                    </w:rPr>
                  </w:pPr>
                  <w:r>
                    <w:rPr>
                      <w:rFonts w:hint="eastAsia" w:ascii="仿宋" w:hAnsi="仿宋" w:eastAsia="仿宋" w:cs="仿宋"/>
                      <w:sz w:val="24"/>
                      <w:highlight w:val="none"/>
                    </w:rPr>
                    <w:t>8、终端对接</w:t>
                  </w:r>
                </w:p>
                <w:p w14:paraId="37F42C2D">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支持警务通系统、执法记录仪、车载摄像视频的平台之间对接。提供接入跨网络解决方案，警务通提供集成指挥平台移动警务系统或音视频调度SDK。</w:t>
                  </w:r>
                </w:p>
                <w:p w14:paraId="670E4FB7">
                  <w:pPr>
                    <w:widowControl/>
                    <w:jc w:val="left"/>
                    <w:rPr>
                      <w:rFonts w:hint="eastAsia" w:ascii="仿宋" w:hAnsi="仿宋" w:eastAsia="仿宋" w:cs="仿宋"/>
                      <w:sz w:val="24"/>
                      <w:highlight w:val="none"/>
                    </w:rPr>
                  </w:pPr>
                  <w:r>
                    <w:rPr>
                      <w:rFonts w:hint="eastAsia" w:ascii="仿宋" w:hAnsi="仿宋" w:eastAsia="仿宋" w:cs="仿宋"/>
                      <w:sz w:val="24"/>
                      <w:highlight w:val="none"/>
                    </w:rPr>
                    <w:t>9、录音录播</w:t>
                  </w:r>
                </w:p>
                <w:p w14:paraId="7EC81D4D">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支持通讯过程中的音视频录音录播功能，并提供历史录音、录像查询播放</w:t>
                  </w:r>
                </w:p>
                <w:p w14:paraId="2495BFB2">
                  <w:pPr>
                    <w:widowControl/>
                    <w:jc w:val="left"/>
                    <w:rPr>
                      <w:rFonts w:hint="eastAsia" w:ascii="仿宋" w:hAnsi="仿宋" w:eastAsia="仿宋" w:cs="仿宋"/>
                      <w:sz w:val="24"/>
                      <w:highlight w:val="none"/>
                    </w:rPr>
                  </w:pPr>
                  <w:r>
                    <w:rPr>
                      <w:rFonts w:hint="eastAsia" w:ascii="仿宋" w:hAnsi="仿宋" w:eastAsia="仿宋" w:cs="仿宋"/>
                      <w:sz w:val="24"/>
                      <w:highlight w:val="none"/>
                    </w:rPr>
                    <w:t>性能要求：</w:t>
                  </w:r>
                </w:p>
                <w:p w14:paraId="678435E1">
                  <w:pPr>
                    <w:widowControl/>
                    <w:jc w:val="left"/>
                    <w:rPr>
                      <w:rFonts w:hint="eastAsia" w:ascii="仿宋" w:hAnsi="仿宋" w:eastAsia="仿宋" w:cs="仿宋"/>
                      <w:sz w:val="24"/>
                      <w:highlight w:val="none"/>
                    </w:rPr>
                  </w:pPr>
                  <w:r>
                    <w:rPr>
                      <w:rFonts w:hint="eastAsia" w:ascii="仿宋" w:hAnsi="仿宋" w:eastAsia="仿宋" w:cs="仿宋"/>
                      <w:sz w:val="24"/>
                      <w:highlight w:val="none"/>
                    </w:rPr>
                    <w:t>1、安全性管理</w:t>
                  </w:r>
                </w:p>
                <w:p w14:paraId="2F053C68">
                  <w:pPr>
                    <w:widowControl/>
                    <w:jc w:val="left"/>
                    <w:rPr>
                      <w:rFonts w:hint="eastAsia" w:ascii="仿宋" w:hAnsi="仿宋" w:eastAsia="仿宋" w:cs="仿宋"/>
                      <w:sz w:val="24"/>
                      <w:highlight w:val="none"/>
                    </w:rPr>
                  </w:pPr>
                  <w:r>
                    <w:rPr>
                      <w:rFonts w:hint="eastAsia" w:ascii="仿宋" w:hAnsi="仿宋" w:eastAsia="仿宋" w:cs="仿宋"/>
                      <w:sz w:val="24"/>
                      <w:highlight w:val="none"/>
                    </w:rPr>
                    <w:t>系统所有通信接口均按照集成指挥平台的加解密通信要求，系统针对每路音视频调用隐藏视频调用地址的方式保证视频地址安全；每路音视频调度都通过授权码解密核验调用来源是否安全。</w:t>
                  </w:r>
                </w:p>
                <w:p w14:paraId="71F63A10">
                  <w:pPr>
                    <w:widowControl/>
                    <w:jc w:val="left"/>
                    <w:rPr>
                      <w:rFonts w:hint="eastAsia" w:ascii="仿宋" w:hAnsi="仿宋" w:eastAsia="仿宋" w:cs="仿宋"/>
                      <w:sz w:val="24"/>
                      <w:highlight w:val="none"/>
                    </w:rPr>
                  </w:pPr>
                  <w:r>
                    <w:rPr>
                      <w:rFonts w:hint="eastAsia" w:ascii="仿宋" w:hAnsi="仿宋" w:eastAsia="仿宋" w:cs="仿宋"/>
                      <w:sz w:val="24"/>
                      <w:highlight w:val="none"/>
                    </w:rPr>
                    <w:t>音视频流符合公安无线安全边界要求。</w:t>
                  </w:r>
                </w:p>
                <w:p w14:paraId="6497EFD3">
                  <w:pPr>
                    <w:widowControl/>
                    <w:jc w:val="left"/>
                    <w:rPr>
                      <w:rFonts w:hint="eastAsia" w:ascii="仿宋" w:hAnsi="仿宋" w:eastAsia="仿宋" w:cs="仿宋"/>
                      <w:sz w:val="24"/>
                      <w:highlight w:val="none"/>
                    </w:rPr>
                  </w:pPr>
                  <w:r>
                    <w:rPr>
                      <w:rFonts w:hint="eastAsia" w:ascii="仿宋" w:hAnsi="仿宋" w:eastAsia="仿宋" w:cs="仿宋"/>
                      <w:sz w:val="24"/>
                      <w:highlight w:val="none"/>
                    </w:rPr>
                    <w:t>2、响应能力</w:t>
                  </w:r>
                </w:p>
                <w:p w14:paraId="02126BE7">
                  <w:pPr>
                    <w:widowControl/>
                    <w:jc w:val="left"/>
                    <w:rPr>
                      <w:rFonts w:hint="eastAsia" w:ascii="仿宋" w:hAnsi="仿宋" w:eastAsia="仿宋" w:cs="仿宋"/>
                      <w:sz w:val="24"/>
                      <w:highlight w:val="none"/>
                    </w:rPr>
                  </w:pPr>
                  <w:r>
                    <w:rPr>
                      <w:rFonts w:hint="eastAsia" w:ascii="仿宋" w:hAnsi="仿宋" w:eastAsia="仿宋" w:cs="仿宋"/>
                      <w:sz w:val="24"/>
                      <w:highlight w:val="none"/>
                    </w:rPr>
                    <w:t>系统接到集成指挥平台的指令后，立即调用所属支队的融合调度网关进行通信，从创建频道到完成单呼和组呼的视频响应。</w:t>
                  </w:r>
                </w:p>
                <w:p w14:paraId="73DBB4D1">
                  <w:pPr>
                    <w:widowControl/>
                    <w:jc w:val="left"/>
                    <w:rPr>
                      <w:rFonts w:hint="eastAsia" w:ascii="仿宋" w:hAnsi="仿宋" w:eastAsia="仿宋" w:cs="仿宋"/>
                      <w:sz w:val="24"/>
                      <w:highlight w:val="none"/>
                    </w:rPr>
                  </w:pPr>
                  <w:r>
                    <w:rPr>
                      <w:rFonts w:hint="eastAsia" w:ascii="仿宋" w:hAnsi="仿宋" w:eastAsia="仿宋" w:cs="仿宋"/>
                      <w:sz w:val="24"/>
                      <w:highlight w:val="none"/>
                    </w:rPr>
                    <w:t>调用路面监控视频时，从收到请求到完成视频响应。</w:t>
                  </w:r>
                </w:p>
                <w:p w14:paraId="4526FC70">
                  <w:pPr>
                    <w:widowControl/>
                    <w:jc w:val="left"/>
                    <w:rPr>
                      <w:rFonts w:hint="eastAsia" w:ascii="仿宋" w:hAnsi="仿宋" w:eastAsia="仿宋" w:cs="仿宋"/>
                      <w:sz w:val="24"/>
                      <w:highlight w:val="none"/>
                    </w:rPr>
                  </w:pPr>
                  <w:r>
                    <w:rPr>
                      <w:rFonts w:hint="eastAsia" w:ascii="仿宋" w:hAnsi="仿宋" w:eastAsia="仿宋" w:cs="仿宋"/>
                      <w:sz w:val="24"/>
                      <w:highlight w:val="none"/>
                    </w:rPr>
                    <w:t>3、自动重连机制</w:t>
                  </w:r>
                </w:p>
                <w:p w14:paraId="604AA456">
                  <w:pPr>
                    <w:widowControl/>
                    <w:jc w:val="left"/>
                    <w:rPr>
                      <w:rFonts w:hint="eastAsia" w:ascii="仿宋" w:hAnsi="仿宋" w:eastAsia="仿宋" w:cs="仿宋"/>
                      <w:sz w:val="24"/>
                      <w:highlight w:val="none"/>
                    </w:rPr>
                  </w:pPr>
                  <w:r>
                    <w:rPr>
                      <w:rFonts w:hint="eastAsia" w:ascii="仿宋" w:hAnsi="仿宋" w:eastAsia="仿宋" w:cs="仿宋"/>
                      <w:sz w:val="24"/>
                      <w:highlight w:val="none"/>
                    </w:rPr>
                    <w:t>考虑到移动设备的网络环境相对比较复杂，融合通信指挥调度平台支持断网自动重连，为保证视频的实时性，网关根据时间戳，对断网期间的视频包只进行保存处理，不进行实时视频转发。</w:t>
                  </w:r>
                </w:p>
                <w:p w14:paraId="6BC1CA47">
                  <w:pPr>
                    <w:widowControl/>
                    <w:jc w:val="left"/>
                    <w:rPr>
                      <w:rFonts w:hint="eastAsia" w:ascii="仿宋" w:hAnsi="仿宋" w:eastAsia="仿宋" w:cs="仿宋"/>
                      <w:sz w:val="24"/>
                      <w:highlight w:val="none"/>
                    </w:rPr>
                  </w:pPr>
                  <w:r>
                    <w:rPr>
                      <w:rFonts w:hint="eastAsia" w:ascii="仿宋" w:hAnsi="仿宋" w:eastAsia="仿宋" w:cs="仿宋"/>
                      <w:sz w:val="24"/>
                      <w:highlight w:val="none"/>
                    </w:rPr>
                    <w:t>4、多种对接方式</w:t>
                  </w:r>
                </w:p>
                <w:p w14:paraId="6A5C1213">
                  <w:pPr>
                    <w:widowControl/>
                    <w:jc w:val="left"/>
                    <w:rPr>
                      <w:rFonts w:hint="eastAsia" w:ascii="仿宋" w:hAnsi="仿宋" w:eastAsia="仿宋" w:cs="仿宋"/>
                      <w:sz w:val="24"/>
                      <w:highlight w:val="none"/>
                    </w:rPr>
                  </w:pPr>
                  <w:r>
                    <w:rPr>
                      <w:rFonts w:hint="eastAsia" w:ascii="仿宋" w:hAnsi="仿宋" w:eastAsia="仿宋" w:cs="仿宋"/>
                      <w:sz w:val="24"/>
                      <w:highlight w:val="none"/>
                    </w:rPr>
                    <w:t>网关支持多种音视频的接入和播放格式，如28181、rtsp、rtmp等格式。</w:t>
                  </w:r>
                </w:p>
                <w:p w14:paraId="6ED1885C">
                  <w:pPr>
                    <w:widowControl/>
                    <w:jc w:val="left"/>
                    <w:rPr>
                      <w:rFonts w:hint="eastAsia" w:ascii="仿宋" w:hAnsi="仿宋" w:eastAsia="仿宋" w:cs="仿宋"/>
                      <w:sz w:val="24"/>
                      <w:highlight w:val="none"/>
                    </w:rPr>
                  </w:pPr>
                  <w:r>
                    <w:rPr>
                      <w:rFonts w:hint="eastAsia" w:ascii="仿宋" w:hAnsi="仿宋" w:eastAsia="仿宋" w:cs="仿宋"/>
                      <w:sz w:val="24"/>
                      <w:highlight w:val="none"/>
                    </w:rPr>
                    <w:t>5、音频编码格式</w:t>
                  </w:r>
                </w:p>
                <w:p w14:paraId="772B27AB">
                  <w:pPr>
                    <w:widowControl/>
                    <w:jc w:val="left"/>
                    <w:rPr>
                      <w:rFonts w:ascii="宋体" w:hAnsi="宋体" w:eastAsia="仿宋" w:cs="宋体"/>
                      <w:sz w:val="24"/>
                      <w:highlight w:val="none"/>
                    </w:rPr>
                  </w:pPr>
                  <w:r>
                    <w:rPr>
                      <w:rFonts w:hint="eastAsia" w:ascii="仿宋" w:hAnsi="仿宋" w:eastAsia="仿宋" w:cs="仿宋"/>
                      <w:sz w:val="24"/>
                      <w:highlight w:val="none"/>
                    </w:rPr>
                    <w:t>融合通信指挥调度平台的音频数据应支持iLBC编码</w:t>
                  </w:r>
                </w:p>
              </w:tc>
              <w:tc>
                <w:tcPr>
                  <w:tcW w:w="661" w:type="dxa"/>
                  <w:noWrap/>
                  <w:vAlign w:val="center"/>
                </w:tcPr>
                <w:p w14:paraId="4E6A9ADD">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029F86EB">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6221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00CEADB8">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12</w:t>
                  </w:r>
                </w:p>
              </w:tc>
              <w:tc>
                <w:tcPr>
                  <w:tcW w:w="593" w:type="dxa"/>
                  <w:vMerge w:val="restart"/>
                  <w:noWrap/>
                  <w:vAlign w:val="center"/>
                </w:tcPr>
                <w:p w14:paraId="66BC80B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数据处理一体机</w:t>
                  </w:r>
                </w:p>
              </w:tc>
              <w:tc>
                <w:tcPr>
                  <w:tcW w:w="1025" w:type="dxa"/>
                  <w:noWrap/>
                  <w:vAlign w:val="center"/>
                </w:tcPr>
                <w:p w14:paraId="352BDED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计算节点</w:t>
                  </w:r>
                </w:p>
              </w:tc>
              <w:tc>
                <w:tcPr>
                  <w:tcW w:w="4003" w:type="dxa"/>
                  <w:noWrap/>
                  <w:vAlign w:val="center"/>
                </w:tcPr>
                <w:p w14:paraId="2869239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2路机架式，12NVMe盘位</w:t>
                  </w:r>
                </w:p>
                <w:p w14:paraId="557519F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国产处理器：≥2*32C，主频≥2.2GHz</w:t>
                  </w:r>
                </w:p>
                <w:p w14:paraId="2910D42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 xml:space="preserve">内存：≥512GB </w:t>
                  </w:r>
                  <w:r>
                    <w:rPr>
                      <w:rFonts w:ascii="宋体" w:hAnsi="宋体" w:eastAsia="仿宋" w:cs="宋体"/>
                      <w:sz w:val="24"/>
                      <w:highlight w:val="none"/>
                    </w:rPr>
                    <w:t>DDR4</w:t>
                  </w:r>
                </w:p>
                <w:p w14:paraId="42E8491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硬盘：≥2*1.92TB U.2 NVMe 企业级SSD</w:t>
                  </w:r>
                </w:p>
                <w:p w14:paraId="15DA31E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网卡：≥2*100GbE 双端口QSFP28光模块， PCIe3.0 x16网卡(支持 RoCE v2)；</w:t>
                  </w:r>
                </w:p>
                <w:p w14:paraId="4E48EF3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网线：≥4*3m 100GbE QSFP28 Ethernet Cable，2*3m 10Gb SFP+ Cable；</w:t>
                  </w:r>
                </w:p>
                <w:p w14:paraId="36687F4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电源：≥2*1300W</w:t>
                  </w:r>
                </w:p>
                <w:p w14:paraId="024D765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含国产操作系统</w:t>
                  </w:r>
                </w:p>
                <w:p w14:paraId="564205E8">
                  <w:pPr>
                    <w:widowControl/>
                    <w:spacing w:line="360" w:lineRule="auto"/>
                    <w:jc w:val="left"/>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tc>
              <w:tc>
                <w:tcPr>
                  <w:tcW w:w="661" w:type="dxa"/>
                  <w:noWrap/>
                  <w:vAlign w:val="center"/>
                </w:tcPr>
                <w:p w14:paraId="0E45885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w:t>
                  </w:r>
                </w:p>
              </w:tc>
              <w:tc>
                <w:tcPr>
                  <w:tcW w:w="661" w:type="dxa"/>
                  <w:noWrap/>
                  <w:vAlign w:val="center"/>
                </w:tcPr>
                <w:p w14:paraId="335C051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节点</w:t>
                  </w:r>
                </w:p>
              </w:tc>
            </w:tr>
            <w:tr w14:paraId="3611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7CFE498F">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13</w:t>
                  </w:r>
                </w:p>
              </w:tc>
              <w:tc>
                <w:tcPr>
                  <w:tcW w:w="593" w:type="dxa"/>
                  <w:vMerge w:val="continue"/>
                  <w:noWrap/>
                  <w:vAlign w:val="center"/>
                </w:tcPr>
                <w:p w14:paraId="25FA1EB5">
                  <w:pPr>
                    <w:rPr>
                      <w:highlight w:val="none"/>
                    </w:rPr>
                  </w:pPr>
                </w:p>
              </w:tc>
              <w:tc>
                <w:tcPr>
                  <w:tcW w:w="1025" w:type="dxa"/>
                  <w:noWrap/>
                  <w:vAlign w:val="center"/>
                </w:tcPr>
                <w:p w14:paraId="0782551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存储节点</w:t>
                  </w:r>
                </w:p>
              </w:tc>
              <w:tc>
                <w:tcPr>
                  <w:tcW w:w="4003" w:type="dxa"/>
                  <w:noWrap/>
                  <w:vAlign w:val="center"/>
                </w:tcPr>
                <w:p w14:paraId="6AA69A2C">
                  <w:pPr>
                    <w:widowControl/>
                    <w:spacing w:line="360" w:lineRule="auto"/>
                    <w:rPr>
                      <w:rFonts w:ascii="宋体" w:hAnsi="宋体" w:eastAsia="仿宋" w:cs="宋体"/>
                      <w:sz w:val="24"/>
                      <w:highlight w:val="none"/>
                    </w:rPr>
                  </w:pPr>
                  <w:r>
                    <w:rPr>
                      <w:rFonts w:hint="eastAsia" w:ascii="宋体" w:hAnsi="宋体" w:eastAsia="仿宋" w:cs="宋体"/>
                      <w:sz w:val="24"/>
                      <w:highlight w:val="none"/>
                    </w:rPr>
                    <w:t>2路机架式，12NVMe盘位</w:t>
                  </w:r>
                </w:p>
                <w:p w14:paraId="38E990DD">
                  <w:pPr>
                    <w:widowControl/>
                    <w:spacing w:line="360" w:lineRule="auto"/>
                    <w:rPr>
                      <w:rFonts w:ascii="宋体" w:hAnsi="宋体" w:eastAsia="仿宋" w:cs="宋体"/>
                      <w:sz w:val="24"/>
                      <w:highlight w:val="none"/>
                    </w:rPr>
                  </w:pPr>
                  <w:r>
                    <w:rPr>
                      <w:rFonts w:hint="eastAsia" w:ascii="宋体" w:hAnsi="宋体" w:eastAsia="仿宋" w:cs="宋体"/>
                      <w:sz w:val="24"/>
                      <w:highlight w:val="none"/>
                    </w:rPr>
                    <w:t>国产处理器：≥2*24C，主频≥2.2GHz</w:t>
                  </w:r>
                </w:p>
                <w:p w14:paraId="23431918">
                  <w:pPr>
                    <w:widowControl/>
                    <w:spacing w:line="360" w:lineRule="auto"/>
                    <w:rPr>
                      <w:rFonts w:ascii="宋体" w:hAnsi="宋体" w:eastAsia="仿宋" w:cs="宋体"/>
                      <w:sz w:val="24"/>
                      <w:highlight w:val="none"/>
                    </w:rPr>
                  </w:pPr>
                  <w:r>
                    <w:rPr>
                      <w:rFonts w:hint="eastAsia" w:ascii="宋体" w:hAnsi="宋体" w:eastAsia="仿宋" w:cs="宋体"/>
                      <w:sz w:val="24"/>
                      <w:highlight w:val="none"/>
                    </w:rPr>
                    <w:t>内存：≥128GB DDR4</w:t>
                  </w:r>
                </w:p>
                <w:p w14:paraId="477B15B2">
                  <w:pPr>
                    <w:widowControl/>
                    <w:spacing w:line="360" w:lineRule="auto"/>
                    <w:rPr>
                      <w:rFonts w:ascii="宋体" w:hAnsi="宋体" w:eastAsia="仿宋" w:cs="宋体"/>
                      <w:sz w:val="24"/>
                      <w:highlight w:val="none"/>
                    </w:rPr>
                  </w:pPr>
                  <w:r>
                    <w:rPr>
                      <w:rFonts w:hint="eastAsia" w:ascii="宋体" w:hAnsi="宋体" w:eastAsia="仿宋" w:cs="宋体"/>
                      <w:sz w:val="24"/>
                      <w:highlight w:val="none"/>
                    </w:rPr>
                    <w:t>硬盘：≥2*1.92TB U.2 NVMe 企业级SSD，≥10*7.68TB 2.5英寸 U.2企业级 NVMe SSD</w:t>
                  </w:r>
                </w:p>
                <w:p w14:paraId="1458AFED">
                  <w:pPr>
                    <w:widowControl/>
                    <w:spacing w:line="360" w:lineRule="auto"/>
                    <w:rPr>
                      <w:rFonts w:ascii="宋体" w:hAnsi="宋体" w:eastAsia="仿宋" w:cs="宋体"/>
                      <w:sz w:val="24"/>
                      <w:highlight w:val="none"/>
                    </w:rPr>
                  </w:pPr>
                  <w:r>
                    <w:rPr>
                      <w:rFonts w:hint="eastAsia" w:ascii="宋体" w:hAnsi="宋体" w:eastAsia="仿宋" w:cs="宋体"/>
                      <w:sz w:val="24"/>
                      <w:highlight w:val="none"/>
                    </w:rPr>
                    <w:t>网卡：2*100GbE 单端口 QSFP28光模块，PCIe3.0 x16网卡(支持 RoCE v2)</w:t>
                  </w:r>
                </w:p>
                <w:p w14:paraId="53110225">
                  <w:pPr>
                    <w:widowControl/>
                    <w:spacing w:line="360" w:lineRule="auto"/>
                    <w:rPr>
                      <w:rFonts w:ascii="宋体" w:hAnsi="宋体" w:eastAsia="仿宋" w:cs="宋体"/>
                      <w:sz w:val="24"/>
                      <w:highlight w:val="none"/>
                    </w:rPr>
                  </w:pPr>
                  <w:r>
                    <w:rPr>
                      <w:rFonts w:hint="eastAsia" w:ascii="宋体" w:hAnsi="宋体" w:eastAsia="仿宋" w:cs="宋体"/>
                      <w:sz w:val="24"/>
                      <w:highlight w:val="none"/>
                    </w:rPr>
                    <w:t>网线：≥2*3m 100GbE QSFP28 Ethernet Cable，2*3m 10Gb SFP+ Cable；</w:t>
                  </w:r>
                </w:p>
                <w:p w14:paraId="01D210AB">
                  <w:pPr>
                    <w:widowControl/>
                    <w:spacing w:line="360" w:lineRule="auto"/>
                    <w:rPr>
                      <w:rFonts w:ascii="宋体" w:hAnsi="宋体" w:eastAsia="仿宋" w:cs="宋体"/>
                      <w:sz w:val="24"/>
                      <w:highlight w:val="none"/>
                    </w:rPr>
                  </w:pPr>
                  <w:r>
                    <w:rPr>
                      <w:rFonts w:hint="eastAsia" w:ascii="宋体" w:hAnsi="宋体" w:eastAsia="仿宋" w:cs="宋体"/>
                      <w:sz w:val="24"/>
                      <w:highlight w:val="none"/>
                    </w:rPr>
                    <w:t>电源：≥2*1300W</w:t>
                  </w:r>
                </w:p>
                <w:p w14:paraId="59E6CCE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含国产操作系统</w:t>
                  </w:r>
                </w:p>
                <w:p w14:paraId="48C40871">
                  <w:pPr>
                    <w:widowControl/>
                    <w:spacing w:line="360" w:lineRule="auto"/>
                    <w:rPr>
                      <w:rFonts w:ascii="宋体" w:hAnsi="宋体" w:eastAsia="仿宋" w:cs="宋体"/>
                      <w:b/>
                      <w:bCs/>
                      <w:sz w:val="24"/>
                      <w:highlight w:val="none"/>
                    </w:rPr>
                  </w:pPr>
                  <w:r>
                    <w:rPr>
                      <w:rFonts w:hint="eastAsia" w:ascii="宋体" w:hAnsi="宋体" w:eastAsia="仿宋" w:cs="宋体"/>
                      <w:b/>
                      <w:bCs/>
                      <w:sz w:val="24"/>
                      <w:highlight w:val="none"/>
                    </w:rPr>
                    <w:t>硬件部分详细参数要求附后</w:t>
                  </w:r>
                </w:p>
              </w:tc>
              <w:tc>
                <w:tcPr>
                  <w:tcW w:w="661" w:type="dxa"/>
                  <w:noWrap/>
                  <w:vAlign w:val="center"/>
                </w:tcPr>
                <w:p w14:paraId="28FD13C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w:t>
                  </w:r>
                </w:p>
              </w:tc>
              <w:tc>
                <w:tcPr>
                  <w:tcW w:w="661" w:type="dxa"/>
                  <w:noWrap/>
                  <w:vAlign w:val="center"/>
                </w:tcPr>
                <w:p w14:paraId="2EE42DB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节点</w:t>
                  </w:r>
                </w:p>
              </w:tc>
            </w:tr>
            <w:tr w14:paraId="3A30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60E1A585">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14</w:t>
                  </w:r>
                </w:p>
              </w:tc>
              <w:tc>
                <w:tcPr>
                  <w:tcW w:w="593" w:type="dxa"/>
                  <w:vMerge w:val="continue"/>
                  <w:noWrap/>
                  <w:vAlign w:val="center"/>
                </w:tcPr>
                <w:p w14:paraId="42C2A400">
                  <w:pPr>
                    <w:rPr>
                      <w:highlight w:val="none"/>
                    </w:rPr>
                  </w:pPr>
                </w:p>
              </w:tc>
              <w:tc>
                <w:tcPr>
                  <w:tcW w:w="1025" w:type="dxa"/>
                  <w:noWrap/>
                  <w:vAlign w:val="center"/>
                </w:tcPr>
                <w:p w14:paraId="75F5CAF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网络节点</w:t>
                  </w:r>
                </w:p>
              </w:tc>
              <w:tc>
                <w:tcPr>
                  <w:tcW w:w="4003" w:type="dxa"/>
                  <w:noWrap/>
                  <w:vAlign w:val="center"/>
                </w:tcPr>
                <w:p w14:paraId="53148B7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≥32端口 100GbE 以太交换机，双电源，带管理，支持RoCE</w:t>
                  </w:r>
                </w:p>
              </w:tc>
              <w:tc>
                <w:tcPr>
                  <w:tcW w:w="661" w:type="dxa"/>
                  <w:noWrap/>
                  <w:vAlign w:val="center"/>
                </w:tcPr>
                <w:p w14:paraId="413A1275">
                  <w:pPr>
                    <w:widowControl/>
                    <w:spacing w:line="360" w:lineRule="auto"/>
                    <w:rPr>
                      <w:rFonts w:ascii="宋体" w:hAnsi="宋体" w:eastAsia="仿宋" w:cs="宋体"/>
                      <w:sz w:val="24"/>
                      <w:highlight w:val="none"/>
                    </w:rPr>
                  </w:pPr>
                  <w:r>
                    <w:rPr>
                      <w:rFonts w:hint="eastAsia" w:ascii="宋体" w:hAnsi="宋体" w:eastAsia="仿宋" w:cs="宋体"/>
                      <w:sz w:val="24"/>
                      <w:highlight w:val="none"/>
                    </w:rPr>
                    <w:t>2</w:t>
                  </w:r>
                </w:p>
              </w:tc>
              <w:tc>
                <w:tcPr>
                  <w:tcW w:w="661" w:type="dxa"/>
                  <w:noWrap/>
                  <w:vAlign w:val="center"/>
                </w:tcPr>
                <w:p w14:paraId="4C73302F">
                  <w:pPr>
                    <w:widowControl/>
                    <w:spacing w:line="360" w:lineRule="auto"/>
                    <w:rPr>
                      <w:rFonts w:ascii="宋体" w:hAnsi="宋体" w:eastAsia="仿宋" w:cs="宋体"/>
                      <w:sz w:val="24"/>
                      <w:highlight w:val="none"/>
                    </w:rPr>
                  </w:pPr>
                  <w:r>
                    <w:rPr>
                      <w:rFonts w:hint="eastAsia" w:ascii="宋体" w:hAnsi="宋体" w:eastAsia="仿宋" w:cs="宋体"/>
                      <w:sz w:val="24"/>
                      <w:highlight w:val="none"/>
                    </w:rPr>
                    <w:t>节点</w:t>
                  </w:r>
                </w:p>
              </w:tc>
            </w:tr>
            <w:tr w14:paraId="490F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498ED41F">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15</w:t>
                  </w:r>
                </w:p>
              </w:tc>
              <w:tc>
                <w:tcPr>
                  <w:tcW w:w="593" w:type="dxa"/>
                  <w:vMerge w:val="continue"/>
                  <w:noWrap/>
                  <w:vAlign w:val="center"/>
                </w:tcPr>
                <w:p w14:paraId="3ADB82A9">
                  <w:pPr>
                    <w:rPr>
                      <w:highlight w:val="none"/>
                    </w:rPr>
                  </w:pPr>
                </w:p>
              </w:tc>
              <w:tc>
                <w:tcPr>
                  <w:tcW w:w="1025" w:type="dxa"/>
                  <w:noWrap/>
                  <w:vAlign w:val="center"/>
                </w:tcPr>
                <w:p w14:paraId="2862EB4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管理软件</w:t>
                  </w:r>
                </w:p>
              </w:tc>
              <w:tc>
                <w:tcPr>
                  <w:tcW w:w="4003" w:type="dxa"/>
                  <w:noWrap/>
                  <w:vAlign w:val="center"/>
                </w:tcPr>
                <w:p w14:paraId="282906B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软件功能：提供达梦/人大金仓/GaussDB/OceanBase/TiDB等多类型数据库RDS服务；包含自动构建数据库集群的高可用架构；弹性扩展；资源隔离；S3/NAS对象备份；自定义备份策略；带压缩功能；统一监控管理平台、自动告警等功能。</w:t>
                  </w:r>
                </w:p>
                <w:p w14:paraId="41F72DA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采用开放架构软硬件集成设计，通过高速网络，将服务器计算节点和配置高性能闪存介质的存储节点服务器等设备组件进行互连，完成软硬件的集成和专项优化设计；通过对主流数据库系统预集成与配置，为OLTP交易、OLAP分析和混合工作负载等数据库场景提供强劲性能、海量吞吐、微秒时延和智能统一可视化监控管理。</w:t>
                  </w:r>
                </w:p>
                <w:p w14:paraId="02BAB3F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1、架构要求：</w:t>
                  </w:r>
                </w:p>
                <w:p w14:paraId="0C21188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采用基于国产化架构设计的数据库管理平台，对关键数据库业务可以实现计存分离架构，计算资源服务器与存储资源服务器的互联支持100Gb以上带宽的RoCE网络或者Infiniband网络。为OLTP交易、OLAP分析和混合工作负载等数据库场景提供强劲性能、海量吞吐、微秒时延和智能统一可视化监控管理。</w:t>
                  </w:r>
                </w:p>
                <w:p w14:paraId="571A70B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2）数据库平台需要具备超过5个9（99.999%）的可靠性，并通过第三方专业机构认证；</w:t>
                  </w:r>
                </w:p>
                <w:p w14:paraId="43AA1CB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3）提供数据库恢复软件支持能力，支持多种数据导出方式，包括ASM文件直接读取，EXPDP逻辑备份文件直接读取导出，针对PL/SQL勒索程序，提供一键恢复命令，恢复删除的tab$, bootstrap$等字典表能力。</w:t>
                  </w:r>
                </w:p>
                <w:p w14:paraId="7BC3E12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2、性能要求：</w:t>
                  </w:r>
                </w:p>
                <w:p w14:paraId="1309015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1）一体机架构，双计算节点IO吞吐不低于400GB/秒，8k IOPS &gt;= 4000w, 单机吞吐 &gt;= 200GB/秒、对1TB的大表进行全表扫描，IO总吞吐可达到200GB/秒,每分钟处理事务数（TPM）可以达到1500万以上。提供具有CMA资质的第三方检测机构或国家认可的检测机构出具的检测报告证明</w:t>
                  </w:r>
                </w:p>
                <w:p w14:paraId="40A9A8B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3、功能要求：</w:t>
                  </w:r>
                </w:p>
                <w:p w14:paraId="54100B1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1）支持主流的linux操作系统，支持国产芯片、操作系统；</w:t>
                  </w:r>
                </w:p>
                <w:p w14:paraId="50FD865B">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2）支持国产数据库的云数据库监控管理能力（包括但不限于达梦，人大金仓，GaussDB，VastBase,TiDB，OceanBase），通过可视化平台可以实现以上所列种类数据库集群和实例的申请搭建功能。（提供产品功能截图）</w:t>
                  </w:r>
                </w:p>
                <w:p w14:paraId="6B953B0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支持开源数据库的云数据库监控管理能力（包括但不限于MySql、PostgreSQL、Redis、MongoDB、PostgreSQL、ClickHouse、InfluxDB、Kafka、RocketMQ、RabbitMQ）等,通过可视化平台可以实现以上所列种类数据库集群和实例的申请搭建功能。（投标时提供产品功能截图）</w:t>
                  </w:r>
                </w:p>
                <w:p w14:paraId="10600EAE">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资源管理能力：通过数据库管理平台可以在数据库实例创建时对所有支持的数据库类型的数据库实例的CPU，内存，存储资源进行选择并实现资源的限定，在后期运行中实现资源的弹性伸缩，可以通过管理平台实现CPU，内存，存储容量的资源变更操作。</w:t>
                  </w:r>
                </w:p>
                <w:p w14:paraId="5A89DFF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5）整个管理平台可以实现CPU及本地存储超分设置，可以实现4倍的超分设置。（投标时提供产品功能截图）</w:t>
                  </w:r>
                </w:p>
                <w:p w14:paraId="3B85F4E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6）具备SQL审核功能，支持线上数据库SQL扫描，或提供xml/ibatis文件直接扫描，提供SQL审核结果报表。（投标时提供产品功能截图）</w:t>
                  </w:r>
                </w:p>
                <w:p w14:paraId="1BB6074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7）具有大屏展示模块设计，在大屏监控页面高度集成主要的监控指标项，需可满足多种数据库健康状态信息的展示能力。</w:t>
                  </w:r>
                </w:p>
                <w:p w14:paraId="67BF566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8）具备云化租户管理能力，提供单独的多租户管理页面和用户管理页面，配置权限角色，支持根据不同的租户配置（或限制）cpu、存储等资源。（投标时提供产品功能截图）</w:t>
                  </w:r>
                </w:p>
                <w:p w14:paraId="3A114E0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9）平台具有事件管理和审计功能，对平台的操作进行日志记录和审计。（投标时提供产品功能截图）</w:t>
                  </w:r>
                </w:p>
                <w:p w14:paraId="22963B8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10）支持在管理界面对硬盘替换进行恢复，恢复过程中可视化向导完成，无需人工命令，提高存储节点的可维护性。</w:t>
                  </w:r>
                </w:p>
                <w:p w14:paraId="2E6B792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11）支持网页上一键自动化巡检功能，可自定义巡检策略包括巡检方式、巡检频率及时间、巡检报告接收组等，支持一体机集群进行手动/自动巡检，巡检完成后，巡检报告自动发送到指定接收组；</w:t>
                  </w:r>
                </w:p>
                <w:p w14:paraId="076B3A3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12）软件厂家拥有完全自主知识产权证明，能提供可持续更新升级服务，不采用国外厂商或OEM厂商的产品</w:t>
                  </w:r>
                  <w:r>
                    <w:rPr>
                      <w:rStyle w:val="90"/>
                      <w:highlight w:val="none"/>
                    </w:rPr>
                    <w:t>_</w:t>
                  </w:r>
                  <w:r>
                    <w:rPr>
                      <w:rFonts w:hint="eastAsia" w:ascii="宋体" w:hAnsi="宋体" w:eastAsia="仿宋" w:cs="宋体"/>
                      <w:sz w:val="24"/>
                      <w:highlight w:val="none"/>
                    </w:rPr>
                    <w:t>。</w:t>
                  </w:r>
                </w:p>
              </w:tc>
              <w:tc>
                <w:tcPr>
                  <w:tcW w:w="661" w:type="dxa"/>
                  <w:noWrap/>
                  <w:vAlign w:val="center"/>
                </w:tcPr>
                <w:p w14:paraId="20F525D6">
                  <w:pPr>
                    <w:widowControl/>
                    <w:spacing w:line="360" w:lineRule="auto"/>
                    <w:rPr>
                      <w:rFonts w:ascii="宋体" w:hAnsi="宋体" w:eastAsia="仿宋" w:cs="宋体"/>
                      <w:sz w:val="24"/>
                      <w:highlight w:val="none"/>
                    </w:rPr>
                  </w:pPr>
                  <w:r>
                    <w:rPr>
                      <w:rFonts w:hint="eastAsia" w:ascii="宋体" w:hAnsi="宋体" w:eastAsia="仿宋" w:cs="宋体"/>
                      <w:sz w:val="24"/>
                      <w:highlight w:val="none"/>
                    </w:rPr>
                    <w:t>5</w:t>
                  </w:r>
                </w:p>
              </w:tc>
              <w:tc>
                <w:tcPr>
                  <w:tcW w:w="661" w:type="dxa"/>
                  <w:noWrap/>
                  <w:vAlign w:val="center"/>
                </w:tcPr>
                <w:p w14:paraId="495920EB">
                  <w:pPr>
                    <w:widowControl/>
                    <w:spacing w:line="360" w:lineRule="auto"/>
                    <w:rPr>
                      <w:rFonts w:ascii="宋体" w:hAnsi="宋体" w:eastAsia="仿宋" w:cs="宋体"/>
                      <w:sz w:val="24"/>
                      <w:highlight w:val="none"/>
                    </w:rPr>
                  </w:pPr>
                  <w:r>
                    <w:rPr>
                      <w:rFonts w:hint="eastAsia" w:ascii="宋体" w:hAnsi="宋体" w:eastAsia="仿宋" w:cs="宋体"/>
                      <w:sz w:val="24"/>
                      <w:highlight w:val="none"/>
                    </w:rPr>
                    <w:t>节点</w:t>
                  </w:r>
                </w:p>
              </w:tc>
            </w:tr>
            <w:tr w14:paraId="75C4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6C43D758">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16</w:t>
                  </w:r>
                </w:p>
              </w:tc>
              <w:tc>
                <w:tcPr>
                  <w:tcW w:w="1618" w:type="dxa"/>
                  <w:gridSpan w:val="2"/>
                  <w:noWrap/>
                  <w:vAlign w:val="center"/>
                </w:tcPr>
                <w:p w14:paraId="1C2590B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数据库备份一体机</w:t>
                  </w:r>
                </w:p>
              </w:tc>
              <w:tc>
                <w:tcPr>
                  <w:tcW w:w="4003" w:type="dxa"/>
                  <w:noWrap/>
                  <w:vAlign w:val="center"/>
                </w:tcPr>
                <w:p w14:paraId="16347F3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2路机架式，12NVMe盘位</w:t>
                  </w:r>
                </w:p>
                <w:p w14:paraId="4AF3EBB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国产处理器：≥2*32C，主频≥2.2GHz</w:t>
                  </w:r>
                </w:p>
                <w:p w14:paraId="1304ABE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 xml:space="preserve">内存：≥512GB </w:t>
                  </w:r>
                  <w:r>
                    <w:rPr>
                      <w:rFonts w:ascii="宋体" w:hAnsi="宋体" w:eastAsia="仿宋" w:cs="宋体"/>
                      <w:sz w:val="24"/>
                      <w:highlight w:val="none"/>
                    </w:rPr>
                    <w:t>DDR</w:t>
                  </w:r>
                  <w:r>
                    <w:rPr>
                      <w:rFonts w:hint="eastAsia" w:ascii="宋体" w:hAnsi="宋体" w:eastAsia="仿宋" w:cs="宋体"/>
                      <w:sz w:val="24"/>
                      <w:highlight w:val="none"/>
                    </w:rPr>
                    <w:t>4</w:t>
                  </w:r>
                </w:p>
                <w:p w14:paraId="0111A890">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硬盘：≥2*1.92TB U.2 NVMe 企业级SSD，10*7.68TB 2.5英寸 U.2企业级 NVMe SSD</w:t>
                  </w:r>
                </w:p>
                <w:p w14:paraId="75A284B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网卡：≥1*100GbE 双端口QSFP28光模块，PCIe3.0 x16网卡(支持 RoCE v2)</w:t>
                  </w:r>
                </w:p>
                <w:p w14:paraId="1771850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网线：≥2*3m 100GbE QSFP28 Ethernet Cable，2*3m 10Gb SFP+ Cable；</w:t>
                  </w:r>
                </w:p>
                <w:p w14:paraId="286CB0F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电源：≥2*1300W</w:t>
                  </w:r>
                </w:p>
                <w:p w14:paraId="0800A5F4">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硬件部分详细参数要求附后</w:t>
                  </w:r>
                </w:p>
                <w:p w14:paraId="79BA3AE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含平台软件License许可：5个数据库备份授权</w:t>
                  </w:r>
                </w:p>
                <w:p w14:paraId="6E98E77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含数据备份模块、数据恢复模块、智能存储池、文件备份模块等</w:t>
                  </w:r>
                </w:p>
                <w:p w14:paraId="4F82979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1、须支持实时接收数据库备份对象的事务日志进行持续备份；无需在生产库上安装Agent；</w:t>
                  </w:r>
                </w:p>
                <w:p w14:paraId="4B2131B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2、须支持一套平台同时备份多个</w:t>
                  </w:r>
                  <w:r>
                    <w:rPr>
                      <w:rFonts w:ascii="宋体" w:hAnsi="宋体" w:eastAsia="仿宋" w:cs="宋体"/>
                      <w:sz w:val="24"/>
                      <w:highlight w:val="none"/>
                    </w:rPr>
                    <w:t>MySQL/SqlServer/GaussDB/OceanBase</w:t>
                  </w:r>
                  <w:r>
                    <w:rPr>
                      <w:rFonts w:hint="eastAsia" w:ascii="宋体" w:hAnsi="宋体" w:eastAsia="仿宋" w:cs="宋体"/>
                      <w:sz w:val="24"/>
                      <w:highlight w:val="none"/>
                    </w:rPr>
                    <w:t>等数据库客户端；（提供产品功能截图）</w:t>
                  </w:r>
                </w:p>
                <w:p w14:paraId="4AADEBFA">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3、支持数据库备份对象的快照库（COW）功能。在备份一体机上可启用主库的多个快照库，不依赖于外部主机，支持应用测试和预发布等应用场景；（投标时提供产品功能截图）</w:t>
                  </w:r>
                </w:p>
                <w:p w14:paraId="6E947B1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4、支持自定义创建开发测试环境，包括任务的创建、停用、启用、删除、更新等，可根据需求自定义测试环境创建时间；（投标时提供产品功能截图）</w:t>
                  </w:r>
                </w:p>
                <w:p w14:paraId="47122B55">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5、支持数据库备份对象的容灾切换功能。提供一键切换功能，能实现主库宕机后的快速切换和业务支撑；（投标时提供产品功能截图和</w:t>
                  </w:r>
                  <w:r>
                    <w:rPr>
                      <w:rStyle w:val="90"/>
                      <w:rFonts w:hint="eastAsia" w:ascii="宋体" w:hAnsi="宋体" w:eastAsia="仿宋" w:cs="宋体"/>
                      <w:sz w:val="24"/>
                      <w:highlight w:val="none"/>
                    </w:rPr>
                    <w:t>产品</w:t>
                  </w:r>
                  <w:r>
                    <w:rPr>
                      <w:rFonts w:hint="eastAsia" w:ascii="宋体" w:hAnsi="宋体" w:eastAsia="仿宋" w:cs="宋体"/>
                      <w:sz w:val="24"/>
                      <w:highlight w:val="none"/>
                    </w:rPr>
                    <w:t>提供具有CMA资质的第三方检测机构或国家认可的检测机构出具的检测报告证明）</w:t>
                  </w:r>
                </w:p>
                <w:p w14:paraId="4F54965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6、数据库逻辑故障安全与恢复支持5分钟内快速恢复（例如具体某张表），恢复过程不依赖于外部主机，支持指定任意时间点恢复功能，可精确到秒级和SCN级别（某一笔事务）； （投标时提供产品功能截图）</w:t>
                  </w:r>
                </w:p>
                <w:p w14:paraId="1EEB6A4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7、平台内支持对备份存储资源的超分配置能力，在实际备份业务中可以对备份数据开启压缩功能，需要支持在备份云平台管理页面上进行存储资源的超分配置，并可在图形界面中观测到备份存储资源的超分配置结果。（投标时提供产品功能截图和提供具有CMA资质的第三方检测机构或国家认可的检测机构出具的检测报告证明中有超分功能证明）</w:t>
                  </w:r>
                </w:p>
                <w:p w14:paraId="72E73FE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8、支持智能化实时告警功能，提供了宿主机硬件状态、主机系统负载、日志应用延迟、GAP检测、数据库状态在内的多类告警对象进行事件告警（提供产品功能截图）</w:t>
                  </w:r>
                </w:p>
                <w:p w14:paraId="0BE08FB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9、统一的可视化全中文管理配置平台，通过同一个控制台界面即可集中管理所有功能，为数据库数据统一运维系统提供了全栈式、端到端的监控和拓扑视图；</w:t>
                  </w:r>
                </w:p>
                <w:p w14:paraId="3723EEC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10、平台内置完善的用户管理功能，能按用户进行细致的操作权限作划分，满足企业级客户多用户管理需求，以提高核心数据的管理安全性；（提供产品截图）</w:t>
                  </w:r>
                </w:p>
                <w:p w14:paraId="32BDF4F3">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11、软件厂家拥有完全自主知识产权证明，能提供可持续更新升级服务，不采用国外厂商或OEM厂商的产品。</w:t>
                  </w:r>
                </w:p>
              </w:tc>
              <w:tc>
                <w:tcPr>
                  <w:tcW w:w="661" w:type="dxa"/>
                  <w:noWrap/>
                  <w:vAlign w:val="center"/>
                </w:tcPr>
                <w:p w14:paraId="738BDC6D">
                  <w:pPr>
                    <w:widowControl/>
                    <w:spacing w:line="360" w:lineRule="auto"/>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7874F1C6">
                  <w:pPr>
                    <w:widowControl/>
                    <w:spacing w:line="360" w:lineRule="auto"/>
                    <w:rPr>
                      <w:rFonts w:ascii="宋体" w:hAnsi="宋体" w:eastAsia="仿宋" w:cs="宋体"/>
                      <w:sz w:val="24"/>
                      <w:highlight w:val="none"/>
                    </w:rPr>
                  </w:pPr>
                  <w:r>
                    <w:rPr>
                      <w:rFonts w:hint="eastAsia" w:ascii="宋体" w:hAnsi="宋体" w:eastAsia="仿宋" w:cs="宋体"/>
                      <w:sz w:val="24"/>
                      <w:highlight w:val="none"/>
                    </w:rPr>
                    <w:t>套</w:t>
                  </w:r>
                </w:p>
              </w:tc>
            </w:tr>
            <w:tr w14:paraId="219D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21F0E4B2">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17</w:t>
                  </w:r>
                </w:p>
              </w:tc>
              <w:tc>
                <w:tcPr>
                  <w:tcW w:w="1618" w:type="dxa"/>
                  <w:gridSpan w:val="2"/>
                  <w:noWrap/>
                  <w:vAlign w:val="center"/>
                </w:tcPr>
                <w:p w14:paraId="0D48B22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48口万兆交换机</w:t>
                  </w:r>
                </w:p>
              </w:tc>
              <w:tc>
                <w:tcPr>
                  <w:tcW w:w="4003" w:type="dxa"/>
                  <w:noWrap/>
                  <w:vAlign w:val="center"/>
                </w:tcPr>
                <w:p w14:paraId="0CD8B55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支持48个万兆SFP+端口；支持最大可支持 6 个 40G/100G QSFP28 端口；交换容量：2.56 Tbps/25.6Tbps；包转发率：1260Mpps；二层功能：支持 MAC 地址≥288K；支持 ARP 表项≥100K；支持 4K 个 VLAN，支持 Guest VLAN、Voice VLAN，支持基于 MAC/协议/IP子网/策略/端口的VLAN；支持1:1和N:1VLAN交换功能（含光模块）</w:t>
                  </w:r>
                </w:p>
              </w:tc>
              <w:tc>
                <w:tcPr>
                  <w:tcW w:w="661" w:type="dxa"/>
                  <w:noWrap/>
                  <w:vAlign w:val="center"/>
                </w:tcPr>
                <w:p w14:paraId="114EFD2D">
                  <w:pPr>
                    <w:widowControl/>
                    <w:spacing w:line="360" w:lineRule="auto"/>
                    <w:rPr>
                      <w:rFonts w:ascii="宋体" w:hAnsi="宋体" w:eastAsia="仿宋" w:cs="宋体"/>
                      <w:sz w:val="24"/>
                      <w:highlight w:val="none"/>
                    </w:rPr>
                  </w:pPr>
                  <w:r>
                    <w:rPr>
                      <w:rFonts w:hint="eastAsia" w:ascii="宋体" w:hAnsi="宋体" w:eastAsia="仿宋" w:cs="宋体"/>
                      <w:sz w:val="24"/>
                      <w:highlight w:val="none"/>
                    </w:rPr>
                    <w:t>2</w:t>
                  </w:r>
                </w:p>
              </w:tc>
              <w:tc>
                <w:tcPr>
                  <w:tcW w:w="661" w:type="dxa"/>
                  <w:noWrap/>
                  <w:vAlign w:val="center"/>
                </w:tcPr>
                <w:p w14:paraId="071ED66B">
                  <w:pPr>
                    <w:widowControl/>
                    <w:spacing w:line="360" w:lineRule="auto"/>
                    <w:rPr>
                      <w:rFonts w:ascii="宋体" w:hAnsi="宋体" w:eastAsia="仿宋" w:cs="宋体"/>
                      <w:sz w:val="24"/>
                      <w:highlight w:val="none"/>
                    </w:rPr>
                  </w:pPr>
                  <w:r>
                    <w:rPr>
                      <w:rFonts w:hint="eastAsia" w:ascii="宋体" w:hAnsi="宋体" w:eastAsia="仿宋" w:cs="宋体"/>
                      <w:sz w:val="24"/>
                      <w:highlight w:val="none"/>
                    </w:rPr>
                    <w:t>台</w:t>
                  </w:r>
                </w:p>
              </w:tc>
            </w:tr>
            <w:tr w14:paraId="15C1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23346DA3">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18</w:t>
                  </w:r>
                </w:p>
              </w:tc>
              <w:tc>
                <w:tcPr>
                  <w:tcW w:w="1618" w:type="dxa"/>
                  <w:gridSpan w:val="2"/>
                  <w:noWrap/>
                  <w:vAlign w:val="center"/>
                </w:tcPr>
                <w:p w14:paraId="710DB0C1">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路由器</w:t>
                  </w:r>
                </w:p>
              </w:tc>
              <w:tc>
                <w:tcPr>
                  <w:tcW w:w="4003" w:type="dxa"/>
                  <w:noWrap/>
                  <w:vAlign w:val="center"/>
                </w:tcPr>
                <w:p w14:paraId="0EAE7407">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 固定接口数目:3GE（1Combo）</w:t>
                  </w:r>
                  <w:r>
                    <w:rPr>
                      <w:rFonts w:hint="eastAsia" w:ascii="宋体" w:hAnsi="宋体" w:eastAsia="仿宋" w:cs="宋体"/>
                      <w:sz w:val="24"/>
                      <w:highlight w:val="none"/>
                    </w:rPr>
                    <w:br w:type="textWrapping"/>
                  </w:r>
                  <w:r>
                    <w:rPr>
                      <w:rFonts w:hint="eastAsia" w:ascii="宋体" w:hAnsi="宋体" w:eastAsia="仿宋" w:cs="宋体"/>
                      <w:sz w:val="24"/>
                      <w:highlight w:val="none"/>
                    </w:rPr>
                    <w:t>2) IPv4包转发≥5Mpps</w:t>
                  </w:r>
                  <w:r>
                    <w:rPr>
                      <w:rFonts w:hint="eastAsia" w:ascii="宋体" w:hAnsi="宋体" w:eastAsia="仿宋" w:cs="宋体"/>
                      <w:sz w:val="24"/>
                      <w:highlight w:val="none"/>
                    </w:rPr>
                    <w:br w:type="textWrapping"/>
                  </w:r>
                  <w:r>
                    <w:rPr>
                      <w:rFonts w:hint="eastAsia" w:ascii="宋体" w:hAnsi="宋体" w:eastAsia="仿宋" w:cs="宋体"/>
                      <w:sz w:val="24"/>
                      <w:highlight w:val="none"/>
                    </w:rPr>
                    <w:t>3) 带业务的IPv4性能（IMIX）≥1.5Gbps</w:t>
                  </w:r>
                </w:p>
              </w:tc>
              <w:tc>
                <w:tcPr>
                  <w:tcW w:w="661" w:type="dxa"/>
                  <w:noWrap/>
                  <w:vAlign w:val="center"/>
                </w:tcPr>
                <w:p w14:paraId="25ADEA69">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3</w:t>
                  </w:r>
                </w:p>
              </w:tc>
              <w:tc>
                <w:tcPr>
                  <w:tcW w:w="661" w:type="dxa"/>
                  <w:noWrap/>
                  <w:vAlign w:val="center"/>
                </w:tcPr>
                <w:p w14:paraId="46CE24BA">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台</w:t>
                  </w:r>
                </w:p>
              </w:tc>
            </w:tr>
            <w:tr w14:paraId="18A8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4BE16826">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19</w:t>
                  </w:r>
                </w:p>
              </w:tc>
              <w:tc>
                <w:tcPr>
                  <w:tcW w:w="1618" w:type="dxa"/>
                  <w:gridSpan w:val="2"/>
                  <w:noWrap/>
                  <w:vAlign w:val="center"/>
                </w:tcPr>
                <w:p w14:paraId="64ED15F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万兆交换机</w:t>
                  </w:r>
                </w:p>
              </w:tc>
              <w:tc>
                <w:tcPr>
                  <w:tcW w:w="4003" w:type="dxa"/>
                  <w:noWrap/>
                  <w:vAlign w:val="center"/>
                </w:tcPr>
                <w:p w14:paraId="2F59BA7B">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 整机交换容量≥2.56Tbps</w:t>
                  </w:r>
                  <w:r>
                    <w:rPr>
                      <w:rFonts w:hint="eastAsia" w:ascii="宋体" w:hAnsi="宋体" w:eastAsia="仿宋" w:cs="宋体"/>
                      <w:sz w:val="24"/>
                      <w:highlight w:val="none"/>
                    </w:rPr>
                    <w:br w:type="textWrapping"/>
                  </w:r>
                  <w:r>
                    <w:rPr>
                      <w:rFonts w:hint="eastAsia" w:ascii="宋体" w:hAnsi="宋体" w:eastAsia="仿宋" w:cs="宋体"/>
                      <w:sz w:val="24"/>
                      <w:highlight w:val="none"/>
                    </w:rPr>
                    <w:t>2） ≥48个1/10GBase-T端口+6个QSFP+端口（每个QSFP+端口可拆分为4个万兆端口）</w:t>
                  </w:r>
                  <w:r>
                    <w:rPr>
                      <w:rFonts w:hint="eastAsia" w:ascii="宋体" w:hAnsi="宋体" w:eastAsia="仿宋" w:cs="宋体"/>
                      <w:sz w:val="24"/>
                      <w:highlight w:val="none"/>
                    </w:rPr>
                    <w:br w:type="textWrapping"/>
                  </w:r>
                  <w:r>
                    <w:rPr>
                      <w:rFonts w:hint="eastAsia" w:ascii="宋体" w:hAnsi="宋体" w:eastAsia="仿宋" w:cs="宋体"/>
                      <w:sz w:val="24"/>
                      <w:highlight w:val="none"/>
                    </w:rPr>
                    <w:t>3）≥2个电源插槽</w:t>
                  </w:r>
                  <w:r>
                    <w:rPr>
                      <w:rFonts w:hint="eastAsia" w:ascii="宋体" w:hAnsi="宋体" w:eastAsia="仿宋" w:cs="宋体"/>
                      <w:sz w:val="24"/>
                      <w:highlight w:val="none"/>
                    </w:rPr>
                    <w:br w:type="textWrapping"/>
                  </w:r>
                  <w:r>
                    <w:rPr>
                      <w:rFonts w:hint="eastAsia" w:ascii="宋体" w:hAnsi="宋体" w:eastAsia="仿宋" w:cs="宋体"/>
                      <w:sz w:val="24"/>
                      <w:highlight w:val="none"/>
                    </w:rPr>
                    <w:t>4）≥2个风扇插槽</w:t>
                  </w:r>
                  <w:r>
                    <w:rPr>
                      <w:rFonts w:hint="eastAsia" w:ascii="宋体" w:hAnsi="宋体" w:eastAsia="仿宋" w:cs="宋体"/>
                      <w:sz w:val="24"/>
                      <w:highlight w:val="none"/>
                    </w:rPr>
                    <w:br w:type="textWrapping"/>
                  </w:r>
                  <w:r>
                    <w:rPr>
                      <w:rFonts w:hint="eastAsia" w:ascii="宋体" w:hAnsi="宋体" w:eastAsia="仿宋" w:cs="宋体"/>
                      <w:sz w:val="24"/>
                      <w:highlight w:val="none"/>
                    </w:rPr>
                    <w:t>5）≥1个带外管理网口及1个USB3.0接口</w:t>
                  </w:r>
                </w:p>
              </w:tc>
              <w:tc>
                <w:tcPr>
                  <w:tcW w:w="661" w:type="dxa"/>
                  <w:noWrap/>
                  <w:vAlign w:val="center"/>
                </w:tcPr>
                <w:p w14:paraId="72C70A41">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379B1DE5">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台</w:t>
                  </w:r>
                </w:p>
              </w:tc>
            </w:tr>
            <w:tr w14:paraId="751A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5A68FAA3">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20</w:t>
                  </w:r>
                </w:p>
              </w:tc>
              <w:tc>
                <w:tcPr>
                  <w:tcW w:w="1618" w:type="dxa"/>
                  <w:gridSpan w:val="2"/>
                  <w:noWrap/>
                  <w:vAlign w:val="center"/>
                </w:tcPr>
                <w:p w14:paraId="3A7BEF79">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IP千兆交换机1（千兆）</w:t>
                  </w:r>
                </w:p>
              </w:tc>
              <w:tc>
                <w:tcPr>
                  <w:tcW w:w="4003" w:type="dxa"/>
                  <w:noWrap/>
                  <w:vAlign w:val="center"/>
                </w:tcPr>
                <w:p w14:paraId="63DB3B4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1）整机交换容量≥256Gbps</w:t>
                  </w:r>
                  <w:r>
                    <w:rPr>
                      <w:rFonts w:hint="eastAsia" w:ascii="宋体" w:hAnsi="宋体" w:eastAsia="仿宋" w:cs="宋体"/>
                      <w:sz w:val="24"/>
                      <w:highlight w:val="none"/>
                    </w:rPr>
                    <w:br w:type="textWrapping"/>
                  </w:r>
                  <w:r>
                    <w:rPr>
                      <w:rFonts w:hint="eastAsia" w:ascii="宋体" w:hAnsi="宋体" w:eastAsia="仿宋" w:cs="宋体"/>
                      <w:sz w:val="24"/>
                      <w:highlight w:val="none"/>
                    </w:rPr>
                    <w:t>2）≥48个10/100/1000M电口+4个万兆光端口</w:t>
                  </w:r>
                </w:p>
              </w:tc>
              <w:tc>
                <w:tcPr>
                  <w:tcW w:w="661" w:type="dxa"/>
                  <w:noWrap/>
                  <w:vAlign w:val="center"/>
                </w:tcPr>
                <w:p w14:paraId="77A046AF">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3</w:t>
                  </w:r>
                </w:p>
              </w:tc>
              <w:tc>
                <w:tcPr>
                  <w:tcW w:w="661" w:type="dxa"/>
                  <w:noWrap/>
                  <w:vAlign w:val="center"/>
                </w:tcPr>
                <w:p w14:paraId="3E487659">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台</w:t>
                  </w:r>
                </w:p>
              </w:tc>
            </w:tr>
            <w:tr w14:paraId="791D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4794BCB0">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21</w:t>
                  </w:r>
                </w:p>
              </w:tc>
              <w:tc>
                <w:tcPr>
                  <w:tcW w:w="1618" w:type="dxa"/>
                  <w:gridSpan w:val="2"/>
                  <w:noWrap/>
                  <w:vAlign w:val="center"/>
                </w:tcPr>
                <w:p w14:paraId="00F20722">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IP千兆交换机2</w:t>
                  </w:r>
                </w:p>
              </w:tc>
              <w:tc>
                <w:tcPr>
                  <w:tcW w:w="4003" w:type="dxa"/>
                  <w:noWrap/>
                  <w:vAlign w:val="center"/>
                </w:tcPr>
                <w:p w14:paraId="6ACBC386">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 整机交换容量≥256Gbps</w:t>
                  </w:r>
                  <w:r>
                    <w:rPr>
                      <w:rFonts w:hint="eastAsia" w:ascii="宋体" w:hAnsi="宋体" w:eastAsia="仿宋" w:cs="宋体"/>
                      <w:sz w:val="24"/>
                      <w:highlight w:val="none"/>
                    </w:rPr>
                    <w:br w:type="textWrapping"/>
                  </w:r>
                  <w:r>
                    <w:rPr>
                      <w:rFonts w:hint="eastAsia" w:ascii="宋体" w:hAnsi="宋体" w:eastAsia="仿宋" w:cs="宋体"/>
                      <w:sz w:val="24"/>
                      <w:highlight w:val="none"/>
                    </w:rPr>
                    <w:t>2） ≥28个可用千兆接口数量，4个非复用上行千兆光接口</w:t>
                  </w:r>
                </w:p>
              </w:tc>
              <w:tc>
                <w:tcPr>
                  <w:tcW w:w="661" w:type="dxa"/>
                  <w:noWrap/>
                  <w:vAlign w:val="center"/>
                </w:tcPr>
                <w:p w14:paraId="765315F9">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2</w:t>
                  </w:r>
                </w:p>
              </w:tc>
              <w:tc>
                <w:tcPr>
                  <w:tcW w:w="661" w:type="dxa"/>
                  <w:noWrap/>
                  <w:vAlign w:val="center"/>
                </w:tcPr>
                <w:p w14:paraId="36E9F397">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台</w:t>
                  </w:r>
                </w:p>
              </w:tc>
            </w:tr>
            <w:tr w14:paraId="660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noWrap/>
                  <w:vAlign w:val="center"/>
                </w:tcPr>
                <w:p w14:paraId="3A47D6E3">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22</w:t>
                  </w:r>
                </w:p>
              </w:tc>
              <w:tc>
                <w:tcPr>
                  <w:tcW w:w="1618" w:type="dxa"/>
                  <w:gridSpan w:val="2"/>
                  <w:noWrap/>
                  <w:vAlign w:val="center"/>
                </w:tcPr>
                <w:p w14:paraId="68D66F7D">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SAN交换机</w:t>
                  </w:r>
                </w:p>
              </w:tc>
              <w:tc>
                <w:tcPr>
                  <w:tcW w:w="4003" w:type="dxa"/>
                  <w:noWrap/>
                  <w:vAlign w:val="center"/>
                </w:tcPr>
                <w:p w14:paraId="29FFE66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1）≥24口SAN交换机</w:t>
                  </w:r>
                </w:p>
                <w:p w14:paraId="258A455F">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2）传输速率≥8Gb</w:t>
                  </w:r>
                </w:p>
              </w:tc>
              <w:tc>
                <w:tcPr>
                  <w:tcW w:w="661" w:type="dxa"/>
                  <w:noWrap/>
                  <w:vAlign w:val="center"/>
                </w:tcPr>
                <w:p w14:paraId="25CAAE89">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1</w:t>
                  </w:r>
                </w:p>
              </w:tc>
              <w:tc>
                <w:tcPr>
                  <w:tcW w:w="661" w:type="dxa"/>
                  <w:noWrap/>
                  <w:vAlign w:val="center"/>
                </w:tcPr>
                <w:p w14:paraId="3F7555E7">
                  <w:pPr>
                    <w:widowControl/>
                    <w:spacing w:line="360" w:lineRule="auto"/>
                    <w:jc w:val="center"/>
                    <w:rPr>
                      <w:rFonts w:ascii="宋体" w:hAnsi="宋体" w:eastAsia="仿宋" w:cs="宋体"/>
                      <w:sz w:val="24"/>
                      <w:highlight w:val="none"/>
                    </w:rPr>
                  </w:pPr>
                  <w:r>
                    <w:rPr>
                      <w:rFonts w:hint="eastAsia" w:ascii="宋体" w:hAnsi="宋体" w:eastAsia="仿宋" w:cs="宋体"/>
                      <w:sz w:val="24"/>
                      <w:highlight w:val="none"/>
                    </w:rPr>
                    <w:t>台</w:t>
                  </w:r>
                </w:p>
              </w:tc>
            </w:tr>
            <w:bookmarkEnd w:id="40"/>
          </w:tbl>
          <w:p w14:paraId="75A38C0E">
            <w:pPr>
              <w:spacing w:line="360" w:lineRule="auto"/>
              <w:rPr>
                <w:rFonts w:ascii="宋体" w:hAnsi="宋体" w:eastAsia="仿宋" w:cs="宋体"/>
                <w:b/>
                <w:bCs/>
                <w:kern w:val="0"/>
                <w:sz w:val="22"/>
                <w:highlight w:val="none"/>
              </w:rPr>
            </w:pPr>
            <w:r>
              <w:rPr>
                <w:rFonts w:hint="eastAsia" w:ascii="宋体" w:hAnsi="宋体" w:eastAsia="仿宋" w:cs="宋体"/>
                <w:b/>
                <w:bCs/>
                <w:kern w:val="0"/>
                <w:sz w:val="22"/>
                <w:highlight w:val="none"/>
              </w:rPr>
              <w:t>附1：“超融合应用服务一体机”硬件部分详细参数配置要求：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00"/>
              <w:gridCol w:w="1366"/>
              <w:gridCol w:w="4628"/>
            </w:tblGrid>
            <w:tr w14:paraId="6CC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63B01639">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序号</w:t>
                  </w:r>
                </w:p>
              </w:tc>
              <w:tc>
                <w:tcPr>
                  <w:tcW w:w="1101" w:type="dxa"/>
                  <w:vAlign w:val="center"/>
                </w:tcPr>
                <w:p w14:paraId="14D47775">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一级性能参数指标</w:t>
                  </w:r>
                </w:p>
              </w:tc>
              <w:tc>
                <w:tcPr>
                  <w:tcW w:w="1367" w:type="dxa"/>
                  <w:vAlign w:val="center"/>
                </w:tcPr>
                <w:p w14:paraId="4E9C8469">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二级性能参数指标</w:t>
                  </w:r>
                </w:p>
              </w:tc>
              <w:tc>
                <w:tcPr>
                  <w:tcW w:w="4636" w:type="dxa"/>
                  <w:vAlign w:val="center"/>
                </w:tcPr>
                <w:p w14:paraId="1258A523">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详细参数配置要求</w:t>
                  </w:r>
                </w:p>
              </w:tc>
            </w:tr>
            <w:tr w14:paraId="5E30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534" w:type="dxa"/>
                  <w:vAlign w:val="center"/>
                </w:tcPr>
                <w:p w14:paraId="50F259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101" w:type="dxa"/>
                  <w:vAlign w:val="center"/>
                </w:tcPr>
                <w:p w14:paraId="5876110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7" w:type="dxa"/>
                  <w:vAlign w:val="center"/>
                </w:tcPr>
                <w:p w14:paraId="253DCA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636" w:type="dxa"/>
                  <w:vAlign w:val="center"/>
                </w:tcPr>
                <w:p w14:paraId="02047B7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（2）单颗CPU物理核心数≥32核、主频≥2.0GHz、末级缓存容量≥64MB、线程数≥64、热设计功耗≥140W、支持内存的最高速率≥3200MHz、通道数≥8、位宽≥64位；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39A9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26E84F0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101" w:type="dxa"/>
                  <w:vMerge w:val="restart"/>
                  <w:vAlign w:val="center"/>
                </w:tcPr>
                <w:p w14:paraId="3FB13B3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7" w:type="dxa"/>
                  <w:vAlign w:val="center"/>
                </w:tcPr>
                <w:p w14:paraId="46094AC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636" w:type="dxa"/>
                  <w:vAlign w:val="center"/>
                </w:tcPr>
                <w:p w14:paraId="091352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4101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176CC7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101" w:type="dxa"/>
                  <w:vMerge w:val="continue"/>
                  <w:vAlign w:val="center"/>
                </w:tcPr>
                <w:p w14:paraId="509FECD2">
                  <w:pPr>
                    <w:rPr>
                      <w:highlight w:val="none"/>
                    </w:rPr>
                  </w:pPr>
                </w:p>
              </w:tc>
              <w:tc>
                <w:tcPr>
                  <w:tcW w:w="1367" w:type="dxa"/>
                  <w:vAlign w:val="center"/>
                </w:tcPr>
                <w:p w14:paraId="1D53B3E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636" w:type="dxa"/>
                  <w:vAlign w:val="center"/>
                </w:tcPr>
                <w:p w14:paraId="21AF902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7D78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72A14F0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101" w:type="dxa"/>
                  <w:vMerge w:val="continue"/>
                  <w:vAlign w:val="center"/>
                </w:tcPr>
                <w:p w14:paraId="50F8F535">
                  <w:pPr>
                    <w:rPr>
                      <w:highlight w:val="none"/>
                    </w:rPr>
                  </w:pPr>
                </w:p>
              </w:tc>
              <w:tc>
                <w:tcPr>
                  <w:tcW w:w="1367" w:type="dxa"/>
                  <w:vAlign w:val="center"/>
                </w:tcPr>
                <w:p w14:paraId="041543D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636" w:type="dxa"/>
                  <w:vAlign w:val="center"/>
                </w:tcPr>
                <w:p w14:paraId="570DDE6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（2）板载支持≥12个SATA/SAS盘；</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4044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6A609B8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101" w:type="dxa"/>
                  <w:vMerge w:val="continue"/>
                  <w:vAlign w:val="center"/>
                </w:tcPr>
                <w:p w14:paraId="52C9C295">
                  <w:pPr>
                    <w:rPr>
                      <w:highlight w:val="none"/>
                    </w:rPr>
                  </w:pPr>
                </w:p>
              </w:tc>
              <w:tc>
                <w:tcPr>
                  <w:tcW w:w="1367" w:type="dxa"/>
                  <w:vAlign w:val="center"/>
                </w:tcPr>
                <w:p w14:paraId="4E94C3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636" w:type="dxa"/>
                  <w:vAlign w:val="center"/>
                </w:tcPr>
                <w:p w14:paraId="49FFA4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7CEF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1D541B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101" w:type="dxa"/>
                  <w:vMerge w:val="continue"/>
                  <w:vAlign w:val="center"/>
                </w:tcPr>
                <w:p w14:paraId="3D305FDB">
                  <w:pPr>
                    <w:rPr>
                      <w:highlight w:val="none"/>
                    </w:rPr>
                  </w:pPr>
                </w:p>
              </w:tc>
              <w:tc>
                <w:tcPr>
                  <w:tcW w:w="1367" w:type="dxa"/>
                  <w:vAlign w:val="center"/>
                </w:tcPr>
                <w:p w14:paraId="7B3430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636" w:type="dxa"/>
                  <w:vAlign w:val="center"/>
                </w:tcPr>
                <w:p w14:paraId="4BE84B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34FE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1663306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101" w:type="dxa"/>
                  <w:vMerge w:val="restart"/>
                  <w:vAlign w:val="center"/>
                </w:tcPr>
                <w:p w14:paraId="1B1007B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7" w:type="dxa"/>
                  <w:vAlign w:val="center"/>
                </w:tcPr>
                <w:p w14:paraId="0A36170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636" w:type="dxa"/>
                  <w:vAlign w:val="center"/>
                </w:tcPr>
                <w:p w14:paraId="5DD3C0D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内存数量≥8</w:t>
                  </w:r>
                </w:p>
              </w:tc>
            </w:tr>
            <w:tr w14:paraId="1B8A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040A3B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101" w:type="dxa"/>
                  <w:vMerge w:val="continue"/>
                  <w:vAlign w:val="center"/>
                </w:tcPr>
                <w:p w14:paraId="039A239D">
                  <w:pPr>
                    <w:rPr>
                      <w:highlight w:val="none"/>
                    </w:rPr>
                  </w:pPr>
                </w:p>
              </w:tc>
              <w:tc>
                <w:tcPr>
                  <w:tcW w:w="1367" w:type="dxa"/>
                  <w:vAlign w:val="center"/>
                </w:tcPr>
                <w:p w14:paraId="08A33CD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636" w:type="dxa"/>
                  <w:vAlign w:val="center"/>
                </w:tcPr>
                <w:p w14:paraId="3784AE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10AA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0FAE95B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101" w:type="dxa"/>
                  <w:vMerge w:val="continue"/>
                  <w:vAlign w:val="center"/>
                </w:tcPr>
                <w:p w14:paraId="04342F61">
                  <w:pPr>
                    <w:rPr>
                      <w:highlight w:val="none"/>
                    </w:rPr>
                  </w:pPr>
                </w:p>
              </w:tc>
              <w:tc>
                <w:tcPr>
                  <w:tcW w:w="1367" w:type="dxa"/>
                  <w:vAlign w:val="center"/>
                </w:tcPr>
                <w:p w14:paraId="43DD45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636" w:type="dxa"/>
                  <w:vAlign w:val="center"/>
                </w:tcPr>
                <w:p w14:paraId="68ECD35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14D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6842B3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101" w:type="dxa"/>
                  <w:vMerge w:val="restart"/>
                  <w:vAlign w:val="center"/>
                </w:tcPr>
                <w:p w14:paraId="5ACEF95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7" w:type="dxa"/>
                  <w:vAlign w:val="center"/>
                </w:tcPr>
                <w:p w14:paraId="73FE8B4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636" w:type="dxa"/>
                  <w:vAlign w:val="center"/>
                </w:tcPr>
                <w:p w14:paraId="72E3823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实配≥2*480GB SATA SSD；≥2*480G SSD；≥3*2.4TB SAS盘</w:t>
                  </w:r>
                </w:p>
              </w:tc>
            </w:tr>
            <w:tr w14:paraId="3ED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44FFBA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101" w:type="dxa"/>
                  <w:vMerge w:val="continue"/>
                  <w:vAlign w:val="center"/>
                </w:tcPr>
                <w:p w14:paraId="1CC9D80C">
                  <w:pPr>
                    <w:rPr>
                      <w:highlight w:val="none"/>
                    </w:rPr>
                  </w:pPr>
                </w:p>
              </w:tc>
              <w:tc>
                <w:tcPr>
                  <w:tcW w:w="1367" w:type="dxa"/>
                  <w:vAlign w:val="center"/>
                </w:tcPr>
                <w:p w14:paraId="43789EA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636" w:type="dxa"/>
                  <w:vAlign w:val="center"/>
                </w:tcPr>
                <w:p w14:paraId="2A5AE8D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实配≥2*SATA SSD；≥2* SSD；≥3*SAS盘</w:t>
                  </w:r>
                </w:p>
              </w:tc>
            </w:tr>
            <w:tr w14:paraId="5AC4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15B420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101" w:type="dxa"/>
                  <w:vMerge w:val="continue"/>
                  <w:vAlign w:val="center"/>
                </w:tcPr>
                <w:p w14:paraId="5ED23FBE">
                  <w:pPr>
                    <w:rPr>
                      <w:highlight w:val="none"/>
                    </w:rPr>
                  </w:pPr>
                </w:p>
              </w:tc>
              <w:tc>
                <w:tcPr>
                  <w:tcW w:w="1367" w:type="dxa"/>
                  <w:vAlign w:val="center"/>
                </w:tcPr>
                <w:p w14:paraId="546180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636" w:type="dxa"/>
                  <w:vAlign w:val="center"/>
                </w:tcPr>
                <w:p w14:paraId="7138D8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453D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537715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101" w:type="dxa"/>
                  <w:vAlign w:val="center"/>
                </w:tcPr>
                <w:p w14:paraId="56996D1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7" w:type="dxa"/>
                  <w:vAlign w:val="center"/>
                </w:tcPr>
                <w:p w14:paraId="02D1A5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636" w:type="dxa"/>
                  <w:vAlign w:val="center"/>
                </w:tcPr>
                <w:p w14:paraId="4E9FE3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≥2*千兆电口，≥2*双光口万兆网卡（含光模块）</w:t>
                  </w:r>
                </w:p>
              </w:tc>
            </w:tr>
            <w:tr w14:paraId="7792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4E6670F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101" w:type="dxa"/>
                  <w:vMerge w:val="restart"/>
                  <w:vAlign w:val="center"/>
                </w:tcPr>
                <w:p w14:paraId="4EF140D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7" w:type="dxa"/>
                  <w:vAlign w:val="center"/>
                </w:tcPr>
                <w:p w14:paraId="0701CE0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636" w:type="dxa"/>
                  <w:vAlign w:val="center"/>
                </w:tcPr>
                <w:p w14:paraId="20F139C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65BF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50E50BA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101" w:type="dxa"/>
                  <w:vMerge w:val="continue"/>
                  <w:vAlign w:val="center"/>
                </w:tcPr>
                <w:p w14:paraId="4CDB4229">
                  <w:pPr>
                    <w:rPr>
                      <w:highlight w:val="none"/>
                    </w:rPr>
                  </w:pPr>
                </w:p>
              </w:tc>
              <w:tc>
                <w:tcPr>
                  <w:tcW w:w="1367" w:type="dxa"/>
                  <w:vAlign w:val="center"/>
                </w:tcPr>
                <w:p w14:paraId="630572B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636" w:type="dxa"/>
                  <w:vAlign w:val="center"/>
                </w:tcPr>
                <w:p w14:paraId="49CF306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2FFB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696D30B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101" w:type="dxa"/>
                  <w:vMerge w:val="restart"/>
                  <w:vAlign w:val="center"/>
                </w:tcPr>
                <w:p w14:paraId="7AF726F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7" w:type="dxa"/>
                  <w:vAlign w:val="center"/>
                </w:tcPr>
                <w:p w14:paraId="358B6DE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636" w:type="dxa"/>
                  <w:vAlign w:val="center"/>
                </w:tcPr>
                <w:p w14:paraId="19AADE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0CAC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BA2BF1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101" w:type="dxa"/>
                  <w:vMerge w:val="continue"/>
                  <w:vAlign w:val="center"/>
                </w:tcPr>
                <w:p w14:paraId="6D5E862E">
                  <w:pPr>
                    <w:rPr>
                      <w:highlight w:val="none"/>
                    </w:rPr>
                  </w:pPr>
                </w:p>
              </w:tc>
              <w:tc>
                <w:tcPr>
                  <w:tcW w:w="1367" w:type="dxa"/>
                  <w:vAlign w:val="center"/>
                </w:tcPr>
                <w:p w14:paraId="745B6CB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636" w:type="dxa"/>
                  <w:vAlign w:val="center"/>
                </w:tcPr>
                <w:p w14:paraId="311186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5704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36402C3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101" w:type="dxa"/>
                  <w:vMerge w:val="restart"/>
                  <w:vAlign w:val="center"/>
                </w:tcPr>
                <w:p w14:paraId="639E435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7" w:type="dxa"/>
                  <w:vAlign w:val="center"/>
                </w:tcPr>
                <w:p w14:paraId="40891D2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636" w:type="dxa"/>
                  <w:vAlign w:val="center"/>
                </w:tcPr>
                <w:p w14:paraId="5FE63C1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2242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5A988E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101" w:type="dxa"/>
                  <w:vMerge w:val="continue"/>
                  <w:vAlign w:val="center"/>
                </w:tcPr>
                <w:p w14:paraId="055203FC">
                  <w:pPr>
                    <w:rPr>
                      <w:highlight w:val="none"/>
                    </w:rPr>
                  </w:pPr>
                </w:p>
              </w:tc>
              <w:tc>
                <w:tcPr>
                  <w:tcW w:w="1367" w:type="dxa"/>
                  <w:vAlign w:val="center"/>
                </w:tcPr>
                <w:p w14:paraId="2703081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636" w:type="dxa"/>
                  <w:vAlign w:val="center"/>
                </w:tcPr>
                <w:p w14:paraId="295E71F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1360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34" w:type="dxa"/>
                  <w:vAlign w:val="center"/>
                </w:tcPr>
                <w:p w14:paraId="74B51B0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101" w:type="dxa"/>
                  <w:vMerge w:val="continue"/>
                  <w:vAlign w:val="center"/>
                </w:tcPr>
                <w:p w14:paraId="26E65AF9">
                  <w:pPr>
                    <w:rPr>
                      <w:highlight w:val="none"/>
                    </w:rPr>
                  </w:pPr>
                </w:p>
              </w:tc>
              <w:tc>
                <w:tcPr>
                  <w:tcW w:w="1367" w:type="dxa"/>
                  <w:vAlign w:val="center"/>
                </w:tcPr>
                <w:p w14:paraId="619E02B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636" w:type="dxa"/>
                  <w:vAlign w:val="center"/>
                </w:tcPr>
                <w:p w14:paraId="5C1829F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07ED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384E3F8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101" w:type="dxa"/>
                  <w:vMerge w:val="continue"/>
                  <w:vAlign w:val="center"/>
                </w:tcPr>
                <w:p w14:paraId="41B6B2BB">
                  <w:pPr>
                    <w:rPr>
                      <w:highlight w:val="none"/>
                    </w:rPr>
                  </w:pPr>
                </w:p>
              </w:tc>
              <w:tc>
                <w:tcPr>
                  <w:tcW w:w="1367" w:type="dxa"/>
                  <w:vAlign w:val="center"/>
                </w:tcPr>
                <w:p w14:paraId="237A56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636" w:type="dxa"/>
                  <w:vAlign w:val="center"/>
                </w:tcPr>
                <w:p w14:paraId="14D301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3CE0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06DA719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101" w:type="dxa"/>
                  <w:vMerge w:val="continue"/>
                  <w:vAlign w:val="center"/>
                </w:tcPr>
                <w:p w14:paraId="68381D54">
                  <w:pPr>
                    <w:rPr>
                      <w:highlight w:val="none"/>
                    </w:rPr>
                  </w:pPr>
                </w:p>
              </w:tc>
              <w:tc>
                <w:tcPr>
                  <w:tcW w:w="1367" w:type="dxa"/>
                  <w:vAlign w:val="center"/>
                </w:tcPr>
                <w:p w14:paraId="2B16E2D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636" w:type="dxa"/>
                  <w:vAlign w:val="center"/>
                </w:tcPr>
                <w:p w14:paraId="0E630A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5EFA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45A3E23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101" w:type="dxa"/>
                  <w:vAlign w:val="center"/>
                </w:tcPr>
                <w:p w14:paraId="32AD0E0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机柜规格</w:t>
                  </w:r>
                </w:p>
              </w:tc>
              <w:tc>
                <w:tcPr>
                  <w:tcW w:w="1367" w:type="dxa"/>
                  <w:vAlign w:val="center"/>
                </w:tcPr>
                <w:p w14:paraId="5A0530A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636" w:type="dxa"/>
                  <w:vAlign w:val="center"/>
                </w:tcPr>
                <w:p w14:paraId="2CEE0C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6C1D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C3AEC1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101" w:type="dxa"/>
                  <w:vAlign w:val="center"/>
                </w:tcPr>
                <w:p w14:paraId="08FA71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7" w:type="dxa"/>
                  <w:vAlign w:val="center"/>
                </w:tcPr>
                <w:p w14:paraId="58034B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636" w:type="dxa"/>
                  <w:vAlign w:val="center"/>
                </w:tcPr>
                <w:p w14:paraId="2EBDE11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3426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5DD0CA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101" w:type="dxa"/>
                  <w:vAlign w:val="center"/>
                </w:tcPr>
                <w:p w14:paraId="48B237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7" w:type="dxa"/>
                  <w:vAlign w:val="center"/>
                </w:tcPr>
                <w:p w14:paraId="201C1C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636" w:type="dxa"/>
                  <w:vAlign w:val="center"/>
                </w:tcPr>
                <w:p w14:paraId="0CD257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059A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536CAF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101" w:type="dxa"/>
                  <w:vMerge w:val="restart"/>
                  <w:vAlign w:val="center"/>
                </w:tcPr>
                <w:p w14:paraId="3E6CD83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7" w:type="dxa"/>
                  <w:vAlign w:val="center"/>
                </w:tcPr>
                <w:p w14:paraId="0C5CE7C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636" w:type="dxa"/>
                  <w:vAlign w:val="center"/>
                </w:tcPr>
                <w:p w14:paraId="5C4B8A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5C4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44CD66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101" w:type="dxa"/>
                  <w:vMerge w:val="continue"/>
                  <w:vAlign w:val="center"/>
                </w:tcPr>
                <w:p w14:paraId="0EDF62A3">
                  <w:pPr>
                    <w:rPr>
                      <w:highlight w:val="none"/>
                    </w:rPr>
                  </w:pPr>
                </w:p>
              </w:tc>
              <w:tc>
                <w:tcPr>
                  <w:tcW w:w="1367" w:type="dxa"/>
                  <w:vAlign w:val="center"/>
                </w:tcPr>
                <w:p w14:paraId="72AC74A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636" w:type="dxa"/>
                  <w:vAlign w:val="center"/>
                </w:tcPr>
                <w:p w14:paraId="78FB796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083D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6F3EE89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101" w:type="dxa"/>
                  <w:vMerge w:val="restart"/>
                  <w:vAlign w:val="center"/>
                </w:tcPr>
                <w:p w14:paraId="5C7F607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7" w:type="dxa"/>
                  <w:vAlign w:val="center"/>
                </w:tcPr>
                <w:p w14:paraId="7CABC79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636" w:type="dxa"/>
                  <w:vAlign w:val="center"/>
                </w:tcPr>
                <w:p w14:paraId="591A4FC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47C2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31F1EC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101" w:type="dxa"/>
                  <w:vMerge w:val="continue"/>
                  <w:vAlign w:val="center"/>
                </w:tcPr>
                <w:p w14:paraId="51012F5A">
                  <w:pPr>
                    <w:rPr>
                      <w:highlight w:val="none"/>
                    </w:rPr>
                  </w:pPr>
                </w:p>
              </w:tc>
              <w:tc>
                <w:tcPr>
                  <w:tcW w:w="1367" w:type="dxa"/>
                  <w:vAlign w:val="center"/>
                </w:tcPr>
                <w:p w14:paraId="015A809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636" w:type="dxa"/>
                  <w:vAlign w:val="center"/>
                </w:tcPr>
                <w:p w14:paraId="690BB58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75BA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79C4A1C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101" w:type="dxa"/>
                  <w:vAlign w:val="center"/>
                </w:tcPr>
                <w:p w14:paraId="34E7ED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7" w:type="dxa"/>
                  <w:vAlign w:val="center"/>
                </w:tcPr>
                <w:p w14:paraId="7D081DD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636" w:type="dxa"/>
                  <w:vAlign w:val="center"/>
                </w:tcPr>
                <w:p w14:paraId="1326E1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00D5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38FB3A7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101" w:type="dxa"/>
                  <w:vMerge w:val="restart"/>
                  <w:vAlign w:val="center"/>
                </w:tcPr>
                <w:p w14:paraId="45EF22E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7" w:type="dxa"/>
                  <w:vAlign w:val="center"/>
                </w:tcPr>
                <w:p w14:paraId="45F9187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636" w:type="dxa"/>
                  <w:vAlign w:val="center"/>
                </w:tcPr>
                <w:p w14:paraId="3BE770E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7E53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515087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101" w:type="dxa"/>
                  <w:vMerge w:val="continue"/>
                  <w:vAlign w:val="center"/>
                </w:tcPr>
                <w:p w14:paraId="29989F40">
                  <w:pPr>
                    <w:rPr>
                      <w:highlight w:val="none"/>
                    </w:rPr>
                  </w:pPr>
                </w:p>
              </w:tc>
              <w:tc>
                <w:tcPr>
                  <w:tcW w:w="1367" w:type="dxa"/>
                  <w:vAlign w:val="center"/>
                </w:tcPr>
                <w:p w14:paraId="70FFF15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636" w:type="dxa"/>
                  <w:vAlign w:val="center"/>
                </w:tcPr>
                <w:p w14:paraId="3E5DC1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4BE2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56DCBD5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101" w:type="dxa"/>
                  <w:vMerge w:val="continue"/>
                  <w:vAlign w:val="center"/>
                </w:tcPr>
                <w:p w14:paraId="78205BFC">
                  <w:pPr>
                    <w:rPr>
                      <w:highlight w:val="none"/>
                    </w:rPr>
                  </w:pPr>
                </w:p>
              </w:tc>
              <w:tc>
                <w:tcPr>
                  <w:tcW w:w="1367" w:type="dxa"/>
                  <w:vAlign w:val="center"/>
                </w:tcPr>
                <w:p w14:paraId="0E72A3C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636" w:type="dxa"/>
                  <w:vAlign w:val="center"/>
                </w:tcPr>
                <w:p w14:paraId="6ECDA83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48B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3230C2B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101" w:type="dxa"/>
                  <w:vMerge w:val="restart"/>
                  <w:vAlign w:val="center"/>
                </w:tcPr>
                <w:p w14:paraId="60C58DF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7" w:type="dxa"/>
                  <w:vAlign w:val="center"/>
                </w:tcPr>
                <w:p w14:paraId="2F491C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636" w:type="dxa"/>
                  <w:vAlign w:val="center"/>
                </w:tcPr>
                <w:p w14:paraId="1E784F4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7656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7E32EE3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101" w:type="dxa"/>
                  <w:vMerge w:val="continue"/>
                  <w:vAlign w:val="center"/>
                </w:tcPr>
                <w:p w14:paraId="4CA642C2">
                  <w:pPr>
                    <w:rPr>
                      <w:highlight w:val="none"/>
                    </w:rPr>
                  </w:pPr>
                </w:p>
              </w:tc>
              <w:tc>
                <w:tcPr>
                  <w:tcW w:w="1367" w:type="dxa"/>
                  <w:vAlign w:val="center"/>
                </w:tcPr>
                <w:p w14:paraId="30FBE53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636" w:type="dxa"/>
                  <w:vAlign w:val="center"/>
                </w:tcPr>
                <w:p w14:paraId="2371D1E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7736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F9C51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101" w:type="dxa"/>
                  <w:vAlign w:val="center"/>
                </w:tcPr>
                <w:p w14:paraId="081BB12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7" w:type="dxa"/>
                  <w:vAlign w:val="center"/>
                </w:tcPr>
                <w:p w14:paraId="50899F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636" w:type="dxa"/>
                  <w:vAlign w:val="center"/>
                </w:tcPr>
                <w:p w14:paraId="7CB09CD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397F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7DA1301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101" w:type="dxa"/>
                  <w:vAlign w:val="center"/>
                </w:tcPr>
                <w:p w14:paraId="44DE577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7" w:type="dxa"/>
                  <w:vAlign w:val="center"/>
                </w:tcPr>
                <w:p w14:paraId="36AD9A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636" w:type="dxa"/>
                  <w:vAlign w:val="center"/>
                </w:tcPr>
                <w:p w14:paraId="730A04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7A1A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D96981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101" w:type="dxa"/>
                  <w:vAlign w:val="center"/>
                </w:tcPr>
                <w:p w14:paraId="4EAE258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7" w:type="dxa"/>
                  <w:vAlign w:val="center"/>
                </w:tcPr>
                <w:p w14:paraId="1A813F8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636" w:type="dxa"/>
                  <w:vAlign w:val="center"/>
                </w:tcPr>
                <w:p w14:paraId="19CA29D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4ACA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5BFDC3F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101" w:type="dxa"/>
                  <w:vMerge w:val="restart"/>
                  <w:vAlign w:val="center"/>
                </w:tcPr>
                <w:p w14:paraId="52F7866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7" w:type="dxa"/>
                  <w:vAlign w:val="center"/>
                </w:tcPr>
                <w:p w14:paraId="4F88764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636" w:type="dxa"/>
                  <w:vAlign w:val="center"/>
                </w:tcPr>
                <w:p w14:paraId="174C11B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24F1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1973CD2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101" w:type="dxa"/>
                  <w:vMerge w:val="continue"/>
                  <w:vAlign w:val="center"/>
                </w:tcPr>
                <w:p w14:paraId="525E33E1">
                  <w:pPr>
                    <w:rPr>
                      <w:highlight w:val="none"/>
                    </w:rPr>
                  </w:pPr>
                </w:p>
              </w:tc>
              <w:tc>
                <w:tcPr>
                  <w:tcW w:w="1367" w:type="dxa"/>
                  <w:vAlign w:val="center"/>
                </w:tcPr>
                <w:p w14:paraId="027EA1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636" w:type="dxa"/>
                  <w:vAlign w:val="center"/>
                </w:tcPr>
                <w:p w14:paraId="026BC5F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3E84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5C58DB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101" w:type="dxa"/>
                  <w:vMerge w:val="continue"/>
                  <w:vAlign w:val="center"/>
                </w:tcPr>
                <w:p w14:paraId="4A3C2B04">
                  <w:pPr>
                    <w:rPr>
                      <w:highlight w:val="none"/>
                    </w:rPr>
                  </w:pPr>
                </w:p>
              </w:tc>
              <w:tc>
                <w:tcPr>
                  <w:tcW w:w="1367" w:type="dxa"/>
                  <w:vAlign w:val="center"/>
                </w:tcPr>
                <w:p w14:paraId="52B4EA6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636" w:type="dxa"/>
                  <w:vAlign w:val="center"/>
                </w:tcPr>
                <w:p w14:paraId="0087D73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692B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3E64578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101" w:type="dxa"/>
                  <w:vMerge w:val="continue"/>
                  <w:vAlign w:val="center"/>
                </w:tcPr>
                <w:p w14:paraId="35987A9F">
                  <w:pPr>
                    <w:rPr>
                      <w:highlight w:val="none"/>
                    </w:rPr>
                  </w:pPr>
                </w:p>
              </w:tc>
              <w:tc>
                <w:tcPr>
                  <w:tcW w:w="1367" w:type="dxa"/>
                  <w:vAlign w:val="center"/>
                </w:tcPr>
                <w:p w14:paraId="7C8E45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636" w:type="dxa"/>
                  <w:vAlign w:val="center"/>
                </w:tcPr>
                <w:p w14:paraId="44907A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3031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558428D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101" w:type="dxa"/>
                  <w:vMerge w:val="continue"/>
                  <w:vAlign w:val="center"/>
                </w:tcPr>
                <w:p w14:paraId="139183D4">
                  <w:pPr>
                    <w:rPr>
                      <w:highlight w:val="none"/>
                    </w:rPr>
                  </w:pPr>
                </w:p>
              </w:tc>
              <w:tc>
                <w:tcPr>
                  <w:tcW w:w="1367" w:type="dxa"/>
                  <w:vAlign w:val="center"/>
                </w:tcPr>
                <w:p w14:paraId="109978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636" w:type="dxa"/>
                  <w:vAlign w:val="center"/>
                </w:tcPr>
                <w:p w14:paraId="3F345D8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47C0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34" w:type="dxa"/>
                  <w:vAlign w:val="center"/>
                </w:tcPr>
                <w:p w14:paraId="457858F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101" w:type="dxa"/>
                  <w:vAlign w:val="center"/>
                </w:tcPr>
                <w:p w14:paraId="14219E2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7" w:type="dxa"/>
                  <w:vAlign w:val="center"/>
                </w:tcPr>
                <w:p w14:paraId="643E3D3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636" w:type="dxa"/>
                  <w:vAlign w:val="center"/>
                </w:tcPr>
                <w:p w14:paraId="1BD098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仿宋" w:cs="宋体"/>
                      <w:kern w:val="0"/>
                      <w:sz w:val="22"/>
                      <w:highlight w:val="none"/>
                    </w:rPr>
                    <w:br w:type="textWrapping"/>
                  </w:r>
                </w:p>
              </w:tc>
            </w:tr>
            <w:tr w14:paraId="006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2B53F20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101" w:type="dxa"/>
                  <w:vAlign w:val="center"/>
                </w:tcPr>
                <w:p w14:paraId="250783B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7" w:type="dxa"/>
                  <w:vAlign w:val="center"/>
                </w:tcPr>
                <w:p w14:paraId="455957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636" w:type="dxa"/>
                  <w:vAlign w:val="center"/>
                </w:tcPr>
                <w:p w14:paraId="075E43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3CBE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1C59F9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101" w:type="dxa"/>
                  <w:vAlign w:val="center"/>
                </w:tcPr>
                <w:p w14:paraId="67863DD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求</w:t>
                  </w:r>
                </w:p>
              </w:tc>
              <w:tc>
                <w:tcPr>
                  <w:tcW w:w="1367" w:type="dxa"/>
                  <w:vAlign w:val="center"/>
                </w:tcPr>
                <w:p w14:paraId="26ADBA4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636" w:type="dxa"/>
                  <w:vAlign w:val="center"/>
                </w:tcPr>
                <w:p w14:paraId="415869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687F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3C1989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101" w:type="dxa"/>
                  <w:vMerge w:val="restart"/>
                  <w:vAlign w:val="center"/>
                </w:tcPr>
                <w:p w14:paraId="7CF8AC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7" w:type="dxa"/>
                  <w:vAlign w:val="center"/>
                </w:tcPr>
                <w:p w14:paraId="53B864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636" w:type="dxa"/>
                  <w:vAlign w:val="center"/>
                </w:tcPr>
                <w:p w14:paraId="655745E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≥2.0GHz</w:t>
                  </w:r>
                </w:p>
              </w:tc>
            </w:tr>
            <w:tr w14:paraId="5C42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77AAAF0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101" w:type="dxa"/>
                  <w:vMerge w:val="continue"/>
                  <w:vAlign w:val="center"/>
                </w:tcPr>
                <w:p w14:paraId="49CE420A">
                  <w:pPr>
                    <w:rPr>
                      <w:highlight w:val="none"/>
                    </w:rPr>
                  </w:pPr>
                </w:p>
              </w:tc>
              <w:tc>
                <w:tcPr>
                  <w:tcW w:w="1367" w:type="dxa"/>
                  <w:vAlign w:val="center"/>
                </w:tcPr>
                <w:p w14:paraId="68BCA8A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636" w:type="dxa"/>
                  <w:vAlign w:val="center"/>
                </w:tcPr>
                <w:p w14:paraId="680D88A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r>
            <w:tr w14:paraId="3ECA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5C3365F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101" w:type="dxa"/>
                  <w:vMerge w:val="continue"/>
                  <w:vAlign w:val="center"/>
                </w:tcPr>
                <w:p w14:paraId="49275FA3">
                  <w:pPr>
                    <w:rPr>
                      <w:highlight w:val="none"/>
                    </w:rPr>
                  </w:pPr>
                </w:p>
              </w:tc>
              <w:tc>
                <w:tcPr>
                  <w:tcW w:w="1367" w:type="dxa"/>
                  <w:vAlign w:val="center"/>
                </w:tcPr>
                <w:p w14:paraId="6962389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636" w:type="dxa"/>
                  <w:vAlign w:val="center"/>
                </w:tcPr>
                <w:p w14:paraId="3B75F2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≥64MB</w:t>
                  </w:r>
                </w:p>
              </w:tc>
            </w:tr>
            <w:tr w14:paraId="4D3D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1601CB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101" w:type="dxa"/>
                  <w:vAlign w:val="center"/>
                </w:tcPr>
                <w:p w14:paraId="6911203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7" w:type="dxa"/>
                  <w:vAlign w:val="center"/>
                </w:tcPr>
                <w:p w14:paraId="08C9E48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636" w:type="dxa"/>
                  <w:vAlign w:val="center"/>
                </w:tcPr>
                <w:p w14:paraId="5A180E8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7FDC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4C2A8E2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101" w:type="dxa"/>
                  <w:vAlign w:val="center"/>
                </w:tcPr>
                <w:p w14:paraId="34FD017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能耗</w:t>
                  </w:r>
                </w:p>
              </w:tc>
              <w:tc>
                <w:tcPr>
                  <w:tcW w:w="1367" w:type="dxa"/>
                  <w:vAlign w:val="center"/>
                </w:tcPr>
                <w:p w14:paraId="5D3AD03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636" w:type="dxa"/>
                  <w:vAlign w:val="center"/>
                </w:tcPr>
                <w:p w14:paraId="6C3C15F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79BA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5361931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101" w:type="dxa"/>
                  <w:vMerge w:val="restart"/>
                  <w:vAlign w:val="center"/>
                </w:tcPr>
                <w:p w14:paraId="4FB1223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7" w:type="dxa"/>
                  <w:vAlign w:val="center"/>
                </w:tcPr>
                <w:p w14:paraId="3059F18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636" w:type="dxa"/>
                  <w:vAlign w:val="center"/>
                </w:tcPr>
                <w:p w14:paraId="238143C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2164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4194E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101" w:type="dxa"/>
                  <w:vMerge w:val="continue"/>
                  <w:vAlign w:val="center"/>
                </w:tcPr>
                <w:p w14:paraId="0E79E8DD">
                  <w:pPr>
                    <w:rPr>
                      <w:highlight w:val="none"/>
                    </w:rPr>
                  </w:pPr>
                </w:p>
              </w:tc>
              <w:tc>
                <w:tcPr>
                  <w:tcW w:w="1367" w:type="dxa"/>
                  <w:vAlign w:val="center"/>
                </w:tcPr>
                <w:p w14:paraId="2639B41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636" w:type="dxa"/>
                  <w:vAlign w:val="center"/>
                </w:tcPr>
                <w:p w14:paraId="185075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518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3DB654A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101" w:type="dxa"/>
                  <w:vMerge w:val="continue"/>
                  <w:vAlign w:val="center"/>
                </w:tcPr>
                <w:p w14:paraId="7674E544">
                  <w:pPr>
                    <w:rPr>
                      <w:highlight w:val="none"/>
                    </w:rPr>
                  </w:pPr>
                </w:p>
              </w:tc>
              <w:tc>
                <w:tcPr>
                  <w:tcW w:w="1367" w:type="dxa"/>
                  <w:vAlign w:val="center"/>
                </w:tcPr>
                <w:p w14:paraId="78440C8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636" w:type="dxa"/>
                  <w:vAlign w:val="center"/>
                </w:tcPr>
                <w:p w14:paraId="0BFBCF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1F53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409430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101" w:type="dxa"/>
                  <w:vMerge w:val="continue"/>
                  <w:vAlign w:val="center"/>
                </w:tcPr>
                <w:p w14:paraId="26D09F6E">
                  <w:pPr>
                    <w:rPr>
                      <w:highlight w:val="none"/>
                    </w:rPr>
                  </w:pPr>
                </w:p>
              </w:tc>
              <w:tc>
                <w:tcPr>
                  <w:tcW w:w="1367" w:type="dxa"/>
                  <w:vAlign w:val="center"/>
                </w:tcPr>
                <w:p w14:paraId="030D78D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636" w:type="dxa"/>
                  <w:vAlign w:val="center"/>
                </w:tcPr>
                <w:p w14:paraId="13E811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6ECC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34" w:type="dxa"/>
                  <w:vAlign w:val="center"/>
                </w:tcPr>
                <w:p w14:paraId="681CEF8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101" w:type="dxa"/>
                  <w:vAlign w:val="center"/>
                </w:tcPr>
                <w:p w14:paraId="02DE311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7" w:type="dxa"/>
                  <w:vAlign w:val="center"/>
                </w:tcPr>
                <w:p w14:paraId="0BA2E0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636" w:type="dxa"/>
                  <w:vAlign w:val="center"/>
                </w:tcPr>
                <w:p w14:paraId="17E7CC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7EFA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ADCD2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101" w:type="dxa"/>
                  <w:vMerge w:val="restart"/>
                  <w:vAlign w:val="center"/>
                </w:tcPr>
                <w:p w14:paraId="2A0A3DD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7" w:type="dxa"/>
                  <w:vAlign w:val="center"/>
                </w:tcPr>
                <w:p w14:paraId="7CF1814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容</w:t>
                  </w:r>
                </w:p>
              </w:tc>
              <w:tc>
                <w:tcPr>
                  <w:tcW w:w="4636" w:type="dxa"/>
                  <w:vAlign w:val="center"/>
                </w:tcPr>
                <w:p w14:paraId="64B2BE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792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6D88EB2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101" w:type="dxa"/>
                  <w:vMerge w:val="continue"/>
                  <w:vAlign w:val="center"/>
                </w:tcPr>
                <w:p w14:paraId="217C14C8">
                  <w:pPr>
                    <w:rPr>
                      <w:highlight w:val="none"/>
                    </w:rPr>
                  </w:pPr>
                </w:p>
              </w:tc>
              <w:tc>
                <w:tcPr>
                  <w:tcW w:w="1367" w:type="dxa"/>
                  <w:vAlign w:val="center"/>
                </w:tcPr>
                <w:p w14:paraId="5D2FD2C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636" w:type="dxa"/>
                  <w:vAlign w:val="center"/>
                </w:tcPr>
                <w:p w14:paraId="2BDE43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7AD9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6D5E16D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101" w:type="dxa"/>
                  <w:vMerge w:val="continue"/>
                  <w:vAlign w:val="center"/>
                </w:tcPr>
                <w:p w14:paraId="7ED6ADDD">
                  <w:pPr>
                    <w:rPr>
                      <w:highlight w:val="none"/>
                    </w:rPr>
                  </w:pPr>
                </w:p>
              </w:tc>
              <w:tc>
                <w:tcPr>
                  <w:tcW w:w="1367" w:type="dxa"/>
                  <w:vAlign w:val="center"/>
                </w:tcPr>
                <w:p w14:paraId="1725FD7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636" w:type="dxa"/>
                  <w:vAlign w:val="center"/>
                </w:tcPr>
                <w:p w14:paraId="43FF102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67C1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7D65C1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101" w:type="dxa"/>
                  <w:vMerge w:val="restart"/>
                  <w:vAlign w:val="center"/>
                </w:tcPr>
                <w:p w14:paraId="7912E5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7" w:type="dxa"/>
                  <w:vAlign w:val="center"/>
                </w:tcPr>
                <w:p w14:paraId="7F07CE6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636" w:type="dxa"/>
                  <w:vAlign w:val="center"/>
                </w:tcPr>
                <w:p w14:paraId="0F0AB16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5ABF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042480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101" w:type="dxa"/>
                  <w:vMerge w:val="continue"/>
                  <w:vAlign w:val="center"/>
                </w:tcPr>
                <w:p w14:paraId="69A8D2FA">
                  <w:pPr>
                    <w:rPr>
                      <w:highlight w:val="none"/>
                    </w:rPr>
                  </w:pPr>
                </w:p>
              </w:tc>
              <w:tc>
                <w:tcPr>
                  <w:tcW w:w="1367" w:type="dxa"/>
                  <w:vAlign w:val="center"/>
                </w:tcPr>
                <w:p w14:paraId="1078791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636" w:type="dxa"/>
                  <w:vAlign w:val="center"/>
                </w:tcPr>
                <w:p w14:paraId="7EFF197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7582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6B911E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101" w:type="dxa"/>
                  <w:vMerge w:val="continue"/>
                  <w:vAlign w:val="center"/>
                </w:tcPr>
                <w:p w14:paraId="373C3FCE">
                  <w:pPr>
                    <w:rPr>
                      <w:highlight w:val="none"/>
                    </w:rPr>
                  </w:pPr>
                </w:p>
              </w:tc>
              <w:tc>
                <w:tcPr>
                  <w:tcW w:w="1367" w:type="dxa"/>
                  <w:vAlign w:val="center"/>
                </w:tcPr>
                <w:p w14:paraId="3B3F04C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636" w:type="dxa"/>
                  <w:vAlign w:val="center"/>
                </w:tcPr>
                <w:p w14:paraId="78145DD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3DE3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4CAB78A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101" w:type="dxa"/>
                  <w:vAlign w:val="center"/>
                </w:tcPr>
                <w:p w14:paraId="3B8E10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7" w:type="dxa"/>
                  <w:vAlign w:val="center"/>
                </w:tcPr>
                <w:p w14:paraId="440FCC4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636" w:type="dxa"/>
                  <w:vAlign w:val="center"/>
                </w:tcPr>
                <w:p w14:paraId="3D5ADC0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6CAD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34" w:type="dxa"/>
                  <w:vAlign w:val="center"/>
                </w:tcPr>
                <w:p w14:paraId="7343BD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101" w:type="dxa"/>
                  <w:vMerge w:val="restart"/>
                  <w:vAlign w:val="center"/>
                </w:tcPr>
                <w:p w14:paraId="46C568E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7" w:type="dxa"/>
                  <w:vAlign w:val="center"/>
                </w:tcPr>
                <w:p w14:paraId="1E8D82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636" w:type="dxa"/>
                  <w:vAlign w:val="center"/>
                </w:tcPr>
                <w:p w14:paraId="07D268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4CE0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282B33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101" w:type="dxa"/>
                  <w:vMerge w:val="continue"/>
                  <w:vAlign w:val="center"/>
                </w:tcPr>
                <w:p w14:paraId="6829A71E">
                  <w:pPr>
                    <w:rPr>
                      <w:highlight w:val="none"/>
                    </w:rPr>
                  </w:pPr>
                </w:p>
              </w:tc>
              <w:tc>
                <w:tcPr>
                  <w:tcW w:w="1367" w:type="dxa"/>
                  <w:vAlign w:val="center"/>
                </w:tcPr>
                <w:p w14:paraId="77D1927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636" w:type="dxa"/>
                  <w:vAlign w:val="center"/>
                </w:tcPr>
                <w:p w14:paraId="04EEFE1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60FD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34" w:type="dxa"/>
                  <w:vAlign w:val="center"/>
                </w:tcPr>
                <w:p w14:paraId="66B6CC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101" w:type="dxa"/>
                  <w:vAlign w:val="center"/>
                </w:tcPr>
                <w:p w14:paraId="2BEEA5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7" w:type="dxa"/>
                  <w:vAlign w:val="center"/>
                </w:tcPr>
                <w:p w14:paraId="73E0B7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636" w:type="dxa"/>
                  <w:vAlign w:val="center"/>
                </w:tcPr>
                <w:p w14:paraId="1A4D6CD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2604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5070E3E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101" w:type="dxa"/>
                  <w:vMerge w:val="restart"/>
                  <w:vAlign w:val="center"/>
                </w:tcPr>
                <w:p w14:paraId="168B6ED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7" w:type="dxa"/>
                  <w:vAlign w:val="center"/>
                </w:tcPr>
                <w:p w14:paraId="61FB6B8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636" w:type="dxa"/>
                  <w:vAlign w:val="center"/>
                </w:tcPr>
                <w:p w14:paraId="20A5248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510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3597BB7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101" w:type="dxa"/>
                  <w:vMerge w:val="continue"/>
                  <w:vAlign w:val="center"/>
                </w:tcPr>
                <w:p w14:paraId="31219C2C">
                  <w:pPr>
                    <w:rPr>
                      <w:highlight w:val="none"/>
                    </w:rPr>
                  </w:pPr>
                </w:p>
              </w:tc>
              <w:tc>
                <w:tcPr>
                  <w:tcW w:w="1367" w:type="dxa"/>
                  <w:vAlign w:val="center"/>
                </w:tcPr>
                <w:p w14:paraId="3DEDA7F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636" w:type="dxa"/>
                  <w:vAlign w:val="center"/>
                </w:tcPr>
                <w:p w14:paraId="756E43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298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1F6096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101" w:type="dxa"/>
                  <w:vMerge w:val="continue"/>
                  <w:vAlign w:val="center"/>
                </w:tcPr>
                <w:p w14:paraId="16E578F9">
                  <w:pPr>
                    <w:rPr>
                      <w:highlight w:val="none"/>
                    </w:rPr>
                  </w:pPr>
                </w:p>
              </w:tc>
              <w:tc>
                <w:tcPr>
                  <w:tcW w:w="1367" w:type="dxa"/>
                  <w:vAlign w:val="center"/>
                </w:tcPr>
                <w:p w14:paraId="24B668D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636" w:type="dxa"/>
                  <w:vAlign w:val="center"/>
                </w:tcPr>
                <w:p w14:paraId="394C96E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3207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648464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101" w:type="dxa"/>
                  <w:vMerge w:val="restart"/>
                  <w:vAlign w:val="center"/>
                </w:tcPr>
                <w:p w14:paraId="664ABD6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7" w:type="dxa"/>
                  <w:vAlign w:val="center"/>
                </w:tcPr>
                <w:p w14:paraId="2E67320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636" w:type="dxa"/>
                  <w:vAlign w:val="center"/>
                </w:tcPr>
                <w:p w14:paraId="43F218B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034F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4" w:type="dxa"/>
                  <w:vAlign w:val="center"/>
                </w:tcPr>
                <w:p w14:paraId="2A8ACAA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101" w:type="dxa"/>
                  <w:vMerge w:val="continue"/>
                  <w:vAlign w:val="center"/>
                </w:tcPr>
                <w:p w14:paraId="01966B00">
                  <w:pPr>
                    <w:rPr>
                      <w:highlight w:val="none"/>
                    </w:rPr>
                  </w:pPr>
                </w:p>
              </w:tc>
              <w:tc>
                <w:tcPr>
                  <w:tcW w:w="1367" w:type="dxa"/>
                  <w:vAlign w:val="center"/>
                </w:tcPr>
                <w:p w14:paraId="7C6DB8A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636" w:type="dxa"/>
                  <w:vAlign w:val="center"/>
                </w:tcPr>
                <w:p w14:paraId="4EF3E0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69D6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14:paraId="60AC0E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101" w:type="dxa"/>
                  <w:vMerge w:val="restart"/>
                  <w:vAlign w:val="center"/>
                </w:tcPr>
                <w:p w14:paraId="46B0441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7" w:type="dxa"/>
                  <w:vAlign w:val="center"/>
                </w:tcPr>
                <w:p w14:paraId="15D19BB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636" w:type="dxa"/>
                  <w:vAlign w:val="center"/>
                </w:tcPr>
                <w:p w14:paraId="677C73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6907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34" w:type="dxa"/>
                  <w:vAlign w:val="center"/>
                </w:tcPr>
                <w:p w14:paraId="0245706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101" w:type="dxa"/>
                  <w:vMerge w:val="continue"/>
                  <w:vAlign w:val="center"/>
                </w:tcPr>
                <w:p w14:paraId="040083D8">
                  <w:pPr>
                    <w:rPr>
                      <w:highlight w:val="none"/>
                    </w:rPr>
                  </w:pPr>
                </w:p>
              </w:tc>
              <w:tc>
                <w:tcPr>
                  <w:tcW w:w="1367" w:type="dxa"/>
                  <w:vAlign w:val="center"/>
                </w:tcPr>
                <w:p w14:paraId="004D0D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636" w:type="dxa"/>
                  <w:vAlign w:val="center"/>
                </w:tcPr>
                <w:p w14:paraId="3745ED6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投标人需提供供应链稳定承诺书，确保产品的部件在产品服务周期内稳定供货</w:t>
                  </w:r>
                </w:p>
              </w:tc>
            </w:tr>
          </w:tbl>
          <w:p w14:paraId="63C2914D">
            <w:pPr>
              <w:rPr>
                <w:rFonts w:ascii="宋体" w:hAnsi="宋体" w:eastAsia="仿宋" w:cs="宋体"/>
                <w:b/>
                <w:bCs/>
                <w:kern w:val="0"/>
                <w:sz w:val="22"/>
                <w:highlight w:val="none"/>
              </w:rPr>
            </w:pPr>
            <w:r>
              <w:rPr>
                <w:rFonts w:hint="eastAsia" w:ascii="宋体" w:hAnsi="宋体" w:eastAsia="仿宋" w:cs="宋体"/>
                <w:b/>
                <w:bCs/>
                <w:kern w:val="0"/>
                <w:sz w:val="22"/>
                <w:highlight w:val="none"/>
              </w:rPr>
              <w:t>附2：“大数据平台流式计算服务一体机”硬件部分详细参数配置要求：</w:t>
            </w:r>
          </w:p>
          <w:tbl>
            <w:tblPr>
              <w:tblStyle w:val="80"/>
              <w:tblW w:w="5000" w:type="pct"/>
              <w:tblInd w:w="0" w:type="dxa"/>
              <w:tblLayout w:type="autofit"/>
              <w:tblCellMar>
                <w:top w:w="0" w:type="dxa"/>
                <w:left w:w="108" w:type="dxa"/>
                <w:bottom w:w="0" w:type="dxa"/>
                <w:right w:w="108" w:type="dxa"/>
              </w:tblCellMar>
            </w:tblPr>
            <w:tblGrid>
              <w:gridCol w:w="596"/>
              <w:gridCol w:w="1077"/>
              <w:gridCol w:w="1500"/>
              <w:gridCol w:w="4465"/>
            </w:tblGrid>
            <w:tr w14:paraId="207FBBCD">
              <w:tblPrEx>
                <w:tblCellMar>
                  <w:top w:w="0" w:type="dxa"/>
                  <w:left w:w="108" w:type="dxa"/>
                  <w:bottom w:w="0" w:type="dxa"/>
                  <w:right w:w="108" w:type="dxa"/>
                </w:tblCellMar>
              </w:tblPrEx>
              <w:trPr>
                <w:trHeight w:val="50" w:hRule="atLeast"/>
              </w:trPr>
              <w:tc>
                <w:tcPr>
                  <w:tcW w:w="596" w:type="dxa"/>
                  <w:tcBorders>
                    <w:top w:val="single" w:color="000000" w:sz="4" w:space="0"/>
                    <w:left w:val="single" w:color="000000" w:sz="4" w:space="0"/>
                    <w:bottom w:val="single" w:color="000000" w:sz="4" w:space="0"/>
                    <w:right w:val="nil"/>
                  </w:tcBorders>
                  <w:vAlign w:val="center"/>
                </w:tcPr>
                <w:p w14:paraId="1D9057B5">
                  <w:pPr>
                    <w:widowControl/>
                    <w:jc w:val="left"/>
                    <w:rPr>
                      <w:rFonts w:ascii="宋体" w:hAnsi="宋体" w:eastAsia="仿宋" w:cs="宋体"/>
                      <w:b/>
                      <w:bCs/>
                      <w:kern w:val="0"/>
                      <w:sz w:val="22"/>
                      <w:highlight w:val="none"/>
                    </w:rPr>
                  </w:pPr>
                  <w:r>
                    <w:rPr>
                      <w:rFonts w:hint="eastAsia" w:ascii="宋体" w:hAnsi="宋体" w:eastAsia="仿宋" w:cs="宋体"/>
                      <w:b/>
                      <w:bCs/>
                      <w:kern w:val="0"/>
                      <w:sz w:val="22"/>
                      <w:highlight w:val="none"/>
                    </w:rPr>
                    <w:t>序号</w:t>
                  </w:r>
                </w:p>
              </w:tc>
              <w:tc>
                <w:tcPr>
                  <w:tcW w:w="1077" w:type="dxa"/>
                  <w:tcBorders>
                    <w:top w:val="single" w:color="000000" w:sz="4" w:space="0"/>
                    <w:left w:val="single" w:color="000000" w:sz="4" w:space="0"/>
                    <w:bottom w:val="single" w:color="000000" w:sz="4" w:space="0"/>
                    <w:right w:val="single" w:color="000000" w:sz="4" w:space="0"/>
                  </w:tcBorders>
                  <w:vAlign w:val="center"/>
                </w:tcPr>
                <w:p w14:paraId="3260BB69">
                  <w:pPr>
                    <w:widowControl/>
                    <w:jc w:val="left"/>
                    <w:rPr>
                      <w:rFonts w:ascii="宋体" w:hAnsi="宋体" w:eastAsia="仿宋" w:cs="宋体"/>
                      <w:b/>
                      <w:bCs/>
                      <w:kern w:val="0"/>
                      <w:sz w:val="22"/>
                      <w:highlight w:val="none"/>
                    </w:rPr>
                  </w:pPr>
                  <w:r>
                    <w:rPr>
                      <w:rFonts w:hint="eastAsia" w:ascii="宋体" w:hAnsi="宋体" w:eastAsia="仿宋" w:cs="宋体"/>
                      <w:b/>
                      <w:bCs/>
                      <w:kern w:val="0"/>
                      <w:sz w:val="22"/>
                      <w:highlight w:val="none"/>
                    </w:rPr>
                    <w:t>一级性能参数指标</w:t>
                  </w:r>
                </w:p>
              </w:tc>
              <w:tc>
                <w:tcPr>
                  <w:tcW w:w="1500" w:type="dxa"/>
                  <w:tcBorders>
                    <w:top w:val="single" w:color="000000" w:sz="4" w:space="0"/>
                    <w:left w:val="nil"/>
                    <w:bottom w:val="single" w:color="000000" w:sz="4" w:space="0"/>
                    <w:right w:val="single" w:color="000000" w:sz="4" w:space="0"/>
                  </w:tcBorders>
                  <w:vAlign w:val="center"/>
                </w:tcPr>
                <w:p w14:paraId="6C31292B">
                  <w:pPr>
                    <w:widowControl/>
                    <w:jc w:val="left"/>
                    <w:rPr>
                      <w:rFonts w:ascii="宋体" w:hAnsi="宋体" w:eastAsia="仿宋" w:cs="宋体"/>
                      <w:b/>
                      <w:bCs/>
                      <w:kern w:val="0"/>
                      <w:sz w:val="22"/>
                      <w:highlight w:val="none"/>
                    </w:rPr>
                  </w:pPr>
                  <w:r>
                    <w:rPr>
                      <w:rFonts w:hint="eastAsia" w:ascii="宋体" w:hAnsi="宋体" w:eastAsia="仿宋" w:cs="宋体"/>
                      <w:b/>
                      <w:bCs/>
                      <w:kern w:val="0"/>
                      <w:sz w:val="22"/>
                      <w:highlight w:val="none"/>
                    </w:rPr>
                    <w:t>二级性能参数指标</w:t>
                  </w:r>
                </w:p>
              </w:tc>
              <w:tc>
                <w:tcPr>
                  <w:tcW w:w="4465" w:type="dxa"/>
                  <w:tcBorders>
                    <w:top w:val="single" w:color="000000" w:sz="4" w:space="0"/>
                    <w:left w:val="nil"/>
                    <w:bottom w:val="single" w:color="000000" w:sz="4" w:space="0"/>
                    <w:right w:val="single" w:color="000000" w:sz="4" w:space="0"/>
                  </w:tcBorders>
                  <w:vAlign w:val="center"/>
                </w:tcPr>
                <w:p w14:paraId="549C8B65">
                  <w:pPr>
                    <w:widowControl/>
                    <w:jc w:val="left"/>
                    <w:rPr>
                      <w:rFonts w:ascii="宋体" w:hAnsi="宋体" w:eastAsia="仿宋" w:cs="宋体"/>
                      <w:b/>
                      <w:bCs/>
                      <w:kern w:val="0"/>
                      <w:sz w:val="22"/>
                      <w:highlight w:val="none"/>
                    </w:rPr>
                  </w:pPr>
                  <w:r>
                    <w:rPr>
                      <w:rFonts w:hint="eastAsia" w:ascii="宋体" w:hAnsi="宋体" w:eastAsia="仿宋" w:cs="宋体"/>
                      <w:b/>
                      <w:bCs/>
                      <w:kern w:val="0"/>
                      <w:sz w:val="22"/>
                      <w:highlight w:val="none"/>
                    </w:rPr>
                    <w:t>详细参数配置要求</w:t>
                  </w:r>
                </w:p>
              </w:tc>
            </w:tr>
            <w:tr w14:paraId="1FD3B50B">
              <w:tblPrEx>
                <w:tblCellMar>
                  <w:top w:w="0" w:type="dxa"/>
                  <w:left w:w="108" w:type="dxa"/>
                  <w:bottom w:w="0" w:type="dxa"/>
                  <w:right w:w="108" w:type="dxa"/>
                </w:tblCellMar>
              </w:tblPrEx>
              <w:trPr>
                <w:trHeight w:val="2480" w:hRule="atLeast"/>
              </w:trPr>
              <w:tc>
                <w:tcPr>
                  <w:tcW w:w="596" w:type="dxa"/>
                  <w:tcBorders>
                    <w:top w:val="nil"/>
                    <w:left w:val="single" w:color="000000" w:sz="4" w:space="0"/>
                    <w:bottom w:val="single" w:color="000000" w:sz="4" w:space="0"/>
                    <w:right w:val="nil"/>
                  </w:tcBorders>
                  <w:vAlign w:val="center"/>
                </w:tcPr>
                <w:p w14:paraId="79B9E00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077" w:type="dxa"/>
                  <w:tcBorders>
                    <w:top w:val="nil"/>
                    <w:left w:val="single" w:color="000000" w:sz="4" w:space="0"/>
                    <w:bottom w:val="single" w:color="000000" w:sz="4" w:space="0"/>
                    <w:right w:val="single" w:color="000000" w:sz="4" w:space="0"/>
                  </w:tcBorders>
                  <w:vAlign w:val="center"/>
                </w:tcPr>
                <w:p w14:paraId="3D9FF22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500" w:type="dxa"/>
                  <w:tcBorders>
                    <w:top w:val="nil"/>
                    <w:left w:val="nil"/>
                    <w:bottom w:val="single" w:color="000000" w:sz="4" w:space="0"/>
                    <w:right w:val="single" w:color="000000" w:sz="4" w:space="0"/>
                  </w:tcBorders>
                  <w:vAlign w:val="center"/>
                </w:tcPr>
                <w:p w14:paraId="1536064A">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465" w:type="dxa"/>
                  <w:tcBorders>
                    <w:top w:val="nil"/>
                    <w:left w:val="nil"/>
                    <w:bottom w:val="single" w:color="000000" w:sz="4" w:space="0"/>
                    <w:right w:val="single" w:color="000000" w:sz="4" w:space="0"/>
                  </w:tcBorders>
                  <w:vAlign w:val="center"/>
                </w:tcPr>
                <w:p w14:paraId="0B3A163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（2）单颗CPU物理核心数≥16核、主频≥2.5GHz、末级缓存容量≥32MB、线程数≥32、热设计功耗≥135W、支持内存的最高速率≥3200MHz、通道数≥4、位宽≥64位；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692B3481">
              <w:tblPrEx>
                <w:tblCellMar>
                  <w:top w:w="0" w:type="dxa"/>
                  <w:left w:w="108" w:type="dxa"/>
                  <w:bottom w:w="0" w:type="dxa"/>
                  <w:right w:w="108" w:type="dxa"/>
                </w:tblCellMar>
              </w:tblPrEx>
              <w:trPr>
                <w:trHeight w:val="1240" w:hRule="atLeast"/>
              </w:trPr>
              <w:tc>
                <w:tcPr>
                  <w:tcW w:w="596" w:type="dxa"/>
                  <w:tcBorders>
                    <w:top w:val="nil"/>
                    <w:left w:val="single" w:color="000000" w:sz="4" w:space="0"/>
                    <w:bottom w:val="single" w:color="000000" w:sz="4" w:space="0"/>
                    <w:right w:val="nil"/>
                  </w:tcBorders>
                  <w:vAlign w:val="center"/>
                </w:tcPr>
                <w:p w14:paraId="35C55AB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077" w:type="dxa"/>
                  <w:vMerge w:val="restart"/>
                  <w:tcBorders>
                    <w:top w:val="nil"/>
                    <w:left w:val="single" w:color="000000" w:sz="4" w:space="0"/>
                    <w:bottom w:val="single" w:color="000000" w:sz="4" w:space="0"/>
                    <w:right w:val="single" w:color="000000" w:sz="4" w:space="0"/>
                  </w:tcBorders>
                  <w:vAlign w:val="center"/>
                </w:tcPr>
                <w:p w14:paraId="17E664C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500" w:type="dxa"/>
                  <w:tcBorders>
                    <w:top w:val="nil"/>
                    <w:left w:val="nil"/>
                    <w:bottom w:val="single" w:color="000000" w:sz="4" w:space="0"/>
                    <w:right w:val="single" w:color="000000" w:sz="4" w:space="0"/>
                  </w:tcBorders>
                  <w:vAlign w:val="center"/>
                </w:tcPr>
                <w:p w14:paraId="4F9A2CA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465" w:type="dxa"/>
                  <w:tcBorders>
                    <w:top w:val="nil"/>
                    <w:left w:val="nil"/>
                    <w:bottom w:val="single" w:color="000000" w:sz="4" w:space="0"/>
                    <w:right w:val="single" w:color="000000" w:sz="4" w:space="0"/>
                  </w:tcBorders>
                  <w:vAlign w:val="center"/>
                </w:tcPr>
                <w:p w14:paraId="396BB41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20529F9A">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0111E20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077" w:type="dxa"/>
                  <w:vMerge w:val="continue"/>
                  <w:tcBorders>
                    <w:top w:val="nil"/>
                    <w:left w:val="single" w:color="000000" w:sz="4" w:space="0"/>
                    <w:bottom w:val="single" w:color="000000" w:sz="4" w:space="0"/>
                    <w:right w:val="single" w:color="000000" w:sz="4" w:space="0"/>
                  </w:tcBorders>
                  <w:vAlign w:val="center"/>
                </w:tcPr>
                <w:p w14:paraId="0726300D">
                  <w:pPr>
                    <w:rPr>
                      <w:highlight w:val="none"/>
                    </w:rPr>
                  </w:pPr>
                </w:p>
              </w:tc>
              <w:tc>
                <w:tcPr>
                  <w:tcW w:w="1500" w:type="dxa"/>
                  <w:tcBorders>
                    <w:top w:val="nil"/>
                    <w:left w:val="nil"/>
                    <w:bottom w:val="single" w:color="000000" w:sz="4" w:space="0"/>
                    <w:right w:val="single" w:color="000000" w:sz="4" w:space="0"/>
                  </w:tcBorders>
                  <w:vAlign w:val="center"/>
                </w:tcPr>
                <w:p w14:paraId="7E8F26BB">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465" w:type="dxa"/>
                  <w:tcBorders>
                    <w:top w:val="nil"/>
                    <w:left w:val="nil"/>
                    <w:bottom w:val="single" w:color="000000" w:sz="4" w:space="0"/>
                    <w:right w:val="single" w:color="000000" w:sz="4" w:space="0"/>
                  </w:tcBorders>
                  <w:vAlign w:val="center"/>
                </w:tcPr>
                <w:p w14:paraId="2AD873D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008CB010">
              <w:tblPrEx>
                <w:tblCellMar>
                  <w:top w:w="0" w:type="dxa"/>
                  <w:left w:w="108" w:type="dxa"/>
                  <w:bottom w:w="0" w:type="dxa"/>
                  <w:right w:w="108" w:type="dxa"/>
                </w:tblCellMar>
              </w:tblPrEx>
              <w:trPr>
                <w:trHeight w:val="1240" w:hRule="atLeast"/>
              </w:trPr>
              <w:tc>
                <w:tcPr>
                  <w:tcW w:w="596" w:type="dxa"/>
                  <w:tcBorders>
                    <w:top w:val="nil"/>
                    <w:left w:val="single" w:color="000000" w:sz="4" w:space="0"/>
                    <w:bottom w:val="single" w:color="000000" w:sz="4" w:space="0"/>
                    <w:right w:val="nil"/>
                  </w:tcBorders>
                  <w:vAlign w:val="center"/>
                </w:tcPr>
                <w:p w14:paraId="13313B2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077" w:type="dxa"/>
                  <w:vMerge w:val="continue"/>
                  <w:tcBorders>
                    <w:top w:val="nil"/>
                    <w:left w:val="single" w:color="000000" w:sz="4" w:space="0"/>
                    <w:bottom w:val="single" w:color="000000" w:sz="4" w:space="0"/>
                    <w:right w:val="single" w:color="000000" w:sz="4" w:space="0"/>
                  </w:tcBorders>
                  <w:vAlign w:val="center"/>
                </w:tcPr>
                <w:p w14:paraId="5016D15A">
                  <w:pPr>
                    <w:rPr>
                      <w:highlight w:val="none"/>
                    </w:rPr>
                  </w:pPr>
                </w:p>
              </w:tc>
              <w:tc>
                <w:tcPr>
                  <w:tcW w:w="1500" w:type="dxa"/>
                  <w:tcBorders>
                    <w:top w:val="nil"/>
                    <w:left w:val="nil"/>
                    <w:bottom w:val="single" w:color="000000" w:sz="4" w:space="0"/>
                    <w:right w:val="single" w:color="000000" w:sz="4" w:space="0"/>
                  </w:tcBorders>
                  <w:vAlign w:val="center"/>
                </w:tcPr>
                <w:p w14:paraId="6C0AFB9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465" w:type="dxa"/>
                  <w:tcBorders>
                    <w:top w:val="nil"/>
                    <w:left w:val="nil"/>
                    <w:bottom w:val="single" w:color="000000" w:sz="4" w:space="0"/>
                    <w:right w:val="single" w:color="000000" w:sz="4" w:space="0"/>
                  </w:tcBorders>
                  <w:vAlign w:val="center"/>
                </w:tcPr>
                <w:p w14:paraId="107E45C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（2）板载支持≥12个SATA/SAS盘；</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7ECE589C">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9CA925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077" w:type="dxa"/>
                  <w:vMerge w:val="continue"/>
                  <w:tcBorders>
                    <w:top w:val="nil"/>
                    <w:left w:val="single" w:color="000000" w:sz="4" w:space="0"/>
                    <w:bottom w:val="single" w:color="000000" w:sz="4" w:space="0"/>
                    <w:right w:val="single" w:color="000000" w:sz="4" w:space="0"/>
                  </w:tcBorders>
                  <w:vAlign w:val="center"/>
                </w:tcPr>
                <w:p w14:paraId="03790A7A">
                  <w:pPr>
                    <w:rPr>
                      <w:highlight w:val="none"/>
                    </w:rPr>
                  </w:pPr>
                </w:p>
              </w:tc>
              <w:tc>
                <w:tcPr>
                  <w:tcW w:w="1500" w:type="dxa"/>
                  <w:tcBorders>
                    <w:top w:val="nil"/>
                    <w:left w:val="nil"/>
                    <w:bottom w:val="single" w:color="000000" w:sz="4" w:space="0"/>
                    <w:right w:val="single" w:color="000000" w:sz="4" w:space="0"/>
                  </w:tcBorders>
                  <w:vAlign w:val="center"/>
                </w:tcPr>
                <w:p w14:paraId="0BB1A14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465" w:type="dxa"/>
                  <w:tcBorders>
                    <w:top w:val="nil"/>
                    <w:left w:val="nil"/>
                    <w:bottom w:val="single" w:color="000000" w:sz="4" w:space="0"/>
                    <w:right w:val="single" w:color="000000" w:sz="4" w:space="0"/>
                  </w:tcBorders>
                  <w:vAlign w:val="center"/>
                </w:tcPr>
                <w:p w14:paraId="7A4D431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7B47709E">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0DF500B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077" w:type="dxa"/>
                  <w:vMerge w:val="continue"/>
                  <w:tcBorders>
                    <w:top w:val="nil"/>
                    <w:left w:val="single" w:color="000000" w:sz="4" w:space="0"/>
                    <w:bottom w:val="single" w:color="000000" w:sz="4" w:space="0"/>
                    <w:right w:val="single" w:color="000000" w:sz="4" w:space="0"/>
                  </w:tcBorders>
                  <w:vAlign w:val="center"/>
                </w:tcPr>
                <w:p w14:paraId="3FAE4118">
                  <w:pPr>
                    <w:rPr>
                      <w:highlight w:val="none"/>
                    </w:rPr>
                  </w:pPr>
                </w:p>
              </w:tc>
              <w:tc>
                <w:tcPr>
                  <w:tcW w:w="1500" w:type="dxa"/>
                  <w:tcBorders>
                    <w:top w:val="nil"/>
                    <w:left w:val="nil"/>
                    <w:bottom w:val="single" w:color="000000" w:sz="4" w:space="0"/>
                    <w:right w:val="single" w:color="000000" w:sz="4" w:space="0"/>
                  </w:tcBorders>
                  <w:vAlign w:val="center"/>
                </w:tcPr>
                <w:p w14:paraId="2D2AF2E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465" w:type="dxa"/>
                  <w:tcBorders>
                    <w:top w:val="nil"/>
                    <w:left w:val="nil"/>
                    <w:bottom w:val="single" w:color="000000" w:sz="4" w:space="0"/>
                    <w:right w:val="single" w:color="000000" w:sz="4" w:space="0"/>
                  </w:tcBorders>
                  <w:vAlign w:val="center"/>
                </w:tcPr>
                <w:p w14:paraId="7A4257D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55D495C3">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4DBC23C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077" w:type="dxa"/>
                  <w:vMerge w:val="restart"/>
                  <w:tcBorders>
                    <w:top w:val="nil"/>
                    <w:left w:val="single" w:color="000000" w:sz="4" w:space="0"/>
                    <w:bottom w:val="single" w:color="000000" w:sz="4" w:space="0"/>
                    <w:right w:val="single" w:color="000000" w:sz="4" w:space="0"/>
                  </w:tcBorders>
                  <w:vAlign w:val="center"/>
                </w:tcPr>
                <w:p w14:paraId="123ED10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500" w:type="dxa"/>
                  <w:tcBorders>
                    <w:top w:val="nil"/>
                    <w:left w:val="nil"/>
                    <w:bottom w:val="single" w:color="000000" w:sz="4" w:space="0"/>
                    <w:right w:val="single" w:color="000000" w:sz="4" w:space="0"/>
                  </w:tcBorders>
                  <w:vAlign w:val="center"/>
                </w:tcPr>
                <w:p w14:paraId="089FDA7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465" w:type="dxa"/>
                  <w:tcBorders>
                    <w:top w:val="nil"/>
                    <w:left w:val="nil"/>
                    <w:bottom w:val="single" w:color="000000" w:sz="4" w:space="0"/>
                    <w:right w:val="single" w:color="000000" w:sz="4" w:space="0"/>
                  </w:tcBorders>
                  <w:vAlign w:val="center"/>
                </w:tcPr>
                <w:p w14:paraId="469D589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内存数量≥8</w:t>
                  </w:r>
                </w:p>
              </w:tc>
            </w:tr>
            <w:tr w14:paraId="5A75D975">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0DA452D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077" w:type="dxa"/>
                  <w:vMerge w:val="continue"/>
                  <w:tcBorders>
                    <w:top w:val="nil"/>
                    <w:left w:val="single" w:color="000000" w:sz="4" w:space="0"/>
                    <w:bottom w:val="single" w:color="000000" w:sz="4" w:space="0"/>
                    <w:right w:val="single" w:color="000000" w:sz="4" w:space="0"/>
                  </w:tcBorders>
                  <w:vAlign w:val="center"/>
                </w:tcPr>
                <w:p w14:paraId="77B4B938">
                  <w:pPr>
                    <w:rPr>
                      <w:highlight w:val="none"/>
                    </w:rPr>
                  </w:pPr>
                </w:p>
              </w:tc>
              <w:tc>
                <w:tcPr>
                  <w:tcW w:w="1500" w:type="dxa"/>
                  <w:tcBorders>
                    <w:top w:val="nil"/>
                    <w:left w:val="nil"/>
                    <w:bottom w:val="single" w:color="000000" w:sz="4" w:space="0"/>
                    <w:right w:val="single" w:color="000000" w:sz="4" w:space="0"/>
                  </w:tcBorders>
                  <w:vAlign w:val="center"/>
                </w:tcPr>
                <w:p w14:paraId="10A1384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465" w:type="dxa"/>
                  <w:tcBorders>
                    <w:top w:val="nil"/>
                    <w:left w:val="nil"/>
                    <w:bottom w:val="single" w:color="000000" w:sz="4" w:space="0"/>
                    <w:right w:val="single" w:color="000000" w:sz="4" w:space="0"/>
                  </w:tcBorders>
                  <w:vAlign w:val="center"/>
                </w:tcPr>
                <w:p w14:paraId="34B506A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1C9ED796">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179165D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077" w:type="dxa"/>
                  <w:vMerge w:val="continue"/>
                  <w:tcBorders>
                    <w:top w:val="nil"/>
                    <w:left w:val="single" w:color="000000" w:sz="4" w:space="0"/>
                    <w:bottom w:val="single" w:color="000000" w:sz="4" w:space="0"/>
                    <w:right w:val="single" w:color="000000" w:sz="4" w:space="0"/>
                  </w:tcBorders>
                  <w:vAlign w:val="center"/>
                </w:tcPr>
                <w:p w14:paraId="5493372D">
                  <w:pPr>
                    <w:rPr>
                      <w:highlight w:val="none"/>
                    </w:rPr>
                  </w:pPr>
                </w:p>
              </w:tc>
              <w:tc>
                <w:tcPr>
                  <w:tcW w:w="1500" w:type="dxa"/>
                  <w:tcBorders>
                    <w:top w:val="nil"/>
                    <w:left w:val="nil"/>
                    <w:bottom w:val="single" w:color="000000" w:sz="4" w:space="0"/>
                    <w:right w:val="single" w:color="000000" w:sz="4" w:space="0"/>
                  </w:tcBorders>
                  <w:vAlign w:val="center"/>
                </w:tcPr>
                <w:p w14:paraId="702F2B8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465" w:type="dxa"/>
                  <w:tcBorders>
                    <w:top w:val="nil"/>
                    <w:left w:val="nil"/>
                    <w:bottom w:val="single" w:color="000000" w:sz="4" w:space="0"/>
                    <w:right w:val="single" w:color="000000" w:sz="4" w:space="0"/>
                  </w:tcBorders>
                  <w:vAlign w:val="center"/>
                </w:tcPr>
                <w:p w14:paraId="7B83D3A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72FAAFD7">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E5F3E1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077" w:type="dxa"/>
                  <w:vMerge w:val="restart"/>
                  <w:tcBorders>
                    <w:top w:val="nil"/>
                    <w:left w:val="single" w:color="000000" w:sz="4" w:space="0"/>
                    <w:bottom w:val="single" w:color="000000" w:sz="4" w:space="0"/>
                    <w:right w:val="single" w:color="000000" w:sz="4" w:space="0"/>
                  </w:tcBorders>
                  <w:vAlign w:val="center"/>
                </w:tcPr>
                <w:p w14:paraId="222957F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500" w:type="dxa"/>
                  <w:tcBorders>
                    <w:top w:val="nil"/>
                    <w:left w:val="nil"/>
                    <w:bottom w:val="single" w:color="000000" w:sz="4" w:space="0"/>
                    <w:right w:val="single" w:color="000000" w:sz="4" w:space="0"/>
                  </w:tcBorders>
                  <w:vAlign w:val="center"/>
                </w:tcPr>
                <w:p w14:paraId="5D7198F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465" w:type="dxa"/>
                  <w:tcBorders>
                    <w:top w:val="nil"/>
                    <w:left w:val="nil"/>
                    <w:bottom w:val="single" w:color="000000" w:sz="4" w:space="0"/>
                    <w:right w:val="single" w:color="000000" w:sz="4" w:space="0"/>
                  </w:tcBorders>
                  <w:vAlign w:val="center"/>
                </w:tcPr>
                <w:p w14:paraId="04DE768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实配≥2块480G SATA企业级SSD；≥2块4TB SATA 7200RPM 3.5寸企业级硬盘</w:t>
                  </w:r>
                </w:p>
              </w:tc>
            </w:tr>
            <w:tr w14:paraId="159DE19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66C009C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077" w:type="dxa"/>
                  <w:vMerge w:val="continue"/>
                  <w:tcBorders>
                    <w:top w:val="nil"/>
                    <w:left w:val="single" w:color="000000" w:sz="4" w:space="0"/>
                    <w:bottom w:val="single" w:color="000000" w:sz="4" w:space="0"/>
                    <w:right w:val="single" w:color="000000" w:sz="4" w:space="0"/>
                  </w:tcBorders>
                  <w:vAlign w:val="center"/>
                </w:tcPr>
                <w:p w14:paraId="23215FFE">
                  <w:pPr>
                    <w:rPr>
                      <w:highlight w:val="none"/>
                    </w:rPr>
                  </w:pPr>
                </w:p>
              </w:tc>
              <w:tc>
                <w:tcPr>
                  <w:tcW w:w="1500" w:type="dxa"/>
                  <w:tcBorders>
                    <w:top w:val="nil"/>
                    <w:left w:val="nil"/>
                    <w:bottom w:val="single" w:color="000000" w:sz="4" w:space="0"/>
                    <w:right w:val="single" w:color="000000" w:sz="4" w:space="0"/>
                  </w:tcBorders>
                  <w:vAlign w:val="center"/>
                </w:tcPr>
                <w:p w14:paraId="2B914A43">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465" w:type="dxa"/>
                  <w:tcBorders>
                    <w:top w:val="nil"/>
                    <w:left w:val="nil"/>
                    <w:bottom w:val="single" w:color="000000" w:sz="4" w:space="0"/>
                    <w:right w:val="single" w:color="000000" w:sz="4" w:space="0"/>
                  </w:tcBorders>
                  <w:vAlign w:val="center"/>
                </w:tcPr>
                <w:p w14:paraId="03A8DBE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实配≥2块SATA企业级SSD；≥2块SATA 7200RPM 3.5寸企业级硬盘</w:t>
                  </w:r>
                </w:p>
              </w:tc>
            </w:tr>
            <w:tr w14:paraId="390AC595">
              <w:tblPrEx>
                <w:tblCellMar>
                  <w:top w:w="0" w:type="dxa"/>
                  <w:left w:w="108" w:type="dxa"/>
                  <w:bottom w:w="0" w:type="dxa"/>
                  <w:right w:w="108" w:type="dxa"/>
                </w:tblCellMar>
              </w:tblPrEx>
              <w:trPr>
                <w:trHeight w:val="1550" w:hRule="atLeast"/>
              </w:trPr>
              <w:tc>
                <w:tcPr>
                  <w:tcW w:w="596" w:type="dxa"/>
                  <w:tcBorders>
                    <w:top w:val="nil"/>
                    <w:left w:val="single" w:color="000000" w:sz="4" w:space="0"/>
                    <w:bottom w:val="single" w:color="000000" w:sz="4" w:space="0"/>
                    <w:right w:val="nil"/>
                  </w:tcBorders>
                  <w:vAlign w:val="center"/>
                </w:tcPr>
                <w:p w14:paraId="225D5CE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077" w:type="dxa"/>
                  <w:vMerge w:val="continue"/>
                  <w:tcBorders>
                    <w:top w:val="nil"/>
                    <w:left w:val="single" w:color="000000" w:sz="4" w:space="0"/>
                    <w:bottom w:val="single" w:color="000000" w:sz="4" w:space="0"/>
                    <w:right w:val="single" w:color="000000" w:sz="4" w:space="0"/>
                  </w:tcBorders>
                  <w:vAlign w:val="center"/>
                </w:tcPr>
                <w:p w14:paraId="0CFEC0B7">
                  <w:pPr>
                    <w:rPr>
                      <w:highlight w:val="none"/>
                    </w:rPr>
                  </w:pPr>
                </w:p>
              </w:tc>
              <w:tc>
                <w:tcPr>
                  <w:tcW w:w="1500" w:type="dxa"/>
                  <w:tcBorders>
                    <w:top w:val="nil"/>
                    <w:left w:val="nil"/>
                    <w:bottom w:val="single" w:color="000000" w:sz="4" w:space="0"/>
                    <w:right w:val="single" w:color="000000" w:sz="4" w:space="0"/>
                  </w:tcBorders>
                  <w:vAlign w:val="center"/>
                </w:tcPr>
                <w:p w14:paraId="7F93DC3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465" w:type="dxa"/>
                  <w:tcBorders>
                    <w:top w:val="nil"/>
                    <w:left w:val="nil"/>
                    <w:bottom w:val="single" w:color="000000" w:sz="4" w:space="0"/>
                    <w:right w:val="single" w:color="000000" w:sz="4" w:space="0"/>
                  </w:tcBorders>
                  <w:vAlign w:val="center"/>
                </w:tcPr>
                <w:p w14:paraId="1AB47E4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41A098B3">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326366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077" w:type="dxa"/>
                  <w:tcBorders>
                    <w:top w:val="nil"/>
                    <w:left w:val="single" w:color="000000" w:sz="4" w:space="0"/>
                    <w:bottom w:val="single" w:color="000000" w:sz="4" w:space="0"/>
                    <w:right w:val="single" w:color="000000" w:sz="4" w:space="0"/>
                  </w:tcBorders>
                  <w:vAlign w:val="center"/>
                </w:tcPr>
                <w:p w14:paraId="6C30863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500" w:type="dxa"/>
                  <w:tcBorders>
                    <w:top w:val="nil"/>
                    <w:left w:val="nil"/>
                    <w:bottom w:val="single" w:color="000000" w:sz="4" w:space="0"/>
                    <w:right w:val="single" w:color="000000" w:sz="4" w:space="0"/>
                  </w:tcBorders>
                  <w:vAlign w:val="center"/>
                </w:tcPr>
                <w:p w14:paraId="6CB8477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465" w:type="dxa"/>
                  <w:tcBorders>
                    <w:top w:val="nil"/>
                    <w:left w:val="nil"/>
                    <w:bottom w:val="single" w:color="000000" w:sz="4" w:space="0"/>
                    <w:right w:val="single" w:color="000000" w:sz="4" w:space="0"/>
                  </w:tcBorders>
                  <w:vAlign w:val="center"/>
                </w:tcPr>
                <w:p w14:paraId="5C8BBB3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≥1块双电口千兆网卡，≥1块双光口万兆网卡（含光模块）</w:t>
                  </w:r>
                </w:p>
              </w:tc>
            </w:tr>
            <w:tr w14:paraId="6D48DAE3">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1A8A05A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077" w:type="dxa"/>
                  <w:vMerge w:val="restart"/>
                  <w:tcBorders>
                    <w:top w:val="nil"/>
                    <w:left w:val="single" w:color="000000" w:sz="4" w:space="0"/>
                    <w:bottom w:val="single" w:color="000000" w:sz="4" w:space="0"/>
                    <w:right w:val="single" w:color="000000" w:sz="4" w:space="0"/>
                  </w:tcBorders>
                  <w:vAlign w:val="center"/>
                </w:tcPr>
                <w:p w14:paraId="6CD5FF89">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500" w:type="dxa"/>
                  <w:tcBorders>
                    <w:top w:val="nil"/>
                    <w:left w:val="nil"/>
                    <w:bottom w:val="single" w:color="000000" w:sz="4" w:space="0"/>
                    <w:right w:val="single" w:color="000000" w:sz="4" w:space="0"/>
                  </w:tcBorders>
                  <w:vAlign w:val="center"/>
                </w:tcPr>
                <w:p w14:paraId="36687AF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465" w:type="dxa"/>
                  <w:tcBorders>
                    <w:top w:val="nil"/>
                    <w:left w:val="nil"/>
                    <w:bottom w:val="single" w:color="000000" w:sz="4" w:space="0"/>
                    <w:right w:val="single" w:color="000000" w:sz="4" w:space="0"/>
                  </w:tcBorders>
                  <w:vAlign w:val="center"/>
                </w:tcPr>
                <w:p w14:paraId="6F47F8F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69C52171">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0E63A1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077" w:type="dxa"/>
                  <w:vMerge w:val="continue"/>
                  <w:tcBorders>
                    <w:top w:val="nil"/>
                    <w:left w:val="single" w:color="000000" w:sz="4" w:space="0"/>
                    <w:bottom w:val="single" w:color="000000" w:sz="4" w:space="0"/>
                    <w:right w:val="single" w:color="000000" w:sz="4" w:space="0"/>
                  </w:tcBorders>
                  <w:vAlign w:val="center"/>
                </w:tcPr>
                <w:p w14:paraId="04FCC133">
                  <w:pPr>
                    <w:rPr>
                      <w:highlight w:val="none"/>
                    </w:rPr>
                  </w:pPr>
                </w:p>
              </w:tc>
              <w:tc>
                <w:tcPr>
                  <w:tcW w:w="1500" w:type="dxa"/>
                  <w:tcBorders>
                    <w:top w:val="nil"/>
                    <w:left w:val="nil"/>
                    <w:bottom w:val="single" w:color="000000" w:sz="4" w:space="0"/>
                    <w:right w:val="single" w:color="000000" w:sz="4" w:space="0"/>
                  </w:tcBorders>
                  <w:vAlign w:val="center"/>
                </w:tcPr>
                <w:p w14:paraId="155823C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465" w:type="dxa"/>
                  <w:tcBorders>
                    <w:top w:val="nil"/>
                    <w:left w:val="nil"/>
                    <w:bottom w:val="single" w:color="000000" w:sz="4" w:space="0"/>
                    <w:right w:val="single" w:color="000000" w:sz="4" w:space="0"/>
                  </w:tcBorders>
                  <w:vAlign w:val="center"/>
                </w:tcPr>
                <w:p w14:paraId="784CB25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配置≥4个USB 3.0接口，2个位于机箱后部，2个位于机箱前部。</w:t>
                  </w:r>
                </w:p>
              </w:tc>
            </w:tr>
            <w:tr w14:paraId="2411351E">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04ADDAD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077" w:type="dxa"/>
                  <w:vMerge w:val="restart"/>
                  <w:tcBorders>
                    <w:top w:val="nil"/>
                    <w:left w:val="single" w:color="000000" w:sz="4" w:space="0"/>
                    <w:bottom w:val="single" w:color="000000" w:sz="4" w:space="0"/>
                    <w:right w:val="single" w:color="000000" w:sz="4" w:space="0"/>
                  </w:tcBorders>
                  <w:vAlign w:val="center"/>
                </w:tcPr>
                <w:p w14:paraId="04588203">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500" w:type="dxa"/>
                  <w:tcBorders>
                    <w:top w:val="nil"/>
                    <w:left w:val="nil"/>
                    <w:bottom w:val="single" w:color="000000" w:sz="4" w:space="0"/>
                    <w:right w:val="single" w:color="000000" w:sz="4" w:space="0"/>
                  </w:tcBorders>
                  <w:vAlign w:val="center"/>
                </w:tcPr>
                <w:p w14:paraId="55AD53BB">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465" w:type="dxa"/>
                  <w:tcBorders>
                    <w:top w:val="nil"/>
                    <w:left w:val="nil"/>
                    <w:bottom w:val="single" w:color="000000" w:sz="4" w:space="0"/>
                    <w:right w:val="single" w:color="000000" w:sz="4" w:space="0"/>
                  </w:tcBorders>
                  <w:vAlign w:val="center"/>
                </w:tcPr>
                <w:p w14:paraId="17DA66C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5500B3D0">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28087B6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077" w:type="dxa"/>
                  <w:vMerge w:val="continue"/>
                  <w:tcBorders>
                    <w:top w:val="nil"/>
                    <w:left w:val="single" w:color="000000" w:sz="4" w:space="0"/>
                    <w:bottom w:val="single" w:color="000000" w:sz="4" w:space="0"/>
                    <w:right w:val="single" w:color="000000" w:sz="4" w:space="0"/>
                  </w:tcBorders>
                  <w:vAlign w:val="center"/>
                </w:tcPr>
                <w:p w14:paraId="774323E7">
                  <w:pPr>
                    <w:rPr>
                      <w:highlight w:val="none"/>
                    </w:rPr>
                  </w:pPr>
                </w:p>
              </w:tc>
              <w:tc>
                <w:tcPr>
                  <w:tcW w:w="1500" w:type="dxa"/>
                  <w:tcBorders>
                    <w:top w:val="nil"/>
                    <w:left w:val="nil"/>
                    <w:bottom w:val="single" w:color="000000" w:sz="4" w:space="0"/>
                    <w:right w:val="single" w:color="000000" w:sz="4" w:space="0"/>
                  </w:tcBorders>
                  <w:vAlign w:val="center"/>
                </w:tcPr>
                <w:p w14:paraId="1704E72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465" w:type="dxa"/>
                  <w:tcBorders>
                    <w:top w:val="nil"/>
                    <w:left w:val="nil"/>
                    <w:bottom w:val="single" w:color="000000" w:sz="4" w:space="0"/>
                    <w:right w:val="single" w:color="000000" w:sz="4" w:space="0"/>
                  </w:tcBorders>
                  <w:vAlign w:val="center"/>
                </w:tcPr>
                <w:p w14:paraId="3AF1C53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2D4BE111">
              <w:tblPrEx>
                <w:tblCellMar>
                  <w:top w:w="0" w:type="dxa"/>
                  <w:left w:w="108" w:type="dxa"/>
                  <w:bottom w:w="0" w:type="dxa"/>
                  <w:right w:w="108" w:type="dxa"/>
                </w:tblCellMar>
              </w:tblPrEx>
              <w:trPr>
                <w:trHeight w:val="403" w:hRule="atLeast"/>
              </w:trPr>
              <w:tc>
                <w:tcPr>
                  <w:tcW w:w="596" w:type="dxa"/>
                  <w:tcBorders>
                    <w:top w:val="nil"/>
                    <w:left w:val="single" w:color="000000" w:sz="4" w:space="0"/>
                    <w:bottom w:val="single" w:color="000000" w:sz="4" w:space="0"/>
                    <w:right w:val="nil"/>
                  </w:tcBorders>
                  <w:vAlign w:val="center"/>
                </w:tcPr>
                <w:p w14:paraId="74D638C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077" w:type="dxa"/>
                  <w:vMerge w:val="restart"/>
                  <w:tcBorders>
                    <w:top w:val="nil"/>
                    <w:left w:val="single" w:color="000000" w:sz="4" w:space="0"/>
                    <w:bottom w:val="single" w:color="000000" w:sz="4" w:space="0"/>
                    <w:right w:val="single" w:color="000000" w:sz="4" w:space="0"/>
                  </w:tcBorders>
                  <w:vAlign w:val="center"/>
                </w:tcPr>
                <w:p w14:paraId="77F9A7D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500" w:type="dxa"/>
                  <w:tcBorders>
                    <w:top w:val="nil"/>
                    <w:left w:val="nil"/>
                    <w:bottom w:val="single" w:color="000000" w:sz="4" w:space="0"/>
                    <w:right w:val="single" w:color="000000" w:sz="4" w:space="0"/>
                  </w:tcBorders>
                  <w:vAlign w:val="center"/>
                </w:tcPr>
                <w:p w14:paraId="1A8497E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465" w:type="dxa"/>
                  <w:tcBorders>
                    <w:top w:val="nil"/>
                    <w:left w:val="nil"/>
                    <w:bottom w:val="single" w:color="000000" w:sz="4" w:space="0"/>
                    <w:right w:val="single" w:color="000000" w:sz="4" w:space="0"/>
                  </w:tcBorders>
                  <w:vAlign w:val="center"/>
                </w:tcPr>
                <w:p w14:paraId="78CA09A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64B4BF33">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866295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077" w:type="dxa"/>
                  <w:vMerge w:val="continue"/>
                  <w:tcBorders>
                    <w:top w:val="nil"/>
                    <w:left w:val="single" w:color="000000" w:sz="4" w:space="0"/>
                    <w:bottom w:val="single" w:color="000000" w:sz="4" w:space="0"/>
                    <w:right w:val="single" w:color="000000" w:sz="4" w:space="0"/>
                  </w:tcBorders>
                  <w:vAlign w:val="center"/>
                </w:tcPr>
                <w:p w14:paraId="457D4D71">
                  <w:pPr>
                    <w:rPr>
                      <w:highlight w:val="none"/>
                    </w:rPr>
                  </w:pPr>
                </w:p>
              </w:tc>
              <w:tc>
                <w:tcPr>
                  <w:tcW w:w="1500" w:type="dxa"/>
                  <w:tcBorders>
                    <w:top w:val="nil"/>
                    <w:left w:val="nil"/>
                    <w:bottom w:val="single" w:color="000000" w:sz="4" w:space="0"/>
                    <w:right w:val="single" w:color="000000" w:sz="4" w:space="0"/>
                  </w:tcBorders>
                  <w:vAlign w:val="center"/>
                </w:tcPr>
                <w:p w14:paraId="2460A4A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465" w:type="dxa"/>
                  <w:tcBorders>
                    <w:top w:val="nil"/>
                    <w:left w:val="nil"/>
                    <w:bottom w:val="single" w:color="000000" w:sz="4" w:space="0"/>
                    <w:right w:val="single" w:color="000000" w:sz="4" w:space="0"/>
                  </w:tcBorders>
                  <w:vAlign w:val="center"/>
                </w:tcPr>
                <w:p w14:paraId="07C36FF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5454D82E">
              <w:tblPrEx>
                <w:tblCellMar>
                  <w:top w:w="0" w:type="dxa"/>
                  <w:left w:w="108" w:type="dxa"/>
                  <w:bottom w:w="0" w:type="dxa"/>
                  <w:right w:w="108" w:type="dxa"/>
                </w:tblCellMar>
              </w:tblPrEx>
              <w:trPr>
                <w:trHeight w:val="1550" w:hRule="atLeast"/>
              </w:trPr>
              <w:tc>
                <w:tcPr>
                  <w:tcW w:w="596" w:type="dxa"/>
                  <w:tcBorders>
                    <w:top w:val="nil"/>
                    <w:left w:val="single" w:color="000000" w:sz="4" w:space="0"/>
                    <w:bottom w:val="single" w:color="000000" w:sz="4" w:space="0"/>
                    <w:right w:val="nil"/>
                  </w:tcBorders>
                  <w:vAlign w:val="center"/>
                </w:tcPr>
                <w:p w14:paraId="46C3544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077" w:type="dxa"/>
                  <w:vMerge w:val="continue"/>
                  <w:tcBorders>
                    <w:top w:val="nil"/>
                    <w:left w:val="single" w:color="000000" w:sz="4" w:space="0"/>
                    <w:bottom w:val="single" w:color="000000" w:sz="4" w:space="0"/>
                    <w:right w:val="single" w:color="000000" w:sz="4" w:space="0"/>
                  </w:tcBorders>
                  <w:vAlign w:val="center"/>
                </w:tcPr>
                <w:p w14:paraId="15108484">
                  <w:pPr>
                    <w:rPr>
                      <w:highlight w:val="none"/>
                    </w:rPr>
                  </w:pPr>
                </w:p>
              </w:tc>
              <w:tc>
                <w:tcPr>
                  <w:tcW w:w="1500" w:type="dxa"/>
                  <w:tcBorders>
                    <w:top w:val="nil"/>
                    <w:left w:val="nil"/>
                    <w:bottom w:val="single" w:color="000000" w:sz="4" w:space="0"/>
                    <w:right w:val="single" w:color="000000" w:sz="4" w:space="0"/>
                  </w:tcBorders>
                  <w:vAlign w:val="center"/>
                </w:tcPr>
                <w:p w14:paraId="750E28C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465" w:type="dxa"/>
                  <w:tcBorders>
                    <w:top w:val="nil"/>
                    <w:left w:val="nil"/>
                    <w:bottom w:val="single" w:color="000000" w:sz="4" w:space="0"/>
                    <w:right w:val="single" w:color="000000" w:sz="4" w:space="0"/>
                  </w:tcBorders>
                  <w:vAlign w:val="center"/>
                </w:tcPr>
                <w:p w14:paraId="46D456B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76629563">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627504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077" w:type="dxa"/>
                  <w:vMerge w:val="continue"/>
                  <w:tcBorders>
                    <w:top w:val="nil"/>
                    <w:left w:val="single" w:color="000000" w:sz="4" w:space="0"/>
                    <w:bottom w:val="single" w:color="000000" w:sz="4" w:space="0"/>
                    <w:right w:val="single" w:color="000000" w:sz="4" w:space="0"/>
                  </w:tcBorders>
                  <w:vAlign w:val="center"/>
                </w:tcPr>
                <w:p w14:paraId="614D516C">
                  <w:pPr>
                    <w:rPr>
                      <w:highlight w:val="none"/>
                    </w:rPr>
                  </w:pPr>
                </w:p>
              </w:tc>
              <w:tc>
                <w:tcPr>
                  <w:tcW w:w="1500" w:type="dxa"/>
                  <w:tcBorders>
                    <w:top w:val="nil"/>
                    <w:left w:val="nil"/>
                    <w:bottom w:val="single" w:color="000000" w:sz="4" w:space="0"/>
                    <w:right w:val="single" w:color="000000" w:sz="4" w:space="0"/>
                  </w:tcBorders>
                  <w:vAlign w:val="center"/>
                </w:tcPr>
                <w:p w14:paraId="5E9C6F1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465" w:type="dxa"/>
                  <w:tcBorders>
                    <w:top w:val="nil"/>
                    <w:left w:val="nil"/>
                    <w:bottom w:val="single" w:color="000000" w:sz="4" w:space="0"/>
                    <w:right w:val="single" w:color="000000" w:sz="4" w:space="0"/>
                  </w:tcBorders>
                  <w:vAlign w:val="center"/>
                </w:tcPr>
                <w:p w14:paraId="06C093F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2E69FEE0">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6C73A2E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077" w:type="dxa"/>
                  <w:vMerge w:val="continue"/>
                  <w:tcBorders>
                    <w:top w:val="nil"/>
                    <w:left w:val="single" w:color="000000" w:sz="4" w:space="0"/>
                    <w:bottom w:val="single" w:color="000000" w:sz="4" w:space="0"/>
                    <w:right w:val="single" w:color="000000" w:sz="4" w:space="0"/>
                  </w:tcBorders>
                  <w:vAlign w:val="center"/>
                </w:tcPr>
                <w:p w14:paraId="4DF09290">
                  <w:pPr>
                    <w:rPr>
                      <w:highlight w:val="none"/>
                    </w:rPr>
                  </w:pPr>
                </w:p>
              </w:tc>
              <w:tc>
                <w:tcPr>
                  <w:tcW w:w="1500" w:type="dxa"/>
                  <w:tcBorders>
                    <w:top w:val="nil"/>
                    <w:left w:val="nil"/>
                    <w:bottom w:val="single" w:color="000000" w:sz="4" w:space="0"/>
                    <w:right w:val="single" w:color="000000" w:sz="4" w:space="0"/>
                  </w:tcBorders>
                  <w:vAlign w:val="center"/>
                </w:tcPr>
                <w:p w14:paraId="1F959CA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465" w:type="dxa"/>
                  <w:tcBorders>
                    <w:top w:val="nil"/>
                    <w:left w:val="nil"/>
                    <w:bottom w:val="single" w:color="000000" w:sz="4" w:space="0"/>
                    <w:right w:val="single" w:color="000000" w:sz="4" w:space="0"/>
                  </w:tcBorders>
                  <w:vAlign w:val="center"/>
                </w:tcPr>
                <w:p w14:paraId="6FFD882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7A9B6E5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B2BFE3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077" w:type="dxa"/>
                  <w:tcBorders>
                    <w:top w:val="nil"/>
                    <w:left w:val="single" w:color="000000" w:sz="4" w:space="0"/>
                    <w:bottom w:val="nil"/>
                    <w:right w:val="single" w:color="000000" w:sz="4" w:space="0"/>
                  </w:tcBorders>
                  <w:vAlign w:val="center"/>
                </w:tcPr>
                <w:p w14:paraId="00179ED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机柜规格</w:t>
                  </w:r>
                </w:p>
              </w:tc>
              <w:tc>
                <w:tcPr>
                  <w:tcW w:w="1500" w:type="dxa"/>
                  <w:tcBorders>
                    <w:top w:val="nil"/>
                    <w:left w:val="nil"/>
                    <w:bottom w:val="single" w:color="000000" w:sz="4" w:space="0"/>
                    <w:right w:val="single" w:color="000000" w:sz="4" w:space="0"/>
                  </w:tcBorders>
                  <w:vAlign w:val="center"/>
                </w:tcPr>
                <w:p w14:paraId="0902379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465" w:type="dxa"/>
                  <w:tcBorders>
                    <w:top w:val="nil"/>
                    <w:left w:val="nil"/>
                    <w:bottom w:val="single" w:color="000000" w:sz="4" w:space="0"/>
                    <w:right w:val="single" w:color="000000" w:sz="4" w:space="0"/>
                  </w:tcBorders>
                  <w:vAlign w:val="center"/>
                </w:tcPr>
                <w:p w14:paraId="398EDEC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69097413">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5D768D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077" w:type="dxa"/>
                  <w:tcBorders>
                    <w:top w:val="single" w:color="000000" w:sz="4" w:space="0"/>
                    <w:left w:val="single" w:color="000000" w:sz="4" w:space="0"/>
                    <w:bottom w:val="single" w:color="000000" w:sz="4" w:space="0"/>
                    <w:right w:val="single" w:color="000000" w:sz="4" w:space="0"/>
                  </w:tcBorders>
                  <w:vAlign w:val="center"/>
                </w:tcPr>
                <w:p w14:paraId="30BFFD7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500" w:type="dxa"/>
                  <w:tcBorders>
                    <w:top w:val="nil"/>
                    <w:left w:val="nil"/>
                    <w:bottom w:val="single" w:color="000000" w:sz="4" w:space="0"/>
                    <w:right w:val="single" w:color="000000" w:sz="4" w:space="0"/>
                  </w:tcBorders>
                  <w:vAlign w:val="center"/>
                </w:tcPr>
                <w:p w14:paraId="28D66F3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465" w:type="dxa"/>
                  <w:tcBorders>
                    <w:top w:val="nil"/>
                    <w:left w:val="nil"/>
                    <w:bottom w:val="single" w:color="000000" w:sz="4" w:space="0"/>
                    <w:right w:val="single" w:color="000000" w:sz="4" w:space="0"/>
                  </w:tcBorders>
                  <w:vAlign w:val="center"/>
                </w:tcPr>
                <w:p w14:paraId="6485B35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745A70C7">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DDAF88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077" w:type="dxa"/>
                  <w:tcBorders>
                    <w:top w:val="nil"/>
                    <w:left w:val="single" w:color="000000" w:sz="4" w:space="0"/>
                    <w:bottom w:val="single" w:color="000000" w:sz="4" w:space="0"/>
                    <w:right w:val="single" w:color="000000" w:sz="4" w:space="0"/>
                  </w:tcBorders>
                  <w:vAlign w:val="center"/>
                </w:tcPr>
                <w:p w14:paraId="44E27A18">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500" w:type="dxa"/>
                  <w:tcBorders>
                    <w:top w:val="nil"/>
                    <w:left w:val="nil"/>
                    <w:bottom w:val="single" w:color="000000" w:sz="4" w:space="0"/>
                    <w:right w:val="single" w:color="000000" w:sz="4" w:space="0"/>
                  </w:tcBorders>
                  <w:vAlign w:val="center"/>
                </w:tcPr>
                <w:p w14:paraId="0292263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465" w:type="dxa"/>
                  <w:tcBorders>
                    <w:top w:val="nil"/>
                    <w:left w:val="nil"/>
                    <w:bottom w:val="single" w:color="000000" w:sz="4" w:space="0"/>
                    <w:right w:val="single" w:color="000000" w:sz="4" w:space="0"/>
                  </w:tcBorders>
                  <w:vAlign w:val="center"/>
                </w:tcPr>
                <w:p w14:paraId="609240A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494EE692">
              <w:tblPrEx>
                <w:tblCellMar>
                  <w:top w:w="0" w:type="dxa"/>
                  <w:left w:w="108" w:type="dxa"/>
                  <w:bottom w:w="0" w:type="dxa"/>
                  <w:right w:w="108" w:type="dxa"/>
                </w:tblCellMar>
              </w:tblPrEx>
              <w:trPr>
                <w:trHeight w:val="1550" w:hRule="atLeast"/>
              </w:trPr>
              <w:tc>
                <w:tcPr>
                  <w:tcW w:w="596" w:type="dxa"/>
                  <w:tcBorders>
                    <w:top w:val="nil"/>
                    <w:left w:val="single" w:color="000000" w:sz="4" w:space="0"/>
                    <w:bottom w:val="single" w:color="000000" w:sz="4" w:space="0"/>
                    <w:right w:val="nil"/>
                  </w:tcBorders>
                  <w:vAlign w:val="center"/>
                </w:tcPr>
                <w:p w14:paraId="783AFF6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077" w:type="dxa"/>
                  <w:vMerge w:val="restart"/>
                  <w:tcBorders>
                    <w:top w:val="nil"/>
                    <w:left w:val="single" w:color="000000" w:sz="4" w:space="0"/>
                    <w:bottom w:val="single" w:color="000000" w:sz="4" w:space="0"/>
                    <w:right w:val="single" w:color="000000" w:sz="4" w:space="0"/>
                  </w:tcBorders>
                  <w:vAlign w:val="center"/>
                </w:tcPr>
                <w:p w14:paraId="52EBA0C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500" w:type="dxa"/>
                  <w:tcBorders>
                    <w:top w:val="nil"/>
                    <w:left w:val="nil"/>
                    <w:bottom w:val="single" w:color="000000" w:sz="4" w:space="0"/>
                    <w:right w:val="single" w:color="000000" w:sz="4" w:space="0"/>
                  </w:tcBorders>
                  <w:vAlign w:val="center"/>
                </w:tcPr>
                <w:p w14:paraId="5C15C70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465" w:type="dxa"/>
                  <w:tcBorders>
                    <w:top w:val="nil"/>
                    <w:left w:val="nil"/>
                    <w:bottom w:val="single" w:color="000000" w:sz="4" w:space="0"/>
                    <w:right w:val="single" w:color="000000" w:sz="4" w:space="0"/>
                  </w:tcBorders>
                  <w:vAlign w:val="center"/>
                </w:tcPr>
                <w:p w14:paraId="2698FB0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CE0C3F7">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1DBC2B1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077" w:type="dxa"/>
                  <w:vMerge w:val="continue"/>
                  <w:tcBorders>
                    <w:top w:val="nil"/>
                    <w:left w:val="single" w:color="000000" w:sz="4" w:space="0"/>
                    <w:bottom w:val="single" w:color="000000" w:sz="4" w:space="0"/>
                    <w:right w:val="single" w:color="000000" w:sz="4" w:space="0"/>
                  </w:tcBorders>
                  <w:vAlign w:val="center"/>
                </w:tcPr>
                <w:p w14:paraId="14D468C8">
                  <w:pPr>
                    <w:rPr>
                      <w:highlight w:val="none"/>
                    </w:rPr>
                  </w:pPr>
                </w:p>
              </w:tc>
              <w:tc>
                <w:tcPr>
                  <w:tcW w:w="1500" w:type="dxa"/>
                  <w:tcBorders>
                    <w:top w:val="nil"/>
                    <w:left w:val="nil"/>
                    <w:bottom w:val="single" w:color="000000" w:sz="4" w:space="0"/>
                    <w:right w:val="single" w:color="000000" w:sz="4" w:space="0"/>
                  </w:tcBorders>
                  <w:vAlign w:val="center"/>
                </w:tcPr>
                <w:p w14:paraId="5725AF9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465" w:type="dxa"/>
                  <w:tcBorders>
                    <w:top w:val="nil"/>
                    <w:left w:val="nil"/>
                    <w:bottom w:val="single" w:color="000000" w:sz="4" w:space="0"/>
                    <w:right w:val="single" w:color="000000" w:sz="4" w:space="0"/>
                  </w:tcBorders>
                  <w:vAlign w:val="center"/>
                </w:tcPr>
                <w:p w14:paraId="2917F7C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78D03C98">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739D8EE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077" w:type="dxa"/>
                  <w:vMerge w:val="restart"/>
                  <w:tcBorders>
                    <w:top w:val="nil"/>
                    <w:left w:val="single" w:color="000000" w:sz="4" w:space="0"/>
                    <w:bottom w:val="single" w:color="000000" w:sz="4" w:space="0"/>
                    <w:right w:val="single" w:color="000000" w:sz="4" w:space="0"/>
                  </w:tcBorders>
                  <w:vAlign w:val="center"/>
                </w:tcPr>
                <w:p w14:paraId="68DA4FC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500" w:type="dxa"/>
                  <w:tcBorders>
                    <w:top w:val="nil"/>
                    <w:left w:val="nil"/>
                    <w:bottom w:val="single" w:color="000000" w:sz="4" w:space="0"/>
                    <w:right w:val="single" w:color="000000" w:sz="4" w:space="0"/>
                  </w:tcBorders>
                  <w:vAlign w:val="center"/>
                </w:tcPr>
                <w:p w14:paraId="0722DC4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465" w:type="dxa"/>
                  <w:tcBorders>
                    <w:top w:val="nil"/>
                    <w:left w:val="nil"/>
                    <w:bottom w:val="single" w:color="000000" w:sz="4" w:space="0"/>
                    <w:right w:val="single" w:color="000000" w:sz="4" w:space="0"/>
                  </w:tcBorders>
                  <w:vAlign w:val="center"/>
                </w:tcPr>
                <w:p w14:paraId="61C2299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1EC2FEAA">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282AD19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077" w:type="dxa"/>
                  <w:vMerge w:val="continue"/>
                  <w:tcBorders>
                    <w:top w:val="nil"/>
                    <w:left w:val="single" w:color="000000" w:sz="4" w:space="0"/>
                    <w:bottom w:val="single" w:color="000000" w:sz="4" w:space="0"/>
                    <w:right w:val="single" w:color="000000" w:sz="4" w:space="0"/>
                  </w:tcBorders>
                  <w:vAlign w:val="center"/>
                </w:tcPr>
                <w:p w14:paraId="1159E475">
                  <w:pPr>
                    <w:rPr>
                      <w:highlight w:val="none"/>
                    </w:rPr>
                  </w:pPr>
                </w:p>
              </w:tc>
              <w:tc>
                <w:tcPr>
                  <w:tcW w:w="1500" w:type="dxa"/>
                  <w:tcBorders>
                    <w:top w:val="nil"/>
                    <w:left w:val="nil"/>
                    <w:bottom w:val="single" w:color="000000" w:sz="4" w:space="0"/>
                    <w:right w:val="single" w:color="000000" w:sz="4" w:space="0"/>
                  </w:tcBorders>
                  <w:vAlign w:val="center"/>
                </w:tcPr>
                <w:p w14:paraId="2246031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465" w:type="dxa"/>
                  <w:tcBorders>
                    <w:top w:val="nil"/>
                    <w:left w:val="nil"/>
                    <w:bottom w:val="single" w:color="000000" w:sz="4" w:space="0"/>
                    <w:right w:val="single" w:color="000000" w:sz="4" w:space="0"/>
                  </w:tcBorders>
                  <w:vAlign w:val="center"/>
                </w:tcPr>
                <w:p w14:paraId="7F8B8E3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6B70C234">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231A25B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077" w:type="dxa"/>
                  <w:tcBorders>
                    <w:top w:val="nil"/>
                    <w:left w:val="single" w:color="000000" w:sz="4" w:space="0"/>
                    <w:bottom w:val="single" w:color="000000" w:sz="4" w:space="0"/>
                    <w:right w:val="single" w:color="000000" w:sz="4" w:space="0"/>
                  </w:tcBorders>
                  <w:vAlign w:val="center"/>
                </w:tcPr>
                <w:p w14:paraId="5ECE5BC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500" w:type="dxa"/>
                  <w:tcBorders>
                    <w:top w:val="nil"/>
                    <w:left w:val="nil"/>
                    <w:bottom w:val="single" w:color="000000" w:sz="4" w:space="0"/>
                    <w:right w:val="single" w:color="000000" w:sz="4" w:space="0"/>
                  </w:tcBorders>
                  <w:vAlign w:val="center"/>
                </w:tcPr>
                <w:p w14:paraId="48C61EB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465" w:type="dxa"/>
                  <w:tcBorders>
                    <w:top w:val="nil"/>
                    <w:left w:val="nil"/>
                    <w:bottom w:val="single" w:color="000000" w:sz="4" w:space="0"/>
                    <w:right w:val="single" w:color="000000" w:sz="4" w:space="0"/>
                  </w:tcBorders>
                  <w:vAlign w:val="center"/>
                </w:tcPr>
                <w:p w14:paraId="6CFAB41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30CAC0BB">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069C5AB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077" w:type="dxa"/>
                  <w:vMerge w:val="restart"/>
                  <w:tcBorders>
                    <w:top w:val="nil"/>
                    <w:left w:val="single" w:color="000000" w:sz="4" w:space="0"/>
                    <w:bottom w:val="single" w:color="000000" w:sz="4" w:space="0"/>
                    <w:right w:val="single" w:color="000000" w:sz="4" w:space="0"/>
                  </w:tcBorders>
                  <w:vAlign w:val="center"/>
                </w:tcPr>
                <w:p w14:paraId="29907B7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500" w:type="dxa"/>
                  <w:tcBorders>
                    <w:top w:val="nil"/>
                    <w:left w:val="nil"/>
                    <w:bottom w:val="single" w:color="000000" w:sz="4" w:space="0"/>
                    <w:right w:val="single" w:color="000000" w:sz="4" w:space="0"/>
                  </w:tcBorders>
                  <w:vAlign w:val="center"/>
                </w:tcPr>
                <w:p w14:paraId="7D9A8C5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465" w:type="dxa"/>
                  <w:tcBorders>
                    <w:top w:val="nil"/>
                    <w:left w:val="nil"/>
                    <w:bottom w:val="single" w:color="000000" w:sz="4" w:space="0"/>
                    <w:right w:val="single" w:color="000000" w:sz="4" w:space="0"/>
                  </w:tcBorders>
                  <w:vAlign w:val="center"/>
                </w:tcPr>
                <w:p w14:paraId="405CE20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7A658EF7">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D528E6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077" w:type="dxa"/>
                  <w:vMerge w:val="continue"/>
                  <w:tcBorders>
                    <w:top w:val="nil"/>
                    <w:left w:val="single" w:color="000000" w:sz="4" w:space="0"/>
                    <w:bottom w:val="single" w:color="000000" w:sz="4" w:space="0"/>
                    <w:right w:val="single" w:color="000000" w:sz="4" w:space="0"/>
                  </w:tcBorders>
                  <w:vAlign w:val="center"/>
                </w:tcPr>
                <w:p w14:paraId="133226FC">
                  <w:pPr>
                    <w:rPr>
                      <w:highlight w:val="none"/>
                    </w:rPr>
                  </w:pPr>
                </w:p>
              </w:tc>
              <w:tc>
                <w:tcPr>
                  <w:tcW w:w="1500" w:type="dxa"/>
                  <w:tcBorders>
                    <w:top w:val="nil"/>
                    <w:left w:val="nil"/>
                    <w:bottom w:val="single" w:color="000000" w:sz="4" w:space="0"/>
                    <w:right w:val="single" w:color="000000" w:sz="4" w:space="0"/>
                  </w:tcBorders>
                  <w:vAlign w:val="center"/>
                </w:tcPr>
                <w:p w14:paraId="2B6C1928">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465" w:type="dxa"/>
                  <w:tcBorders>
                    <w:top w:val="nil"/>
                    <w:left w:val="nil"/>
                    <w:bottom w:val="single" w:color="000000" w:sz="4" w:space="0"/>
                    <w:right w:val="single" w:color="000000" w:sz="4" w:space="0"/>
                  </w:tcBorders>
                  <w:vAlign w:val="center"/>
                </w:tcPr>
                <w:p w14:paraId="44678B4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53AC1FB4">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3C29603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077" w:type="dxa"/>
                  <w:vMerge w:val="continue"/>
                  <w:tcBorders>
                    <w:top w:val="nil"/>
                    <w:left w:val="single" w:color="000000" w:sz="4" w:space="0"/>
                    <w:bottom w:val="single" w:color="000000" w:sz="4" w:space="0"/>
                    <w:right w:val="single" w:color="000000" w:sz="4" w:space="0"/>
                  </w:tcBorders>
                  <w:vAlign w:val="center"/>
                </w:tcPr>
                <w:p w14:paraId="152EB326">
                  <w:pPr>
                    <w:rPr>
                      <w:highlight w:val="none"/>
                    </w:rPr>
                  </w:pPr>
                </w:p>
              </w:tc>
              <w:tc>
                <w:tcPr>
                  <w:tcW w:w="1500" w:type="dxa"/>
                  <w:tcBorders>
                    <w:top w:val="nil"/>
                    <w:left w:val="nil"/>
                    <w:bottom w:val="single" w:color="000000" w:sz="4" w:space="0"/>
                    <w:right w:val="single" w:color="000000" w:sz="4" w:space="0"/>
                  </w:tcBorders>
                  <w:vAlign w:val="center"/>
                </w:tcPr>
                <w:p w14:paraId="0FFF1EC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465" w:type="dxa"/>
                  <w:tcBorders>
                    <w:top w:val="nil"/>
                    <w:left w:val="nil"/>
                    <w:bottom w:val="single" w:color="000000" w:sz="4" w:space="0"/>
                    <w:right w:val="single" w:color="000000" w:sz="4" w:space="0"/>
                  </w:tcBorders>
                  <w:vAlign w:val="center"/>
                </w:tcPr>
                <w:p w14:paraId="1A41279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0F939B7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1284B5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077" w:type="dxa"/>
                  <w:vMerge w:val="restart"/>
                  <w:tcBorders>
                    <w:top w:val="nil"/>
                    <w:left w:val="single" w:color="000000" w:sz="4" w:space="0"/>
                    <w:bottom w:val="single" w:color="000000" w:sz="4" w:space="0"/>
                    <w:right w:val="single" w:color="000000" w:sz="4" w:space="0"/>
                  </w:tcBorders>
                  <w:vAlign w:val="center"/>
                </w:tcPr>
                <w:p w14:paraId="2EF8B45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500" w:type="dxa"/>
                  <w:tcBorders>
                    <w:top w:val="nil"/>
                    <w:left w:val="nil"/>
                    <w:bottom w:val="single" w:color="000000" w:sz="4" w:space="0"/>
                    <w:right w:val="single" w:color="000000" w:sz="4" w:space="0"/>
                  </w:tcBorders>
                  <w:vAlign w:val="center"/>
                </w:tcPr>
                <w:p w14:paraId="5FE8F28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465" w:type="dxa"/>
                  <w:tcBorders>
                    <w:top w:val="nil"/>
                    <w:left w:val="nil"/>
                    <w:bottom w:val="single" w:color="000000" w:sz="4" w:space="0"/>
                    <w:right w:val="single" w:color="000000" w:sz="4" w:space="0"/>
                  </w:tcBorders>
                  <w:vAlign w:val="center"/>
                </w:tcPr>
                <w:p w14:paraId="5442B85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3D1C884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0CA8FC7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077" w:type="dxa"/>
                  <w:vMerge w:val="continue"/>
                  <w:tcBorders>
                    <w:top w:val="nil"/>
                    <w:left w:val="single" w:color="000000" w:sz="4" w:space="0"/>
                    <w:bottom w:val="single" w:color="000000" w:sz="4" w:space="0"/>
                    <w:right w:val="single" w:color="000000" w:sz="4" w:space="0"/>
                  </w:tcBorders>
                  <w:vAlign w:val="center"/>
                </w:tcPr>
                <w:p w14:paraId="70AEF1C1">
                  <w:pPr>
                    <w:rPr>
                      <w:highlight w:val="none"/>
                    </w:rPr>
                  </w:pPr>
                </w:p>
              </w:tc>
              <w:tc>
                <w:tcPr>
                  <w:tcW w:w="1500" w:type="dxa"/>
                  <w:tcBorders>
                    <w:top w:val="nil"/>
                    <w:left w:val="nil"/>
                    <w:bottom w:val="single" w:color="000000" w:sz="4" w:space="0"/>
                    <w:right w:val="single" w:color="000000" w:sz="4" w:space="0"/>
                  </w:tcBorders>
                  <w:vAlign w:val="center"/>
                </w:tcPr>
                <w:p w14:paraId="577CD58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465" w:type="dxa"/>
                  <w:tcBorders>
                    <w:top w:val="nil"/>
                    <w:left w:val="nil"/>
                    <w:bottom w:val="single" w:color="000000" w:sz="4" w:space="0"/>
                    <w:right w:val="single" w:color="000000" w:sz="4" w:space="0"/>
                  </w:tcBorders>
                  <w:vAlign w:val="center"/>
                </w:tcPr>
                <w:p w14:paraId="435B133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5BA0D088">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541580E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077" w:type="dxa"/>
                  <w:tcBorders>
                    <w:top w:val="nil"/>
                    <w:left w:val="single" w:color="000000" w:sz="4" w:space="0"/>
                    <w:bottom w:val="single" w:color="000000" w:sz="4" w:space="0"/>
                    <w:right w:val="single" w:color="000000" w:sz="4" w:space="0"/>
                  </w:tcBorders>
                  <w:vAlign w:val="center"/>
                </w:tcPr>
                <w:p w14:paraId="30B4042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500" w:type="dxa"/>
                  <w:tcBorders>
                    <w:top w:val="nil"/>
                    <w:left w:val="nil"/>
                    <w:bottom w:val="single" w:color="000000" w:sz="4" w:space="0"/>
                    <w:right w:val="single" w:color="000000" w:sz="4" w:space="0"/>
                  </w:tcBorders>
                  <w:vAlign w:val="center"/>
                </w:tcPr>
                <w:p w14:paraId="00CBA02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465" w:type="dxa"/>
                  <w:tcBorders>
                    <w:top w:val="nil"/>
                    <w:left w:val="nil"/>
                    <w:bottom w:val="single" w:color="000000" w:sz="4" w:space="0"/>
                    <w:right w:val="single" w:color="000000" w:sz="4" w:space="0"/>
                  </w:tcBorders>
                  <w:vAlign w:val="center"/>
                </w:tcPr>
                <w:p w14:paraId="4EB0FAB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08D66D5B">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0FED942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077" w:type="dxa"/>
                  <w:tcBorders>
                    <w:top w:val="nil"/>
                    <w:left w:val="single" w:color="000000" w:sz="4" w:space="0"/>
                    <w:bottom w:val="single" w:color="000000" w:sz="4" w:space="0"/>
                    <w:right w:val="single" w:color="000000" w:sz="4" w:space="0"/>
                  </w:tcBorders>
                  <w:vAlign w:val="center"/>
                </w:tcPr>
                <w:p w14:paraId="0CB536FA">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500" w:type="dxa"/>
                  <w:tcBorders>
                    <w:top w:val="nil"/>
                    <w:left w:val="nil"/>
                    <w:bottom w:val="single" w:color="000000" w:sz="4" w:space="0"/>
                    <w:right w:val="single" w:color="000000" w:sz="4" w:space="0"/>
                  </w:tcBorders>
                  <w:vAlign w:val="center"/>
                </w:tcPr>
                <w:p w14:paraId="4CF8182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465" w:type="dxa"/>
                  <w:tcBorders>
                    <w:top w:val="nil"/>
                    <w:left w:val="nil"/>
                    <w:bottom w:val="single" w:color="000000" w:sz="4" w:space="0"/>
                    <w:right w:val="single" w:color="000000" w:sz="4" w:space="0"/>
                  </w:tcBorders>
                  <w:vAlign w:val="center"/>
                </w:tcPr>
                <w:p w14:paraId="7170357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53C64B51">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4C492A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077" w:type="dxa"/>
                  <w:tcBorders>
                    <w:top w:val="nil"/>
                    <w:left w:val="single" w:color="000000" w:sz="4" w:space="0"/>
                    <w:bottom w:val="single" w:color="000000" w:sz="4" w:space="0"/>
                    <w:right w:val="single" w:color="000000" w:sz="4" w:space="0"/>
                  </w:tcBorders>
                  <w:vAlign w:val="center"/>
                </w:tcPr>
                <w:p w14:paraId="509AA76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500" w:type="dxa"/>
                  <w:tcBorders>
                    <w:top w:val="nil"/>
                    <w:left w:val="nil"/>
                    <w:bottom w:val="single" w:color="000000" w:sz="4" w:space="0"/>
                    <w:right w:val="single" w:color="000000" w:sz="4" w:space="0"/>
                  </w:tcBorders>
                  <w:vAlign w:val="center"/>
                </w:tcPr>
                <w:p w14:paraId="27CF487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465" w:type="dxa"/>
                  <w:tcBorders>
                    <w:top w:val="nil"/>
                    <w:left w:val="nil"/>
                    <w:bottom w:val="single" w:color="000000" w:sz="4" w:space="0"/>
                    <w:right w:val="single" w:color="000000" w:sz="4" w:space="0"/>
                  </w:tcBorders>
                  <w:vAlign w:val="center"/>
                </w:tcPr>
                <w:p w14:paraId="4ADCD04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35B81E9B">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21BA10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077" w:type="dxa"/>
                  <w:vMerge w:val="restart"/>
                  <w:tcBorders>
                    <w:top w:val="nil"/>
                    <w:left w:val="single" w:color="000000" w:sz="4" w:space="0"/>
                    <w:bottom w:val="single" w:color="000000" w:sz="4" w:space="0"/>
                    <w:right w:val="single" w:color="000000" w:sz="4" w:space="0"/>
                  </w:tcBorders>
                  <w:vAlign w:val="center"/>
                </w:tcPr>
                <w:p w14:paraId="4CDEFA4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500" w:type="dxa"/>
                  <w:tcBorders>
                    <w:top w:val="nil"/>
                    <w:left w:val="nil"/>
                    <w:bottom w:val="single" w:color="000000" w:sz="4" w:space="0"/>
                    <w:right w:val="single" w:color="000000" w:sz="4" w:space="0"/>
                  </w:tcBorders>
                  <w:vAlign w:val="center"/>
                </w:tcPr>
                <w:p w14:paraId="28768153">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465" w:type="dxa"/>
                  <w:tcBorders>
                    <w:top w:val="nil"/>
                    <w:left w:val="nil"/>
                    <w:bottom w:val="single" w:color="000000" w:sz="4" w:space="0"/>
                    <w:right w:val="single" w:color="000000" w:sz="4" w:space="0"/>
                  </w:tcBorders>
                  <w:vAlign w:val="center"/>
                </w:tcPr>
                <w:p w14:paraId="4D65286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01A614F0">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66CAD1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077" w:type="dxa"/>
                  <w:vMerge w:val="continue"/>
                  <w:tcBorders>
                    <w:top w:val="nil"/>
                    <w:left w:val="single" w:color="000000" w:sz="4" w:space="0"/>
                    <w:bottom w:val="single" w:color="000000" w:sz="4" w:space="0"/>
                    <w:right w:val="single" w:color="000000" w:sz="4" w:space="0"/>
                  </w:tcBorders>
                  <w:vAlign w:val="center"/>
                </w:tcPr>
                <w:p w14:paraId="42A246EF">
                  <w:pPr>
                    <w:rPr>
                      <w:highlight w:val="none"/>
                    </w:rPr>
                  </w:pPr>
                </w:p>
              </w:tc>
              <w:tc>
                <w:tcPr>
                  <w:tcW w:w="1500" w:type="dxa"/>
                  <w:tcBorders>
                    <w:top w:val="nil"/>
                    <w:left w:val="nil"/>
                    <w:bottom w:val="single" w:color="000000" w:sz="4" w:space="0"/>
                    <w:right w:val="single" w:color="000000" w:sz="4" w:space="0"/>
                  </w:tcBorders>
                  <w:vAlign w:val="center"/>
                </w:tcPr>
                <w:p w14:paraId="01C899D3">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465" w:type="dxa"/>
                  <w:tcBorders>
                    <w:top w:val="nil"/>
                    <w:left w:val="nil"/>
                    <w:bottom w:val="single" w:color="000000" w:sz="4" w:space="0"/>
                    <w:right w:val="single" w:color="000000" w:sz="4" w:space="0"/>
                  </w:tcBorders>
                  <w:vAlign w:val="center"/>
                </w:tcPr>
                <w:p w14:paraId="437036D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5D67FD66">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4311A24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077" w:type="dxa"/>
                  <w:vMerge w:val="continue"/>
                  <w:tcBorders>
                    <w:top w:val="nil"/>
                    <w:left w:val="single" w:color="000000" w:sz="4" w:space="0"/>
                    <w:bottom w:val="single" w:color="000000" w:sz="4" w:space="0"/>
                    <w:right w:val="single" w:color="000000" w:sz="4" w:space="0"/>
                  </w:tcBorders>
                  <w:vAlign w:val="center"/>
                </w:tcPr>
                <w:p w14:paraId="30773B46">
                  <w:pPr>
                    <w:rPr>
                      <w:highlight w:val="none"/>
                    </w:rPr>
                  </w:pPr>
                </w:p>
              </w:tc>
              <w:tc>
                <w:tcPr>
                  <w:tcW w:w="1500" w:type="dxa"/>
                  <w:tcBorders>
                    <w:top w:val="nil"/>
                    <w:left w:val="nil"/>
                    <w:bottom w:val="single" w:color="000000" w:sz="4" w:space="0"/>
                    <w:right w:val="single" w:color="000000" w:sz="4" w:space="0"/>
                  </w:tcBorders>
                  <w:vAlign w:val="center"/>
                </w:tcPr>
                <w:p w14:paraId="119CF2E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465" w:type="dxa"/>
                  <w:tcBorders>
                    <w:top w:val="nil"/>
                    <w:left w:val="nil"/>
                    <w:bottom w:val="single" w:color="000000" w:sz="4" w:space="0"/>
                    <w:right w:val="single" w:color="000000" w:sz="4" w:space="0"/>
                  </w:tcBorders>
                  <w:vAlign w:val="center"/>
                </w:tcPr>
                <w:p w14:paraId="546E277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75F6E50B">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6582191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077" w:type="dxa"/>
                  <w:vMerge w:val="continue"/>
                  <w:tcBorders>
                    <w:top w:val="nil"/>
                    <w:left w:val="single" w:color="000000" w:sz="4" w:space="0"/>
                    <w:bottom w:val="single" w:color="000000" w:sz="4" w:space="0"/>
                    <w:right w:val="single" w:color="000000" w:sz="4" w:space="0"/>
                  </w:tcBorders>
                  <w:vAlign w:val="center"/>
                </w:tcPr>
                <w:p w14:paraId="5659DC1A">
                  <w:pPr>
                    <w:rPr>
                      <w:highlight w:val="none"/>
                    </w:rPr>
                  </w:pPr>
                </w:p>
              </w:tc>
              <w:tc>
                <w:tcPr>
                  <w:tcW w:w="1500" w:type="dxa"/>
                  <w:tcBorders>
                    <w:top w:val="nil"/>
                    <w:left w:val="nil"/>
                    <w:bottom w:val="single" w:color="000000" w:sz="4" w:space="0"/>
                    <w:right w:val="single" w:color="000000" w:sz="4" w:space="0"/>
                  </w:tcBorders>
                  <w:vAlign w:val="center"/>
                </w:tcPr>
                <w:p w14:paraId="31A026C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465" w:type="dxa"/>
                  <w:tcBorders>
                    <w:top w:val="nil"/>
                    <w:left w:val="nil"/>
                    <w:bottom w:val="single" w:color="000000" w:sz="4" w:space="0"/>
                    <w:right w:val="single" w:color="000000" w:sz="4" w:space="0"/>
                  </w:tcBorders>
                  <w:vAlign w:val="center"/>
                </w:tcPr>
                <w:p w14:paraId="22B2752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19EF3221">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860CCB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077" w:type="dxa"/>
                  <w:vMerge w:val="continue"/>
                  <w:tcBorders>
                    <w:top w:val="nil"/>
                    <w:left w:val="single" w:color="000000" w:sz="4" w:space="0"/>
                    <w:bottom w:val="single" w:color="000000" w:sz="4" w:space="0"/>
                    <w:right w:val="single" w:color="000000" w:sz="4" w:space="0"/>
                  </w:tcBorders>
                  <w:vAlign w:val="center"/>
                </w:tcPr>
                <w:p w14:paraId="7139731A">
                  <w:pPr>
                    <w:rPr>
                      <w:highlight w:val="none"/>
                    </w:rPr>
                  </w:pPr>
                </w:p>
              </w:tc>
              <w:tc>
                <w:tcPr>
                  <w:tcW w:w="1500" w:type="dxa"/>
                  <w:tcBorders>
                    <w:top w:val="nil"/>
                    <w:left w:val="nil"/>
                    <w:bottom w:val="single" w:color="000000" w:sz="4" w:space="0"/>
                    <w:right w:val="single" w:color="000000" w:sz="4" w:space="0"/>
                  </w:tcBorders>
                  <w:vAlign w:val="center"/>
                </w:tcPr>
                <w:p w14:paraId="2767AFF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465" w:type="dxa"/>
                  <w:tcBorders>
                    <w:top w:val="nil"/>
                    <w:left w:val="nil"/>
                    <w:bottom w:val="single" w:color="000000" w:sz="4" w:space="0"/>
                    <w:right w:val="single" w:color="000000" w:sz="4" w:space="0"/>
                  </w:tcBorders>
                  <w:vAlign w:val="center"/>
                </w:tcPr>
                <w:p w14:paraId="4A28A19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2E7DFF1C">
              <w:tblPrEx>
                <w:tblCellMar>
                  <w:top w:w="0" w:type="dxa"/>
                  <w:left w:w="108" w:type="dxa"/>
                  <w:bottom w:w="0" w:type="dxa"/>
                  <w:right w:w="108" w:type="dxa"/>
                </w:tblCellMar>
              </w:tblPrEx>
              <w:trPr>
                <w:trHeight w:val="2790" w:hRule="atLeast"/>
              </w:trPr>
              <w:tc>
                <w:tcPr>
                  <w:tcW w:w="596" w:type="dxa"/>
                  <w:tcBorders>
                    <w:top w:val="nil"/>
                    <w:left w:val="single" w:color="000000" w:sz="4" w:space="0"/>
                    <w:bottom w:val="single" w:color="000000" w:sz="4" w:space="0"/>
                    <w:right w:val="nil"/>
                  </w:tcBorders>
                  <w:vAlign w:val="center"/>
                </w:tcPr>
                <w:p w14:paraId="3F9FDCE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077" w:type="dxa"/>
                  <w:tcBorders>
                    <w:top w:val="nil"/>
                    <w:left w:val="single" w:color="000000" w:sz="4" w:space="0"/>
                    <w:bottom w:val="single" w:color="000000" w:sz="4" w:space="0"/>
                    <w:right w:val="single" w:color="000000" w:sz="4" w:space="0"/>
                  </w:tcBorders>
                  <w:vAlign w:val="center"/>
                </w:tcPr>
                <w:p w14:paraId="467EF40B">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500" w:type="dxa"/>
                  <w:tcBorders>
                    <w:top w:val="nil"/>
                    <w:left w:val="nil"/>
                    <w:bottom w:val="single" w:color="000000" w:sz="4" w:space="0"/>
                    <w:right w:val="single" w:color="000000" w:sz="4" w:space="0"/>
                  </w:tcBorders>
                  <w:vAlign w:val="center"/>
                </w:tcPr>
                <w:p w14:paraId="4A0E26F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465" w:type="dxa"/>
                  <w:tcBorders>
                    <w:top w:val="nil"/>
                    <w:left w:val="nil"/>
                    <w:bottom w:val="single" w:color="000000" w:sz="4" w:space="0"/>
                    <w:right w:val="single" w:color="000000" w:sz="4" w:space="0"/>
                  </w:tcBorders>
                  <w:vAlign w:val="center"/>
                </w:tcPr>
                <w:p w14:paraId="55675BE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仿宋" w:cs="宋体"/>
                      <w:kern w:val="0"/>
                      <w:sz w:val="22"/>
                      <w:highlight w:val="none"/>
                    </w:rPr>
                    <w:br w:type="textWrapping"/>
                  </w:r>
                </w:p>
              </w:tc>
            </w:tr>
            <w:tr w14:paraId="64198F7F">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68CCE45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077" w:type="dxa"/>
                  <w:tcBorders>
                    <w:top w:val="nil"/>
                    <w:left w:val="single" w:color="000000" w:sz="4" w:space="0"/>
                    <w:bottom w:val="single" w:color="000000" w:sz="4" w:space="0"/>
                    <w:right w:val="single" w:color="000000" w:sz="4" w:space="0"/>
                  </w:tcBorders>
                  <w:vAlign w:val="center"/>
                </w:tcPr>
                <w:p w14:paraId="100718E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500" w:type="dxa"/>
                  <w:tcBorders>
                    <w:top w:val="nil"/>
                    <w:left w:val="nil"/>
                    <w:bottom w:val="single" w:color="000000" w:sz="4" w:space="0"/>
                    <w:right w:val="single" w:color="000000" w:sz="4" w:space="0"/>
                  </w:tcBorders>
                  <w:vAlign w:val="center"/>
                </w:tcPr>
                <w:p w14:paraId="1740A50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465" w:type="dxa"/>
                  <w:tcBorders>
                    <w:top w:val="nil"/>
                    <w:left w:val="nil"/>
                    <w:bottom w:val="single" w:color="000000" w:sz="4" w:space="0"/>
                    <w:right w:val="single" w:color="000000" w:sz="4" w:space="0"/>
                  </w:tcBorders>
                  <w:vAlign w:val="center"/>
                </w:tcPr>
                <w:p w14:paraId="0E10979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50D5A95F">
              <w:tblPrEx>
                <w:tblCellMar>
                  <w:top w:w="0" w:type="dxa"/>
                  <w:left w:w="108" w:type="dxa"/>
                  <w:bottom w:w="0" w:type="dxa"/>
                  <w:right w:w="108" w:type="dxa"/>
                </w:tblCellMar>
              </w:tblPrEx>
              <w:trPr>
                <w:trHeight w:val="1240" w:hRule="atLeast"/>
              </w:trPr>
              <w:tc>
                <w:tcPr>
                  <w:tcW w:w="596" w:type="dxa"/>
                  <w:tcBorders>
                    <w:top w:val="nil"/>
                    <w:left w:val="single" w:color="000000" w:sz="4" w:space="0"/>
                    <w:bottom w:val="single" w:color="000000" w:sz="4" w:space="0"/>
                    <w:right w:val="nil"/>
                  </w:tcBorders>
                  <w:vAlign w:val="center"/>
                </w:tcPr>
                <w:p w14:paraId="70F713E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077" w:type="dxa"/>
                  <w:tcBorders>
                    <w:top w:val="nil"/>
                    <w:left w:val="single" w:color="000000" w:sz="4" w:space="0"/>
                    <w:bottom w:val="single" w:color="000000" w:sz="4" w:space="0"/>
                    <w:right w:val="single" w:color="000000" w:sz="4" w:space="0"/>
                  </w:tcBorders>
                  <w:vAlign w:val="center"/>
                </w:tcPr>
                <w:p w14:paraId="26954CE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500" w:type="dxa"/>
                  <w:tcBorders>
                    <w:top w:val="nil"/>
                    <w:left w:val="nil"/>
                    <w:bottom w:val="single" w:color="000000" w:sz="4" w:space="0"/>
                    <w:right w:val="single" w:color="000000" w:sz="4" w:space="0"/>
                  </w:tcBorders>
                  <w:vAlign w:val="center"/>
                </w:tcPr>
                <w:p w14:paraId="42BC91F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465" w:type="dxa"/>
                  <w:tcBorders>
                    <w:top w:val="nil"/>
                    <w:left w:val="nil"/>
                    <w:bottom w:val="single" w:color="000000" w:sz="4" w:space="0"/>
                    <w:right w:val="single" w:color="000000" w:sz="4" w:space="0"/>
                  </w:tcBorders>
                  <w:vAlign w:val="center"/>
                </w:tcPr>
                <w:p w14:paraId="58DDE57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289115D2">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2E29858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077" w:type="dxa"/>
                  <w:vMerge w:val="restart"/>
                  <w:tcBorders>
                    <w:top w:val="nil"/>
                    <w:left w:val="single" w:color="000000" w:sz="4" w:space="0"/>
                    <w:bottom w:val="single" w:color="000000" w:sz="4" w:space="0"/>
                    <w:right w:val="single" w:color="000000" w:sz="4" w:space="0"/>
                  </w:tcBorders>
                  <w:vAlign w:val="center"/>
                </w:tcPr>
                <w:p w14:paraId="71A90B49">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500" w:type="dxa"/>
                  <w:tcBorders>
                    <w:top w:val="nil"/>
                    <w:left w:val="nil"/>
                    <w:bottom w:val="single" w:color="000000" w:sz="4" w:space="0"/>
                    <w:right w:val="single" w:color="000000" w:sz="4" w:space="0"/>
                  </w:tcBorders>
                  <w:vAlign w:val="center"/>
                </w:tcPr>
                <w:p w14:paraId="72D19AB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465" w:type="dxa"/>
                  <w:tcBorders>
                    <w:top w:val="nil"/>
                    <w:left w:val="nil"/>
                    <w:bottom w:val="single" w:color="000000" w:sz="4" w:space="0"/>
                    <w:right w:val="single" w:color="000000" w:sz="4" w:space="0"/>
                  </w:tcBorders>
                  <w:vAlign w:val="center"/>
                </w:tcPr>
                <w:p w14:paraId="45CDD82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≥2.5GHz</w:t>
                  </w:r>
                </w:p>
              </w:tc>
            </w:tr>
            <w:tr w14:paraId="449F3B0D">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670A3D9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077" w:type="dxa"/>
                  <w:vMerge w:val="continue"/>
                  <w:tcBorders>
                    <w:top w:val="nil"/>
                    <w:left w:val="single" w:color="000000" w:sz="4" w:space="0"/>
                    <w:bottom w:val="single" w:color="000000" w:sz="4" w:space="0"/>
                    <w:right w:val="single" w:color="000000" w:sz="4" w:space="0"/>
                  </w:tcBorders>
                  <w:vAlign w:val="center"/>
                </w:tcPr>
                <w:p w14:paraId="4A46CD5F">
                  <w:pPr>
                    <w:rPr>
                      <w:highlight w:val="none"/>
                    </w:rPr>
                  </w:pPr>
                </w:p>
              </w:tc>
              <w:tc>
                <w:tcPr>
                  <w:tcW w:w="1500" w:type="dxa"/>
                  <w:tcBorders>
                    <w:top w:val="nil"/>
                    <w:left w:val="nil"/>
                    <w:bottom w:val="single" w:color="000000" w:sz="4" w:space="0"/>
                    <w:right w:val="single" w:color="000000" w:sz="4" w:space="0"/>
                  </w:tcBorders>
                  <w:vAlign w:val="center"/>
                </w:tcPr>
                <w:p w14:paraId="6CA2E57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465" w:type="dxa"/>
                  <w:tcBorders>
                    <w:top w:val="nil"/>
                    <w:left w:val="nil"/>
                    <w:bottom w:val="single" w:color="000000" w:sz="4" w:space="0"/>
                    <w:right w:val="single" w:color="000000" w:sz="4" w:space="0"/>
                  </w:tcBorders>
                  <w:vAlign w:val="center"/>
                </w:tcPr>
                <w:p w14:paraId="07300FB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≥16</w:t>
                  </w:r>
                </w:p>
              </w:tc>
            </w:tr>
            <w:tr w14:paraId="0013ABB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6E7D910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077" w:type="dxa"/>
                  <w:vMerge w:val="continue"/>
                  <w:tcBorders>
                    <w:top w:val="nil"/>
                    <w:left w:val="single" w:color="000000" w:sz="4" w:space="0"/>
                    <w:bottom w:val="single" w:color="000000" w:sz="4" w:space="0"/>
                    <w:right w:val="single" w:color="000000" w:sz="4" w:space="0"/>
                  </w:tcBorders>
                  <w:vAlign w:val="center"/>
                </w:tcPr>
                <w:p w14:paraId="16DB5A7E">
                  <w:pPr>
                    <w:rPr>
                      <w:highlight w:val="none"/>
                    </w:rPr>
                  </w:pPr>
                </w:p>
              </w:tc>
              <w:tc>
                <w:tcPr>
                  <w:tcW w:w="1500" w:type="dxa"/>
                  <w:tcBorders>
                    <w:top w:val="nil"/>
                    <w:left w:val="nil"/>
                    <w:bottom w:val="single" w:color="000000" w:sz="4" w:space="0"/>
                    <w:right w:val="single" w:color="000000" w:sz="4" w:space="0"/>
                  </w:tcBorders>
                  <w:vAlign w:val="center"/>
                </w:tcPr>
                <w:p w14:paraId="24CE7959">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465" w:type="dxa"/>
                  <w:tcBorders>
                    <w:top w:val="nil"/>
                    <w:left w:val="nil"/>
                    <w:bottom w:val="single" w:color="000000" w:sz="4" w:space="0"/>
                    <w:right w:val="single" w:color="000000" w:sz="4" w:space="0"/>
                  </w:tcBorders>
                  <w:vAlign w:val="center"/>
                </w:tcPr>
                <w:p w14:paraId="201947D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≥32MB</w:t>
                  </w:r>
                </w:p>
              </w:tc>
            </w:tr>
            <w:tr w14:paraId="3D07C66A">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0EFAFEC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077" w:type="dxa"/>
                  <w:tcBorders>
                    <w:top w:val="nil"/>
                    <w:left w:val="single" w:color="000000" w:sz="4" w:space="0"/>
                    <w:bottom w:val="single" w:color="000000" w:sz="4" w:space="0"/>
                    <w:right w:val="single" w:color="000000" w:sz="4" w:space="0"/>
                  </w:tcBorders>
                  <w:vAlign w:val="center"/>
                </w:tcPr>
                <w:p w14:paraId="69156818">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500" w:type="dxa"/>
                  <w:tcBorders>
                    <w:top w:val="nil"/>
                    <w:left w:val="nil"/>
                    <w:bottom w:val="single" w:color="000000" w:sz="4" w:space="0"/>
                    <w:right w:val="single" w:color="000000" w:sz="4" w:space="0"/>
                  </w:tcBorders>
                  <w:vAlign w:val="center"/>
                </w:tcPr>
                <w:p w14:paraId="58F9B47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465" w:type="dxa"/>
                  <w:tcBorders>
                    <w:top w:val="nil"/>
                    <w:left w:val="nil"/>
                    <w:bottom w:val="single" w:color="000000" w:sz="4" w:space="0"/>
                    <w:right w:val="single" w:color="000000" w:sz="4" w:space="0"/>
                  </w:tcBorders>
                  <w:vAlign w:val="center"/>
                </w:tcPr>
                <w:p w14:paraId="1C17F1E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765D3252">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A05EF0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077" w:type="dxa"/>
                  <w:tcBorders>
                    <w:top w:val="nil"/>
                    <w:left w:val="single" w:color="000000" w:sz="4" w:space="0"/>
                    <w:bottom w:val="single" w:color="000000" w:sz="4" w:space="0"/>
                    <w:right w:val="single" w:color="000000" w:sz="4" w:space="0"/>
                  </w:tcBorders>
                  <w:vAlign w:val="center"/>
                </w:tcPr>
                <w:p w14:paraId="1F84E0FA">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500" w:type="dxa"/>
                  <w:tcBorders>
                    <w:top w:val="nil"/>
                    <w:left w:val="nil"/>
                    <w:bottom w:val="single" w:color="000000" w:sz="4" w:space="0"/>
                    <w:right w:val="single" w:color="000000" w:sz="4" w:space="0"/>
                  </w:tcBorders>
                  <w:vAlign w:val="center"/>
                </w:tcPr>
                <w:p w14:paraId="7FD0107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465" w:type="dxa"/>
                  <w:tcBorders>
                    <w:top w:val="nil"/>
                    <w:left w:val="nil"/>
                    <w:bottom w:val="single" w:color="000000" w:sz="4" w:space="0"/>
                    <w:right w:val="single" w:color="000000" w:sz="4" w:space="0"/>
                  </w:tcBorders>
                  <w:vAlign w:val="center"/>
                </w:tcPr>
                <w:p w14:paraId="267D013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5790D671">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E6887B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077" w:type="dxa"/>
                  <w:vMerge w:val="restart"/>
                  <w:tcBorders>
                    <w:top w:val="nil"/>
                    <w:left w:val="single" w:color="000000" w:sz="4" w:space="0"/>
                    <w:bottom w:val="single" w:color="000000" w:sz="4" w:space="0"/>
                    <w:right w:val="single" w:color="000000" w:sz="4" w:space="0"/>
                  </w:tcBorders>
                  <w:vAlign w:val="center"/>
                </w:tcPr>
                <w:p w14:paraId="7880061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500" w:type="dxa"/>
                  <w:tcBorders>
                    <w:top w:val="nil"/>
                    <w:left w:val="nil"/>
                    <w:bottom w:val="single" w:color="000000" w:sz="4" w:space="0"/>
                    <w:right w:val="single" w:color="000000" w:sz="4" w:space="0"/>
                  </w:tcBorders>
                  <w:vAlign w:val="center"/>
                </w:tcPr>
                <w:p w14:paraId="07CE29DD">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465" w:type="dxa"/>
                  <w:tcBorders>
                    <w:top w:val="nil"/>
                    <w:left w:val="nil"/>
                    <w:bottom w:val="single" w:color="000000" w:sz="4" w:space="0"/>
                    <w:right w:val="single" w:color="000000" w:sz="4" w:space="0"/>
                  </w:tcBorders>
                  <w:vAlign w:val="center"/>
                </w:tcPr>
                <w:p w14:paraId="67ACD27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477C40FA">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815E47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077" w:type="dxa"/>
                  <w:vMerge w:val="continue"/>
                  <w:tcBorders>
                    <w:top w:val="nil"/>
                    <w:left w:val="single" w:color="000000" w:sz="4" w:space="0"/>
                    <w:bottom w:val="single" w:color="000000" w:sz="4" w:space="0"/>
                    <w:right w:val="single" w:color="000000" w:sz="4" w:space="0"/>
                  </w:tcBorders>
                  <w:vAlign w:val="center"/>
                </w:tcPr>
                <w:p w14:paraId="75ACEBA4">
                  <w:pPr>
                    <w:rPr>
                      <w:highlight w:val="none"/>
                    </w:rPr>
                  </w:pPr>
                </w:p>
              </w:tc>
              <w:tc>
                <w:tcPr>
                  <w:tcW w:w="1500" w:type="dxa"/>
                  <w:tcBorders>
                    <w:top w:val="nil"/>
                    <w:left w:val="nil"/>
                    <w:bottom w:val="single" w:color="000000" w:sz="4" w:space="0"/>
                    <w:right w:val="single" w:color="000000" w:sz="4" w:space="0"/>
                  </w:tcBorders>
                  <w:vAlign w:val="center"/>
                </w:tcPr>
                <w:p w14:paraId="45D6BC1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465" w:type="dxa"/>
                  <w:tcBorders>
                    <w:top w:val="nil"/>
                    <w:left w:val="nil"/>
                    <w:bottom w:val="single" w:color="000000" w:sz="4" w:space="0"/>
                    <w:right w:val="single" w:color="000000" w:sz="4" w:space="0"/>
                  </w:tcBorders>
                  <w:vAlign w:val="center"/>
                </w:tcPr>
                <w:p w14:paraId="0257E8C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3DAA16C4">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1173197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077" w:type="dxa"/>
                  <w:vMerge w:val="continue"/>
                  <w:tcBorders>
                    <w:top w:val="nil"/>
                    <w:left w:val="single" w:color="000000" w:sz="4" w:space="0"/>
                    <w:bottom w:val="single" w:color="000000" w:sz="4" w:space="0"/>
                    <w:right w:val="single" w:color="000000" w:sz="4" w:space="0"/>
                  </w:tcBorders>
                  <w:vAlign w:val="center"/>
                </w:tcPr>
                <w:p w14:paraId="0530B9B3">
                  <w:pPr>
                    <w:rPr>
                      <w:highlight w:val="none"/>
                    </w:rPr>
                  </w:pPr>
                </w:p>
              </w:tc>
              <w:tc>
                <w:tcPr>
                  <w:tcW w:w="1500" w:type="dxa"/>
                  <w:tcBorders>
                    <w:top w:val="nil"/>
                    <w:left w:val="nil"/>
                    <w:bottom w:val="single" w:color="000000" w:sz="4" w:space="0"/>
                    <w:right w:val="single" w:color="000000" w:sz="4" w:space="0"/>
                  </w:tcBorders>
                  <w:vAlign w:val="center"/>
                </w:tcPr>
                <w:p w14:paraId="79E95F39">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465" w:type="dxa"/>
                  <w:tcBorders>
                    <w:top w:val="nil"/>
                    <w:left w:val="nil"/>
                    <w:bottom w:val="single" w:color="000000" w:sz="4" w:space="0"/>
                    <w:right w:val="single" w:color="000000" w:sz="4" w:space="0"/>
                  </w:tcBorders>
                  <w:vAlign w:val="center"/>
                </w:tcPr>
                <w:p w14:paraId="677D367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381E8D78">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196B8B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077" w:type="dxa"/>
                  <w:vMerge w:val="continue"/>
                  <w:tcBorders>
                    <w:top w:val="nil"/>
                    <w:left w:val="single" w:color="000000" w:sz="4" w:space="0"/>
                    <w:bottom w:val="single" w:color="000000" w:sz="4" w:space="0"/>
                    <w:right w:val="single" w:color="000000" w:sz="4" w:space="0"/>
                  </w:tcBorders>
                  <w:vAlign w:val="center"/>
                </w:tcPr>
                <w:p w14:paraId="306C98E4">
                  <w:pPr>
                    <w:rPr>
                      <w:highlight w:val="none"/>
                    </w:rPr>
                  </w:pPr>
                </w:p>
              </w:tc>
              <w:tc>
                <w:tcPr>
                  <w:tcW w:w="1500" w:type="dxa"/>
                  <w:tcBorders>
                    <w:top w:val="nil"/>
                    <w:left w:val="nil"/>
                    <w:bottom w:val="single" w:color="000000" w:sz="4" w:space="0"/>
                    <w:right w:val="single" w:color="000000" w:sz="4" w:space="0"/>
                  </w:tcBorders>
                  <w:vAlign w:val="center"/>
                </w:tcPr>
                <w:p w14:paraId="34DF407A">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465" w:type="dxa"/>
                  <w:tcBorders>
                    <w:top w:val="nil"/>
                    <w:left w:val="nil"/>
                    <w:bottom w:val="single" w:color="000000" w:sz="4" w:space="0"/>
                    <w:right w:val="single" w:color="000000" w:sz="4" w:space="0"/>
                  </w:tcBorders>
                  <w:vAlign w:val="center"/>
                </w:tcPr>
                <w:p w14:paraId="2F7F2D3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43C239F1">
              <w:tblPrEx>
                <w:tblCellMar>
                  <w:top w:w="0" w:type="dxa"/>
                  <w:left w:w="108" w:type="dxa"/>
                  <w:bottom w:w="0" w:type="dxa"/>
                  <w:right w:w="108" w:type="dxa"/>
                </w:tblCellMar>
              </w:tblPrEx>
              <w:trPr>
                <w:trHeight w:val="1550" w:hRule="atLeast"/>
              </w:trPr>
              <w:tc>
                <w:tcPr>
                  <w:tcW w:w="596" w:type="dxa"/>
                  <w:tcBorders>
                    <w:top w:val="nil"/>
                    <w:left w:val="single" w:color="000000" w:sz="4" w:space="0"/>
                    <w:bottom w:val="single" w:color="000000" w:sz="4" w:space="0"/>
                    <w:right w:val="nil"/>
                  </w:tcBorders>
                  <w:vAlign w:val="center"/>
                </w:tcPr>
                <w:p w14:paraId="689BC08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077" w:type="dxa"/>
                  <w:tcBorders>
                    <w:top w:val="nil"/>
                    <w:left w:val="single" w:color="000000" w:sz="4" w:space="0"/>
                    <w:bottom w:val="single" w:color="000000" w:sz="4" w:space="0"/>
                    <w:right w:val="single" w:color="000000" w:sz="4" w:space="0"/>
                  </w:tcBorders>
                  <w:vAlign w:val="center"/>
                </w:tcPr>
                <w:p w14:paraId="26DDD25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500" w:type="dxa"/>
                  <w:tcBorders>
                    <w:top w:val="nil"/>
                    <w:left w:val="nil"/>
                    <w:bottom w:val="single" w:color="000000" w:sz="4" w:space="0"/>
                    <w:right w:val="single" w:color="000000" w:sz="4" w:space="0"/>
                  </w:tcBorders>
                  <w:vAlign w:val="center"/>
                </w:tcPr>
                <w:p w14:paraId="00872532">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465" w:type="dxa"/>
                  <w:tcBorders>
                    <w:top w:val="nil"/>
                    <w:left w:val="nil"/>
                    <w:bottom w:val="single" w:color="000000" w:sz="4" w:space="0"/>
                    <w:right w:val="single" w:color="000000" w:sz="4" w:space="0"/>
                  </w:tcBorders>
                  <w:vAlign w:val="center"/>
                </w:tcPr>
                <w:p w14:paraId="377F449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1E86AF17">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5DC3AE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077" w:type="dxa"/>
                  <w:vMerge w:val="restart"/>
                  <w:tcBorders>
                    <w:top w:val="nil"/>
                    <w:left w:val="single" w:color="000000" w:sz="4" w:space="0"/>
                    <w:bottom w:val="single" w:color="000000" w:sz="4" w:space="0"/>
                    <w:right w:val="single" w:color="000000" w:sz="4" w:space="0"/>
                  </w:tcBorders>
                  <w:vAlign w:val="center"/>
                </w:tcPr>
                <w:p w14:paraId="27A9EFF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500" w:type="dxa"/>
                  <w:tcBorders>
                    <w:top w:val="nil"/>
                    <w:left w:val="nil"/>
                    <w:bottom w:val="single" w:color="000000" w:sz="4" w:space="0"/>
                    <w:right w:val="single" w:color="000000" w:sz="4" w:space="0"/>
                  </w:tcBorders>
                  <w:vAlign w:val="center"/>
                </w:tcPr>
                <w:p w14:paraId="4207F92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465" w:type="dxa"/>
                  <w:tcBorders>
                    <w:top w:val="nil"/>
                    <w:left w:val="nil"/>
                    <w:bottom w:val="single" w:color="000000" w:sz="4" w:space="0"/>
                    <w:right w:val="single" w:color="000000" w:sz="4" w:space="0"/>
                  </w:tcBorders>
                  <w:vAlign w:val="center"/>
                </w:tcPr>
                <w:p w14:paraId="0FCD73E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42CB2AC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33A7C186">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077" w:type="dxa"/>
                  <w:vMerge w:val="continue"/>
                  <w:tcBorders>
                    <w:top w:val="nil"/>
                    <w:left w:val="single" w:color="000000" w:sz="4" w:space="0"/>
                    <w:bottom w:val="single" w:color="000000" w:sz="4" w:space="0"/>
                    <w:right w:val="single" w:color="000000" w:sz="4" w:space="0"/>
                  </w:tcBorders>
                  <w:vAlign w:val="center"/>
                </w:tcPr>
                <w:p w14:paraId="3FC5818A">
                  <w:pPr>
                    <w:rPr>
                      <w:highlight w:val="none"/>
                    </w:rPr>
                  </w:pPr>
                </w:p>
              </w:tc>
              <w:tc>
                <w:tcPr>
                  <w:tcW w:w="1500" w:type="dxa"/>
                  <w:tcBorders>
                    <w:top w:val="nil"/>
                    <w:left w:val="nil"/>
                    <w:bottom w:val="single" w:color="000000" w:sz="4" w:space="0"/>
                    <w:right w:val="single" w:color="000000" w:sz="4" w:space="0"/>
                  </w:tcBorders>
                  <w:vAlign w:val="center"/>
                </w:tcPr>
                <w:p w14:paraId="12369F0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465" w:type="dxa"/>
                  <w:tcBorders>
                    <w:top w:val="nil"/>
                    <w:left w:val="nil"/>
                    <w:bottom w:val="single" w:color="000000" w:sz="4" w:space="0"/>
                    <w:right w:val="single" w:color="000000" w:sz="4" w:space="0"/>
                  </w:tcBorders>
                  <w:vAlign w:val="center"/>
                </w:tcPr>
                <w:p w14:paraId="17EFA11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03CF20F8">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49E71F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077" w:type="dxa"/>
                  <w:vMerge w:val="continue"/>
                  <w:tcBorders>
                    <w:top w:val="nil"/>
                    <w:left w:val="single" w:color="000000" w:sz="4" w:space="0"/>
                    <w:bottom w:val="single" w:color="000000" w:sz="4" w:space="0"/>
                    <w:right w:val="single" w:color="000000" w:sz="4" w:space="0"/>
                  </w:tcBorders>
                  <w:vAlign w:val="center"/>
                </w:tcPr>
                <w:p w14:paraId="6BE00B97">
                  <w:pPr>
                    <w:rPr>
                      <w:highlight w:val="none"/>
                    </w:rPr>
                  </w:pPr>
                </w:p>
              </w:tc>
              <w:tc>
                <w:tcPr>
                  <w:tcW w:w="1500" w:type="dxa"/>
                  <w:tcBorders>
                    <w:top w:val="nil"/>
                    <w:left w:val="nil"/>
                    <w:bottom w:val="single" w:color="000000" w:sz="4" w:space="0"/>
                    <w:right w:val="single" w:color="000000" w:sz="4" w:space="0"/>
                  </w:tcBorders>
                  <w:vAlign w:val="center"/>
                </w:tcPr>
                <w:p w14:paraId="374A4628">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465" w:type="dxa"/>
                  <w:tcBorders>
                    <w:top w:val="nil"/>
                    <w:left w:val="nil"/>
                    <w:bottom w:val="single" w:color="000000" w:sz="4" w:space="0"/>
                    <w:right w:val="single" w:color="000000" w:sz="4" w:space="0"/>
                  </w:tcBorders>
                  <w:vAlign w:val="center"/>
                </w:tcPr>
                <w:p w14:paraId="73448CF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7740B008">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BE5104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077" w:type="dxa"/>
                  <w:vMerge w:val="restart"/>
                  <w:tcBorders>
                    <w:top w:val="nil"/>
                    <w:left w:val="single" w:color="000000" w:sz="4" w:space="0"/>
                    <w:bottom w:val="single" w:color="000000" w:sz="4" w:space="0"/>
                    <w:right w:val="single" w:color="000000" w:sz="4" w:space="0"/>
                  </w:tcBorders>
                  <w:vAlign w:val="center"/>
                </w:tcPr>
                <w:p w14:paraId="5AA0CC7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500" w:type="dxa"/>
                  <w:tcBorders>
                    <w:top w:val="nil"/>
                    <w:left w:val="nil"/>
                    <w:bottom w:val="single" w:color="000000" w:sz="4" w:space="0"/>
                    <w:right w:val="single" w:color="000000" w:sz="4" w:space="0"/>
                  </w:tcBorders>
                  <w:vAlign w:val="center"/>
                </w:tcPr>
                <w:p w14:paraId="2E81382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465" w:type="dxa"/>
                  <w:tcBorders>
                    <w:top w:val="nil"/>
                    <w:left w:val="nil"/>
                    <w:bottom w:val="single" w:color="000000" w:sz="4" w:space="0"/>
                    <w:right w:val="single" w:color="000000" w:sz="4" w:space="0"/>
                  </w:tcBorders>
                  <w:vAlign w:val="center"/>
                </w:tcPr>
                <w:p w14:paraId="1AF25E4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45E0E7F8">
              <w:tblPrEx>
                <w:tblCellMar>
                  <w:top w:w="0" w:type="dxa"/>
                  <w:left w:w="108" w:type="dxa"/>
                  <w:bottom w:w="0" w:type="dxa"/>
                  <w:right w:w="108" w:type="dxa"/>
                </w:tblCellMar>
              </w:tblPrEx>
              <w:trPr>
                <w:trHeight w:val="310" w:hRule="atLeast"/>
              </w:trPr>
              <w:tc>
                <w:tcPr>
                  <w:tcW w:w="596" w:type="dxa"/>
                  <w:tcBorders>
                    <w:top w:val="nil"/>
                    <w:left w:val="single" w:color="000000" w:sz="4" w:space="0"/>
                    <w:bottom w:val="single" w:color="000000" w:sz="4" w:space="0"/>
                    <w:right w:val="nil"/>
                  </w:tcBorders>
                  <w:vAlign w:val="center"/>
                </w:tcPr>
                <w:p w14:paraId="4A0E89B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077" w:type="dxa"/>
                  <w:vMerge w:val="continue"/>
                  <w:tcBorders>
                    <w:top w:val="nil"/>
                    <w:left w:val="single" w:color="000000" w:sz="4" w:space="0"/>
                    <w:bottom w:val="single" w:color="000000" w:sz="4" w:space="0"/>
                    <w:right w:val="single" w:color="000000" w:sz="4" w:space="0"/>
                  </w:tcBorders>
                  <w:vAlign w:val="center"/>
                </w:tcPr>
                <w:p w14:paraId="3DA40331">
                  <w:pPr>
                    <w:rPr>
                      <w:highlight w:val="none"/>
                    </w:rPr>
                  </w:pPr>
                </w:p>
              </w:tc>
              <w:tc>
                <w:tcPr>
                  <w:tcW w:w="1500" w:type="dxa"/>
                  <w:tcBorders>
                    <w:top w:val="nil"/>
                    <w:left w:val="nil"/>
                    <w:bottom w:val="single" w:color="000000" w:sz="4" w:space="0"/>
                    <w:right w:val="single" w:color="000000" w:sz="4" w:space="0"/>
                  </w:tcBorders>
                  <w:vAlign w:val="center"/>
                </w:tcPr>
                <w:p w14:paraId="66BEEFB0">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465" w:type="dxa"/>
                  <w:tcBorders>
                    <w:top w:val="nil"/>
                    <w:left w:val="nil"/>
                    <w:bottom w:val="single" w:color="000000" w:sz="4" w:space="0"/>
                    <w:right w:val="single" w:color="000000" w:sz="4" w:space="0"/>
                  </w:tcBorders>
                  <w:vAlign w:val="center"/>
                </w:tcPr>
                <w:p w14:paraId="1578FF8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5264DAB4">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67FD8A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077" w:type="dxa"/>
                  <w:vMerge w:val="continue"/>
                  <w:tcBorders>
                    <w:top w:val="nil"/>
                    <w:left w:val="single" w:color="000000" w:sz="4" w:space="0"/>
                    <w:bottom w:val="single" w:color="000000" w:sz="4" w:space="0"/>
                    <w:right w:val="single" w:color="000000" w:sz="4" w:space="0"/>
                  </w:tcBorders>
                  <w:vAlign w:val="center"/>
                </w:tcPr>
                <w:p w14:paraId="40B636AA">
                  <w:pPr>
                    <w:rPr>
                      <w:highlight w:val="none"/>
                    </w:rPr>
                  </w:pPr>
                </w:p>
              </w:tc>
              <w:tc>
                <w:tcPr>
                  <w:tcW w:w="1500" w:type="dxa"/>
                  <w:tcBorders>
                    <w:top w:val="nil"/>
                    <w:left w:val="nil"/>
                    <w:bottom w:val="single" w:color="000000" w:sz="4" w:space="0"/>
                    <w:right w:val="single" w:color="000000" w:sz="4" w:space="0"/>
                  </w:tcBorders>
                  <w:vAlign w:val="center"/>
                </w:tcPr>
                <w:p w14:paraId="09F8F68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465" w:type="dxa"/>
                  <w:tcBorders>
                    <w:top w:val="nil"/>
                    <w:left w:val="nil"/>
                    <w:bottom w:val="single" w:color="000000" w:sz="4" w:space="0"/>
                    <w:right w:val="single" w:color="000000" w:sz="4" w:space="0"/>
                  </w:tcBorders>
                  <w:vAlign w:val="center"/>
                </w:tcPr>
                <w:p w14:paraId="1842971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5A8733E8">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ED0ED2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077" w:type="dxa"/>
                  <w:tcBorders>
                    <w:top w:val="nil"/>
                    <w:left w:val="single" w:color="000000" w:sz="4" w:space="0"/>
                    <w:bottom w:val="single" w:color="000000" w:sz="4" w:space="0"/>
                    <w:right w:val="single" w:color="000000" w:sz="4" w:space="0"/>
                  </w:tcBorders>
                  <w:vAlign w:val="center"/>
                </w:tcPr>
                <w:p w14:paraId="076BC473">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500" w:type="dxa"/>
                  <w:tcBorders>
                    <w:top w:val="nil"/>
                    <w:left w:val="nil"/>
                    <w:bottom w:val="single" w:color="000000" w:sz="4" w:space="0"/>
                    <w:right w:val="single" w:color="000000" w:sz="4" w:space="0"/>
                  </w:tcBorders>
                  <w:vAlign w:val="center"/>
                </w:tcPr>
                <w:p w14:paraId="6BDA51A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465" w:type="dxa"/>
                  <w:tcBorders>
                    <w:top w:val="nil"/>
                    <w:left w:val="nil"/>
                    <w:bottom w:val="single" w:color="000000" w:sz="4" w:space="0"/>
                    <w:right w:val="single" w:color="000000" w:sz="4" w:space="0"/>
                  </w:tcBorders>
                  <w:vAlign w:val="center"/>
                </w:tcPr>
                <w:p w14:paraId="3106D461">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758420F1">
              <w:tblPrEx>
                <w:tblCellMar>
                  <w:top w:w="0" w:type="dxa"/>
                  <w:left w:w="108" w:type="dxa"/>
                  <w:bottom w:w="0" w:type="dxa"/>
                  <w:right w:w="108" w:type="dxa"/>
                </w:tblCellMar>
              </w:tblPrEx>
              <w:trPr>
                <w:trHeight w:val="3410" w:hRule="atLeast"/>
              </w:trPr>
              <w:tc>
                <w:tcPr>
                  <w:tcW w:w="596" w:type="dxa"/>
                  <w:tcBorders>
                    <w:top w:val="nil"/>
                    <w:left w:val="single" w:color="000000" w:sz="4" w:space="0"/>
                    <w:bottom w:val="single" w:color="000000" w:sz="4" w:space="0"/>
                    <w:right w:val="nil"/>
                  </w:tcBorders>
                  <w:vAlign w:val="center"/>
                </w:tcPr>
                <w:p w14:paraId="2DF78BB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077" w:type="dxa"/>
                  <w:vMerge w:val="restart"/>
                  <w:tcBorders>
                    <w:top w:val="nil"/>
                    <w:left w:val="single" w:color="000000" w:sz="4" w:space="0"/>
                    <w:bottom w:val="single" w:color="000000" w:sz="4" w:space="0"/>
                    <w:right w:val="single" w:color="000000" w:sz="4" w:space="0"/>
                  </w:tcBorders>
                  <w:vAlign w:val="center"/>
                </w:tcPr>
                <w:p w14:paraId="66F2B6A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500" w:type="dxa"/>
                  <w:tcBorders>
                    <w:top w:val="nil"/>
                    <w:left w:val="nil"/>
                    <w:bottom w:val="single" w:color="000000" w:sz="4" w:space="0"/>
                    <w:right w:val="single" w:color="000000" w:sz="4" w:space="0"/>
                  </w:tcBorders>
                  <w:vAlign w:val="center"/>
                </w:tcPr>
                <w:p w14:paraId="22E0B746">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465" w:type="dxa"/>
                  <w:tcBorders>
                    <w:top w:val="nil"/>
                    <w:left w:val="nil"/>
                    <w:bottom w:val="single" w:color="000000" w:sz="4" w:space="0"/>
                    <w:right w:val="single" w:color="000000" w:sz="4" w:space="0"/>
                  </w:tcBorders>
                  <w:vAlign w:val="center"/>
                </w:tcPr>
                <w:p w14:paraId="01A4C31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08CFE8B4">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63FF27E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077" w:type="dxa"/>
                  <w:vMerge w:val="continue"/>
                  <w:tcBorders>
                    <w:top w:val="nil"/>
                    <w:left w:val="single" w:color="000000" w:sz="4" w:space="0"/>
                    <w:bottom w:val="single" w:color="000000" w:sz="4" w:space="0"/>
                    <w:right w:val="single" w:color="000000" w:sz="4" w:space="0"/>
                  </w:tcBorders>
                  <w:vAlign w:val="center"/>
                </w:tcPr>
                <w:p w14:paraId="0EBDF5F2">
                  <w:pPr>
                    <w:rPr>
                      <w:highlight w:val="none"/>
                    </w:rPr>
                  </w:pPr>
                </w:p>
              </w:tc>
              <w:tc>
                <w:tcPr>
                  <w:tcW w:w="1500" w:type="dxa"/>
                  <w:tcBorders>
                    <w:top w:val="nil"/>
                    <w:left w:val="nil"/>
                    <w:bottom w:val="single" w:color="000000" w:sz="4" w:space="0"/>
                    <w:right w:val="single" w:color="000000" w:sz="4" w:space="0"/>
                  </w:tcBorders>
                  <w:vAlign w:val="center"/>
                </w:tcPr>
                <w:p w14:paraId="7CD5FFA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465" w:type="dxa"/>
                  <w:tcBorders>
                    <w:top w:val="nil"/>
                    <w:left w:val="nil"/>
                    <w:bottom w:val="single" w:color="000000" w:sz="4" w:space="0"/>
                    <w:right w:val="single" w:color="000000" w:sz="4" w:space="0"/>
                  </w:tcBorders>
                  <w:vAlign w:val="center"/>
                </w:tcPr>
                <w:p w14:paraId="60AF33A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5AF18046">
              <w:tblPrEx>
                <w:tblCellMar>
                  <w:top w:w="0" w:type="dxa"/>
                  <w:left w:w="108" w:type="dxa"/>
                  <w:bottom w:w="0" w:type="dxa"/>
                  <w:right w:w="108" w:type="dxa"/>
                </w:tblCellMar>
              </w:tblPrEx>
              <w:trPr>
                <w:trHeight w:val="727" w:hRule="atLeast"/>
              </w:trPr>
              <w:tc>
                <w:tcPr>
                  <w:tcW w:w="596" w:type="dxa"/>
                  <w:tcBorders>
                    <w:top w:val="nil"/>
                    <w:left w:val="single" w:color="000000" w:sz="4" w:space="0"/>
                    <w:bottom w:val="single" w:color="000000" w:sz="4" w:space="0"/>
                    <w:right w:val="nil"/>
                  </w:tcBorders>
                  <w:vAlign w:val="center"/>
                </w:tcPr>
                <w:p w14:paraId="7D2CF79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077" w:type="dxa"/>
                  <w:tcBorders>
                    <w:top w:val="nil"/>
                    <w:left w:val="single" w:color="000000" w:sz="4" w:space="0"/>
                    <w:bottom w:val="single" w:color="000000" w:sz="4" w:space="0"/>
                    <w:right w:val="single" w:color="000000" w:sz="4" w:space="0"/>
                  </w:tcBorders>
                  <w:vAlign w:val="center"/>
                </w:tcPr>
                <w:p w14:paraId="725BF50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500" w:type="dxa"/>
                  <w:tcBorders>
                    <w:top w:val="nil"/>
                    <w:left w:val="nil"/>
                    <w:bottom w:val="single" w:color="000000" w:sz="4" w:space="0"/>
                    <w:right w:val="single" w:color="000000" w:sz="4" w:space="0"/>
                  </w:tcBorders>
                  <w:vAlign w:val="center"/>
                </w:tcPr>
                <w:p w14:paraId="3123E82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465" w:type="dxa"/>
                  <w:tcBorders>
                    <w:top w:val="nil"/>
                    <w:left w:val="nil"/>
                    <w:bottom w:val="single" w:color="000000" w:sz="4" w:space="0"/>
                    <w:right w:val="single" w:color="000000" w:sz="4" w:space="0"/>
                  </w:tcBorders>
                  <w:vAlign w:val="center"/>
                </w:tcPr>
                <w:p w14:paraId="2CA6ABD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209811A8">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7790CC3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077" w:type="dxa"/>
                  <w:vMerge w:val="restart"/>
                  <w:tcBorders>
                    <w:top w:val="nil"/>
                    <w:left w:val="single" w:color="000000" w:sz="4" w:space="0"/>
                    <w:bottom w:val="single" w:color="000000" w:sz="4" w:space="0"/>
                    <w:right w:val="single" w:color="000000" w:sz="4" w:space="0"/>
                  </w:tcBorders>
                  <w:vAlign w:val="center"/>
                </w:tcPr>
                <w:p w14:paraId="644E161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500" w:type="dxa"/>
                  <w:tcBorders>
                    <w:top w:val="nil"/>
                    <w:left w:val="nil"/>
                    <w:bottom w:val="single" w:color="000000" w:sz="4" w:space="0"/>
                    <w:right w:val="single" w:color="000000" w:sz="4" w:space="0"/>
                  </w:tcBorders>
                  <w:vAlign w:val="center"/>
                </w:tcPr>
                <w:p w14:paraId="060ED5DE">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465" w:type="dxa"/>
                  <w:tcBorders>
                    <w:top w:val="nil"/>
                    <w:left w:val="nil"/>
                    <w:bottom w:val="single" w:color="000000" w:sz="4" w:space="0"/>
                    <w:right w:val="single" w:color="000000" w:sz="4" w:space="0"/>
                  </w:tcBorders>
                  <w:vAlign w:val="center"/>
                </w:tcPr>
                <w:p w14:paraId="051DC8A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49622C96">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294AA492">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077" w:type="dxa"/>
                  <w:vMerge w:val="continue"/>
                  <w:tcBorders>
                    <w:top w:val="nil"/>
                    <w:left w:val="single" w:color="000000" w:sz="4" w:space="0"/>
                    <w:bottom w:val="single" w:color="000000" w:sz="4" w:space="0"/>
                    <w:right w:val="single" w:color="000000" w:sz="4" w:space="0"/>
                  </w:tcBorders>
                  <w:vAlign w:val="center"/>
                </w:tcPr>
                <w:p w14:paraId="2F51F563">
                  <w:pPr>
                    <w:rPr>
                      <w:highlight w:val="none"/>
                    </w:rPr>
                  </w:pPr>
                </w:p>
              </w:tc>
              <w:tc>
                <w:tcPr>
                  <w:tcW w:w="1500" w:type="dxa"/>
                  <w:tcBorders>
                    <w:top w:val="nil"/>
                    <w:left w:val="nil"/>
                    <w:bottom w:val="single" w:color="000000" w:sz="4" w:space="0"/>
                    <w:right w:val="single" w:color="000000" w:sz="4" w:space="0"/>
                  </w:tcBorders>
                  <w:vAlign w:val="center"/>
                </w:tcPr>
                <w:p w14:paraId="723CB0AA">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465" w:type="dxa"/>
                  <w:tcBorders>
                    <w:top w:val="nil"/>
                    <w:left w:val="nil"/>
                    <w:bottom w:val="single" w:color="000000" w:sz="4" w:space="0"/>
                    <w:right w:val="single" w:color="000000" w:sz="4" w:space="0"/>
                  </w:tcBorders>
                  <w:vAlign w:val="center"/>
                </w:tcPr>
                <w:p w14:paraId="7F72780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4E1B61C5">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7E44896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077" w:type="dxa"/>
                  <w:vMerge w:val="continue"/>
                  <w:tcBorders>
                    <w:top w:val="nil"/>
                    <w:left w:val="single" w:color="000000" w:sz="4" w:space="0"/>
                    <w:bottom w:val="single" w:color="000000" w:sz="4" w:space="0"/>
                    <w:right w:val="single" w:color="000000" w:sz="4" w:space="0"/>
                  </w:tcBorders>
                  <w:vAlign w:val="center"/>
                </w:tcPr>
                <w:p w14:paraId="74C3BDDB">
                  <w:pPr>
                    <w:rPr>
                      <w:highlight w:val="none"/>
                    </w:rPr>
                  </w:pPr>
                </w:p>
              </w:tc>
              <w:tc>
                <w:tcPr>
                  <w:tcW w:w="1500" w:type="dxa"/>
                  <w:tcBorders>
                    <w:top w:val="nil"/>
                    <w:left w:val="nil"/>
                    <w:bottom w:val="single" w:color="000000" w:sz="4" w:space="0"/>
                    <w:right w:val="single" w:color="000000" w:sz="4" w:space="0"/>
                  </w:tcBorders>
                  <w:vAlign w:val="center"/>
                </w:tcPr>
                <w:p w14:paraId="30F1550F">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465" w:type="dxa"/>
                  <w:tcBorders>
                    <w:top w:val="nil"/>
                    <w:left w:val="nil"/>
                    <w:bottom w:val="single" w:color="000000" w:sz="4" w:space="0"/>
                    <w:right w:val="single" w:color="000000" w:sz="4" w:space="0"/>
                  </w:tcBorders>
                  <w:vAlign w:val="center"/>
                </w:tcPr>
                <w:p w14:paraId="60816C5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0D5232F1">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3338031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077" w:type="dxa"/>
                  <w:vMerge w:val="restart"/>
                  <w:tcBorders>
                    <w:top w:val="nil"/>
                    <w:left w:val="single" w:color="000000" w:sz="4" w:space="0"/>
                    <w:bottom w:val="single" w:color="000000" w:sz="4" w:space="0"/>
                    <w:right w:val="single" w:color="000000" w:sz="4" w:space="0"/>
                  </w:tcBorders>
                  <w:vAlign w:val="center"/>
                </w:tcPr>
                <w:p w14:paraId="739282CB">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500" w:type="dxa"/>
                  <w:tcBorders>
                    <w:top w:val="nil"/>
                    <w:left w:val="nil"/>
                    <w:bottom w:val="single" w:color="000000" w:sz="4" w:space="0"/>
                    <w:right w:val="single" w:color="000000" w:sz="4" w:space="0"/>
                  </w:tcBorders>
                  <w:vAlign w:val="center"/>
                </w:tcPr>
                <w:p w14:paraId="7A3E4244">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465" w:type="dxa"/>
                  <w:tcBorders>
                    <w:top w:val="nil"/>
                    <w:left w:val="nil"/>
                    <w:bottom w:val="single" w:color="000000" w:sz="4" w:space="0"/>
                    <w:right w:val="single" w:color="000000" w:sz="4" w:space="0"/>
                  </w:tcBorders>
                  <w:vAlign w:val="center"/>
                </w:tcPr>
                <w:p w14:paraId="218A645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14FC70D6">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1EE6DCC5">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077" w:type="dxa"/>
                  <w:vMerge w:val="continue"/>
                  <w:tcBorders>
                    <w:top w:val="nil"/>
                    <w:left w:val="single" w:color="000000" w:sz="4" w:space="0"/>
                    <w:bottom w:val="single" w:color="000000" w:sz="4" w:space="0"/>
                    <w:right w:val="single" w:color="000000" w:sz="4" w:space="0"/>
                  </w:tcBorders>
                  <w:vAlign w:val="center"/>
                </w:tcPr>
                <w:p w14:paraId="7301EADA">
                  <w:pPr>
                    <w:rPr>
                      <w:highlight w:val="none"/>
                    </w:rPr>
                  </w:pPr>
                </w:p>
              </w:tc>
              <w:tc>
                <w:tcPr>
                  <w:tcW w:w="1500" w:type="dxa"/>
                  <w:tcBorders>
                    <w:top w:val="nil"/>
                    <w:left w:val="nil"/>
                    <w:bottom w:val="single" w:color="000000" w:sz="4" w:space="0"/>
                    <w:right w:val="single" w:color="000000" w:sz="4" w:space="0"/>
                  </w:tcBorders>
                  <w:vAlign w:val="center"/>
                </w:tcPr>
                <w:p w14:paraId="546C3E91">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465" w:type="dxa"/>
                  <w:tcBorders>
                    <w:top w:val="nil"/>
                    <w:left w:val="nil"/>
                    <w:bottom w:val="single" w:color="000000" w:sz="4" w:space="0"/>
                    <w:right w:val="single" w:color="000000" w:sz="4" w:space="0"/>
                  </w:tcBorders>
                  <w:vAlign w:val="center"/>
                </w:tcPr>
                <w:p w14:paraId="67C39143">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76F69D75">
              <w:tblPrEx>
                <w:tblCellMar>
                  <w:top w:w="0" w:type="dxa"/>
                  <w:left w:w="108" w:type="dxa"/>
                  <w:bottom w:w="0" w:type="dxa"/>
                  <w:right w:w="108" w:type="dxa"/>
                </w:tblCellMar>
              </w:tblPrEx>
              <w:trPr>
                <w:trHeight w:val="930" w:hRule="atLeast"/>
              </w:trPr>
              <w:tc>
                <w:tcPr>
                  <w:tcW w:w="596" w:type="dxa"/>
                  <w:tcBorders>
                    <w:top w:val="nil"/>
                    <w:left w:val="single" w:color="000000" w:sz="4" w:space="0"/>
                    <w:bottom w:val="single" w:color="000000" w:sz="4" w:space="0"/>
                    <w:right w:val="nil"/>
                  </w:tcBorders>
                  <w:vAlign w:val="center"/>
                </w:tcPr>
                <w:p w14:paraId="677FCCC0">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077" w:type="dxa"/>
                  <w:vMerge w:val="restart"/>
                  <w:tcBorders>
                    <w:top w:val="nil"/>
                    <w:left w:val="single" w:color="000000" w:sz="4" w:space="0"/>
                    <w:bottom w:val="single" w:color="000000" w:sz="4" w:space="0"/>
                    <w:right w:val="single" w:color="000000" w:sz="4" w:space="0"/>
                  </w:tcBorders>
                  <w:vAlign w:val="center"/>
                </w:tcPr>
                <w:p w14:paraId="4FBF8E05">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500" w:type="dxa"/>
                  <w:tcBorders>
                    <w:top w:val="nil"/>
                    <w:left w:val="nil"/>
                    <w:bottom w:val="single" w:color="000000" w:sz="4" w:space="0"/>
                    <w:right w:val="single" w:color="000000" w:sz="4" w:space="0"/>
                  </w:tcBorders>
                  <w:vAlign w:val="center"/>
                </w:tcPr>
                <w:p w14:paraId="227F11AC">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465" w:type="dxa"/>
                  <w:tcBorders>
                    <w:top w:val="nil"/>
                    <w:left w:val="nil"/>
                    <w:bottom w:val="single" w:color="000000" w:sz="4" w:space="0"/>
                    <w:right w:val="single" w:color="000000" w:sz="4" w:space="0"/>
                  </w:tcBorders>
                  <w:vAlign w:val="center"/>
                </w:tcPr>
                <w:p w14:paraId="74734B5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7F4FAA2D">
              <w:tblPrEx>
                <w:tblCellMar>
                  <w:top w:w="0" w:type="dxa"/>
                  <w:left w:w="108" w:type="dxa"/>
                  <w:bottom w:w="0" w:type="dxa"/>
                  <w:right w:w="108" w:type="dxa"/>
                </w:tblCellMar>
              </w:tblPrEx>
              <w:trPr>
                <w:trHeight w:val="620" w:hRule="atLeast"/>
              </w:trPr>
              <w:tc>
                <w:tcPr>
                  <w:tcW w:w="596" w:type="dxa"/>
                  <w:tcBorders>
                    <w:top w:val="nil"/>
                    <w:left w:val="single" w:color="000000" w:sz="4" w:space="0"/>
                    <w:bottom w:val="single" w:color="000000" w:sz="4" w:space="0"/>
                    <w:right w:val="nil"/>
                  </w:tcBorders>
                  <w:vAlign w:val="center"/>
                </w:tcPr>
                <w:p w14:paraId="48E3D1F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077" w:type="dxa"/>
                  <w:vMerge w:val="continue"/>
                  <w:tcBorders>
                    <w:top w:val="nil"/>
                    <w:left w:val="single" w:color="000000" w:sz="4" w:space="0"/>
                    <w:bottom w:val="single" w:color="000000" w:sz="4" w:space="0"/>
                    <w:right w:val="single" w:color="000000" w:sz="4" w:space="0"/>
                  </w:tcBorders>
                  <w:vAlign w:val="center"/>
                </w:tcPr>
                <w:p w14:paraId="0DE79DCB">
                  <w:pPr>
                    <w:rPr>
                      <w:highlight w:val="none"/>
                    </w:rPr>
                  </w:pPr>
                </w:p>
              </w:tc>
              <w:tc>
                <w:tcPr>
                  <w:tcW w:w="1500" w:type="dxa"/>
                  <w:tcBorders>
                    <w:top w:val="nil"/>
                    <w:left w:val="nil"/>
                    <w:bottom w:val="single" w:color="000000" w:sz="4" w:space="0"/>
                    <w:right w:val="single" w:color="000000" w:sz="4" w:space="0"/>
                  </w:tcBorders>
                  <w:vAlign w:val="center"/>
                </w:tcPr>
                <w:p w14:paraId="34F4C127">
                  <w:pPr>
                    <w:widowControl/>
                    <w:jc w:val="left"/>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465" w:type="dxa"/>
                  <w:tcBorders>
                    <w:top w:val="nil"/>
                    <w:left w:val="nil"/>
                    <w:bottom w:val="single" w:color="000000" w:sz="4" w:space="0"/>
                    <w:right w:val="single" w:color="000000" w:sz="4" w:space="0"/>
                  </w:tcBorders>
                  <w:vAlign w:val="center"/>
                </w:tcPr>
                <w:p w14:paraId="25B2D9F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22BA8099">
            <w:pPr>
              <w:rPr>
                <w:rFonts w:ascii="宋体" w:hAnsi="宋体" w:eastAsia="仿宋" w:cs="宋体"/>
                <w:b/>
                <w:bCs/>
                <w:kern w:val="0"/>
                <w:sz w:val="22"/>
                <w:highlight w:val="none"/>
              </w:rPr>
            </w:pPr>
            <w:r>
              <w:rPr>
                <w:rFonts w:hint="eastAsia" w:ascii="宋体" w:hAnsi="宋体" w:eastAsia="仿宋" w:cs="宋体"/>
                <w:b/>
                <w:bCs/>
                <w:kern w:val="0"/>
                <w:sz w:val="22"/>
                <w:highlight w:val="none"/>
              </w:rPr>
              <w:t>附3：“大数据平台数据存储服务一体机”硬件部分详细参数配置要求：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29"/>
              <w:gridCol w:w="1360"/>
              <w:gridCol w:w="4148"/>
            </w:tblGrid>
            <w:tr w14:paraId="1028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84FB36F">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序号</w:t>
                  </w:r>
                </w:p>
              </w:tc>
              <w:tc>
                <w:tcPr>
                  <w:tcW w:w="1431" w:type="dxa"/>
                  <w:vAlign w:val="center"/>
                </w:tcPr>
                <w:p w14:paraId="2B12D001">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一级性能参数指标</w:t>
                  </w:r>
                </w:p>
              </w:tc>
              <w:tc>
                <w:tcPr>
                  <w:tcW w:w="1361" w:type="dxa"/>
                  <w:vAlign w:val="center"/>
                </w:tcPr>
                <w:p w14:paraId="57A72D08">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二级性能参数指标</w:t>
                  </w:r>
                </w:p>
              </w:tc>
              <w:tc>
                <w:tcPr>
                  <w:tcW w:w="4154" w:type="dxa"/>
                  <w:vAlign w:val="center"/>
                </w:tcPr>
                <w:p w14:paraId="4E82C03B">
                  <w:pPr>
                    <w:widowControl/>
                    <w:jc w:val="center"/>
                    <w:rPr>
                      <w:rFonts w:ascii="宋体" w:hAnsi="宋体" w:eastAsia="仿宋" w:cs="宋体"/>
                      <w:b/>
                      <w:bCs/>
                      <w:kern w:val="0"/>
                      <w:sz w:val="22"/>
                      <w:highlight w:val="none"/>
                    </w:rPr>
                  </w:pPr>
                  <w:r>
                    <w:rPr>
                      <w:rFonts w:hint="eastAsia" w:ascii="宋体" w:hAnsi="宋体" w:eastAsia="仿宋" w:cs="宋体"/>
                      <w:b/>
                      <w:bCs/>
                      <w:kern w:val="0"/>
                      <w:sz w:val="22"/>
                      <w:highlight w:val="none"/>
                    </w:rPr>
                    <w:t>详细参数配置要求</w:t>
                  </w:r>
                </w:p>
              </w:tc>
            </w:tr>
            <w:tr w14:paraId="4995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692" w:type="dxa"/>
                  <w:vAlign w:val="center"/>
                </w:tcPr>
                <w:p w14:paraId="53D9512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431" w:type="dxa"/>
                  <w:vAlign w:val="center"/>
                </w:tcPr>
                <w:p w14:paraId="2EB4C75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1" w:type="dxa"/>
                  <w:vAlign w:val="center"/>
                </w:tcPr>
                <w:p w14:paraId="0C9B30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154" w:type="dxa"/>
                  <w:vAlign w:val="center"/>
                </w:tcPr>
                <w:p w14:paraId="657AB9D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（2）单颗CPU物理核心数≥16核、主频≥2.5GHz、末级缓存容量≥32MB、线程数≥32、热设计功耗≥135W、支持内存的最高速率≥3200MHz、通道数≥4、位宽≥64位；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1166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5683738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431" w:type="dxa"/>
                  <w:vMerge w:val="restart"/>
                  <w:vAlign w:val="center"/>
                </w:tcPr>
                <w:p w14:paraId="423D51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1" w:type="dxa"/>
                  <w:vAlign w:val="center"/>
                </w:tcPr>
                <w:p w14:paraId="1887907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154" w:type="dxa"/>
                  <w:vAlign w:val="center"/>
                </w:tcPr>
                <w:p w14:paraId="620318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454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99C315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431" w:type="dxa"/>
                  <w:vMerge w:val="continue"/>
                  <w:vAlign w:val="center"/>
                </w:tcPr>
                <w:p w14:paraId="2A05CB34">
                  <w:pPr>
                    <w:rPr>
                      <w:highlight w:val="none"/>
                    </w:rPr>
                  </w:pPr>
                </w:p>
              </w:tc>
              <w:tc>
                <w:tcPr>
                  <w:tcW w:w="1361" w:type="dxa"/>
                  <w:vAlign w:val="center"/>
                </w:tcPr>
                <w:p w14:paraId="5A99C4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154" w:type="dxa"/>
                  <w:vAlign w:val="center"/>
                </w:tcPr>
                <w:p w14:paraId="170818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525C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92" w:type="dxa"/>
                  <w:vAlign w:val="center"/>
                </w:tcPr>
                <w:p w14:paraId="320092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431" w:type="dxa"/>
                  <w:vMerge w:val="continue"/>
                  <w:vAlign w:val="center"/>
                </w:tcPr>
                <w:p w14:paraId="6F5FC3EB">
                  <w:pPr>
                    <w:rPr>
                      <w:highlight w:val="none"/>
                    </w:rPr>
                  </w:pPr>
                </w:p>
              </w:tc>
              <w:tc>
                <w:tcPr>
                  <w:tcW w:w="1361" w:type="dxa"/>
                  <w:vAlign w:val="center"/>
                </w:tcPr>
                <w:p w14:paraId="5FAEC21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154" w:type="dxa"/>
                  <w:vAlign w:val="center"/>
                </w:tcPr>
                <w:p w14:paraId="5191B1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（2）板载支持≥12个SATA/SAS盘；</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0F3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FAAD31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431" w:type="dxa"/>
                  <w:vMerge w:val="continue"/>
                  <w:vAlign w:val="center"/>
                </w:tcPr>
                <w:p w14:paraId="34405BB1">
                  <w:pPr>
                    <w:rPr>
                      <w:highlight w:val="none"/>
                    </w:rPr>
                  </w:pPr>
                </w:p>
              </w:tc>
              <w:tc>
                <w:tcPr>
                  <w:tcW w:w="1361" w:type="dxa"/>
                  <w:vAlign w:val="center"/>
                </w:tcPr>
                <w:p w14:paraId="5C2E32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154" w:type="dxa"/>
                  <w:vAlign w:val="center"/>
                </w:tcPr>
                <w:p w14:paraId="0983A14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5784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2D955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431" w:type="dxa"/>
                  <w:vMerge w:val="continue"/>
                  <w:vAlign w:val="center"/>
                </w:tcPr>
                <w:p w14:paraId="57D7FBFC">
                  <w:pPr>
                    <w:rPr>
                      <w:highlight w:val="none"/>
                    </w:rPr>
                  </w:pPr>
                </w:p>
              </w:tc>
              <w:tc>
                <w:tcPr>
                  <w:tcW w:w="1361" w:type="dxa"/>
                  <w:vAlign w:val="center"/>
                </w:tcPr>
                <w:p w14:paraId="4D1A5A1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154" w:type="dxa"/>
                  <w:vAlign w:val="center"/>
                </w:tcPr>
                <w:p w14:paraId="50E672D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7384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545A493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431" w:type="dxa"/>
                  <w:vMerge w:val="restart"/>
                  <w:vAlign w:val="center"/>
                </w:tcPr>
                <w:p w14:paraId="0503E03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1" w:type="dxa"/>
                  <w:vAlign w:val="center"/>
                </w:tcPr>
                <w:p w14:paraId="2A683F2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154" w:type="dxa"/>
                  <w:vAlign w:val="center"/>
                </w:tcPr>
                <w:p w14:paraId="34E0362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内存数量≥8</w:t>
                  </w:r>
                </w:p>
              </w:tc>
            </w:tr>
            <w:tr w14:paraId="4660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159DB5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431" w:type="dxa"/>
                  <w:vMerge w:val="continue"/>
                  <w:vAlign w:val="center"/>
                </w:tcPr>
                <w:p w14:paraId="71AB05CB">
                  <w:pPr>
                    <w:rPr>
                      <w:highlight w:val="none"/>
                    </w:rPr>
                  </w:pPr>
                </w:p>
              </w:tc>
              <w:tc>
                <w:tcPr>
                  <w:tcW w:w="1361" w:type="dxa"/>
                  <w:vAlign w:val="center"/>
                </w:tcPr>
                <w:p w14:paraId="434F6EE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154" w:type="dxa"/>
                  <w:vAlign w:val="center"/>
                </w:tcPr>
                <w:p w14:paraId="505084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5927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31B249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431" w:type="dxa"/>
                  <w:vMerge w:val="continue"/>
                  <w:vAlign w:val="center"/>
                </w:tcPr>
                <w:p w14:paraId="35E6364F">
                  <w:pPr>
                    <w:rPr>
                      <w:highlight w:val="none"/>
                    </w:rPr>
                  </w:pPr>
                </w:p>
              </w:tc>
              <w:tc>
                <w:tcPr>
                  <w:tcW w:w="1361" w:type="dxa"/>
                  <w:vAlign w:val="center"/>
                </w:tcPr>
                <w:p w14:paraId="40D3CEF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154" w:type="dxa"/>
                  <w:vAlign w:val="center"/>
                </w:tcPr>
                <w:p w14:paraId="342300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690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1699CF2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431" w:type="dxa"/>
                  <w:vMerge w:val="restart"/>
                  <w:vAlign w:val="center"/>
                </w:tcPr>
                <w:p w14:paraId="40E186D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1" w:type="dxa"/>
                  <w:vAlign w:val="center"/>
                </w:tcPr>
                <w:p w14:paraId="60A703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154" w:type="dxa"/>
                  <w:vAlign w:val="center"/>
                </w:tcPr>
                <w:p w14:paraId="4399913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实配≥2块480G SATA企业级SSD；≥10块6TB SATA 7200RPM 3.5寸企业级硬盘</w:t>
                  </w:r>
                </w:p>
              </w:tc>
            </w:tr>
            <w:tr w14:paraId="0840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D4DAC1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431" w:type="dxa"/>
                  <w:vMerge w:val="continue"/>
                  <w:vAlign w:val="center"/>
                </w:tcPr>
                <w:p w14:paraId="10891C9F">
                  <w:pPr>
                    <w:rPr>
                      <w:highlight w:val="none"/>
                    </w:rPr>
                  </w:pPr>
                </w:p>
              </w:tc>
              <w:tc>
                <w:tcPr>
                  <w:tcW w:w="1361" w:type="dxa"/>
                  <w:vAlign w:val="center"/>
                </w:tcPr>
                <w:p w14:paraId="54C042E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154" w:type="dxa"/>
                  <w:vAlign w:val="center"/>
                </w:tcPr>
                <w:p w14:paraId="701EF67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实配≥2块SATA企业级SSD；≥10块SATA 7200RPM 3.5寸企业级硬盘</w:t>
                  </w:r>
                </w:p>
              </w:tc>
            </w:tr>
            <w:tr w14:paraId="7C91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92" w:type="dxa"/>
                  <w:vAlign w:val="center"/>
                </w:tcPr>
                <w:p w14:paraId="4854C3E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431" w:type="dxa"/>
                  <w:vMerge w:val="continue"/>
                  <w:vAlign w:val="center"/>
                </w:tcPr>
                <w:p w14:paraId="09ED7FE7">
                  <w:pPr>
                    <w:rPr>
                      <w:highlight w:val="none"/>
                    </w:rPr>
                  </w:pPr>
                </w:p>
              </w:tc>
              <w:tc>
                <w:tcPr>
                  <w:tcW w:w="1361" w:type="dxa"/>
                  <w:vAlign w:val="center"/>
                </w:tcPr>
                <w:p w14:paraId="6D4E8D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154" w:type="dxa"/>
                  <w:vAlign w:val="center"/>
                </w:tcPr>
                <w:p w14:paraId="2C7F83C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5983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400ED9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431" w:type="dxa"/>
                  <w:vAlign w:val="center"/>
                </w:tcPr>
                <w:p w14:paraId="1E4974E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1" w:type="dxa"/>
                  <w:vAlign w:val="center"/>
                </w:tcPr>
                <w:p w14:paraId="00ACAE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154" w:type="dxa"/>
                  <w:vAlign w:val="center"/>
                </w:tcPr>
                <w:p w14:paraId="21C8CE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≥1块双电口千兆网卡，</w:t>
                  </w:r>
                  <w:r>
                    <w:rPr>
                      <w:rStyle w:val="90"/>
                      <w:highlight w:val="none"/>
                    </w:rPr>
                    <w:t>_x0007_</w:t>
                  </w:r>
                  <w:r>
                    <w:rPr>
                      <w:rFonts w:hint="eastAsia" w:ascii="宋体" w:hAnsi="宋体" w:eastAsia="仿宋" w:cs="宋体"/>
                      <w:kern w:val="0"/>
                      <w:sz w:val="22"/>
                      <w:highlight w:val="none"/>
                    </w:rPr>
                    <w:t>≥1块双光口万兆网卡（含光模块）</w:t>
                  </w:r>
                </w:p>
              </w:tc>
            </w:tr>
            <w:tr w14:paraId="2A9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19E0BE2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431" w:type="dxa"/>
                  <w:vMerge w:val="restart"/>
                  <w:vAlign w:val="center"/>
                </w:tcPr>
                <w:p w14:paraId="4028CFC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1" w:type="dxa"/>
                  <w:vAlign w:val="center"/>
                </w:tcPr>
                <w:p w14:paraId="31D287B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154" w:type="dxa"/>
                  <w:vAlign w:val="center"/>
                </w:tcPr>
                <w:p w14:paraId="6BDA05A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425C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66755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431" w:type="dxa"/>
                  <w:vMerge w:val="continue"/>
                  <w:vAlign w:val="center"/>
                </w:tcPr>
                <w:p w14:paraId="2E1C7245">
                  <w:pPr>
                    <w:rPr>
                      <w:highlight w:val="none"/>
                    </w:rPr>
                  </w:pPr>
                </w:p>
              </w:tc>
              <w:tc>
                <w:tcPr>
                  <w:tcW w:w="1361" w:type="dxa"/>
                  <w:vAlign w:val="center"/>
                </w:tcPr>
                <w:p w14:paraId="564D02F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154" w:type="dxa"/>
                  <w:vAlign w:val="center"/>
                </w:tcPr>
                <w:p w14:paraId="0237CE8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33E1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5519C2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431" w:type="dxa"/>
                  <w:vMerge w:val="restart"/>
                  <w:vAlign w:val="center"/>
                </w:tcPr>
                <w:p w14:paraId="0E39E4D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1" w:type="dxa"/>
                  <w:vAlign w:val="center"/>
                </w:tcPr>
                <w:p w14:paraId="4934B29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154" w:type="dxa"/>
                  <w:vAlign w:val="center"/>
                </w:tcPr>
                <w:p w14:paraId="0858642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7168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676105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431" w:type="dxa"/>
                  <w:vMerge w:val="continue"/>
                  <w:vAlign w:val="center"/>
                </w:tcPr>
                <w:p w14:paraId="142A469F">
                  <w:pPr>
                    <w:rPr>
                      <w:highlight w:val="none"/>
                    </w:rPr>
                  </w:pPr>
                </w:p>
              </w:tc>
              <w:tc>
                <w:tcPr>
                  <w:tcW w:w="1361" w:type="dxa"/>
                  <w:vAlign w:val="center"/>
                </w:tcPr>
                <w:p w14:paraId="43AB4DF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154" w:type="dxa"/>
                  <w:vAlign w:val="center"/>
                </w:tcPr>
                <w:p w14:paraId="1D7855C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40F8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92" w:type="dxa"/>
                  <w:vAlign w:val="center"/>
                </w:tcPr>
                <w:p w14:paraId="256656D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431" w:type="dxa"/>
                  <w:vMerge w:val="restart"/>
                  <w:vAlign w:val="center"/>
                </w:tcPr>
                <w:p w14:paraId="4966ADE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1" w:type="dxa"/>
                  <w:vAlign w:val="center"/>
                </w:tcPr>
                <w:p w14:paraId="626BA14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154" w:type="dxa"/>
                  <w:vAlign w:val="center"/>
                </w:tcPr>
                <w:p w14:paraId="662FD23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6E65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B3A191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431" w:type="dxa"/>
                  <w:vMerge w:val="continue"/>
                  <w:vAlign w:val="center"/>
                </w:tcPr>
                <w:p w14:paraId="36296446">
                  <w:pPr>
                    <w:rPr>
                      <w:highlight w:val="none"/>
                    </w:rPr>
                  </w:pPr>
                </w:p>
              </w:tc>
              <w:tc>
                <w:tcPr>
                  <w:tcW w:w="1361" w:type="dxa"/>
                  <w:vAlign w:val="center"/>
                </w:tcPr>
                <w:p w14:paraId="05F19B0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154" w:type="dxa"/>
                  <w:vAlign w:val="center"/>
                </w:tcPr>
                <w:p w14:paraId="3ED50D2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21FD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785221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431" w:type="dxa"/>
                  <w:vMerge w:val="continue"/>
                  <w:vAlign w:val="center"/>
                </w:tcPr>
                <w:p w14:paraId="52F9DB90">
                  <w:pPr>
                    <w:rPr>
                      <w:highlight w:val="none"/>
                    </w:rPr>
                  </w:pPr>
                </w:p>
              </w:tc>
              <w:tc>
                <w:tcPr>
                  <w:tcW w:w="1361" w:type="dxa"/>
                  <w:vAlign w:val="center"/>
                </w:tcPr>
                <w:p w14:paraId="30D1CCE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154" w:type="dxa"/>
                  <w:vAlign w:val="center"/>
                </w:tcPr>
                <w:p w14:paraId="6CED5CC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6DE1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5522AB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431" w:type="dxa"/>
                  <w:vMerge w:val="continue"/>
                  <w:vAlign w:val="center"/>
                </w:tcPr>
                <w:p w14:paraId="4EDC9614">
                  <w:pPr>
                    <w:rPr>
                      <w:highlight w:val="none"/>
                    </w:rPr>
                  </w:pPr>
                </w:p>
              </w:tc>
              <w:tc>
                <w:tcPr>
                  <w:tcW w:w="1361" w:type="dxa"/>
                  <w:vAlign w:val="center"/>
                </w:tcPr>
                <w:p w14:paraId="0141C84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154" w:type="dxa"/>
                  <w:vAlign w:val="center"/>
                </w:tcPr>
                <w:p w14:paraId="793081B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1225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1174292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431" w:type="dxa"/>
                  <w:vMerge w:val="continue"/>
                  <w:vAlign w:val="center"/>
                </w:tcPr>
                <w:p w14:paraId="581A8814">
                  <w:pPr>
                    <w:rPr>
                      <w:highlight w:val="none"/>
                    </w:rPr>
                  </w:pPr>
                </w:p>
              </w:tc>
              <w:tc>
                <w:tcPr>
                  <w:tcW w:w="1361" w:type="dxa"/>
                  <w:vAlign w:val="center"/>
                </w:tcPr>
                <w:p w14:paraId="7ED60C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154" w:type="dxa"/>
                  <w:vAlign w:val="center"/>
                </w:tcPr>
                <w:p w14:paraId="6ADFDF4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3360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635E3A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431" w:type="dxa"/>
                  <w:vAlign w:val="center"/>
                </w:tcPr>
                <w:p w14:paraId="16643E8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机柜规格</w:t>
                  </w:r>
                </w:p>
              </w:tc>
              <w:tc>
                <w:tcPr>
                  <w:tcW w:w="1361" w:type="dxa"/>
                  <w:vAlign w:val="center"/>
                </w:tcPr>
                <w:p w14:paraId="62C9504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154" w:type="dxa"/>
                  <w:vAlign w:val="center"/>
                </w:tcPr>
                <w:p w14:paraId="591410E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292D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73328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431" w:type="dxa"/>
                  <w:vAlign w:val="center"/>
                </w:tcPr>
                <w:p w14:paraId="23BDDBA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1" w:type="dxa"/>
                  <w:vAlign w:val="center"/>
                </w:tcPr>
                <w:p w14:paraId="3DC829B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154" w:type="dxa"/>
                  <w:vAlign w:val="center"/>
                </w:tcPr>
                <w:p w14:paraId="4B58E5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0BA0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D8B9F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431" w:type="dxa"/>
                  <w:vAlign w:val="center"/>
                </w:tcPr>
                <w:p w14:paraId="011BCD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1" w:type="dxa"/>
                  <w:vAlign w:val="center"/>
                </w:tcPr>
                <w:p w14:paraId="234374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154" w:type="dxa"/>
                  <w:vAlign w:val="center"/>
                </w:tcPr>
                <w:p w14:paraId="055B001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35B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92" w:type="dxa"/>
                  <w:vAlign w:val="center"/>
                </w:tcPr>
                <w:p w14:paraId="0D5269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431" w:type="dxa"/>
                  <w:vMerge w:val="restart"/>
                  <w:vAlign w:val="center"/>
                </w:tcPr>
                <w:p w14:paraId="39FC9E9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1" w:type="dxa"/>
                  <w:vAlign w:val="center"/>
                </w:tcPr>
                <w:p w14:paraId="72E19B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154" w:type="dxa"/>
                  <w:vAlign w:val="center"/>
                </w:tcPr>
                <w:p w14:paraId="0A68BB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6A75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3CE67C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431" w:type="dxa"/>
                  <w:vMerge w:val="continue"/>
                  <w:vAlign w:val="center"/>
                </w:tcPr>
                <w:p w14:paraId="0F22DFBF">
                  <w:pPr>
                    <w:rPr>
                      <w:highlight w:val="none"/>
                    </w:rPr>
                  </w:pPr>
                </w:p>
              </w:tc>
              <w:tc>
                <w:tcPr>
                  <w:tcW w:w="1361" w:type="dxa"/>
                  <w:vAlign w:val="center"/>
                </w:tcPr>
                <w:p w14:paraId="003190E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154" w:type="dxa"/>
                  <w:vAlign w:val="center"/>
                </w:tcPr>
                <w:p w14:paraId="0477D36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343E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A3C923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431" w:type="dxa"/>
                  <w:vMerge w:val="restart"/>
                  <w:vAlign w:val="center"/>
                </w:tcPr>
                <w:p w14:paraId="24AF03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1" w:type="dxa"/>
                  <w:vAlign w:val="center"/>
                </w:tcPr>
                <w:p w14:paraId="79618CC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154" w:type="dxa"/>
                  <w:vAlign w:val="center"/>
                </w:tcPr>
                <w:p w14:paraId="46D7A9E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2C40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5F46C8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431" w:type="dxa"/>
                  <w:vMerge w:val="continue"/>
                  <w:vAlign w:val="center"/>
                </w:tcPr>
                <w:p w14:paraId="44F8B3A6">
                  <w:pPr>
                    <w:rPr>
                      <w:highlight w:val="none"/>
                    </w:rPr>
                  </w:pPr>
                </w:p>
              </w:tc>
              <w:tc>
                <w:tcPr>
                  <w:tcW w:w="1361" w:type="dxa"/>
                  <w:vAlign w:val="center"/>
                </w:tcPr>
                <w:p w14:paraId="7D30B02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154" w:type="dxa"/>
                  <w:vAlign w:val="center"/>
                </w:tcPr>
                <w:p w14:paraId="061EEE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2E86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5AE516A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431" w:type="dxa"/>
                  <w:vAlign w:val="center"/>
                </w:tcPr>
                <w:p w14:paraId="6B586D8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1" w:type="dxa"/>
                  <w:vAlign w:val="center"/>
                </w:tcPr>
                <w:p w14:paraId="6B86F32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154" w:type="dxa"/>
                  <w:vAlign w:val="center"/>
                </w:tcPr>
                <w:p w14:paraId="3739BBC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5FA0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1837F7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431" w:type="dxa"/>
                  <w:vMerge w:val="restart"/>
                  <w:vAlign w:val="center"/>
                </w:tcPr>
                <w:p w14:paraId="23B30C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1" w:type="dxa"/>
                  <w:vAlign w:val="center"/>
                </w:tcPr>
                <w:p w14:paraId="296021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154" w:type="dxa"/>
                  <w:vAlign w:val="center"/>
                </w:tcPr>
                <w:p w14:paraId="52A047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5792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6CC9A5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431" w:type="dxa"/>
                  <w:vMerge w:val="continue"/>
                  <w:vAlign w:val="center"/>
                </w:tcPr>
                <w:p w14:paraId="7D387907">
                  <w:pPr>
                    <w:rPr>
                      <w:highlight w:val="none"/>
                    </w:rPr>
                  </w:pPr>
                </w:p>
              </w:tc>
              <w:tc>
                <w:tcPr>
                  <w:tcW w:w="1361" w:type="dxa"/>
                  <w:vAlign w:val="center"/>
                </w:tcPr>
                <w:p w14:paraId="1E3CFA3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154" w:type="dxa"/>
                  <w:vAlign w:val="center"/>
                </w:tcPr>
                <w:p w14:paraId="082AADB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5730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33D1839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431" w:type="dxa"/>
                  <w:vMerge w:val="continue"/>
                  <w:vAlign w:val="center"/>
                </w:tcPr>
                <w:p w14:paraId="21CEA194">
                  <w:pPr>
                    <w:rPr>
                      <w:highlight w:val="none"/>
                    </w:rPr>
                  </w:pPr>
                </w:p>
              </w:tc>
              <w:tc>
                <w:tcPr>
                  <w:tcW w:w="1361" w:type="dxa"/>
                  <w:vAlign w:val="center"/>
                </w:tcPr>
                <w:p w14:paraId="453E9C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154" w:type="dxa"/>
                  <w:vAlign w:val="center"/>
                </w:tcPr>
                <w:p w14:paraId="4A7068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4ECF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055521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431" w:type="dxa"/>
                  <w:vMerge w:val="restart"/>
                  <w:vAlign w:val="center"/>
                </w:tcPr>
                <w:p w14:paraId="33B085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1" w:type="dxa"/>
                  <w:vAlign w:val="center"/>
                </w:tcPr>
                <w:p w14:paraId="7328241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154" w:type="dxa"/>
                  <w:vAlign w:val="center"/>
                </w:tcPr>
                <w:p w14:paraId="428A248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4A1F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5D0CD6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431" w:type="dxa"/>
                  <w:vMerge w:val="continue"/>
                  <w:vAlign w:val="center"/>
                </w:tcPr>
                <w:p w14:paraId="15427D88">
                  <w:pPr>
                    <w:rPr>
                      <w:highlight w:val="none"/>
                    </w:rPr>
                  </w:pPr>
                </w:p>
              </w:tc>
              <w:tc>
                <w:tcPr>
                  <w:tcW w:w="1361" w:type="dxa"/>
                  <w:vAlign w:val="center"/>
                </w:tcPr>
                <w:p w14:paraId="453352F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154" w:type="dxa"/>
                  <w:vAlign w:val="center"/>
                </w:tcPr>
                <w:p w14:paraId="2E6277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7941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84EA8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431" w:type="dxa"/>
                  <w:vAlign w:val="center"/>
                </w:tcPr>
                <w:p w14:paraId="582369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1" w:type="dxa"/>
                  <w:vAlign w:val="center"/>
                </w:tcPr>
                <w:p w14:paraId="5F23124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154" w:type="dxa"/>
                  <w:vAlign w:val="center"/>
                </w:tcPr>
                <w:p w14:paraId="2CCFA51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24E8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A1F0CE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431" w:type="dxa"/>
                  <w:vAlign w:val="center"/>
                </w:tcPr>
                <w:p w14:paraId="16E2071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1" w:type="dxa"/>
                  <w:vAlign w:val="center"/>
                </w:tcPr>
                <w:p w14:paraId="1A48FD8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154" w:type="dxa"/>
                  <w:vAlign w:val="center"/>
                </w:tcPr>
                <w:p w14:paraId="2E3962F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0EE7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43FFA25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431" w:type="dxa"/>
                  <w:vAlign w:val="center"/>
                </w:tcPr>
                <w:p w14:paraId="62A4917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1" w:type="dxa"/>
                  <w:vAlign w:val="center"/>
                </w:tcPr>
                <w:p w14:paraId="419F66D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154" w:type="dxa"/>
                  <w:vAlign w:val="center"/>
                </w:tcPr>
                <w:p w14:paraId="42D2967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2FF8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64EC8B0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431" w:type="dxa"/>
                  <w:vMerge w:val="restart"/>
                  <w:vAlign w:val="center"/>
                </w:tcPr>
                <w:p w14:paraId="7A1378A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1" w:type="dxa"/>
                  <w:vAlign w:val="center"/>
                </w:tcPr>
                <w:p w14:paraId="046C954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154" w:type="dxa"/>
                  <w:vAlign w:val="center"/>
                </w:tcPr>
                <w:p w14:paraId="08F1950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1BCD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B5F15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431" w:type="dxa"/>
                  <w:vMerge w:val="continue"/>
                  <w:vAlign w:val="center"/>
                </w:tcPr>
                <w:p w14:paraId="1225D3EF">
                  <w:pPr>
                    <w:rPr>
                      <w:highlight w:val="none"/>
                    </w:rPr>
                  </w:pPr>
                </w:p>
              </w:tc>
              <w:tc>
                <w:tcPr>
                  <w:tcW w:w="1361" w:type="dxa"/>
                  <w:vAlign w:val="center"/>
                </w:tcPr>
                <w:p w14:paraId="62FCEA2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154" w:type="dxa"/>
                  <w:vAlign w:val="center"/>
                </w:tcPr>
                <w:p w14:paraId="26F7053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50A1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26F5834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431" w:type="dxa"/>
                  <w:vMerge w:val="continue"/>
                  <w:vAlign w:val="center"/>
                </w:tcPr>
                <w:p w14:paraId="18A8A73B">
                  <w:pPr>
                    <w:rPr>
                      <w:highlight w:val="none"/>
                    </w:rPr>
                  </w:pPr>
                </w:p>
              </w:tc>
              <w:tc>
                <w:tcPr>
                  <w:tcW w:w="1361" w:type="dxa"/>
                  <w:vAlign w:val="center"/>
                </w:tcPr>
                <w:p w14:paraId="6585FBF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154" w:type="dxa"/>
                  <w:vAlign w:val="center"/>
                </w:tcPr>
                <w:p w14:paraId="1C24AC4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5CC7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722D54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431" w:type="dxa"/>
                  <w:vMerge w:val="continue"/>
                  <w:vAlign w:val="center"/>
                </w:tcPr>
                <w:p w14:paraId="2DF8AD96">
                  <w:pPr>
                    <w:rPr>
                      <w:highlight w:val="none"/>
                    </w:rPr>
                  </w:pPr>
                </w:p>
              </w:tc>
              <w:tc>
                <w:tcPr>
                  <w:tcW w:w="1361" w:type="dxa"/>
                  <w:vAlign w:val="center"/>
                </w:tcPr>
                <w:p w14:paraId="716F4F5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154" w:type="dxa"/>
                  <w:vAlign w:val="center"/>
                </w:tcPr>
                <w:p w14:paraId="1019876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143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4439A2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431" w:type="dxa"/>
                  <w:vMerge w:val="continue"/>
                  <w:vAlign w:val="center"/>
                </w:tcPr>
                <w:p w14:paraId="460C125B">
                  <w:pPr>
                    <w:rPr>
                      <w:highlight w:val="none"/>
                    </w:rPr>
                  </w:pPr>
                </w:p>
              </w:tc>
              <w:tc>
                <w:tcPr>
                  <w:tcW w:w="1361" w:type="dxa"/>
                  <w:vAlign w:val="center"/>
                </w:tcPr>
                <w:p w14:paraId="2A57B7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154" w:type="dxa"/>
                  <w:vAlign w:val="center"/>
                </w:tcPr>
                <w:p w14:paraId="0E8DE3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243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692" w:type="dxa"/>
                  <w:vAlign w:val="center"/>
                </w:tcPr>
                <w:p w14:paraId="53C76A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431" w:type="dxa"/>
                  <w:vAlign w:val="center"/>
                </w:tcPr>
                <w:p w14:paraId="7F060A5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1" w:type="dxa"/>
                  <w:vAlign w:val="center"/>
                </w:tcPr>
                <w:p w14:paraId="6C05F07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154" w:type="dxa"/>
                  <w:vAlign w:val="center"/>
                </w:tcPr>
                <w:p w14:paraId="70E88A8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28AD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11B598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431" w:type="dxa"/>
                  <w:vAlign w:val="center"/>
                </w:tcPr>
                <w:p w14:paraId="1941084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1" w:type="dxa"/>
                  <w:vAlign w:val="center"/>
                </w:tcPr>
                <w:p w14:paraId="5CADEC4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154" w:type="dxa"/>
                  <w:vAlign w:val="center"/>
                </w:tcPr>
                <w:p w14:paraId="27C2C39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201E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5E358D0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431" w:type="dxa"/>
                  <w:vAlign w:val="center"/>
                </w:tcPr>
                <w:p w14:paraId="4DBADFD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361" w:type="dxa"/>
                  <w:vAlign w:val="center"/>
                </w:tcPr>
                <w:p w14:paraId="4F7C46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154" w:type="dxa"/>
                  <w:vAlign w:val="center"/>
                </w:tcPr>
                <w:p w14:paraId="3D8B01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1D82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374FD69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431" w:type="dxa"/>
                  <w:vMerge w:val="restart"/>
                  <w:vAlign w:val="center"/>
                </w:tcPr>
                <w:p w14:paraId="0CB2BCC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1" w:type="dxa"/>
                  <w:vAlign w:val="center"/>
                </w:tcPr>
                <w:p w14:paraId="6BAF847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154" w:type="dxa"/>
                  <w:vAlign w:val="center"/>
                </w:tcPr>
                <w:p w14:paraId="068AFE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≥2.5GHz</w:t>
                  </w:r>
                </w:p>
              </w:tc>
            </w:tr>
            <w:tr w14:paraId="6277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81CDB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431" w:type="dxa"/>
                  <w:vMerge w:val="continue"/>
                  <w:vAlign w:val="center"/>
                </w:tcPr>
                <w:p w14:paraId="65CCEB6B">
                  <w:pPr>
                    <w:rPr>
                      <w:highlight w:val="none"/>
                    </w:rPr>
                  </w:pPr>
                </w:p>
              </w:tc>
              <w:tc>
                <w:tcPr>
                  <w:tcW w:w="1361" w:type="dxa"/>
                  <w:vAlign w:val="center"/>
                </w:tcPr>
                <w:p w14:paraId="453CE1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154" w:type="dxa"/>
                  <w:vAlign w:val="center"/>
                </w:tcPr>
                <w:p w14:paraId="6914706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r>
            <w:tr w14:paraId="656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374D4A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431" w:type="dxa"/>
                  <w:vMerge w:val="continue"/>
                  <w:vAlign w:val="center"/>
                </w:tcPr>
                <w:p w14:paraId="481CA52C">
                  <w:pPr>
                    <w:rPr>
                      <w:highlight w:val="none"/>
                    </w:rPr>
                  </w:pPr>
                </w:p>
              </w:tc>
              <w:tc>
                <w:tcPr>
                  <w:tcW w:w="1361" w:type="dxa"/>
                  <w:vAlign w:val="center"/>
                </w:tcPr>
                <w:p w14:paraId="001BE69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154" w:type="dxa"/>
                  <w:vAlign w:val="center"/>
                </w:tcPr>
                <w:p w14:paraId="3B0F85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≥32MB</w:t>
                  </w:r>
                </w:p>
              </w:tc>
            </w:tr>
            <w:tr w14:paraId="5B64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42AB6A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431" w:type="dxa"/>
                  <w:vAlign w:val="center"/>
                </w:tcPr>
                <w:p w14:paraId="4EFF4E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1" w:type="dxa"/>
                  <w:vAlign w:val="center"/>
                </w:tcPr>
                <w:p w14:paraId="0B1D6D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154" w:type="dxa"/>
                  <w:vAlign w:val="center"/>
                </w:tcPr>
                <w:p w14:paraId="6A3ED62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386C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3C3742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431" w:type="dxa"/>
                  <w:vAlign w:val="center"/>
                </w:tcPr>
                <w:p w14:paraId="02DD234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361" w:type="dxa"/>
                  <w:vAlign w:val="center"/>
                </w:tcPr>
                <w:p w14:paraId="72A498D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154" w:type="dxa"/>
                  <w:vAlign w:val="center"/>
                </w:tcPr>
                <w:p w14:paraId="2E1FE1A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7D13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528BD0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431" w:type="dxa"/>
                  <w:vMerge w:val="restart"/>
                  <w:vAlign w:val="center"/>
                </w:tcPr>
                <w:p w14:paraId="241F09F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1" w:type="dxa"/>
                  <w:vAlign w:val="center"/>
                </w:tcPr>
                <w:p w14:paraId="51F3E8C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154" w:type="dxa"/>
                  <w:vAlign w:val="center"/>
                </w:tcPr>
                <w:p w14:paraId="4A9ED2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645C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2457E57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431" w:type="dxa"/>
                  <w:vMerge w:val="continue"/>
                  <w:vAlign w:val="center"/>
                </w:tcPr>
                <w:p w14:paraId="0E1E4E17">
                  <w:pPr>
                    <w:rPr>
                      <w:highlight w:val="none"/>
                    </w:rPr>
                  </w:pPr>
                </w:p>
              </w:tc>
              <w:tc>
                <w:tcPr>
                  <w:tcW w:w="1361" w:type="dxa"/>
                  <w:vAlign w:val="center"/>
                </w:tcPr>
                <w:p w14:paraId="5B6B48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154" w:type="dxa"/>
                  <w:vAlign w:val="center"/>
                </w:tcPr>
                <w:p w14:paraId="087F3F4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71B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79CB91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431" w:type="dxa"/>
                  <w:vMerge w:val="continue"/>
                  <w:vAlign w:val="center"/>
                </w:tcPr>
                <w:p w14:paraId="717E9F8E">
                  <w:pPr>
                    <w:rPr>
                      <w:highlight w:val="none"/>
                    </w:rPr>
                  </w:pPr>
                </w:p>
              </w:tc>
              <w:tc>
                <w:tcPr>
                  <w:tcW w:w="1361" w:type="dxa"/>
                  <w:vAlign w:val="center"/>
                </w:tcPr>
                <w:p w14:paraId="6310CA1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154" w:type="dxa"/>
                  <w:vAlign w:val="center"/>
                </w:tcPr>
                <w:p w14:paraId="28F5A13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178F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A97C07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431" w:type="dxa"/>
                  <w:vMerge w:val="continue"/>
                  <w:vAlign w:val="center"/>
                </w:tcPr>
                <w:p w14:paraId="6F2B7B43">
                  <w:pPr>
                    <w:rPr>
                      <w:highlight w:val="none"/>
                    </w:rPr>
                  </w:pPr>
                </w:p>
              </w:tc>
              <w:tc>
                <w:tcPr>
                  <w:tcW w:w="1361" w:type="dxa"/>
                  <w:vAlign w:val="center"/>
                </w:tcPr>
                <w:p w14:paraId="6993DE8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154" w:type="dxa"/>
                  <w:vAlign w:val="center"/>
                </w:tcPr>
                <w:p w14:paraId="2996FD1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3603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92" w:type="dxa"/>
                  <w:vAlign w:val="center"/>
                </w:tcPr>
                <w:p w14:paraId="1B9D26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431" w:type="dxa"/>
                  <w:vAlign w:val="center"/>
                </w:tcPr>
                <w:p w14:paraId="4221BF1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1" w:type="dxa"/>
                  <w:vAlign w:val="center"/>
                </w:tcPr>
                <w:p w14:paraId="3C47813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154" w:type="dxa"/>
                  <w:vAlign w:val="center"/>
                </w:tcPr>
                <w:p w14:paraId="4B5F39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1569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8955B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431" w:type="dxa"/>
                  <w:vMerge w:val="restart"/>
                  <w:vAlign w:val="center"/>
                </w:tcPr>
                <w:p w14:paraId="57EB430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1" w:type="dxa"/>
                  <w:vAlign w:val="center"/>
                </w:tcPr>
                <w:p w14:paraId="0C5A423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154" w:type="dxa"/>
                  <w:vAlign w:val="center"/>
                </w:tcPr>
                <w:p w14:paraId="461966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76D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2D138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431" w:type="dxa"/>
                  <w:vMerge w:val="continue"/>
                  <w:vAlign w:val="center"/>
                </w:tcPr>
                <w:p w14:paraId="1D5A8FB2">
                  <w:pPr>
                    <w:rPr>
                      <w:highlight w:val="none"/>
                    </w:rPr>
                  </w:pPr>
                </w:p>
              </w:tc>
              <w:tc>
                <w:tcPr>
                  <w:tcW w:w="1361" w:type="dxa"/>
                  <w:vAlign w:val="center"/>
                </w:tcPr>
                <w:p w14:paraId="5C7A3E4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154" w:type="dxa"/>
                  <w:vAlign w:val="center"/>
                </w:tcPr>
                <w:p w14:paraId="31B118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7BA7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EEB04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431" w:type="dxa"/>
                  <w:vMerge w:val="continue"/>
                  <w:vAlign w:val="center"/>
                </w:tcPr>
                <w:p w14:paraId="2E4ED4F2">
                  <w:pPr>
                    <w:rPr>
                      <w:highlight w:val="none"/>
                    </w:rPr>
                  </w:pPr>
                </w:p>
              </w:tc>
              <w:tc>
                <w:tcPr>
                  <w:tcW w:w="1361" w:type="dxa"/>
                  <w:vAlign w:val="center"/>
                </w:tcPr>
                <w:p w14:paraId="1CB6283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154" w:type="dxa"/>
                  <w:vAlign w:val="center"/>
                </w:tcPr>
                <w:p w14:paraId="081CE7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1A0C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7890A5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431" w:type="dxa"/>
                  <w:vMerge w:val="restart"/>
                  <w:vAlign w:val="center"/>
                </w:tcPr>
                <w:p w14:paraId="5FE317F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1" w:type="dxa"/>
                  <w:vAlign w:val="center"/>
                </w:tcPr>
                <w:p w14:paraId="438BEDC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154" w:type="dxa"/>
                  <w:vAlign w:val="center"/>
                </w:tcPr>
                <w:p w14:paraId="281D59D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4ADC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300B38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431" w:type="dxa"/>
                  <w:vMerge w:val="continue"/>
                  <w:vAlign w:val="center"/>
                </w:tcPr>
                <w:p w14:paraId="3AB9A238">
                  <w:pPr>
                    <w:rPr>
                      <w:highlight w:val="none"/>
                    </w:rPr>
                  </w:pPr>
                </w:p>
              </w:tc>
              <w:tc>
                <w:tcPr>
                  <w:tcW w:w="1361" w:type="dxa"/>
                  <w:vAlign w:val="center"/>
                </w:tcPr>
                <w:p w14:paraId="70B5689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154" w:type="dxa"/>
                  <w:vAlign w:val="center"/>
                </w:tcPr>
                <w:p w14:paraId="60117B8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442F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692CB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431" w:type="dxa"/>
                  <w:vMerge w:val="continue"/>
                  <w:vAlign w:val="center"/>
                </w:tcPr>
                <w:p w14:paraId="01E6D990">
                  <w:pPr>
                    <w:rPr>
                      <w:highlight w:val="none"/>
                    </w:rPr>
                  </w:pPr>
                </w:p>
              </w:tc>
              <w:tc>
                <w:tcPr>
                  <w:tcW w:w="1361" w:type="dxa"/>
                  <w:vAlign w:val="center"/>
                </w:tcPr>
                <w:p w14:paraId="468A68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154" w:type="dxa"/>
                  <w:vAlign w:val="center"/>
                </w:tcPr>
                <w:p w14:paraId="49A123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2518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09F09C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431" w:type="dxa"/>
                  <w:vAlign w:val="center"/>
                </w:tcPr>
                <w:p w14:paraId="4D947A4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1" w:type="dxa"/>
                  <w:vAlign w:val="center"/>
                </w:tcPr>
                <w:p w14:paraId="3620F02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154" w:type="dxa"/>
                  <w:vAlign w:val="center"/>
                </w:tcPr>
                <w:p w14:paraId="5D19389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65E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692" w:type="dxa"/>
                  <w:vAlign w:val="center"/>
                </w:tcPr>
                <w:p w14:paraId="5C296CB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431" w:type="dxa"/>
                  <w:vMerge w:val="restart"/>
                  <w:vAlign w:val="center"/>
                </w:tcPr>
                <w:p w14:paraId="448C003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1" w:type="dxa"/>
                  <w:vAlign w:val="center"/>
                </w:tcPr>
                <w:p w14:paraId="72DBC8C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154" w:type="dxa"/>
                  <w:vAlign w:val="center"/>
                </w:tcPr>
                <w:p w14:paraId="6F6CDE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7652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AC58B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431" w:type="dxa"/>
                  <w:vMerge w:val="continue"/>
                  <w:vAlign w:val="center"/>
                </w:tcPr>
                <w:p w14:paraId="6C39B866">
                  <w:pPr>
                    <w:rPr>
                      <w:highlight w:val="none"/>
                    </w:rPr>
                  </w:pPr>
                </w:p>
              </w:tc>
              <w:tc>
                <w:tcPr>
                  <w:tcW w:w="1361" w:type="dxa"/>
                  <w:vAlign w:val="center"/>
                </w:tcPr>
                <w:p w14:paraId="31205B8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154" w:type="dxa"/>
                  <w:vAlign w:val="center"/>
                </w:tcPr>
                <w:p w14:paraId="62EFEE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6F65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0495E94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431" w:type="dxa"/>
                  <w:vAlign w:val="center"/>
                </w:tcPr>
                <w:p w14:paraId="1FC131E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1" w:type="dxa"/>
                  <w:vAlign w:val="center"/>
                </w:tcPr>
                <w:p w14:paraId="461172B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154" w:type="dxa"/>
                  <w:vAlign w:val="center"/>
                </w:tcPr>
                <w:p w14:paraId="2CEF0EF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2820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7B42134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431" w:type="dxa"/>
                  <w:vMerge w:val="restart"/>
                  <w:vAlign w:val="center"/>
                </w:tcPr>
                <w:p w14:paraId="41901C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1" w:type="dxa"/>
                  <w:vAlign w:val="center"/>
                </w:tcPr>
                <w:p w14:paraId="4A63C60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154" w:type="dxa"/>
                  <w:vAlign w:val="center"/>
                </w:tcPr>
                <w:p w14:paraId="0DE5D6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6D58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5B0617A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431" w:type="dxa"/>
                  <w:vMerge w:val="continue"/>
                  <w:vAlign w:val="center"/>
                </w:tcPr>
                <w:p w14:paraId="24FC68E0">
                  <w:pPr>
                    <w:rPr>
                      <w:highlight w:val="none"/>
                    </w:rPr>
                  </w:pPr>
                </w:p>
              </w:tc>
              <w:tc>
                <w:tcPr>
                  <w:tcW w:w="1361" w:type="dxa"/>
                  <w:vAlign w:val="center"/>
                </w:tcPr>
                <w:p w14:paraId="74A147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154" w:type="dxa"/>
                  <w:vAlign w:val="center"/>
                </w:tcPr>
                <w:p w14:paraId="4D3F058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38E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790D6C2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431" w:type="dxa"/>
                  <w:vMerge w:val="continue"/>
                  <w:vAlign w:val="center"/>
                </w:tcPr>
                <w:p w14:paraId="395B5CC2">
                  <w:pPr>
                    <w:rPr>
                      <w:highlight w:val="none"/>
                    </w:rPr>
                  </w:pPr>
                </w:p>
              </w:tc>
              <w:tc>
                <w:tcPr>
                  <w:tcW w:w="1361" w:type="dxa"/>
                  <w:vAlign w:val="center"/>
                </w:tcPr>
                <w:p w14:paraId="54D3780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154" w:type="dxa"/>
                  <w:vAlign w:val="center"/>
                </w:tcPr>
                <w:p w14:paraId="5254BB3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61F4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05F6DD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431" w:type="dxa"/>
                  <w:vMerge w:val="restart"/>
                  <w:vAlign w:val="center"/>
                </w:tcPr>
                <w:p w14:paraId="0E320A2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1" w:type="dxa"/>
                  <w:vAlign w:val="center"/>
                </w:tcPr>
                <w:p w14:paraId="77C1A27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154" w:type="dxa"/>
                  <w:vAlign w:val="center"/>
                </w:tcPr>
                <w:p w14:paraId="6560C0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1379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4CEEA7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431" w:type="dxa"/>
                  <w:vMerge w:val="continue"/>
                  <w:vAlign w:val="center"/>
                </w:tcPr>
                <w:p w14:paraId="43D5FD04">
                  <w:pPr>
                    <w:rPr>
                      <w:highlight w:val="none"/>
                    </w:rPr>
                  </w:pPr>
                </w:p>
              </w:tc>
              <w:tc>
                <w:tcPr>
                  <w:tcW w:w="1361" w:type="dxa"/>
                  <w:vAlign w:val="center"/>
                </w:tcPr>
                <w:p w14:paraId="7A40EF3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154" w:type="dxa"/>
                  <w:vAlign w:val="center"/>
                </w:tcPr>
                <w:p w14:paraId="57B4B9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24C6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3E6D01B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431" w:type="dxa"/>
                  <w:vMerge w:val="restart"/>
                  <w:vAlign w:val="center"/>
                </w:tcPr>
                <w:p w14:paraId="20CFE99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1" w:type="dxa"/>
                  <w:vAlign w:val="center"/>
                </w:tcPr>
                <w:p w14:paraId="540E04A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154" w:type="dxa"/>
                  <w:vAlign w:val="center"/>
                </w:tcPr>
                <w:p w14:paraId="73B732D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387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2D4E44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431" w:type="dxa"/>
                  <w:vMerge w:val="continue"/>
                  <w:vAlign w:val="center"/>
                </w:tcPr>
                <w:p w14:paraId="1B3F1472">
                  <w:pPr>
                    <w:rPr>
                      <w:highlight w:val="none"/>
                    </w:rPr>
                  </w:pPr>
                </w:p>
              </w:tc>
              <w:tc>
                <w:tcPr>
                  <w:tcW w:w="1361" w:type="dxa"/>
                  <w:vAlign w:val="center"/>
                </w:tcPr>
                <w:p w14:paraId="108B16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154" w:type="dxa"/>
                  <w:vAlign w:val="center"/>
                </w:tcPr>
                <w:p w14:paraId="2166C78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136D4906">
            <w:pPr>
              <w:rPr>
                <w:rFonts w:ascii="宋体" w:hAnsi="宋体" w:eastAsia="仿宋" w:cs="宋体"/>
                <w:b/>
                <w:bCs/>
                <w:kern w:val="0"/>
                <w:sz w:val="22"/>
                <w:highlight w:val="none"/>
              </w:rPr>
            </w:pPr>
            <w:r>
              <w:rPr>
                <w:rFonts w:hint="eastAsia" w:ascii="宋体" w:hAnsi="宋体" w:eastAsia="仿宋" w:cs="宋体"/>
                <w:b/>
                <w:bCs/>
                <w:kern w:val="0"/>
                <w:sz w:val="22"/>
                <w:highlight w:val="none"/>
              </w:rPr>
              <w:t>附4：“视频服务网关”硬件部分详细参数配置要求：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957"/>
              <w:gridCol w:w="1061"/>
              <w:gridCol w:w="4978"/>
            </w:tblGrid>
            <w:tr w14:paraId="4EC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shd w:val="clear" w:color="000000" w:fill="auto"/>
                  <w:vAlign w:val="center"/>
                </w:tcPr>
                <w:p w14:paraId="50BBFE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序号</w:t>
                  </w:r>
                </w:p>
              </w:tc>
              <w:tc>
                <w:tcPr>
                  <w:tcW w:w="958" w:type="dxa"/>
                  <w:shd w:val="clear" w:color="000000" w:fill="auto"/>
                  <w:vAlign w:val="center"/>
                </w:tcPr>
                <w:p w14:paraId="2564AB3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062" w:type="dxa"/>
                  <w:shd w:val="clear" w:color="000000" w:fill="auto"/>
                  <w:vAlign w:val="center"/>
                </w:tcPr>
                <w:p w14:paraId="20A4CB1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985" w:type="dxa"/>
                  <w:shd w:val="clear" w:color="000000" w:fill="auto"/>
                  <w:vAlign w:val="center"/>
                </w:tcPr>
                <w:p w14:paraId="2FFC0C8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指标要求</w:t>
                  </w:r>
                </w:p>
              </w:tc>
            </w:tr>
            <w:tr w14:paraId="431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3" w:type="dxa"/>
                  <w:vAlign w:val="center"/>
                </w:tcPr>
                <w:p w14:paraId="6965C1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958" w:type="dxa"/>
                  <w:vAlign w:val="center"/>
                </w:tcPr>
                <w:p w14:paraId="1F99744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062" w:type="dxa"/>
                  <w:vAlign w:val="center"/>
                </w:tcPr>
                <w:p w14:paraId="1F006C7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985" w:type="dxa"/>
                  <w:vAlign w:val="center"/>
                </w:tcPr>
                <w:p w14:paraId="124816C6">
                  <w:pPr>
                    <w:widowControl/>
                    <w:rPr>
                      <w:rFonts w:ascii="宋体" w:hAnsi="宋体" w:eastAsia="仿宋" w:cs="宋体"/>
                      <w:kern w:val="0"/>
                      <w:sz w:val="22"/>
                      <w:highlight w:val="none"/>
                    </w:rPr>
                  </w:pPr>
                  <w:r>
                    <w:rPr>
                      <w:rFonts w:hint="eastAsia" w:ascii="宋体" w:hAnsi="宋体" w:eastAsia="仿宋" w:cs="宋体"/>
                      <w:kern w:val="0"/>
                      <w:sz w:val="22"/>
                      <w:highlight w:val="none"/>
                    </w:rPr>
                    <w:t>（1）配置≥2颗国产ARM架构处理器；（2）单颗CPU物理核心数≥24核、主频≥2.6GHz、末级缓存容量≥32MB、线程数≥24、热设计功耗≥95W、支持内存的最高速率≥2933MHz、通道数≥4、位宽≥64位；</w:t>
                  </w:r>
                </w:p>
                <w:p w14:paraId="47D6784B">
                  <w:pPr>
                    <w:widowControl/>
                    <w:rPr>
                      <w:rFonts w:ascii="宋体" w:hAnsi="宋体" w:eastAsia="仿宋" w:cs="宋体"/>
                      <w:kern w:val="0"/>
                      <w:sz w:val="22"/>
                      <w:highlight w:val="none"/>
                    </w:rPr>
                  </w:pPr>
                  <w:r>
                    <w:rPr>
                      <w:rFonts w:hint="eastAsia" w:ascii="宋体" w:hAnsi="宋体" w:eastAsia="仿宋" w:cs="宋体"/>
                      <w:kern w:val="0"/>
                      <w:sz w:val="22"/>
                      <w:highlight w:val="none"/>
                    </w:rPr>
                    <w:t>供应商应在投标时给出C</w:t>
                  </w:r>
                  <w:r>
                    <w:rPr>
                      <w:rFonts w:ascii="宋体" w:hAnsi="宋体" w:eastAsia="仿宋" w:cs="宋体"/>
                      <w:kern w:val="0"/>
                      <w:sz w:val="22"/>
                      <w:highlight w:val="none"/>
                    </w:rPr>
                    <w:t>PU</w:t>
                  </w:r>
                  <w:r>
                    <w:rPr>
                      <w:rFonts w:hint="eastAsia" w:ascii="宋体" w:hAnsi="宋体" w:eastAsia="仿宋" w:cs="宋体"/>
                      <w:kern w:val="0"/>
                      <w:sz w:val="22"/>
                      <w:highlight w:val="none"/>
                    </w:rPr>
                    <w:t>型号</w:t>
                  </w:r>
                </w:p>
              </w:tc>
            </w:tr>
            <w:tr w14:paraId="1AF3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7B96E94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958" w:type="dxa"/>
                  <w:vMerge w:val="restart"/>
                  <w:vAlign w:val="center"/>
                </w:tcPr>
                <w:p w14:paraId="2788D71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062" w:type="dxa"/>
                  <w:vAlign w:val="center"/>
                </w:tcPr>
                <w:p w14:paraId="611326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985" w:type="dxa"/>
                  <w:vAlign w:val="center"/>
                </w:tcPr>
                <w:p w14:paraId="78BA81FD">
                  <w:pPr>
                    <w:widowControl/>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p>
                <w:p w14:paraId="152586E0">
                  <w:pPr>
                    <w:widowControl/>
                    <w:rPr>
                      <w:rFonts w:ascii="宋体" w:hAnsi="宋体" w:eastAsia="仿宋" w:cs="宋体"/>
                      <w:kern w:val="0"/>
                      <w:sz w:val="22"/>
                      <w:highlight w:val="none"/>
                    </w:rPr>
                  </w:pPr>
                  <w:r>
                    <w:rPr>
                      <w:rFonts w:hint="eastAsia" w:ascii="宋体" w:hAnsi="宋体" w:eastAsia="仿宋" w:cs="宋体"/>
                      <w:kern w:val="0"/>
                      <w:sz w:val="22"/>
                      <w:highlight w:val="none"/>
                    </w:rPr>
                    <w:t>供应商应在投标时给出主板支持的C</w:t>
                  </w:r>
                  <w:r>
                    <w:rPr>
                      <w:rFonts w:ascii="宋体" w:hAnsi="宋体" w:eastAsia="仿宋" w:cs="宋体"/>
                      <w:kern w:val="0"/>
                      <w:sz w:val="22"/>
                      <w:highlight w:val="none"/>
                    </w:rPr>
                    <w:t>PU</w:t>
                  </w:r>
                  <w:r>
                    <w:rPr>
                      <w:rFonts w:hint="eastAsia" w:ascii="宋体" w:hAnsi="宋体" w:eastAsia="仿宋" w:cs="宋体"/>
                      <w:kern w:val="0"/>
                      <w:sz w:val="22"/>
                      <w:highlight w:val="none"/>
                    </w:rPr>
                    <w:t>型号；</w:t>
                  </w:r>
                </w:p>
              </w:tc>
            </w:tr>
            <w:tr w14:paraId="250D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87875E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958" w:type="dxa"/>
                  <w:vMerge w:val="continue"/>
                  <w:vAlign w:val="center"/>
                </w:tcPr>
                <w:p w14:paraId="6A1B1CD2">
                  <w:pPr>
                    <w:rPr>
                      <w:highlight w:val="none"/>
                    </w:rPr>
                  </w:pPr>
                </w:p>
              </w:tc>
              <w:tc>
                <w:tcPr>
                  <w:tcW w:w="1062" w:type="dxa"/>
                  <w:vAlign w:val="center"/>
                </w:tcPr>
                <w:p w14:paraId="22CB3D3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985" w:type="dxa"/>
                  <w:vAlign w:val="center"/>
                </w:tcPr>
                <w:p w14:paraId="56E2F234">
                  <w:pPr>
                    <w:widowControl/>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26F2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A6F1BC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958" w:type="dxa"/>
                  <w:vMerge w:val="continue"/>
                  <w:vAlign w:val="center"/>
                </w:tcPr>
                <w:p w14:paraId="0230A512">
                  <w:pPr>
                    <w:rPr>
                      <w:highlight w:val="none"/>
                    </w:rPr>
                  </w:pPr>
                </w:p>
              </w:tc>
              <w:tc>
                <w:tcPr>
                  <w:tcW w:w="1062" w:type="dxa"/>
                  <w:vAlign w:val="center"/>
                </w:tcPr>
                <w:p w14:paraId="3CFD4C5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985" w:type="dxa"/>
                  <w:vAlign w:val="center"/>
                </w:tcPr>
                <w:p w14:paraId="1B332EEA">
                  <w:pPr>
                    <w:widowControl/>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（1）主板支持SATA/SAS/M.2/U.2存储接口；（2）板载支持≥12个SATA/SAS盘；（3）板载可支持1个内置M.2 SSD；</w:t>
                  </w:r>
                </w:p>
              </w:tc>
            </w:tr>
            <w:tr w14:paraId="15D9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25C0E4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958" w:type="dxa"/>
                  <w:vMerge w:val="continue"/>
                  <w:vAlign w:val="center"/>
                </w:tcPr>
                <w:p w14:paraId="41CB4ECE">
                  <w:pPr>
                    <w:rPr>
                      <w:highlight w:val="none"/>
                    </w:rPr>
                  </w:pPr>
                </w:p>
              </w:tc>
              <w:tc>
                <w:tcPr>
                  <w:tcW w:w="1062" w:type="dxa"/>
                  <w:vAlign w:val="center"/>
                </w:tcPr>
                <w:p w14:paraId="63AD8F6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985" w:type="dxa"/>
                  <w:vAlign w:val="center"/>
                </w:tcPr>
                <w:p w14:paraId="010706DF">
                  <w:pPr>
                    <w:widowControl/>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662D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44CB4A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958" w:type="dxa"/>
                  <w:vMerge w:val="continue"/>
                  <w:vAlign w:val="center"/>
                </w:tcPr>
                <w:p w14:paraId="76C06032">
                  <w:pPr>
                    <w:rPr>
                      <w:highlight w:val="none"/>
                    </w:rPr>
                  </w:pPr>
                </w:p>
              </w:tc>
              <w:tc>
                <w:tcPr>
                  <w:tcW w:w="1062" w:type="dxa"/>
                  <w:vAlign w:val="center"/>
                </w:tcPr>
                <w:p w14:paraId="741E413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 PCIe 插槽数量及规格</w:t>
                  </w:r>
                </w:p>
              </w:tc>
              <w:tc>
                <w:tcPr>
                  <w:tcW w:w="4985" w:type="dxa"/>
                  <w:vAlign w:val="center"/>
                </w:tcPr>
                <w:p w14:paraId="363B8790">
                  <w:pPr>
                    <w:widowControl/>
                    <w:rPr>
                      <w:rFonts w:ascii="宋体" w:hAnsi="宋体" w:eastAsia="仿宋" w:cs="宋体"/>
                      <w:kern w:val="0"/>
                      <w:sz w:val="22"/>
                      <w:highlight w:val="none"/>
                    </w:rPr>
                  </w:pPr>
                  <w:r>
                    <w:rPr>
                      <w:rFonts w:hint="eastAsia" w:ascii="宋体" w:hAnsi="宋体" w:eastAsia="仿宋" w:cs="宋体"/>
                      <w:kern w:val="0"/>
                      <w:sz w:val="22"/>
                      <w:highlight w:val="none"/>
                    </w:rPr>
                    <w:t>高度大于 44.45mm双路或以上服务器 PCle 插槽或接口应不少于5个；</w:t>
                  </w:r>
                </w:p>
              </w:tc>
            </w:tr>
            <w:tr w14:paraId="07B1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4D34B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958" w:type="dxa"/>
                  <w:vMerge w:val="restart"/>
                  <w:vAlign w:val="center"/>
                </w:tcPr>
                <w:p w14:paraId="3D6707A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062" w:type="dxa"/>
                  <w:vAlign w:val="center"/>
                </w:tcPr>
                <w:p w14:paraId="56E4F64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985" w:type="dxa"/>
                  <w:vAlign w:val="center"/>
                </w:tcPr>
                <w:p w14:paraId="0727091C">
                  <w:pPr>
                    <w:widowControl/>
                    <w:rPr>
                      <w:rFonts w:ascii="宋体" w:hAnsi="宋体" w:eastAsia="仿宋" w:cs="宋体"/>
                      <w:kern w:val="0"/>
                      <w:sz w:val="22"/>
                      <w:highlight w:val="none"/>
                    </w:rPr>
                  </w:pPr>
                  <w:r>
                    <w:rPr>
                      <w:rFonts w:hint="eastAsia" w:ascii="宋体" w:hAnsi="宋体" w:eastAsia="仿宋" w:cs="宋体"/>
                      <w:kern w:val="0"/>
                      <w:sz w:val="22"/>
                      <w:highlight w:val="none"/>
                    </w:rPr>
                    <w:t>内存数量≥4</w:t>
                  </w:r>
                </w:p>
              </w:tc>
            </w:tr>
            <w:tr w14:paraId="10EB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D5723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958" w:type="dxa"/>
                  <w:vMerge w:val="continue"/>
                  <w:vAlign w:val="center"/>
                </w:tcPr>
                <w:p w14:paraId="32590C2E">
                  <w:pPr>
                    <w:rPr>
                      <w:highlight w:val="none"/>
                    </w:rPr>
                  </w:pPr>
                </w:p>
              </w:tc>
              <w:tc>
                <w:tcPr>
                  <w:tcW w:w="1062" w:type="dxa"/>
                  <w:vAlign w:val="center"/>
                </w:tcPr>
                <w:p w14:paraId="7D35D72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985" w:type="dxa"/>
                  <w:vAlign w:val="center"/>
                </w:tcPr>
                <w:p w14:paraId="29F1F4AB">
                  <w:pPr>
                    <w:widowControl/>
                    <w:rPr>
                      <w:rFonts w:ascii="宋体" w:hAnsi="宋体" w:eastAsia="仿宋" w:cs="宋体"/>
                      <w:kern w:val="0"/>
                      <w:sz w:val="22"/>
                      <w:highlight w:val="none"/>
                    </w:rPr>
                  </w:pPr>
                  <w:r>
                    <w:rPr>
                      <w:rFonts w:hint="eastAsia" w:ascii="宋体" w:hAnsi="宋体" w:eastAsia="仿宋" w:cs="宋体"/>
                      <w:kern w:val="0"/>
                      <w:sz w:val="22"/>
                      <w:highlight w:val="none"/>
                    </w:rPr>
                    <w:t>实配≥64GB DDR4</w:t>
                  </w:r>
                </w:p>
              </w:tc>
            </w:tr>
            <w:tr w14:paraId="4F59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63F71B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958" w:type="dxa"/>
                  <w:vMerge w:val="continue"/>
                  <w:vAlign w:val="center"/>
                </w:tcPr>
                <w:p w14:paraId="1FE3DE10">
                  <w:pPr>
                    <w:rPr>
                      <w:highlight w:val="none"/>
                    </w:rPr>
                  </w:pPr>
                </w:p>
              </w:tc>
              <w:tc>
                <w:tcPr>
                  <w:tcW w:w="1062" w:type="dxa"/>
                  <w:vAlign w:val="center"/>
                </w:tcPr>
                <w:p w14:paraId="3BEBD73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985" w:type="dxa"/>
                  <w:vAlign w:val="center"/>
                </w:tcPr>
                <w:p w14:paraId="16425F7A">
                  <w:pPr>
                    <w:widowControl/>
                    <w:rPr>
                      <w:rFonts w:ascii="宋体" w:hAnsi="宋体" w:eastAsia="仿宋" w:cs="宋体"/>
                      <w:kern w:val="0"/>
                      <w:sz w:val="22"/>
                      <w:highlight w:val="none"/>
                    </w:rPr>
                  </w:pPr>
                  <w:r>
                    <w:rPr>
                      <w:rFonts w:hint="eastAsia" w:ascii="宋体" w:hAnsi="宋体" w:eastAsia="仿宋" w:cs="宋体"/>
                      <w:kern w:val="0"/>
                      <w:sz w:val="22"/>
                      <w:highlight w:val="none"/>
                    </w:rPr>
                    <w:t>支持≥8个内存接口通道</w:t>
                  </w:r>
                </w:p>
              </w:tc>
            </w:tr>
            <w:tr w14:paraId="7A8A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49C6443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958" w:type="dxa"/>
                  <w:vMerge w:val="restart"/>
                  <w:vAlign w:val="center"/>
                </w:tcPr>
                <w:p w14:paraId="20945C9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062" w:type="dxa"/>
                  <w:vAlign w:val="center"/>
                </w:tcPr>
                <w:p w14:paraId="638C5A2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985" w:type="dxa"/>
                  <w:vAlign w:val="center"/>
                </w:tcPr>
                <w:p w14:paraId="1607DDD0">
                  <w:pPr>
                    <w:widowControl/>
                    <w:rPr>
                      <w:rFonts w:ascii="宋体" w:hAnsi="宋体" w:eastAsia="仿宋" w:cs="宋体"/>
                      <w:kern w:val="0"/>
                      <w:sz w:val="22"/>
                      <w:highlight w:val="none"/>
                    </w:rPr>
                  </w:pPr>
                  <w:r>
                    <w:rPr>
                      <w:rFonts w:hint="eastAsia" w:ascii="宋体" w:hAnsi="宋体" w:eastAsia="仿宋" w:cs="宋体"/>
                      <w:kern w:val="0"/>
                      <w:sz w:val="22"/>
                      <w:highlight w:val="none"/>
                    </w:rPr>
                    <w:t>实配≥2*480GB SSD；</w:t>
                  </w:r>
                </w:p>
              </w:tc>
            </w:tr>
            <w:tr w14:paraId="5FD1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8B77F4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958" w:type="dxa"/>
                  <w:vMerge w:val="continue"/>
                  <w:vAlign w:val="center"/>
                </w:tcPr>
                <w:p w14:paraId="370DAA07">
                  <w:pPr>
                    <w:rPr>
                      <w:highlight w:val="none"/>
                    </w:rPr>
                  </w:pPr>
                </w:p>
              </w:tc>
              <w:tc>
                <w:tcPr>
                  <w:tcW w:w="1062" w:type="dxa"/>
                  <w:vAlign w:val="center"/>
                </w:tcPr>
                <w:p w14:paraId="669BC7A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985" w:type="dxa"/>
                  <w:vAlign w:val="center"/>
                </w:tcPr>
                <w:p w14:paraId="17A37E98">
                  <w:pPr>
                    <w:widowControl/>
                    <w:rPr>
                      <w:rFonts w:ascii="宋体" w:hAnsi="宋体" w:eastAsia="仿宋" w:cs="宋体"/>
                      <w:kern w:val="0"/>
                      <w:sz w:val="22"/>
                      <w:highlight w:val="none"/>
                    </w:rPr>
                  </w:pPr>
                  <w:r>
                    <w:rPr>
                      <w:rFonts w:hint="eastAsia" w:ascii="宋体" w:hAnsi="宋体" w:eastAsia="仿宋" w:cs="宋体"/>
                      <w:kern w:val="0"/>
                      <w:sz w:val="22"/>
                      <w:highlight w:val="none"/>
                    </w:rPr>
                    <w:t xml:space="preserve">实配≥2* </w:t>
                  </w:r>
                  <w:r>
                    <w:rPr>
                      <w:rFonts w:ascii="宋体" w:hAnsi="宋体" w:eastAsia="仿宋" w:cs="宋体"/>
                      <w:kern w:val="0"/>
                      <w:sz w:val="22"/>
                      <w:highlight w:val="none"/>
                    </w:rPr>
                    <w:t>SSD</w:t>
                  </w:r>
                  <w:r>
                    <w:rPr>
                      <w:rFonts w:hint="eastAsia" w:ascii="宋体" w:hAnsi="宋体" w:eastAsia="仿宋" w:cs="宋体"/>
                      <w:kern w:val="0"/>
                      <w:sz w:val="22"/>
                      <w:highlight w:val="none"/>
                    </w:rPr>
                    <w:t>；</w:t>
                  </w:r>
                </w:p>
              </w:tc>
            </w:tr>
            <w:tr w14:paraId="11F9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59E285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958" w:type="dxa"/>
                  <w:vMerge w:val="continue"/>
                  <w:vAlign w:val="center"/>
                </w:tcPr>
                <w:p w14:paraId="12EEA03B">
                  <w:pPr>
                    <w:rPr>
                      <w:highlight w:val="none"/>
                    </w:rPr>
                  </w:pPr>
                </w:p>
              </w:tc>
              <w:tc>
                <w:tcPr>
                  <w:tcW w:w="1062" w:type="dxa"/>
                  <w:vAlign w:val="center"/>
                </w:tcPr>
                <w:p w14:paraId="704103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985" w:type="dxa"/>
                  <w:vAlign w:val="center"/>
                </w:tcPr>
                <w:p w14:paraId="3D92B76D">
                  <w:pPr>
                    <w:widowControl/>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SSD（2）后置支持≥2个2.5寸硬盘/3.5寸硬盘；</w:t>
                  </w:r>
                </w:p>
              </w:tc>
            </w:tr>
            <w:tr w14:paraId="5EDC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CF8311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958" w:type="dxa"/>
                  <w:vAlign w:val="center"/>
                </w:tcPr>
                <w:p w14:paraId="7AD013D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062" w:type="dxa"/>
                  <w:vAlign w:val="center"/>
                </w:tcPr>
                <w:p w14:paraId="1E3A8C7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985" w:type="dxa"/>
                  <w:vAlign w:val="center"/>
                </w:tcPr>
                <w:p w14:paraId="54ABAA1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≥4*千兆双口RJ45</w:t>
                  </w:r>
                </w:p>
              </w:tc>
            </w:tr>
            <w:tr w14:paraId="7484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127FA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958" w:type="dxa"/>
                  <w:vMerge w:val="restart"/>
                  <w:vAlign w:val="center"/>
                </w:tcPr>
                <w:p w14:paraId="109256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062" w:type="dxa"/>
                  <w:vAlign w:val="center"/>
                </w:tcPr>
                <w:p w14:paraId="038DDB0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985" w:type="dxa"/>
                  <w:vAlign w:val="center"/>
                </w:tcPr>
                <w:p w14:paraId="269507A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配置≥2个VGA接口</w:t>
                  </w:r>
                </w:p>
              </w:tc>
            </w:tr>
            <w:tr w14:paraId="53BE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E80A3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958" w:type="dxa"/>
                  <w:vMerge w:val="continue"/>
                  <w:vAlign w:val="center"/>
                </w:tcPr>
                <w:p w14:paraId="75576901">
                  <w:pPr>
                    <w:rPr>
                      <w:highlight w:val="none"/>
                    </w:rPr>
                  </w:pPr>
                </w:p>
              </w:tc>
              <w:tc>
                <w:tcPr>
                  <w:tcW w:w="1062" w:type="dxa"/>
                  <w:vAlign w:val="center"/>
                </w:tcPr>
                <w:p w14:paraId="404F2AC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985" w:type="dxa"/>
                  <w:vAlign w:val="center"/>
                </w:tcPr>
                <w:p w14:paraId="6B922688">
                  <w:pPr>
                    <w:widowControl/>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57AF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2B2AD6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958" w:type="dxa"/>
                  <w:vMerge w:val="restart"/>
                  <w:vAlign w:val="center"/>
                </w:tcPr>
                <w:p w14:paraId="752E8B9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062" w:type="dxa"/>
                  <w:vAlign w:val="center"/>
                </w:tcPr>
                <w:p w14:paraId="2DFCCDA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985" w:type="dxa"/>
                  <w:vAlign w:val="center"/>
                </w:tcPr>
                <w:p w14:paraId="4474DA57">
                  <w:pPr>
                    <w:widowControl/>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2BE0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D8658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958" w:type="dxa"/>
                  <w:vMerge w:val="continue"/>
                  <w:vAlign w:val="center"/>
                </w:tcPr>
                <w:p w14:paraId="0C51C56E">
                  <w:pPr>
                    <w:rPr>
                      <w:highlight w:val="none"/>
                    </w:rPr>
                  </w:pPr>
                </w:p>
              </w:tc>
              <w:tc>
                <w:tcPr>
                  <w:tcW w:w="1062" w:type="dxa"/>
                  <w:vAlign w:val="center"/>
                </w:tcPr>
                <w:p w14:paraId="035E7D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985" w:type="dxa"/>
                  <w:vAlign w:val="center"/>
                </w:tcPr>
                <w:p w14:paraId="18C1168B">
                  <w:pPr>
                    <w:widowControl/>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187D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3" w:type="dxa"/>
                  <w:vAlign w:val="center"/>
                </w:tcPr>
                <w:p w14:paraId="5D8DD8A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958" w:type="dxa"/>
                  <w:vMerge w:val="restart"/>
                  <w:vAlign w:val="center"/>
                </w:tcPr>
                <w:p w14:paraId="5359179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062" w:type="dxa"/>
                  <w:vAlign w:val="center"/>
                </w:tcPr>
                <w:p w14:paraId="7338C7A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985" w:type="dxa"/>
                  <w:vAlign w:val="center"/>
                </w:tcPr>
                <w:p w14:paraId="283928F1">
                  <w:pPr>
                    <w:widowControl/>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3DF2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66BD3A3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958" w:type="dxa"/>
                  <w:vMerge w:val="continue"/>
                  <w:vAlign w:val="center"/>
                </w:tcPr>
                <w:p w14:paraId="06D7AFEE">
                  <w:pPr>
                    <w:rPr>
                      <w:highlight w:val="none"/>
                    </w:rPr>
                  </w:pPr>
                </w:p>
              </w:tc>
              <w:tc>
                <w:tcPr>
                  <w:tcW w:w="1062" w:type="dxa"/>
                  <w:vAlign w:val="center"/>
                </w:tcPr>
                <w:p w14:paraId="676DC27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985" w:type="dxa"/>
                  <w:vAlign w:val="center"/>
                </w:tcPr>
                <w:p w14:paraId="21B87F9F">
                  <w:pPr>
                    <w:widowControl/>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29B2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33" w:type="dxa"/>
                  <w:vAlign w:val="center"/>
                </w:tcPr>
                <w:p w14:paraId="7D16D5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958" w:type="dxa"/>
                  <w:vMerge w:val="continue"/>
                  <w:vAlign w:val="center"/>
                </w:tcPr>
                <w:p w14:paraId="17813565">
                  <w:pPr>
                    <w:rPr>
                      <w:highlight w:val="none"/>
                    </w:rPr>
                  </w:pPr>
                </w:p>
              </w:tc>
              <w:tc>
                <w:tcPr>
                  <w:tcW w:w="1062" w:type="dxa"/>
                  <w:vAlign w:val="center"/>
                </w:tcPr>
                <w:p w14:paraId="2570B8A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985" w:type="dxa"/>
                  <w:vAlign w:val="center"/>
                </w:tcPr>
                <w:p w14:paraId="48D44140">
                  <w:pPr>
                    <w:widowControl/>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w:t>
                  </w:r>
                  <w:r>
                    <w:rPr>
                      <w:rFonts w:ascii="宋体" w:hAnsi="宋体" w:eastAsia="仿宋" w:cs="宋体"/>
                      <w:kern w:val="0"/>
                      <w:sz w:val="22"/>
                      <w:highlight w:val="none"/>
                    </w:rPr>
                    <w:t>5℃～40℃</w:t>
                  </w:r>
                  <w:r>
                    <w:rPr>
                      <w:rFonts w:hint="eastAsia" w:ascii="宋体" w:hAnsi="宋体" w:eastAsia="仿宋" w:cs="宋体"/>
                      <w:kern w:val="0"/>
                      <w:sz w:val="22"/>
                      <w:highlight w:val="none"/>
                    </w:rPr>
                    <w:t>，贮存运输温度</w:t>
                  </w:r>
                  <w:r>
                    <w:rPr>
                      <w:rFonts w:ascii="宋体" w:hAnsi="宋体" w:eastAsia="仿宋" w:cs="宋体"/>
                      <w:kern w:val="0"/>
                      <w:sz w:val="22"/>
                      <w:highlight w:val="none"/>
                    </w:rPr>
                    <w:t>-40℃～+65℃</w:t>
                  </w:r>
                  <w:r>
                    <w:rPr>
                      <w:rFonts w:hint="eastAsia" w:ascii="宋体" w:hAnsi="宋体" w:eastAsia="仿宋" w:cs="宋体"/>
                      <w:kern w:val="0"/>
                      <w:sz w:val="22"/>
                      <w:highlight w:val="none"/>
                    </w:rPr>
                    <w:t xml:space="preserve">；工作相对湿度 </w:t>
                  </w:r>
                  <w:r>
                    <w:rPr>
                      <w:rFonts w:ascii="宋体" w:hAnsi="宋体" w:eastAsia="仿宋" w:cs="宋体"/>
                      <w:kern w:val="0"/>
                      <w:sz w:val="22"/>
                      <w:highlight w:val="none"/>
                    </w:rPr>
                    <w:t>8%～90%</w:t>
                  </w:r>
                  <w:r>
                    <w:rPr>
                      <w:rFonts w:hint="eastAsia" w:ascii="宋体" w:hAnsi="宋体" w:eastAsia="仿宋" w:cs="宋体"/>
                      <w:kern w:val="0"/>
                      <w:sz w:val="22"/>
                      <w:highlight w:val="none"/>
                    </w:rPr>
                    <w:t xml:space="preserve">，贮存运输相对湿度 </w:t>
                  </w:r>
                  <w:r>
                    <w:rPr>
                      <w:rFonts w:ascii="宋体" w:hAnsi="宋体" w:eastAsia="仿宋" w:cs="宋体"/>
                      <w:kern w:val="0"/>
                      <w:sz w:val="22"/>
                      <w:highlight w:val="none"/>
                    </w:rPr>
                    <w:t>5%～95%</w:t>
                  </w:r>
                  <w:r>
                    <w:rPr>
                      <w:rFonts w:hint="eastAsia" w:ascii="宋体" w:hAnsi="宋体" w:eastAsia="仿宋" w:cs="宋体"/>
                      <w:kern w:val="0"/>
                      <w:sz w:val="22"/>
                      <w:highlight w:val="none"/>
                    </w:rPr>
                    <w:t>（40℃）；大气压86～106kPa</w:t>
                  </w:r>
                </w:p>
              </w:tc>
            </w:tr>
            <w:tr w14:paraId="1995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A1277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958" w:type="dxa"/>
                  <w:vMerge w:val="continue"/>
                  <w:vAlign w:val="center"/>
                </w:tcPr>
                <w:p w14:paraId="383C37EA">
                  <w:pPr>
                    <w:rPr>
                      <w:highlight w:val="none"/>
                    </w:rPr>
                  </w:pPr>
                </w:p>
              </w:tc>
              <w:tc>
                <w:tcPr>
                  <w:tcW w:w="1062" w:type="dxa"/>
                  <w:vAlign w:val="center"/>
                </w:tcPr>
                <w:p w14:paraId="1A7BE0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985" w:type="dxa"/>
                  <w:vAlign w:val="center"/>
                </w:tcPr>
                <w:p w14:paraId="7EDB36A1">
                  <w:pPr>
                    <w:widowControl/>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311F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2FDA43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958" w:type="dxa"/>
                  <w:vMerge w:val="continue"/>
                  <w:vAlign w:val="center"/>
                </w:tcPr>
                <w:p w14:paraId="4D490A65">
                  <w:pPr>
                    <w:rPr>
                      <w:highlight w:val="none"/>
                    </w:rPr>
                  </w:pPr>
                </w:p>
              </w:tc>
              <w:tc>
                <w:tcPr>
                  <w:tcW w:w="1062" w:type="dxa"/>
                  <w:vAlign w:val="center"/>
                </w:tcPr>
                <w:p w14:paraId="2612F42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985" w:type="dxa"/>
                  <w:vAlign w:val="center"/>
                </w:tcPr>
                <w:p w14:paraId="1AFF1202">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1913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22549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958" w:type="dxa"/>
                  <w:vAlign w:val="center"/>
                </w:tcPr>
                <w:p w14:paraId="0D51B75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机柜规格</w:t>
                  </w:r>
                </w:p>
              </w:tc>
              <w:tc>
                <w:tcPr>
                  <w:tcW w:w="1062" w:type="dxa"/>
                  <w:vAlign w:val="center"/>
                </w:tcPr>
                <w:p w14:paraId="4D89B15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985" w:type="dxa"/>
                  <w:vAlign w:val="center"/>
                </w:tcPr>
                <w:p w14:paraId="7E09887B">
                  <w:pPr>
                    <w:widowControl/>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1C0C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4D1EB71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958" w:type="dxa"/>
                  <w:vAlign w:val="center"/>
                </w:tcPr>
                <w:p w14:paraId="7B47D3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w:t>
                  </w:r>
                </w:p>
              </w:tc>
              <w:tc>
                <w:tcPr>
                  <w:tcW w:w="1062" w:type="dxa"/>
                  <w:vAlign w:val="center"/>
                </w:tcPr>
                <w:p w14:paraId="288D8B3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985" w:type="dxa"/>
                  <w:vAlign w:val="center"/>
                </w:tcPr>
                <w:p w14:paraId="4FCE161A">
                  <w:pPr>
                    <w:widowControl/>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093D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4820B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958" w:type="dxa"/>
                  <w:vAlign w:val="center"/>
                </w:tcPr>
                <w:p w14:paraId="61287DE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062" w:type="dxa"/>
                  <w:vAlign w:val="center"/>
                </w:tcPr>
                <w:p w14:paraId="24251AB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985" w:type="dxa"/>
                  <w:vAlign w:val="center"/>
                </w:tcPr>
                <w:p w14:paraId="60B3D19A">
                  <w:pPr>
                    <w:widowControl/>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581D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3" w:type="dxa"/>
                  <w:vAlign w:val="center"/>
                </w:tcPr>
                <w:p w14:paraId="4E919B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958" w:type="dxa"/>
                  <w:vMerge w:val="restart"/>
                  <w:vAlign w:val="center"/>
                </w:tcPr>
                <w:p w14:paraId="3AA3E3F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062" w:type="dxa"/>
                  <w:vAlign w:val="center"/>
                </w:tcPr>
                <w:p w14:paraId="6E208A7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985" w:type="dxa"/>
                  <w:vAlign w:val="center"/>
                </w:tcPr>
                <w:p w14:paraId="0290A8FE">
                  <w:pPr>
                    <w:widowControl/>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4FB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53DFAE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958" w:type="dxa"/>
                  <w:vMerge w:val="continue"/>
                  <w:vAlign w:val="center"/>
                </w:tcPr>
                <w:p w14:paraId="6FEB43B3">
                  <w:pPr>
                    <w:rPr>
                      <w:highlight w:val="none"/>
                    </w:rPr>
                  </w:pPr>
                </w:p>
              </w:tc>
              <w:tc>
                <w:tcPr>
                  <w:tcW w:w="1062" w:type="dxa"/>
                  <w:vAlign w:val="center"/>
                </w:tcPr>
                <w:p w14:paraId="2D6553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985" w:type="dxa"/>
                  <w:vAlign w:val="center"/>
                </w:tcPr>
                <w:p w14:paraId="5F7090F4">
                  <w:pPr>
                    <w:widowControl/>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的相关规定支持具备RSA/SM3/SM4/DH/MD5/AES算法硬件加解密加速能力和ZLIB/GZIP算法硬件压缩加速能力提供相应证明材料</w:t>
                  </w:r>
                </w:p>
              </w:tc>
            </w:tr>
            <w:tr w14:paraId="405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0413A7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958" w:type="dxa"/>
                  <w:vMerge w:val="restart"/>
                  <w:vAlign w:val="center"/>
                </w:tcPr>
                <w:p w14:paraId="5DD3C8F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062" w:type="dxa"/>
                  <w:vAlign w:val="center"/>
                </w:tcPr>
                <w:p w14:paraId="7F9A70A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985" w:type="dxa"/>
                  <w:vAlign w:val="center"/>
                </w:tcPr>
                <w:p w14:paraId="536CEA98">
                  <w:pPr>
                    <w:widowControl/>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64FE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AF953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958" w:type="dxa"/>
                  <w:vMerge w:val="continue"/>
                  <w:vAlign w:val="center"/>
                </w:tcPr>
                <w:p w14:paraId="6D24AC63">
                  <w:pPr>
                    <w:rPr>
                      <w:highlight w:val="none"/>
                    </w:rPr>
                  </w:pPr>
                </w:p>
              </w:tc>
              <w:tc>
                <w:tcPr>
                  <w:tcW w:w="1062" w:type="dxa"/>
                  <w:vAlign w:val="center"/>
                </w:tcPr>
                <w:p w14:paraId="149270B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985" w:type="dxa"/>
                  <w:vAlign w:val="center"/>
                </w:tcPr>
                <w:p w14:paraId="77A96871">
                  <w:pPr>
                    <w:widowControl/>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1501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1D46CC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958" w:type="dxa"/>
                  <w:vAlign w:val="center"/>
                </w:tcPr>
                <w:p w14:paraId="3F13C17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062" w:type="dxa"/>
                  <w:vAlign w:val="center"/>
                </w:tcPr>
                <w:p w14:paraId="69785D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985" w:type="dxa"/>
                  <w:vAlign w:val="center"/>
                </w:tcPr>
                <w:p w14:paraId="67D76BBE">
                  <w:pPr>
                    <w:widowControl/>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2C15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33" w:type="dxa"/>
                  <w:vAlign w:val="center"/>
                </w:tcPr>
                <w:p w14:paraId="47A6F85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958" w:type="dxa"/>
                  <w:vMerge w:val="restart"/>
                  <w:vAlign w:val="center"/>
                </w:tcPr>
                <w:p w14:paraId="5C7ACAF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062" w:type="dxa"/>
                  <w:vAlign w:val="center"/>
                </w:tcPr>
                <w:p w14:paraId="1388768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985" w:type="dxa"/>
                  <w:vAlign w:val="center"/>
                </w:tcPr>
                <w:p w14:paraId="4CF5971F">
                  <w:pPr>
                    <w:widowControl/>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6FE4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3" w:type="dxa"/>
                  <w:vAlign w:val="center"/>
                </w:tcPr>
                <w:p w14:paraId="57828D4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958" w:type="dxa"/>
                  <w:vMerge w:val="continue"/>
                  <w:vAlign w:val="center"/>
                </w:tcPr>
                <w:p w14:paraId="103106EA">
                  <w:pPr>
                    <w:rPr>
                      <w:highlight w:val="none"/>
                    </w:rPr>
                  </w:pPr>
                </w:p>
              </w:tc>
              <w:tc>
                <w:tcPr>
                  <w:tcW w:w="1062" w:type="dxa"/>
                  <w:vAlign w:val="center"/>
                </w:tcPr>
                <w:p w14:paraId="2150986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985" w:type="dxa"/>
                  <w:vAlign w:val="center"/>
                </w:tcPr>
                <w:p w14:paraId="4CA48A0C">
                  <w:pPr>
                    <w:widowControl/>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191E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EE2620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958" w:type="dxa"/>
                  <w:vMerge w:val="continue"/>
                  <w:vAlign w:val="center"/>
                </w:tcPr>
                <w:p w14:paraId="2217D17A">
                  <w:pPr>
                    <w:rPr>
                      <w:highlight w:val="none"/>
                    </w:rPr>
                  </w:pPr>
                </w:p>
              </w:tc>
              <w:tc>
                <w:tcPr>
                  <w:tcW w:w="1062" w:type="dxa"/>
                  <w:vAlign w:val="center"/>
                </w:tcPr>
                <w:p w14:paraId="0466D0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985" w:type="dxa"/>
                  <w:vAlign w:val="center"/>
                </w:tcPr>
                <w:p w14:paraId="16AD02C4">
                  <w:pPr>
                    <w:widowControl/>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3BCB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0F91EB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958" w:type="dxa"/>
                  <w:vMerge w:val="restart"/>
                  <w:vAlign w:val="center"/>
                </w:tcPr>
                <w:p w14:paraId="217829C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062" w:type="dxa"/>
                  <w:vAlign w:val="center"/>
                </w:tcPr>
                <w:p w14:paraId="25D74A4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985" w:type="dxa"/>
                  <w:vAlign w:val="center"/>
                </w:tcPr>
                <w:p w14:paraId="6E0E726F">
                  <w:pPr>
                    <w:widowControl/>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06BB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3" w:type="dxa"/>
                  <w:vAlign w:val="center"/>
                </w:tcPr>
                <w:p w14:paraId="58FE1D2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958" w:type="dxa"/>
                  <w:vMerge w:val="continue"/>
                  <w:vAlign w:val="center"/>
                </w:tcPr>
                <w:p w14:paraId="34763472">
                  <w:pPr>
                    <w:rPr>
                      <w:highlight w:val="none"/>
                    </w:rPr>
                  </w:pPr>
                </w:p>
              </w:tc>
              <w:tc>
                <w:tcPr>
                  <w:tcW w:w="1062" w:type="dxa"/>
                  <w:vAlign w:val="center"/>
                </w:tcPr>
                <w:p w14:paraId="0F44B02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985" w:type="dxa"/>
                  <w:vAlign w:val="center"/>
                </w:tcPr>
                <w:p w14:paraId="08CB39B9">
                  <w:pPr>
                    <w:widowControl/>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2FDC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69AA7ED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958" w:type="dxa"/>
                  <w:vAlign w:val="center"/>
                </w:tcPr>
                <w:p w14:paraId="4F08353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062" w:type="dxa"/>
                  <w:vAlign w:val="center"/>
                </w:tcPr>
                <w:p w14:paraId="4480DE0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985" w:type="dxa"/>
                  <w:vAlign w:val="center"/>
                </w:tcPr>
                <w:p w14:paraId="537BD8B0">
                  <w:pPr>
                    <w:widowControl/>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3D42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6B1315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958" w:type="dxa"/>
                  <w:vAlign w:val="center"/>
                </w:tcPr>
                <w:p w14:paraId="57F530A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062" w:type="dxa"/>
                  <w:vAlign w:val="center"/>
                </w:tcPr>
                <w:p w14:paraId="39616E4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4985" w:type="dxa"/>
                  <w:vAlign w:val="center"/>
                </w:tcPr>
                <w:p w14:paraId="77C14C0B">
                  <w:pPr>
                    <w:widowControl/>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3758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651D8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958" w:type="dxa"/>
                  <w:vAlign w:val="center"/>
                </w:tcPr>
                <w:p w14:paraId="0D93483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062" w:type="dxa"/>
                  <w:vAlign w:val="center"/>
                </w:tcPr>
                <w:p w14:paraId="218F596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985" w:type="dxa"/>
                  <w:vAlign w:val="center"/>
                </w:tcPr>
                <w:p w14:paraId="7107224D">
                  <w:pPr>
                    <w:widowControl/>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76DA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E455C4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958" w:type="dxa"/>
                  <w:vMerge w:val="restart"/>
                  <w:vAlign w:val="center"/>
                </w:tcPr>
                <w:p w14:paraId="62BA553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062" w:type="dxa"/>
                  <w:vAlign w:val="center"/>
                </w:tcPr>
                <w:p w14:paraId="130C5ED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985" w:type="dxa"/>
                  <w:vAlign w:val="center"/>
                </w:tcPr>
                <w:p w14:paraId="5C2EA5AA">
                  <w:pPr>
                    <w:widowControl/>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3F49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69286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958" w:type="dxa"/>
                  <w:vMerge w:val="continue"/>
                  <w:vAlign w:val="center"/>
                </w:tcPr>
                <w:p w14:paraId="454F498B">
                  <w:pPr>
                    <w:rPr>
                      <w:highlight w:val="none"/>
                    </w:rPr>
                  </w:pPr>
                </w:p>
              </w:tc>
              <w:tc>
                <w:tcPr>
                  <w:tcW w:w="1062" w:type="dxa"/>
                  <w:vAlign w:val="center"/>
                </w:tcPr>
                <w:p w14:paraId="604287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985" w:type="dxa"/>
                  <w:vAlign w:val="center"/>
                </w:tcPr>
                <w:p w14:paraId="0733F771">
                  <w:pPr>
                    <w:widowControl/>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381D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7594C1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958" w:type="dxa"/>
                  <w:vMerge w:val="continue"/>
                  <w:vAlign w:val="center"/>
                </w:tcPr>
                <w:p w14:paraId="69C93586">
                  <w:pPr>
                    <w:rPr>
                      <w:highlight w:val="none"/>
                    </w:rPr>
                  </w:pPr>
                </w:p>
              </w:tc>
              <w:tc>
                <w:tcPr>
                  <w:tcW w:w="1062" w:type="dxa"/>
                  <w:vAlign w:val="center"/>
                </w:tcPr>
                <w:p w14:paraId="2D959FD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985" w:type="dxa"/>
                  <w:vAlign w:val="center"/>
                </w:tcPr>
                <w:p w14:paraId="017357B6">
                  <w:pPr>
                    <w:widowControl/>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19ED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42BFCA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958" w:type="dxa"/>
                  <w:vMerge w:val="continue"/>
                  <w:vAlign w:val="center"/>
                </w:tcPr>
                <w:p w14:paraId="08A94926">
                  <w:pPr>
                    <w:rPr>
                      <w:highlight w:val="none"/>
                    </w:rPr>
                  </w:pPr>
                </w:p>
              </w:tc>
              <w:tc>
                <w:tcPr>
                  <w:tcW w:w="1062" w:type="dxa"/>
                  <w:vAlign w:val="center"/>
                </w:tcPr>
                <w:p w14:paraId="52317DB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985" w:type="dxa"/>
                  <w:vAlign w:val="center"/>
                </w:tcPr>
                <w:p w14:paraId="730EF459">
                  <w:pPr>
                    <w:widowControl/>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1D58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DAB8F5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958" w:type="dxa"/>
                  <w:vMerge w:val="continue"/>
                  <w:vAlign w:val="center"/>
                </w:tcPr>
                <w:p w14:paraId="7E78B16E">
                  <w:pPr>
                    <w:rPr>
                      <w:highlight w:val="none"/>
                    </w:rPr>
                  </w:pPr>
                </w:p>
              </w:tc>
              <w:tc>
                <w:tcPr>
                  <w:tcW w:w="1062" w:type="dxa"/>
                  <w:vAlign w:val="center"/>
                </w:tcPr>
                <w:p w14:paraId="5285B4A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985" w:type="dxa"/>
                  <w:vAlign w:val="center"/>
                </w:tcPr>
                <w:p w14:paraId="062432C0">
                  <w:pPr>
                    <w:widowControl/>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5B7A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33" w:type="dxa"/>
                  <w:vAlign w:val="center"/>
                </w:tcPr>
                <w:p w14:paraId="0C16EF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958" w:type="dxa"/>
                  <w:vAlign w:val="center"/>
                </w:tcPr>
                <w:p w14:paraId="724C57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062" w:type="dxa"/>
                  <w:vAlign w:val="center"/>
                </w:tcPr>
                <w:p w14:paraId="3D1FDB2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985" w:type="dxa"/>
                  <w:vAlign w:val="center"/>
                </w:tcPr>
                <w:p w14:paraId="369C24FC">
                  <w:pPr>
                    <w:widowControl/>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483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309F24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958" w:type="dxa"/>
                  <w:vAlign w:val="center"/>
                </w:tcPr>
                <w:p w14:paraId="02FD3C5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062" w:type="dxa"/>
                  <w:vAlign w:val="center"/>
                </w:tcPr>
                <w:p w14:paraId="26A6B0F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985" w:type="dxa"/>
                  <w:vAlign w:val="center"/>
                </w:tcPr>
                <w:p w14:paraId="35412337">
                  <w:pPr>
                    <w:widowControl/>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1858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0F5AAE4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958" w:type="dxa"/>
                  <w:vAlign w:val="center"/>
                </w:tcPr>
                <w:p w14:paraId="259F4D0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062" w:type="dxa"/>
                  <w:vAlign w:val="center"/>
                </w:tcPr>
                <w:p w14:paraId="1FF77C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985" w:type="dxa"/>
                  <w:vAlign w:val="center"/>
                </w:tcPr>
                <w:p w14:paraId="1E06ABB1">
                  <w:pPr>
                    <w:widowControl/>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5C6F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1EF55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958" w:type="dxa"/>
                  <w:vMerge w:val="restart"/>
                  <w:vAlign w:val="center"/>
                </w:tcPr>
                <w:p w14:paraId="74DF87F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062" w:type="dxa"/>
                  <w:vAlign w:val="center"/>
                </w:tcPr>
                <w:p w14:paraId="0F87D78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985" w:type="dxa"/>
                  <w:vAlign w:val="center"/>
                </w:tcPr>
                <w:p w14:paraId="22041992">
                  <w:pPr>
                    <w:widowControl/>
                    <w:rPr>
                      <w:rFonts w:ascii="宋体" w:hAnsi="宋体" w:eastAsia="仿宋" w:cs="宋体"/>
                      <w:kern w:val="0"/>
                      <w:sz w:val="22"/>
                      <w:highlight w:val="none"/>
                    </w:rPr>
                  </w:pPr>
                  <w:r>
                    <w:rPr>
                      <w:rFonts w:hint="eastAsia" w:ascii="宋体" w:hAnsi="宋体" w:eastAsia="仿宋" w:cs="宋体"/>
                      <w:kern w:val="0"/>
                      <w:sz w:val="22"/>
                      <w:highlight w:val="none"/>
                    </w:rPr>
                    <w:t>≥2.6GHz</w:t>
                  </w:r>
                </w:p>
              </w:tc>
            </w:tr>
            <w:tr w14:paraId="4A76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EA83B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958" w:type="dxa"/>
                  <w:vMerge w:val="continue"/>
                  <w:vAlign w:val="center"/>
                </w:tcPr>
                <w:p w14:paraId="4A732068">
                  <w:pPr>
                    <w:rPr>
                      <w:highlight w:val="none"/>
                    </w:rPr>
                  </w:pPr>
                </w:p>
              </w:tc>
              <w:tc>
                <w:tcPr>
                  <w:tcW w:w="1062" w:type="dxa"/>
                  <w:vAlign w:val="center"/>
                </w:tcPr>
                <w:p w14:paraId="793F3DE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 CPU 核数</w:t>
                  </w:r>
                </w:p>
              </w:tc>
              <w:tc>
                <w:tcPr>
                  <w:tcW w:w="4985" w:type="dxa"/>
                  <w:vAlign w:val="center"/>
                </w:tcPr>
                <w:p w14:paraId="4F187AE2">
                  <w:pPr>
                    <w:widowControl/>
                    <w:rPr>
                      <w:rFonts w:ascii="宋体" w:hAnsi="宋体" w:eastAsia="仿宋" w:cs="宋体"/>
                      <w:kern w:val="0"/>
                      <w:sz w:val="22"/>
                      <w:highlight w:val="none"/>
                    </w:rPr>
                  </w:pPr>
                  <w:r>
                    <w:rPr>
                      <w:rFonts w:hint="eastAsia" w:ascii="宋体" w:hAnsi="宋体" w:eastAsia="仿宋" w:cs="宋体"/>
                      <w:kern w:val="0"/>
                      <w:sz w:val="22"/>
                      <w:highlight w:val="none"/>
                    </w:rPr>
                    <w:t>≥24</w:t>
                  </w:r>
                </w:p>
              </w:tc>
            </w:tr>
            <w:tr w14:paraId="7622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4AF9B3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958" w:type="dxa"/>
                  <w:vMerge w:val="continue"/>
                  <w:vAlign w:val="center"/>
                </w:tcPr>
                <w:p w14:paraId="56261BAB">
                  <w:pPr>
                    <w:rPr>
                      <w:highlight w:val="none"/>
                    </w:rPr>
                  </w:pPr>
                </w:p>
              </w:tc>
              <w:tc>
                <w:tcPr>
                  <w:tcW w:w="1062" w:type="dxa"/>
                  <w:vAlign w:val="center"/>
                </w:tcPr>
                <w:p w14:paraId="75EAF2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 CPU 末级缓存容量</w:t>
                  </w:r>
                </w:p>
              </w:tc>
              <w:tc>
                <w:tcPr>
                  <w:tcW w:w="4985" w:type="dxa"/>
                  <w:vAlign w:val="center"/>
                </w:tcPr>
                <w:p w14:paraId="1FB5C2F2">
                  <w:pPr>
                    <w:widowControl/>
                    <w:rPr>
                      <w:rFonts w:ascii="宋体" w:hAnsi="宋体" w:eastAsia="仿宋" w:cs="宋体"/>
                      <w:kern w:val="0"/>
                      <w:sz w:val="22"/>
                      <w:highlight w:val="none"/>
                    </w:rPr>
                  </w:pPr>
                  <w:r>
                    <w:rPr>
                      <w:rFonts w:hint="eastAsia" w:ascii="宋体" w:hAnsi="宋体" w:eastAsia="仿宋" w:cs="宋体"/>
                      <w:kern w:val="0"/>
                      <w:sz w:val="22"/>
                      <w:highlight w:val="none"/>
                    </w:rPr>
                    <w:t>≥32MB</w:t>
                  </w:r>
                </w:p>
              </w:tc>
            </w:tr>
            <w:tr w14:paraId="1C3E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12DA9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958" w:type="dxa"/>
                  <w:vAlign w:val="center"/>
                </w:tcPr>
                <w:p w14:paraId="502FAF8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062" w:type="dxa"/>
                  <w:vAlign w:val="center"/>
                </w:tcPr>
                <w:p w14:paraId="295670C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985" w:type="dxa"/>
                  <w:vAlign w:val="center"/>
                </w:tcPr>
                <w:p w14:paraId="405ED18F">
                  <w:pPr>
                    <w:widowControl/>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1DD3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3BC21C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958" w:type="dxa"/>
                  <w:vAlign w:val="center"/>
                </w:tcPr>
                <w:p w14:paraId="4CED09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062" w:type="dxa"/>
                  <w:vAlign w:val="center"/>
                </w:tcPr>
                <w:p w14:paraId="27DA0F0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985" w:type="dxa"/>
                  <w:vAlign w:val="center"/>
                </w:tcPr>
                <w:p w14:paraId="0A8B8B09">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0230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A4A30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958" w:type="dxa"/>
                  <w:vMerge w:val="restart"/>
                  <w:vAlign w:val="center"/>
                </w:tcPr>
                <w:p w14:paraId="429D75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062" w:type="dxa"/>
                  <w:vAlign w:val="center"/>
                </w:tcPr>
                <w:p w14:paraId="7E601F4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985" w:type="dxa"/>
                  <w:vAlign w:val="center"/>
                </w:tcPr>
                <w:p w14:paraId="0FCE4D48">
                  <w:pPr>
                    <w:widowControl/>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6B50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BCED2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958" w:type="dxa"/>
                  <w:vMerge w:val="continue"/>
                  <w:vAlign w:val="center"/>
                </w:tcPr>
                <w:p w14:paraId="4EDBA9A0">
                  <w:pPr>
                    <w:rPr>
                      <w:highlight w:val="none"/>
                    </w:rPr>
                  </w:pPr>
                </w:p>
              </w:tc>
              <w:tc>
                <w:tcPr>
                  <w:tcW w:w="1062" w:type="dxa"/>
                  <w:vAlign w:val="center"/>
                </w:tcPr>
                <w:p w14:paraId="00A5B6F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985" w:type="dxa"/>
                  <w:vAlign w:val="center"/>
                </w:tcPr>
                <w:p w14:paraId="6B21ECE9">
                  <w:pPr>
                    <w:widowControl/>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6C64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F019F5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958" w:type="dxa"/>
                  <w:vMerge w:val="continue"/>
                  <w:vAlign w:val="center"/>
                </w:tcPr>
                <w:p w14:paraId="0BB109DD">
                  <w:pPr>
                    <w:rPr>
                      <w:highlight w:val="none"/>
                    </w:rPr>
                  </w:pPr>
                </w:p>
              </w:tc>
              <w:tc>
                <w:tcPr>
                  <w:tcW w:w="1062" w:type="dxa"/>
                  <w:vAlign w:val="center"/>
                </w:tcPr>
                <w:p w14:paraId="794B4E4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985" w:type="dxa"/>
                  <w:vAlign w:val="center"/>
                </w:tcPr>
                <w:p w14:paraId="6376F8C9">
                  <w:pPr>
                    <w:widowControl/>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421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BFE85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958" w:type="dxa"/>
                  <w:vMerge w:val="continue"/>
                  <w:vAlign w:val="center"/>
                </w:tcPr>
                <w:p w14:paraId="3EC77737">
                  <w:pPr>
                    <w:rPr>
                      <w:highlight w:val="none"/>
                    </w:rPr>
                  </w:pPr>
                </w:p>
              </w:tc>
              <w:tc>
                <w:tcPr>
                  <w:tcW w:w="1062" w:type="dxa"/>
                  <w:vAlign w:val="center"/>
                </w:tcPr>
                <w:p w14:paraId="62079A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985" w:type="dxa"/>
                  <w:vAlign w:val="center"/>
                </w:tcPr>
                <w:p w14:paraId="29223D73">
                  <w:pPr>
                    <w:widowControl/>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35DA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2864A6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958" w:type="dxa"/>
                  <w:vAlign w:val="center"/>
                </w:tcPr>
                <w:p w14:paraId="48320C9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062" w:type="dxa"/>
                  <w:vAlign w:val="center"/>
                </w:tcPr>
                <w:p w14:paraId="23EE1E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985" w:type="dxa"/>
                  <w:vAlign w:val="center"/>
                </w:tcPr>
                <w:p w14:paraId="426270C1">
                  <w:pPr>
                    <w:widowControl/>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3D39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3B414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958" w:type="dxa"/>
                  <w:vMerge w:val="restart"/>
                  <w:vAlign w:val="center"/>
                </w:tcPr>
                <w:p w14:paraId="244AE44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062" w:type="dxa"/>
                  <w:vAlign w:val="center"/>
                </w:tcPr>
                <w:p w14:paraId="260E78C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985" w:type="dxa"/>
                  <w:vAlign w:val="center"/>
                </w:tcPr>
                <w:p w14:paraId="4353923D">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236C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1CEFE1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958" w:type="dxa"/>
                  <w:vMerge w:val="continue"/>
                  <w:vAlign w:val="center"/>
                </w:tcPr>
                <w:p w14:paraId="4D7BE3EB">
                  <w:pPr>
                    <w:rPr>
                      <w:highlight w:val="none"/>
                    </w:rPr>
                  </w:pPr>
                </w:p>
              </w:tc>
              <w:tc>
                <w:tcPr>
                  <w:tcW w:w="1062" w:type="dxa"/>
                  <w:vAlign w:val="center"/>
                </w:tcPr>
                <w:p w14:paraId="4CA0C4E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985" w:type="dxa"/>
                  <w:vAlign w:val="center"/>
                </w:tcPr>
                <w:p w14:paraId="788EA6EB">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701C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3808C1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958" w:type="dxa"/>
                  <w:vMerge w:val="continue"/>
                  <w:vAlign w:val="center"/>
                </w:tcPr>
                <w:p w14:paraId="628B201A">
                  <w:pPr>
                    <w:rPr>
                      <w:highlight w:val="none"/>
                    </w:rPr>
                  </w:pPr>
                </w:p>
              </w:tc>
              <w:tc>
                <w:tcPr>
                  <w:tcW w:w="1062" w:type="dxa"/>
                  <w:vAlign w:val="center"/>
                </w:tcPr>
                <w:p w14:paraId="06E60B2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985" w:type="dxa"/>
                  <w:vAlign w:val="center"/>
                </w:tcPr>
                <w:p w14:paraId="6D2C9B47">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1C61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4F0874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958" w:type="dxa"/>
                  <w:vMerge w:val="restart"/>
                  <w:vAlign w:val="center"/>
                </w:tcPr>
                <w:p w14:paraId="57F82F3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062" w:type="dxa"/>
                  <w:vAlign w:val="center"/>
                </w:tcPr>
                <w:p w14:paraId="62C8B58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985" w:type="dxa"/>
                  <w:vAlign w:val="center"/>
                </w:tcPr>
                <w:p w14:paraId="1BB53B74">
                  <w:pPr>
                    <w:widowControl/>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455E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207A5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958" w:type="dxa"/>
                  <w:vMerge w:val="continue"/>
                  <w:vAlign w:val="center"/>
                </w:tcPr>
                <w:p w14:paraId="738521B1">
                  <w:pPr>
                    <w:rPr>
                      <w:highlight w:val="none"/>
                    </w:rPr>
                  </w:pPr>
                </w:p>
              </w:tc>
              <w:tc>
                <w:tcPr>
                  <w:tcW w:w="1062" w:type="dxa"/>
                  <w:vAlign w:val="center"/>
                </w:tcPr>
                <w:p w14:paraId="1C4292D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985" w:type="dxa"/>
                  <w:vAlign w:val="center"/>
                </w:tcPr>
                <w:p w14:paraId="5B4AD991">
                  <w:pPr>
                    <w:widowControl/>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73FA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97DB6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958" w:type="dxa"/>
                  <w:vMerge w:val="continue"/>
                  <w:vAlign w:val="center"/>
                </w:tcPr>
                <w:p w14:paraId="2783061F">
                  <w:pPr>
                    <w:rPr>
                      <w:highlight w:val="none"/>
                    </w:rPr>
                  </w:pPr>
                </w:p>
              </w:tc>
              <w:tc>
                <w:tcPr>
                  <w:tcW w:w="1062" w:type="dxa"/>
                  <w:vAlign w:val="center"/>
                </w:tcPr>
                <w:p w14:paraId="78572B8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985" w:type="dxa"/>
                  <w:vAlign w:val="center"/>
                </w:tcPr>
                <w:p w14:paraId="4967FE41">
                  <w:pPr>
                    <w:widowControl/>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066E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4308A42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958" w:type="dxa"/>
                  <w:vAlign w:val="center"/>
                </w:tcPr>
                <w:p w14:paraId="0409FC4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062" w:type="dxa"/>
                  <w:vAlign w:val="center"/>
                </w:tcPr>
                <w:p w14:paraId="2D4A54F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985" w:type="dxa"/>
                  <w:vAlign w:val="center"/>
                </w:tcPr>
                <w:p w14:paraId="3CA58318">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3D3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3" w:type="dxa"/>
                  <w:vAlign w:val="center"/>
                </w:tcPr>
                <w:p w14:paraId="78D9C0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958" w:type="dxa"/>
                  <w:vMerge w:val="restart"/>
                  <w:vAlign w:val="center"/>
                </w:tcPr>
                <w:p w14:paraId="2835D1A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062" w:type="dxa"/>
                  <w:vAlign w:val="center"/>
                </w:tcPr>
                <w:p w14:paraId="278C87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985" w:type="dxa"/>
                  <w:vAlign w:val="center"/>
                </w:tcPr>
                <w:p w14:paraId="2E0A6E8D">
                  <w:pPr>
                    <w:widowControl/>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p>
                <w:p w14:paraId="2FDD95D0">
                  <w:pPr>
                    <w:widowControl/>
                    <w:rPr>
                      <w:rFonts w:ascii="宋体" w:hAnsi="宋体" w:eastAsia="仿宋" w:cs="宋体"/>
                      <w:kern w:val="0"/>
                      <w:sz w:val="22"/>
                      <w:highlight w:val="none"/>
                    </w:rPr>
                  </w:pP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p>
                <w:p w14:paraId="7AD11954">
                  <w:pPr>
                    <w:widowControl/>
                    <w:rPr>
                      <w:rFonts w:ascii="宋体" w:hAnsi="宋体" w:eastAsia="仿宋" w:cs="宋体"/>
                      <w:kern w:val="0"/>
                      <w:sz w:val="22"/>
                      <w:highlight w:val="none"/>
                    </w:rPr>
                  </w:pPr>
                  <w:r>
                    <w:rPr>
                      <w:rFonts w:hint="eastAsia" w:ascii="宋体" w:hAnsi="宋体" w:eastAsia="仿宋" w:cs="宋体"/>
                      <w:kern w:val="0"/>
                      <w:sz w:val="22"/>
                      <w:highlight w:val="none"/>
                    </w:rPr>
                    <w:t>c) 建立全国技术服务体系和服务团体，符合专业服务体系标准要求，提供中文服务；</w:t>
                  </w:r>
                </w:p>
                <w:p w14:paraId="2C74D2E7">
                  <w:pPr>
                    <w:widowControl/>
                    <w:rPr>
                      <w:rFonts w:ascii="宋体" w:hAnsi="宋体" w:eastAsia="仿宋" w:cs="宋体"/>
                      <w:kern w:val="0"/>
                      <w:sz w:val="22"/>
                      <w:highlight w:val="none"/>
                    </w:rPr>
                  </w:pPr>
                  <w:r>
                    <w:rPr>
                      <w:rFonts w:hint="eastAsia" w:ascii="宋体" w:hAnsi="宋体" w:eastAsia="仿宋" w:cs="宋体"/>
                      <w:kern w:val="0"/>
                      <w:sz w:val="22"/>
                      <w:highlight w:val="none"/>
                    </w:rPr>
                    <w:t>d) 服务周期内提供产品的维修、换件和升级服务</w:t>
                  </w:r>
                </w:p>
              </w:tc>
            </w:tr>
            <w:tr w14:paraId="1CA3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5C2208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958" w:type="dxa"/>
                  <w:vMerge w:val="continue"/>
                  <w:vAlign w:val="center"/>
                </w:tcPr>
                <w:p w14:paraId="0193E6B3">
                  <w:pPr>
                    <w:rPr>
                      <w:highlight w:val="none"/>
                    </w:rPr>
                  </w:pPr>
                </w:p>
              </w:tc>
              <w:tc>
                <w:tcPr>
                  <w:tcW w:w="1062" w:type="dxa"/>
                  <w:vAlign w:val="center"/>
                </w:tcPr>
                <w:p w14:paraId="06ED522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985" w:type="dxa"/>
                  <w:vAlign w:val="center"/>
                </w:tcPr>
                <w:p w14:paraId="773B42B1">
                  <w:pPr>
                    <w:widowControl/>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3F95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3" w:type="dxa"/>
                  <w:vAlign w:val="center"/>
                </w:tcPr>
                <w:p w14:paraId="7F0AF16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958" w:type="dxa"/>
                  <w:vAlign w:val="center"/>
                </w:tcPr>
                <w:p w14:paraId="1A61B5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062" w:type="dxa"/>
                  <w:vAlign w:val="center"/>
                </w:tcPr>
                <w:p w14:paraId="307113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985" w:type="dxa"/>
                  <w:vAlign w:val="center"/>
                </w:tcPr>
                <w:p w14:paraId="47C1AD0C">
                  <w:pPr>
                    <w:widowControl/>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w:t>
                  </w:r>
                </w:p>
                <w:p w14:paraId="32BD5E39">
                  <w:pPr>
                    <w:widowControl/>
                    <w:rPr>
                      <w:rFonts w:ascii="宋体" w:hAnsi="宋体" w:eastAsia="仿宋" w:cs="宋体"/>
                      <w:kern w:val="0"/>
                      <w:sz w:val="22"/>
                      <w:highlight w:val="none"/>
                    </w:rPr>
                  </w:pPr>
                  <w:r>
                    <w:rPr>
                      <w:rFonts w:hint="eastAsia" w:ascii="宋体" w:hAnsi="宋体" w:eastAsia="仿宋" w:cs="宋体"/>
                      <w:kern w:val="0"/>
                      <w:sz w:val="22"/>
                      <w:highlight w:val="none"/>
                    </w:rPr>
                    <w:t>（2）设备停产后继续提供质量保障服务（含备品备件），服务终止时间与最后一批设备交付时间间隔≥6年；</w:t>
                  </w:r>
                </w:p>
                <w:p w14:paraId="18C114BC">
                  <w:pPr>
                    <w:widowControl/>
                    <w:rPr>
                      <w:rFonts w:ascii="宋体" w:hAnsi="宋体" w:eastAsia="仿宋" w:cs="宋体"/>
                      <w:kern w:val="0"/>
                      <w:sz w:val="22"/>
                      <w:highlight w:val="none"/>
                    </w:rPr>
                  </w:pPr>
                  <w:r>
                    <w:rPr>
                      <w:rFonts w:hint="eastAsia" w:ascii="宋体" w:hAnsi="宋体" w:eastAsia="仿宋" w:cs="宋体"/>
                      <w:kern w:val="0"/>
                      <w:sz w:val="22"/>
                      <w:highlight w:val="none"/>
                    </w:rPr>
                    <w:t>（3）产品停止服务时间应提前1年告知客户；</w:t>
                  </w:r>
                  <w:r>
                    <w:rPr>
                      <w:rFonts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2011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0F0B8D4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958" w:type="dxa"/>
                  <w:vMerge w:val="restart"/>
                  <w:vAlign w:val="center"/>
                </w:tcPr>
                <w:p w14:paraId="2782DF7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062" w:type="dxa"/>
                  <w:vAlign w:val="center"/>
                </w:tcPr>
                <w:p w14:paraId="6B2D58A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985" w:type="dxa"/>
                  <w:vAlign w:val="center"/>
                </w:tcPr>
                <w:p w14:paraId="19F9AE56">
                  <w:pPr>
                    <w:widowControl/>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2ED0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B13DD6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958" w:type="dxa"/>
                  <w:vMerge w:val="continue"/>
                  <w:vAlign w:val="center"/>
                </w:tcPr>
                <w:p w14:paraId="5F551394">
                  <w:pPr>
                    <w:rPr>
                      <w:highlight w:val="none"/>
                    </w:rPr>
                  </w:pPr>
                </w:p>
              </w:tc>
              <w:tc>
                <w:tcPr>
                  <w:tcW w:w="1062" w:type="dxa"/>
                  <w:vAlign w:val="center"/>
                </w:tcPr>
                <w:p w14:paraId="2BE0E15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985" w:type="dxa"/>
                  <w:vAlign w:val="center"/>
                </w:tcPr>
                <w:p w14:paraId="734C591B">
                  <w:pPr>
                    <w:widowControl/>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4DB2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4A94BD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958" w:type="dxa"/>
                  <w:vMerge w:val="continue"/>
                  <w:vAlign w:val="center"/>
                </w:tcPr>
                <w:p w14:paraId="0BA5ABEA">
                  <w:pPr>
                    <w:rPr>
                      <w:highlight w:val="none"/>
                    </w:rPr>
                  </w:pPr>
                </w:p>
              </w:tc>
              <w:tc>
                <w:tcPr>
                  <w:tcW w:w="1062" w:type="dxa"/>
                  <w:vAlign w:val="center"/>
                </w:tcPr>
                <w:p w14:paraId="6236E6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985" w:type="dxa"/>
                  <w:vAlign w:val="center"/>
                </w:tcPr>
                <w:p w14:paraId="1B719E88">
                  <w:pPr>
                    <w:widowControl/>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13BA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375F31B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958" w:type="dxa"/>
                  <w:vMerge w:val="restart"/>
                  <w:vAlign w:val="center"/>
                </w:tcPr>
                <w:p w14:paraId="78DAD90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062" w:type="dxa"/>
                  <w:vAlign w:val="center"/>
                </w:tcPr>
                <w:p w14:paraId="78D2F1C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985" w:type="dxa"/>
                  <w:vAlign w:val="center"/>
                </w:tcPr>
                <w:p w14:paraId="4E167D4A">
                  <w:pPr>
                    <w:widowControl/>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0F0F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33F6A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958" w:type="dxa"/>
                  <w:vMerge w:val="continue"/>
                  <w:vAlign w:val="center"/>
                </w:tcPr>
                <w:p w14:paraId="7E149747">
                  <w:pPr>
                    <w:rPr>
                      <w:highlight w:val="none"/>
                    </w:rPr>
                  </w:pPr>
                </w:p>
              </w:tc>
              <w:tc>
                <w:tcPr>
                  <w:tcW w:w="1062" w:type="dxa"/>
                  <w:vAlign w:val="center"/>
                </w:tcPr>
                <w:p w14:paraId="53A38BD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985" w:type="dxa"/>
                  <w:vAlign w:val="center"/>
                </w:tcPr>
                <w:p w14:paraId="55E222A2">
                  <w:pPr>
                    <w:widowControl/>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355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4FF9B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958" w:type="dxa"/>
                  <w:vMerge w:val="restart"/>
                  <w:vAlign w:val="center"/>
                </w:tcPr>
                <w:p w14:paraId="75C1649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062" w:type="dxa"/>
                  <w:vAlign w:val="center"/>
                </w:tcPr>
                <w:p w14:paraId="6065AF0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985" w:type="dxa"/>
                  <w:vAlign w:val="center"/>
                </w:tcPr>
                <w:p w14:paraId="3D89837B">
                  <w:pPr>
                    <w:widowControl/>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27A0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7222BE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958" w:type="dxa"/>
                  <w:vMerge w:val="continue"/>
                  <w:vAlign w:val="center"/>
                </w:tcPr>
                <w:p w14:paraId="6F3716BD">
                  <w:pPr>
                    <w:rPr>
                      <w:highlight w:val="none"/>
                    </w:rPr>
                  </w:pPr>
                </w:p>
              </w:tc>
              <w:tc>
                <w:tcPr>
                  <w:tcW w:w="1062" w:type="dxa"/>
                  <w:vAlign w:val="center"/>
                </w:tcPr>
                <w:p w14:paraId="131B587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985" w:type="dxa"/>
                  <w:vAlign w:val="center"/>
                </w:tcPr>
                <w:p w14:paraId="3BE8E598">
                  <w:pPr>
                    <w:widowControl/>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7AC8CCF4">
            <w:pPr>
              <w:rPr>
                <w:rFonts w:ascii="宋体" w:hAnsi="宋体" w:eastAsia="仿宋" w:cs="宋体"/>
                <w:b/>
                <w:bCs/>
                <w:kern w:val="0"/>
                <w:sz w:val="22"/>
                <w:highlight w:val="none"/>
              </w:rPr>
            </w:pPr>
            <w:r>
              <w:rPr>
                <w:rFonts w:hint="eastAsia" w:ascii="宋体" w:hAnsi="宋体" w:eastAsia="仿宋" w:cs="宋体"/>
                <w:b/>
                <w:bCs/>
                <w:kern w:val="0"/>
                <w:sz w:val="22"/>
                <w:highlight w:val="none"/>
              </w:rPr>
              <w:t>附5：“集成指挥平台升级服务一体机”硬件部分详细参数配置要求：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58"/>
              <w:gridCol w:w="1062"/>
              <w:gridCol w:w="4977"/>
            </w:tblGrid>
            <w:tr w14:paraId="410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shd w:val="clear" w:color="000000" w:fill="auto"/>
                  <w:vAlign w:val="center"/>
                </w:tcPr>
                <w:p w14:paraId="2ECA93DE">
                  <w:pPr>
                    <w:widowControl/>
                    <w:jc w:val="center"/>
                    <w:rPr>
                      <w:rFonts w:ascii="宋体" w:hAnsi="宋体" w:eastAsia="仿宋" w:cs="宋体"/>
                      <w:kern w:val="0"/>
                      <w:sz w:val="22"/>
                      <w:highlight w:val="none"/>
                    </w:rPr>
                  </w:pPr>
                  <w:bookmarkStart w:id="41" w:name="_Hlk174435893" w:colFirst="0" w:colLast="4"/>
                  <w:r>
                    <w:rPr>
                      <w:rFonts w:hint="eastAsia" w:ascii="宋体" w:hAnsi="宋体" w:eastAsia="仿宋" w:cs="宋体"/>
                      <w:kern w:val="0"/>
                      <w:sz w:val="22"/>
                      <w:highlight w:val="none"/>
                    </w:rPr>
                    <w:t>序号</w:t>
                  </w:r>
                </w:p>
              </w:tc>
              <w:tc>
                <w:tcPr>
                  <w:tcW w:w="958" w:type="dxa"/>
                  <w:shd w:val="clear" w:color="000000" w:fill="auto"/>
                  <w:vAlign w:val="center"/>
                </w:tcPr>
                <w:p w14:paraId="71D9B3DD">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062" w:type="dxa"/>
                  <w:shd w:val="clear" w:color="000000" w:fill="auto"/>
                  <w:vAlign w:val="center"/>
                </w:tcPr>
                <w:p w14:paraId="151CF7EB">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985" w:type="dxa"/>
                  <w:shd w:val="clear" w:color="000000" w:fill="auto"/>
                  <w:vAlign w:val="center"/>
                </w:tcPr>
                <w:p w14:paraId="5F2EC96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详细参数配置要求</w:t>
                  </w:r>
                </w:p>
              </w:tc>
            </w:tr>
            <w:tr w14:paraId="1CBC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3" w:type="dxa"/>
                  <w:vAlign w:val="center"/>
                </w:tcPr>
                <w:p w14:paraId="7E198C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958" w:type="dxa"/>
                  <w:vAlign w:val="center"/>
                </w:tcPr>
                <w:p w14:paraId="465ECE8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062" w:type="dxa"/>
                  <w:vAlign w:val="center"/>
                </w:tcPr>
                <w:p w14:paraId="75D087D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985" w:type="dxa"/>
                  <w:vAlign w:val="center"/>
                </w:tcPr>
                <w:p w14:paraId="1D6BB4AB">
                  <w:pPr>
                    <w:widowControl/>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2）单颗CPU物理核心数≥16核、主频≥2.5GHz、末级缓存容量≥32MB、线程数≥32、热设计功耗≥135W、支持内存的最高速率≥3200MHz、通道数≥4、位宽≥64位；</w:t>
                  </w:r>
                </w:p>
              </w:tc>
            </w:tr>
            <w:tr w14:paraId="5922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459EA7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958" w:type="dxa"/>
                  <w:vMerge w:val="restart"/>
                  <w:vAlign w:val="center"/>
                </w:tcPr>
                <w:p w14:paraId="42395E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062" w:type="dxa"/>
                  <w:vAlign w:val="center"/>
                </w:tcPr>
                <w:p w14:paraId="6FF281B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985" w:type="dxa"/>
                  <w:vAlign w:val="center"/>
                </w:tcPr>
                <w:p w14:paraId="608F6FC3">
                  <w:pPr>
                    <w:widowControl/>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p>
                <w:p w14:paraId="00065A1F">
                  <w:pPr>
                    <w:widowControl/>
                    <w:rPr>
                      <w:rFonts w:ascii="宋体" w:hAnsi="宋体" w:eastAsia="仿宋" w:cs="宋体"/>
                      <w:kern w:val="0"/>
                      <w:sz w:val="22"/>
                      <w:highlight w:val="none"/>
                    </w:rPr>
                  </w:pPr>
                  <w:r>
                    <w:rPr>
                      <w:rFonts w:hint="eastAsia" w:ascii="宋体" w:hAnsi="宋体" w:eastAsia="仿宋" w:cs="宋体"/>
                      <w:kern w:val="0"/>
                      <w:sz w:val="22"/>
                      <w:highlight w:val="none"/>
                    </w:rPr>
                    <w:t>供应商应在投标时给出主板支持的C</w:t>
                  </w:r>
                  <w:r>
                    <w:rPr>
                      <w:rFonts w:ascii="宋体" w:hAnsi="宋体" w:eastAsia="仿宋" w:cs="宋体"/>
                      <w:kern w:val="0"/>
                      <w:sz w:val="22"/>
                      <w:highlight w:val="none"/>
                    </w:rPr>
                    <w:t>PU</w:t>
                  </w:r>
                  <w:r>
                    <w:rPr>
                      <w:rFonts w:hint="eastAsia" w:ascii="宋体" w:hAnsi="宋体" w:eastAsia="仿宋" w:cs="宋体"/>
                      <w:kern w:val="0"/>
                      <w:sz w:val="22"/>
                      <w:highlight w:val="none"/>
                    </w:rPr>
                    <w:t>型号；</w:t>
                  </w:r>
                </w:p>
              </w:tc>
            </w:tr>
            <w:tr w14:paraId="7008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DCDE9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958" w:type="dxa"/>
                  <w:vMerge w:val="continue"/>
                  <w:vAlign w:val="center"/>
                </w:tcPr>
                <w:p w14:paraId="35D42C50">
                  <w:pPr>
                    <w:rPr>
                      <w:highlight w:val="none"/>
                    </w:rPr>
                  </w:pPr>
                </w:p>
              </w:tc>
              <w:tc>
                <w:tcPr>
                  <w:tcW w:w="1062" w:type="dxa"/>
                  <w:vAlign w:val="center"/>
                </w:tcPr>
                <w:p w14:paraId="4F081AC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985" w:type="dxa"/>
                  <w:vAlign w:val="center"/>
                </w:tcPr>
                <w:p w14:paraId="52E13653">
                  <w:pPr>
                    <w:widowControl/>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448B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30FF1AD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958" w:type="dxa"/>
                  <w:vMerge w:val="continue"/>
                  <w:vAlign w:val="center"/>
                </w:tcPr>
                <w:p w14:paraId="10A5E07D">
                  <w:pPr>
                    <w:rPr>
                      <w:highlight w:val="none"/>
                    </w:rPr>
                  </w:pPr>
                </w:p>
              </w:tc>
              <w:tc>
                <w:tcPr>
                  <w:tcW w:w="1062" w:type="dxa"/>
                  <w:vAlign w:val="center"/>
                </w:tcPr>
                <w:p w14:paraId="5292D7B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985" w:type="dxa"/>
                  <w:vAlign w:val="center"/>
                </w:tcPr>
                <w:p w14:paraId="58E5EC65">
                  <w:pPr>
                    <w:widowControl/>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（1）主板支持SATA/SAS/M.2/U.2存储接口；（2）板载支持≥12个SATA/SAS盘；（3）板载可支持1个内置M.2 SSD；</w:t>
                  </w:r>
                </w:p>
              </w:tc>
            </w:tr>
            <w:tr w14:paraId="3555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4FDE71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958" w:type="dxa"/>
                  <w:vMerge w:val="continue"/>
                  <w:vAlign w:val="center"/>
                </w:tcPr>
                <w:p w14:paraId="6B1238CC">
                  <w:pPr>
                    <w:rPr>
                      <w:highlight w:val="none"/>
                    </w:rPr>
                  </w:pPr>
                </w:p>
              </w:tc>
              <w:tc>
                <w:tcPr>
                  <w:tcW w:w="1062" w:type="dxa"/>
                  <w:vAlign w:val="center"/>
                </w:tcPr>
                <w:p w14:paraId="33D8204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985" w:type="dxa"/>
                  <w:vAlign w:val="center"/>
                </w:tcPr>
                <w:p w14:paraId="5420C5BB">
                  <w:pPr>
                    <w:widowControl/>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470C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4CED29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958" w:type="dxa"/>
                  <w:vMerge w:val="continue"/>
                  <w:vAlign w:val="center"/>
                </w:tcPr>
                <w:p w14:paraId="388A65BF">
                  <w:pPr>
                    <w:rPr>
                      <w:highlight w:val="none"/>
                    </w:rPr>
                  </w:pPr>
                </w:p>
              </w:tc>
              <w:tc>
                <w:tcPr>
                  <w:tcW w:w="1062" w:type="dxa"/>
                  <w:vAlign w:val="center"/>
                </w:tcPr>
                <w:p w14:paraId="240BCC2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 PCIe 插槽数量及规格</w:t>
                  </w:r>
                </w:p>
              </w:tc>
              <w:tc>
                <w:tcPr>
                  <w:tcW w:w="4985" w:type="dxa"/>
                  <w:vAlign w:val="center"/>
                </w:tcPr>
                <w:p w14:paraId="0AE976CB">
                  <w:pPr>
                    <w:widowControl/>
                    <w:rPr>
                      <w:rFonts w:ascii="宋体" w:hAnsi="宋体" w:eastAsia="仿宋" w:cs="宋体"/>
                      <w:kern w:val="0"/>
                      <w:sz w:val="22"/>
                      <w:highlight w:val="none"/>
                    </w:rPr>
                  </w:pPr>
                  <w:r>
                    <w:rPr>
                      <w:rFonts w:hint="eastAsia" w:ascii="宋体" w:hAnsi="宋体" w:eastAsia="仿宋" w:cs="宋体"/>
                      <w:kern w:val="0"/>
                      <w:sz w:val="22"/>
                      <w:highlight w:val="none"/>
                    </w:rPr>
                    <w:t>高度大于 44.45mm双路或以上服务器 PCle 插槽或接口应不少于5个；</w:t>
                  </w:r>
                </w:p>
              </w:tc>
            </w:tr>
            <w:tr w14:paraId="394C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84F585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958" w:type="dxa"/>
                  <w:vMerge w:val="restart"/>
                  <w:vAlign w:val="center"/>
                </w:tcPr>
                <w:p w14:paraId="1358AD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062" w:type="dxa"/>
                  <w:vAlign w:val="center"/>
                </w:tcPr>
                <w:p w14:paraId="3EBD5BD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985" w:type="dxa"/>
                  <w:vAlign w:val="center"/>
                </w:tcPr>
                <w:p w14:paraId="121DE24C">
                  <w:pPr>
                    <w:widowControl/>
                    <w:rPr>
                      <w:rFonts w:ascii="宋体" w:hAnsi="宋体" w:eastAsia="仿宋" w:cs="宋体"/>
                      <w:kern w:val="0"/>
                      <w:sz w:val="22"/>
                      <w:highlight w:val="none"/>
                    </w:rPr>
                  </w:pPr>
                  <w:r>
                    <w:rPr>
                      <w:rFonts w:hint="eastAsia" w:ascii="宋体" w:hAnsi="宋体" w:eastAsia="仿宋" w:cs="宋体"/>
                      <w:kern w:val="0"/>
                      <w:sz w:val="22"/>
                      <w:highlight w:val="none"/>
                    </w:rPr>
                    <w:t>内存数量≥4</w:t>
                  </w:r>
                </w:p>
              </w:tc>
            </w:tr>
            <w:tr w14:paraId="17EC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FA77A5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958" w:type="dxa"/>
                  <w:vMerge w:val="continue"/>
                  <w:vAlign w:val="center"/>
                </w:tcPr>
                <w:p w14:paraId="7354C77B">
                  <w:pPr>
                    <w:rPr>
                      <w:highlight w:val="none"/>
                    </w:rPr>
                  </w:pPr>
                </w:p>
              </w:tc>
              <w:tc>
                <w:tcPr>
                  <w:tcW w:w="1062" w:type="dxa"/>
                  <w:vAlign w:val="center"/>
                </w:tcPr>
                <w:p w14:paraId="3B8CEB9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985" w:type="dxa"/>
                  <w:vAlign w:val="center"/>
                </w:tcPr>
                <w:p w14:paraId="29CFD1BD">
                  <w:pPr>
                    <w:widowControl/>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0543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7BA589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958" w:type="dxa"/>
                  <w:vMerge w:val="continue"/>
                  <w:vAlign w:val="center"/>
                </w:tcPr>
                <w:p w14:paraId="1D79189B">
                  <w:pPr>
                    <w:rPr>
                      <w:highlight w:val="none"/>
                    </w:rPr>
                  </w:pPr>
                </w:p>
              </w:tc>
              <w:tc>
                <w:tcPr>
                  <w:tcW w:w="1062" w:type="dxa"/>
                  <w:vAlign w:val="center"/>
                </w:tcPr>
                <w:p w14:paraId="770CF1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985" w:type="dxa"/>
                  <w:vAlign w:val="center"/>
                </w:tcPr>
                <w:p w14:paraId="0195C84F">
                  <w:pPr>
                    <w:widowControl/>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1EF9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4D1A24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958" w:type="dxa"/>
                  <w:vMerge w:val="restart"/>
                  <w:vAlign w:val="center"/>
                </w:tcPr>
                <w:p w14:paraId="493866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062" w:type="dxa"/>
                  <w:vAlign w:val="center"/>
                </w:tcPr>
                <w:p w14:paraId="3C73F7A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985" w:type="dxa"/>
                  <w:vAlign w:val="center"/>
                </w:tcPr>
                <w:p w14:paraId="7BE813B1">
                  <w:pPr>
                    <w:widowControl/>
                    <w:rPr>
                      <w:rFonts w:ascii="宋体" w:hAnsi="宋体" w:eastAsia="仿宋" w:cs="宋体"/>
                      <w:kern w:val="0"/>
                      <w:sz w:val="22"/>
                      <w:highlight w:val="none"/>
                    </w:rPr>
                  </w:pPr>
                  <w:r>
                    <w:rPr>
                      <w:rFonts w:hint="eastAsia" w:ascii="宋体" w:hAnsi="宋体" w:eastAsia="仿宋" w:cs="宋体"/>
                      <w:kern w:val="0"/>
                      <w:sz w:val="22"/>
                      <w:highlight w:val="none"/>
                    </w:rPr>
                    <w:t>实配≥4*600GB SAS；</w:t>
                  </w:r>
                </w:p>
              </w:tc>
            </w:tr>
            <w:tr w14:paraId="345A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8EB2F8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958" w:type="dxa"/>
                  <w:vMerge w:val="continue"/>
                  <w:vAlign w:val="center"/>
                </w:tcPr>
                <w:p w14:paraId="57CFEC7F">
                  <w:pPr>
                    <w:rPr>
                      <w:highlight w:val="none"/>
                    </w:rPr>
                  </w:pPr>
                </w:p>
              </w:tc>
              <w:tc>
                <w:tcPr>
                  <w:tcW w:w="1062" w:type="dxa"/>
                  <w:vAlign w:val="center"/>
                </w:tcPr>
                <w:p w14:paraId="51F75B0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985" w:type="dxa"/>
                  <w:vAlign w:val="center"/>
                </w:tcPr>
                <w:p w14:paraId="71A80861">
                  <w:pPr>
                    <w:widowControl/>
                    <w:rPr>
                      <w:rFonts w:ascii="宋体" w:hAnsi="宋体" w:eastAsia="仿宋" w:cs="宋体"/>
                      <w:kern w:val="0"/>
                      <w:sz w:val="22"/>
                      <w:highlight w:val="none"/>
                    </w:rPr>
                  </w:pPr>
                  <w:r>
                    <w:rPr>
                      <w:rFonts w:hint="eastAsia" w:ascii="宋体" w:hAnsi="宋体" w:eastAsia="仿宋" w:cs="宋体"/>
                      <w:kern w:val="0"/>
                      <w:sz w:val="22"/>
                      <w:highlight w:val="none"/>
                    </w:rPr>
                    <w:t>实配≥4块SAS硬盘；</w:t>
                  </w:r>
                </w:p>
              </w:tc>
            </w:tr>
            <w:tr w14:paraId="32F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3FA869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958" w:type="dxa"/>
                  <w:vMerge w:val="continue"/>
                  <w:vAlign w:val="center"/>
                </w:tcPr>
                <w:p w14:paraId="132373C3">
                  <w:pPr>
                    <w:rPr>
                      <w:highlight w:val="none"/>
                    </w:rPr>
                  </w:pPr>
                </w:p>
              </w:tc>
              <w:tc>
                <w:tcPr>
                  <w:tcW w:w="1062" w:type="dxa"/>
                  <w:vAlign w:val="center"/>
                </w:tcPr>
                <w:p w14:paraId="668D75C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985" w:type="dxa"/>
                  <w:vAlign w:val="center"/>
                </w:tcPr>
                <w:p w14:paraId="72B20FBD">
                  <w:pPr>
                    <w:widowControl/>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SSD（2）后置支持≥2个2.5寸硬盘/3.5寸硬盘；</w:t>
                  </w:r>
                </w:p>
              </w:tc>
            </w:tr>
            <w:tr w14:paraId="7053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0D508A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958" w:type="dxa"/>
                  <w:vAlign w:val="center"/>
                </w:tcPr>
                <w:p w14:paraId="22FD65B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062" w:type="dxa"/>
                  <w:vAlign w:val="center"/>
                </w:tcPr>
                <w:p w14:paraId="2C89881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985" w:type="dxa"/>
                  <w:vAlign w:val="center"/>
                </w:tcPr>
                <w:p w14:paraId="5DFE931A">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≥2*千兆双口RJ45</w:t>
                  </w:r>
                </w:p>
              </w:tc>
            </w:tr>
            <w:tr w14:paraId="2535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D25736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958" w:type="dxa"/>
                  <w:vMerge w:val="restart"/>
                  <w:vAlign w:val="center"/>
                </w:tcPr>
                <w:p w14:paraId="65E900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062" w:type="dxa"/>
                  <w:vAlign w:val="center"/>
                </w:tcPr>
                <w:p w14:paraId="77205BA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985" w:type="dxa"/>
                  <w:vAlign w:val="center"/>
                </w:tcPr>
                <w:p w14:paraId="5DF3A5D9">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7A1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AF86B7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958" w:type="dxa"/>
                  <w:vMerge w:val="continue"/>
                  <w:vAlign w:val="center"/>
                </w:tcPr>
                <w:p w14:paraId="66405330">
                  <w:pPr>
                    <w:rPr>
                      <w:highlight w:val="none"/>
                    </w:rPr>
                  </w:pPr>
                </w:p>
              </w:tc>
              <w:tc>
                <w:tcPr>
                  <w:tcW w:w="1062" w:type="dxa"/>
                  <w:vAlign w:val="center"/>
                </w:tcPr>
                <w:p w14:paraId="599153F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985" w:type="dxa"/>
                  <w:vAlign w:val="center"/>
                </w:tcPr>
                <w:p w14:paraId="5734CD88">
                  <w:pPr>
                    <w:widowControl/>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1FDE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F35B29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958" w:type="dxa"/>
                  <w:vMerge w:val="restart"/>
                  <w:vAlign w:val="center"/>
                </w:tcPr>
                <w:p w14:paraId="365A8F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062" w:type="dxa"/>
                  <w:vAlign w:val="center"/>
                </w:tcPr>
                <w:p w14:paraId="7516478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985" w:type="dxa"/>
                  <w:vAlign w:val="center"/>
                </w:tcPr>
                <w:p w14:paraId="755C79C7">
                  <w:pPr>
                    <w:widowControl/>
                    <w:rPr>
                      <w:rFonts w:ascii="宋体" w:hAnsi="宋体" w:eastAsia="仿宋" w:cs="宋体"/>
                      <w:kern w:val="0"/>
                      <w:sz w:val="22"/>
                      <w:highlight w:val="none"/>
                    </w:rPr>
                  </w:pPr>
                  <w:r>
                    <w:rPr>
                      <w:rFonts w:hint="eastAsia" w:ascii="宋体" w:hAnsi="宋体" w:eastAsia="仿宋" w:cs="宋体"/>
                      <w:kern w:val="0"/>
                      <w:sz w:val="22"/>
                      <w:highlight w:val="none"/>
                    </w:rPr>
                    <w:t>≥1</w:t>
                  </w:r>
                </w:p>
              </w:tc>
            </w:tr>
            <w:tr w14:paraId="669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A0ABA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958" w:type="dxa"/>
                  <w:vMerge w:val="continue"/>
                  <w:vAlign w:val="center"/>
                </w:tcPr>
                <w:p w14:paraId="0B044698">
                  <w:pPr>
                    <w:rPr>
                      <w:highlight w:val="none"/>
                    </w:rPr>
                  </w:pPr>
                </w:p>
              </w:tc>
              <w:tc>
                <w:tcPr>
                  <w:tcW w:w="1062" w:type="dxa"/>
                  <w:vAlign w:val="center"/>
                </w:tcPr>
                <w:p w14:paraId="20203C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985" w:type="dxa"/>
                  <w:vAlign w:val="center"/>
                </w:tcPr>
                <w:p w14:paraId="52A50590">
                  <w:pPr>
                    <w:widowControl/>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3F06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33" w:type="dxa"/>
                  <w:vAlign w:val="center"/>
                </w:tcPr>
                <w:p w14:paraId="4B3DB5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958" w:type="dxa"/>
                  <w:vMerge w:val="restart"/>
                  <w:vAlign w:val="center"/>
                </w:tcPr>
                <w:p w14:paraId="6895B5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062" w:type="dxa"/>
                  <w:vAlign w:val="center"/>
                </w:tcPr>
                <w:p w14:paraId="3A99785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985" w:type="dxa"/>
                  <w:vAlign w:val="center"/>
                </w:tcPr>
                <w:p w14:paraId="78ADC37B">
                  <w:pPr>
                    <w:widowControl/>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538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23CF9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958" w:type="dxa"/>
                  <w:vMerge w:val="continue"/>
                  <w:vAlign w:val="center"/>
                </w:tcPr>
                <w:p w14:paraId="43702E98">
                  <w:pPr>
                    <w:rPr>
                      <w:highlight w:val="none"/>
                    </w:rPr>
                  </w:pPr>
                </w:p>
              </w:tc>
              <w:tc>
                <w:tcPr>
                  <w:tcW w:w="1062" w:type="dxa"/>
                  <w:vAlign w:val="center"/>
                </w:tcPr>
                <w:p w14:paraId="3845ECE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985" w:type="dxa"/>
                  <w:vAlign w:val="center"/>
                </w:tcPr>
                <w:p w14:paraId="3CE22C9D">
                  <w:pPr>
                    <w:widowControl/>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15C9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33" w:type="dxa"/>
                  <w:vAlign w:val="center"/>
                </w:tcPr>
                <w:p w14:paraId="3833F9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958" w:type="dxa"/>
                  <w:vMerge w:val="continue"/>
                  <w:vAlign w:val="center"/>
                </w:tcPr>
                <w:p w14:paraId="09AF5617">
                  <w:pPr>
                    <w:rPr>
                      <w:highlight w:val="none"/>
                    </w:rPr>
                  </w:pPr>
                </w:p>
              </w:tc>
              <w:tc>
                <w:tcPr>
                  <w:tcW w:w="1062" w:type="dxa"/>
                  <w:vAlign w:val="center"/>
                </w:tcPr>
                <w:p w14:paraId="126936E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985" w:type="dxa"/>
                  <w:vAlign w:val="center"/>
                </w:tcPr>
                <w:p w14:paraId="3C55B505">
                  <w:pPr>
                    <w:widowControl/>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058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4344A8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958" w:type="dxa"/>
                  <w:vMerge w:val="continue"/>
                  <w:vAlign w:val="center"/>
                </w:tcPr>
                <w:p w14:paraId="43F9F425">
                  <w:pPr>
                    <w:rPr>
                      <w:highlight w:val="none"/>
                    </w:rPr>
                  </w:pPr>
                </w:p>
              </w:tc>
              <w:tc>
                <w:tcPr>
                  <w:tcW w:w="1062" w:type="dxa"/>
                  <w:vAlign w:val="center"/>
                </w:tcPr>
                <w:p w14:paraId="22B0208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985" w:type="dxa"/>
                  <w:vAlign w:val="center"/>
                </w:tcPr>
                <w:p w14:paraId="3FDF3EC1">
                  <w:pPr>
                    <w:widowControl/>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03E3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539D8B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958" w:type="dxa"/>
                  <w:vMerge w:val="continue"/>
                  <w:vAlign w:val="center"/>
                </w:tcPr>
                <w:p w14:paraId="29B54490">
                  <w:pPr>
                    <w:rPr>
                      <w:highlight w:val="none"/>
                    </w:rPr>
                  </w:pPr>
                </w:p>
              </w:tc>
              <w:tc>
                <w:tcPr>
                  <w:tcW w:w="1062" w:type="dxa"/>
                  <w:vAlign w:val="center"/>
                </w:tcPr>
                <w:p w14:paraId="3745DA7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985" w:type="dxa"/>
                  <w:vAlign w:val="center"/>
                </w:tcPr>
                <w:p w14:paraId="5A056B84">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1D84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F2D37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958" w:type="dxa"/>
                  <w:vAlign w:val="center"/>
                </w:tcPr>
                <w:p w14:paraId="6F6064D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机柜规格</w:t>
                  </w:r>
                </w:p>
              </w:tc>
              <w:tc>
                <w:tcPr>
                  <w:tcW w:w="1062" w:type="dxa"/>
                  <w:vAlign w:val="center"/>
                </w:tcPr>
                <w:p w14:paraId="6C45960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985" w:type="dxa"/>
                  <w:vAlign w:val="center"/>
                </w:tcPr>
                <w:p w14:paraId="16DB2BAD">
                  <w:pPr>
                    <w:widowControl/>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0447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5EE3F73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958" w:type="dxa"/>
                  <w:vAlign w:val="center"/>
                </w:tcPr>
                <w:p w14:paraId="5D7F965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w:t>
                  </w:r>
                </w:p>
              </w:tc>
              <w:tc>
                <w:tcPr>
                  <w:tcW w:w="1062" w:type="dxa"/>
                  <w:vAlign w:val="center"/>
                </w:tcPr>
                <w:p w14:paraId="62E35CF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985" w:type="dxa"/>
                  <w:vAlign w:val="center"/>
                </w:tcPr>
                <w:p w14:paraId="7A8E7E51">
                  <w:pPr>
                    <w:widowControl/>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5AD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CF81BC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958" w:type="dxa"/>
                  <w:vAlign w:val="center"/>
                </w:tcPr>
                <w:p w14:paraId="40BDD5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062" w:type="dxa"/>
                  <w:vAlign w:val="center"/>
                </w:tcPr>
                <w:p w14:paraId="0D0B13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985" w:type="dxa"/>
                  <w:vAlign w:val="center"/>
                </w:tcPr>
                <w:p w14:paraId="07BDFF4F">
                  <w:pPr>
                    <w:widowControl/>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3CC7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3" w:type="dxa"/>
                  <w:vAlign w:val="center"/>
                </w:tcPr>
                <w:p w14:paraId="79D428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958" w:type="dxa"/>
                  <w:vMerge w:val="restart"/>
                  <w:vAlign w:val="center"/>
                </w:tcPr>
                <w:p w14:paraId="385E6B7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062" w:type="dxa"/>
                  <w:vAlign w:val="center"/>
                </w:tcPr>
                <w:p w14:paraId="01A6EC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985" w:type="dxa"/>
                  <w:vAlign w:val="center"/>
                </w:tcPr>
                <w:p w14:paraId="6D969ED1">
                  <w:pPr>
                    <w:widowControl/>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688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5820E2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958" w:type="dxa"/>
                  <w:vMerge w:val="continue"/>
                  <w:vAlign w:val="center"/>
                </w:tcPr>
                <w:p w14:paraId="018F6C4D">
                  <w:pPr>
                    <w:rPr>
                      <w:highlight w:val="none"/>
                    </w:rPr>
                  </w:pPr>
                </w:p>
              </w:tc>
              <w:tc>
                <w:tcPr>
                  <w:tcW w:w="1062" w:type="dxa"/>
                  <w:vAlign w:val="center"/>
                </w:tcPr>
                <w:p w14:paraId="7F40E7D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985" w:type="dxa"/>
                  <w:vAlign w:val="center"/>
                </w:tcPr>
                <w:p w14:paraId="6DA9002B">
                  <w:pPr>
                    <w:widowControl/>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3DD7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D9EC09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958" w:type="dxa"/>
                  <w:vMerge w:val="restart"/>
                  <w:vAlign w:val="center"/>
                </w:tcPr>
                <w:p w14:paraId="5C049F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062" w:type="dxa"/>
                  <w:vAlign w:val="center"/>
                </w:tcPr>
                <w:p w14:paraId="7EC551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985" w:type="dxa"/>
                  <w:vAlign w:val="center"/>
                </w:tcPr>
                <w:p w14:paraId="00CB9E56">
                  <w:pPr>
                    <w:widowControl/>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0D9F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92AAF7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958" w:type="dxa"/>
                  <w:vMerge w:val="continue"/>
                  <w:vAlign w:val="center"/>
                </w:tcPr>
                <w:p w14:paraId="7EB65495">
                  <w:pPr>
                    <w:rPr>
                      <w:highlight w:val="none"/>
                    </w:rPr>
                  </w:pPr>
                </w:p>
              </w:tc>
              <w:tc>
                <w:tcPr>
                  <w:tcW w:w="1062" w:type="dxa"/>
                  <w:vAlign w:val="center"/>
                </w:tcPr>
                <w:p w14:paraId="4FE9D9E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985" w:type="dxa"/>
                  <w:vAlign w:val="center"/>
                </w:tcPr>
                <w:p w14:paraId="47E78877">
                  <w:pPr>
                    <w:widowControl/>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33F4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143F0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958" w:type="dxa"/>
                  <w:vAlign w:val="center"/>
                </w:tcPr>
                <w:p w14:paraId="5C6D216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062" w:type="dxa"/>
                  <w:vAlign w:val="center"/>
                </w:tcPr>
                <w:p w14:paraId="3FA347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985" w:type="dxa"/>
                  <w:vAlign w:val="center"/>
                </w:tcPr>
                <w:p w14:paraId="061AD4C4">
                  <w:pPr>
                    <w:widowControl/>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75EC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33" w:type="dxa"/>
                  <w:vAlign w:val="center"/>
                </w:tcPr>
                <w:p w14:paraId="27B9FF1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958" w:type="dxa"/>
                  <w:vMerge w:val="restart"/>
                  <w:vAlign w:val="center"/>
                </w:tcPr>
                <w:p w14:paraId="05EB8AB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062" w:type="dxa"/>
                  <w:vAlign w:val="center"/>
                </w:tcPr>
                <w:p w14:paraId="72979D5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985" w:type="dxa"/>
                  <w:vAlign w:val="center"/>
                </w:tcPr>
                <w:p w14:paraId="265B1DCD">
                  <w:pPr>
                    <w:widowControl/>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29D9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3" w:type="dxa"/>
                  <w:vAlign w:val="center"/>
                </w:tcPr>
                <w:p w14:paraId="293432E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958" w:type="dxa"/>
                  <w:vMerge w:val="continue"/>
                  <w:vAlign w:val="center"/>
                </w:tcPr>
                <w:p w14:paraId="2D987671">
                  <w:pPr>
                    <w:rPr>
                      <w:highlight w:val="none"/>
                    </w:rPr>
                  </w:pPr>
                </w:p>
              </w:tc>
              <w:tc>
                <w:tcPr>
                  <w:tcW w:w="1062" w:type="dxa"/>
                  <w:vAlign w:val="center"/>
                </w:tcPr>
                <w:p w14:paraId="7F109CF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985" w:type="dxa"/>
                  <w:vAlign w:val="center"/>
                </w:tcPr>
                <w:p w14:paraId="518F616B">
                  <w:pPr>
                    <w:widowControl/>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7D53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CE0F3F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958" w:type="dxa"/>
                  <w:vMerge w:val="continue"/>
                  <w:vAlign w:val="center"/>
                </w:tcPr>
                <w:p w14:paraId="75EF5BE6">
                  <w:pPr>
                    <w:rPr>
                      <w:highlight w:val="none"/>
                    </w:rPr>
                  </w:pPr>
                </w:p>
              </w:tc>
              <w:tc>
                <w:tcPr>
                  <w:tcW w:w="1062" w:type="dxa"/>
                  <w:vAlign w:val="center"/>
                </w:tcPr>
                <w:p w14:paraId="524F3CF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985" w:type="dxa"/>
                  <w:vAlign w:val="center"/>
                </w:tcPr>
                <w:p w14:paraId="00C5B394">
                  <w:pPr>
                    <w:widowControl/>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7A62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14:paraId="6C3843A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958" w:type="dxa"/>
                  <w:vMerge w:val="restart"/>
                  <w:vAlign w:val="center"/>
                </w:tcPr>
                <w:p w14:paraId="02AE3E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062" w:type="dxa"/>
                  <w:vAlign w:val="center"/>
                </w:tcPr>
                <w:p w14:paraId="671DD0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985" w:type="dxa"/>
                  <w:vAlign w:val="center"/>
                </w:tcPr>
                <w:p w14:paraId="12072022">
                  <w:pPr>
                    <w:widowControl/>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5418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3" w:type="dxa"/>
                  <w:vAlign w:val="center"/>
                </w:tcPr>
                <w:p w14:paraId="482DBE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958" w:type="dxa"/>
                  <w:vMerge w:val="continue"/>
                  <w:vAlign w:val="center"/>
                </w:tcPr>
                <w:p w14:paraId="2166FD1B">
                  <w:pPr>
                    <w:rPr>
                      <w:highlight w:val="none"/>
                    </w:rPr>
                  </w:pPr>
                </w:p>
              </w:tc>
              <w:tc>
                <w:tcPr>
                  <w:tcW w:w="1062" w:type="dxa"/>
                  <w:vAlign w:val="center"/>
                </w:tcPr>
                <w:p w14:paraId="4B83BB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985" w:type="dxa"/>
                  <w:vAlign w:val="center"/>
                </w:tcPr>
                <w:p w14:paraId="31CE2D7E">
                  <w:pPr>
                    <w:widowControl/>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410A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266B9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958" w:type="dxa"/>
                  <w:vAlign w:val="center"/>
                </w:tcPr>
                <w:p w14:paraId="174FED0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062" w:type="dxa"/>
                  <w:vAlign w:val="center"/>
                </w:tcPr>
                <w:p w14:paraId="634DB6A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985" w:type="dxa"/>
                  <w:vAlign w:val="center"/>
                </w:tcPr>
                <w:p w14:paraId="3C1A8550">
                  <w:pPr>
                    <w:widowControl/>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783E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68B7090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958" w:type="dxa"/>
                  <w:vAlign w:val="center"/>
                </w:tcPr>
                <w:p w14:paraId="41B018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062" w:type="dxa"/>
                  <w:vAlign w:val="center"/>
                </w:tcPr>
                <w:p w14:paraId="21DC52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4985" w:type="dxa"/>
                  <w:vAlign w:val="center"/>
                </w:tcPr>
                <w:p w14:paraId="22BA8E53">
                  <w:pPr>
                    <w:widowControl/>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24E3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B70E9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958" w:type="dxa"/>
                  <w:vAlign w:val="center"/>
                </w:tcPr>
                <w:p w14:paraId="60FD25C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062" w:type="dxa"/>
                  <w:vAlign w:val="center"/>
                </w:tcPr>
                <w:p w14:paraId="77AE66F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985" w:type="dxa"/>
                  <w:vAlign w:val="center"/>
                </w:tcPr>
                <w:p w14:paraId="76693DCE">
                  <w:pPr>
                    <w:widowControl/>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5F0E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DDB85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958" w:type="dxa"/>
                  <w:vMerge w:val="restart"/>
                  <w:vAlign w:val="center"/>
                </w:tcPr>
                <w:p w14:paraId="04C9E82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062" w:type="dxa"/>
                  <w:vAlign w:val="center"/>
                </w:tcPr>
                <w:p w14:paraId="2D97B82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985" w:type="dxa"/>
                  <w:vAlign w:val="center"/>
                </w:tcPr>
                <w:p w14:paraId="47DD9935">
                  <w:pPr>
                    <w:widowControl/>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5225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00131E8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958" w:type="dxa"/>
                  <w:vMerge w:val="continue"/>
                  <w:vAlign w:val="center"/>
                </w:tcPr>
                <w:p w14:paraId="15F236DE">
                  <w:pPr>
                    <w:rPr>
                      <w:highlight w:val="none"/>
                    </w:rPr>
                  </w:pPr>
                </w:p>
              </w:tc>
              <w:tc>
                <w:tcPr>
                  <w:tcW w:w="1062" w:type="dxa"/>
                  <w:vAlign w:val="center"/>
                </w:tcPr>
                <w:p w14:paraId="6200E5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985" w:type="dxa"/>
                  <w:vAlign w:val="center"/>
                </w:tcPr>
                <w:p w14:paraId="7534BDA4">
                  <w:pPr>
                    <w:widowControl/>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1914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FF2E7F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958" w:type="dxa"/>
                  <w:vMerge w:val="continue"/>
                  <w:vAlign w:val="center"/>
                </w:tcPr>
                <w:p w14:paraId="43BF1AA7">
                  <w:pPr>
                    <w:rPr>
                      <w:highlight w:val="none"/>
                    </w:rPr>
                  </w:pPr>
                </w:p>
              </w:tc>
              <w:tc>
                <w:tcPr>
                  <w:tcW w:w="1062" w:type="dxa"/>
                  <w:vAlign w:val="center"/>
                </w:tcPr>
                <w:p w14:paraId="6D218F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985" w:type="dxa"/>
                  <w:vAlign w:val="center"/>
                </w:tcPr>
                <w:p w14:paraId="06E053F5">
                  <w:pPr>
                    <w:widowControl/>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5E79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769800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958" w:type="dxa"/>
                  <w:vMerge w:val="continue"/>
                  <w:vAlign w:val="center"/>
                </w:tcPr>
                <w:p w14:paraId="4E05F432">
                  <w:pPr>
                    <w:rPr>
                      <w:highlight w:val="none"/>
                    </w:rPr>
                  </w:pPr>
                </w:p>
              </w:tc>
              <w:tc>
                <w:tcPr>
                  <w:tcW w:w="1062" w:type="dxa"/>
                  <w:vAlign w:val="center"/>
                </w:tcPr>
                <w:p w14:paraId="009244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985" w:type="dxa"/>
                  <w:vAlign w:val="center"/>
                </w:tcPr>
                <w:p w14:paraId="0ED6C867">
                  <w:pPr>
                    <w:widowControl/>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1DB3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2C6783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958" w:type="dxa"/>
                  <w:vMerge w:val="continue"/>
                  <w:vAlign w:val="center"/>
                </w:tcPr>
                <w:p w14:paraId="2D8DC358">
                  <w:pPr>
                    <w:rPr>
                      <w:highlight w:val="none"/>
                    </w:rPr>
                  </w:pPr>
                </w:p>
              </w:tc>
              <w:tc>
                <w:tcPr>
                  <w:tcW w:w="1062" w:type="dxa"/>
                  <w:vAlign w:val="center"/>
                </w:tcPr>
                <w:p w14:paraId="74C775F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985" w:type="dxa"/>
                  <w:vAlign w:val="center"/>
                </w:tcPr>
                <w:p w14:paraId="282FE703">
                  <w:pPr>
                    <w:widowControl/>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194C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33" w:type="dxa"/>
                  <w:vAlign w:val="center"/>
                </w:tcPr>
                <w:p w14:paraId="59413E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958" w:type="dxa"/>
                  <w:vAlign w:val="center"/>
                </w:tcPr>
                <w:p w14:paraId="7B7CA79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062" w:type="dxa"/>
                  <w:vAlign w:val="center"/>
                </w:tcPr>
                <w:p w14:paraId="555D7E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985" w:type="dxa"/>
                  <w:vAlign w:val="center"/>
                </w:tcPr>
                <w:p w14:paraId="6A5AC473">
                  <w:pPr>
                    <w:widowControl/>
                    <w:rPr>
                      <w:rFonts w:ascii="宋体" w:hAnsi="宋体" w:eastAsia="仿宋" w:cs="宋体"/>
                      <w:kern w:val="0"/>
                      <w:sz w:val="22"/>
                      <w:highlight w:val="none"/>
                    </w:rPr>
                  </w:pPr>
                  <w:r>
                    <w:rPr>
                      <w:rFonts w:hint="eastAsia" w:ascii="宋体" w:hAnsi="宋体" w:eastAsia="仿宋" w:cs="宋体"/>
                      <w:kern w:val="0"/>
                      <w:sz w:val="22"/>
                      <w:highlight w:val="none"/>
                    </w:rPr>
                    <w:t xml:space="preserve">供应商承诺，生产商已建立从需求、设计、开发、测试、维护端到端的开发流程管理机制，输出和保存开发流程中每个阶段的产品需求清单、设计文档、开发文档、测试记录等材料，保证各个流程可追溯； </w:t>
                  </w:r>
                </w:p>
              </w:tc>
            </w:tr>
            <w:tr w14:paraId="42C3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60FD45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958" w:type="dxa"/>
                  <w:vAlign w:val="center"/>
                </w:tcPr>
                <w:p w14:paraId="00A0C47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062" w:type="dxa"/>
                  <w:vAlign w:val="center"/>
                </w:tcPr>
                <w:p w14:paraId="6587F16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985" w:type="dxa"/>
                  <w:vAlign w:val="center"/>
                </w:tcPr>
                <w:p w14:paraId="68C572A8">
                  <w:pPr>
                    <w:widowControl/>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065C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0B91DB6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958" w:type="dxa"/>
                  <w:vAlign w:val="center"/>
                </w:tcPr>
                <w:p w14:paraId="216AB9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062" w:type="dxa"/>
                  <w:vAlign w:val="center"/>
                </w:tcPr>
                <w:p w14:paraId="2C5B0AF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985" w:type="dxa"/>
                  <w:vAlign w:val="center"/>
                </w:tcPr>
                <w:p w14:paraId="4EE8B30C">
                  <w:pPr>
                    <w:widowControl/>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6E05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83B48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958" w:type="dxa"/>
                  <w:vMerge w:val="restart"/>
                  <w:vAlign w:val="center"/>
                </w:tcPr>
                <w:p w14:paraId="5878CB1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062" w:type="dxa"/>
                  <w:vAlign w:val="center"/>
                </w:tcPr>
                <w:p w14:paraId="250EBB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985" w:type="dxa"/>
                  <w:vAlign w:val="center"/>
                </w:tcPr>
                <w:p w14:paraId="78A82BEB">
                  <w:pPr>
                    <w:widowControl/>
                    <w:rPr>
                      <w:rFonts w:ascii="宋体" w:hAnsi="宋体" w:eastAsia="仿宋" w:cs="宋体"/>
                      <w:kern w:val="0"/>
                      <w:sz w:val="22"/>
                      <w:highlight w:val="none"/>
                    </w:rPr>
                  </w:pPr>
                  <w:r>
                    <w:rPr>
                      <w:rFonts w:hint="eastAsia" w:ascii="宋体" w:hAnsi="宋体" w:eastAsia="仿宋" w:cs="宋体"/>
                      <w:kern w:val="0"/>
                      <w:sz w:val="22"/>
                      <w:highlight w:val="none"/>
                    </w:rPr>
                    <w:t>≥2.5GHz</w:t>
                  </w:r>
                </w:p>
              </w:tc>
            </w:tr>
            <w:tr w14:paraId="7302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FC317B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958" w:type="dxa"/>
                  <w:vMerge w:val="continue"/>
                  <w:vAlign w:val="center"/>
                </w:tcPr>
                <w:p w14:paraId="452CDEAB">
                  <w:pPr>
                    <w:rPr>
                      <w:highlight w:val="none"/>
                    </w:rPr>
                  </w:pPr>
                </w:p>
              </w:tc>
              <w:tc>
                <w:tcPr>
                  <w:tcW w:w="1062" w:type="dxa"/>
                  <w:vAlign w:val="center"/>
                </w:tcPr>
                <w:p w14:paraId="73ECB14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 CPU 核数</w:t>
                  </w:r>
                </w:p>
              </w:tc>
              <w:tc>
                <w:tcPr>
                  <w:tcW w:w="4985" w:type="dxa"/>
                  <w:vAlign w:val="center"/>
                </w:tcPr>
                <w:p w14:paraId="306483FF">
                  <w:pPr>
                    <w:widowControl/>
                    <w:rPr>
                      <w:rFonts w:ascii="宋体" w:hAnsi="宋体" w:eastAsia="仿宋" w:cs="宋体"/>
                      <w:kern w:val="0"/>
                      <w:sz w:val="22"/>
                      <w:highlight w:val="none"/>
                    </w:rPr>
                  </w:pPr>
                  <w:r>
                    <w:rPr>
                      <w:rFonts w:hint="eastAsia" w:ascii="宋体" w:hAnsi="宋体" w:eastAsia="仿宋" w:cs="宋体"/>
                      <w:kern w:val="0"/>
                      <w:sz w:val="22"/>
                      <w:highlight w:val="none"/>
                    </w:rPr>
                    <w:t>≥16</w:t>
                  </w:r>
                </w:p>
              </w:tc>
            </w:tr>
            <w:tr w14:paraId="031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61CD26F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958" w:type="dxa"/>
                  <w:vMerge w:val="continue"/>
                  <w:vAlign w:val="center"/>
                </w:tcPr>
                <w:p w14:paraId="66E92440">
                  <w:pPr>
                    <w:rPr>
                      <w:highlight w:val="none"/>
                    </w:rPr>
                  </w:pPr>
                </w:p>
              </w:tc>
              <w:tc>
                <w:tcPr>
                  <w:tcW w:w="1062" w:type="dxa"/>
                  <w:vAlign w:val="center"/>
                </w:tcPr>
                <w:p w14:paraId="6AA4B78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 CPU 末级缓存容量</w:t>
                  </w:r>
                </w:p>
              </w:tc>
              <w:tc>
                <w:tcPr>
                  <w:tcW w:w="4985" w:type="dxa"/>
                  <w:vAlign w:val="center"/>
                </w:tcPr>
                <w:p w14:paraId="4D47AA80">
                  <w:pPr>
                    <w:widowControl/>
                    <w:rPr>
                      <w:rFonts w:ascii="宋体" w:hAnsi="宋体" w:eastAsia="仿宋" w:cs="宋体"/>
                      <w:kern w:val="0"/>
                      <w:sz w:val="22"/>
                      <w:highlight w:val="none"/>
                    </w:rPr>
                  </w:pPr>
                  <w:r>
                    <w:rPr>
                      <w:rFonts w:hint="eastAsia" w:ascii="宋体" w:hAnsi="宋体" w:eastAsia="仿宋" w:cs="宋体"/>
                      <w:kern w:val="0"/>
                      <w:sz w:val="22"/>
                      <w:highlight w:val="none"/>
                    </w:rPr>
                    <w:t>≥32MB</w:t>
                  </w:r>
                </w:p>
              </w:tc>
            </w:tr>
            <w:tr w14:paraId="5FFC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15ADCA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958" w:type="dxa"/>
                  <w:vAlign w:val="center"/>
                </w:tcPr>
                <w:p w14:paraId="1E80DA5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062" w:type="dxa"/>
                  <w:vAlign w:val="center"/>
                </w:tcPr>
                <w:p w14:paraId="089F51E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985" w:type="dxa"/>
                  <w:vAlign w:val="center"/>
                </w:tcPr>
                <w:p w14:paraId="7373FF04">
                  <w:pPr>
                    <w:widowControl/>
                    <w:rPr>
                      <w:rFonts w:ascii="宋体" w:hAnsi="宋体" w:eastAsia="仿宋" w:cs="宋体"/>
                      <w:kern w:val="0"/>
                      <w:sz w:val="22"/>
                      <w:highlight w:val="none"/>
                    </w:rPr>
                  </w:pPr>
                  <w:r>
                    <w:rPr>
                      <w:rFonts w:hint="eastAsia" w:ascii="宋体" w:hAnsi="宋体" w:eastAsia="仿宋" w:cs="宋体"/>
                      <w:kern w:val="0"/>
                      <w:sz w:val="22"/>
                      <w:highlight w:val="none"/>
                    </w:rPr>
                    <w:t>≥3200MT/s</w:t>
                  </w:r>
                </w:p>
              </w:tc>
            </w:tr>
            <w:tr w14:paraId="5A9F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90397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958" w:type="dxa"/>
                  <w:vAlign w:val="center"/>
                </w:tcPr>
                <w:p w14:paraId="191A122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062" w:type="dxa"/>
                  <w:vAlign w:val="center"/>
                </w:tcPr>
                <w:p w14:paraId="43E5A0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985" w:type="dxa"/>
                  <w:vAlign w:val="center"/>
                </w:tcPr>
                <w:p w14:paraId="4D7811BB">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4AA0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432A4C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958" w:type="dxa"/>
                  <w:vMerge w:val="restart"/>
                  <w:vAlign w:val="center"/>
                </w:tcPr>
                <w:p w14:paraId="0811C09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062" w:type="dxa"/>
                  <w:vAlign w:val="center"/>
                </w:tcPr>
                <w:p w14:paraId="4A74F34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985" w:type="dxa"/>
                  <w:vAlign w:val="center"/>
                </w:tcPr>
                <w:p w14:paraId="02A801B6">
                  <w:pPr>
                    <w:widowControl/>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6588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46F70D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958" w:type="dxa"/>
                  <w:vMerge w:val="continue"/>
                  <w:vAlign w:val="center"/>
                </w:tcPr>
                <w:p w14:paraId="1DC919EE">
                  <w:pPr>
                    <w:rPr>
                      <w:highlight w:val="none"/>
                    </w:rPr>
                  </w:pPr>
                </w:p>
              </w:tc>
              <w:tc>
                <w:tcPr>
                  <w:tcW w:w="1062" w:type="dxa"/>
                  <w:vAlign w:val="center"/>
                </w:tcPr>
                <w:p w14:paraId="1D6B9FC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985" w:type="dxa"/>
                  <w:vAlign w:val="center"/>
                </w:tcPr>
                <w:p w14:paraId="57B060C4">
                  <w:pPr>
                    <w:widowControl/>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325C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442E0E1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958" w:type="dxa"/>
                  <w:vMerge w:val="continue"/>
                  <w:vAlign w:val="center"/>
                </w:tcPr>
                <w:p w14:paraId="23BCDB83">
                  <w:pPr>
                    <w:rPr>
                      <w:highlight w:val="none"/>
                    </w:rPr>
                  </w:pPr>
                </w:p>
              </w:tc>
              <w:tc>
                <w:tcPr>
                  <w:tcW w:w="1062" w:type="dxa"/>
                  <w:vAlign w:val="center"/>
                </w:tcPr>
                <w:p w14:paraId="0D5245B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985" w:type="dxa"/>
                  <w:vAlign w:val="center"/>
                </w:tcPr>
                <w:p w14:paraId="24FD0397">
                  <w:pPr>
                    <w:widowControl/>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4A7B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634C71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958" w:type="dxa"/>
                  <w:vMerge w:val="continue"/>
                  <w:vAlign w:val="center"/>
                </w:tcPr>
                <w:p w14:paraId="51D75B44">
                  <w:pPr>
                    <w:rPr>
                      <w:highlight w:val="none"/>
                    </w:rPr>
                  </w:pPr>
                </w:p>
              </w:tc>
              <w:tc>
                <w:tcPr>
                  <w:tcW w:w="1062" w:type="dxa"/>
                  <w:vAlign w:val="center"/>
                </w:tcPr>
                <w:p w14:paraId="3888EE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985" w:type="dxa"/>
                  <w:vAlign w:val="center"/>
                </w:tcPr>
                <w:p w14:paraId="50773692">
                  <w:pPr>
                    <w:widowControl/>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57D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3E270C7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958" w:type="dxa"/>
                  <w:vAlign w:val="center"/>
                </w:tcPr>
                <w:p w14:paraId="35B206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062" w:type="dxa"/>
                  <w:vAlign w:val="center"/>
                </w:tcPr>
                <w:p w14:paraId="0B77B0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985" w:type="dxa"/>
                  <w:vAlign w:val="center"/>
                </w:tcPr>
                <w:p w14:paraId="631C986A">
                  <w:pPr>
                    <w:widowControl/>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5234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DD1DF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958" w:type="dxa"/>
                  <w:vMerge w:val="restart"/>
                  <w:vAlign w:val="center"/>
                </w:tcPr>
                <w:p w14:paraId="63997FC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062" w:type="dxa"/>
                  <w:vAlign w:val="center"/>
                </w:tcPr>
                <w:p w14:paraId="3378B3E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985" w:type="dxa"/>
                  <w:vAlign w:val="center"/>
                </w:tcPr>
                <w:p w14:paraId="5B4C3D3D">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59D3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5A5E2A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958" w:type="dxa"/>
                  <w:vMerge w:val="continue"/>
                  <w:vAlign w:val="center"/>
                </w:tcPr>
                <w:p w14:paraId="39546CA6">
                  <w:pPr>
                    <w:rPr>
                      <w:highlight w:val="none"/>
                    </w:rPr>
                  </w:pPr>
                </w:p>
              </w:tc>
              <w:tc>
                <w:tcPr>
                  <w:tcW w:w="1062" w:type="dxa"/>
                  <w:vAlign w:val="center"/>
                </w:tcPr>
                <w:p w14:paraId="4DE8FD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985" w:type="dxa"/>
                  <w:vAlign w:val="center"/>
                </w:tcPr>
                <w:p w14:paraId="5C41AA43">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3642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2ABC95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958" w:type="dxa"/>
                  <w:vMerge w:val="continue"/>
                  <w:vAlign w:val="center"/>
                </w:tcPr>
                <w:p w14:paraId="42D77FA7">
                  <w:pPr>
                    <w:rPr>
                      <w:highlight w:val="none"/>
                    </w:rPr>
                  </w:pPr>
                </w:p>
              </w:tc>
              <w:tc>
                <w:tcPr>
                  <w:tcW w:w="1062" w:type="dxa"/>
                  <w:vAlign w:val="center"/>
                </w:tcPr>
                <w:p w14:paraId="2DA0870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985" w:type="dxa"/>
                  <w:vAlign w:val="center"/>
                </w:tcPr>
                <w:p w14:paraId="228B2E9F">
                  <w:pPr>
                    <w:widowControl/>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5212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DEAAE0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958" w:type="dxa"/>
                  <w:vMerge w:val="restart"/>
                  <w:vAlign w:val="center"/>
                </w:tcPr>
                <w:p w14:paraId="5AA5C7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062" w:type="dxa"/>
                  <w:vAlign w:val="center"/>
                </w:tcPr>
                <w:p w14:paraId="1E967DE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985" w:type="dxa"/>
                  <w:vAlign w:val="center"/>
                </w:tcPr>
                <w:p w14:paraId="5AF44B29">
                  <w:pPr>
                    <w:widowControl/>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774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543B7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958" w:type="dxa"/>
                  <w:vMerge w:val="continue"/>
                  <w:vAlign w:val="center"/>
                </w:tcPr>
                <w:p w14:paraId="0B8BDC9F">
                  <w:pPr>
                    <w:rPr>
                      <w:highlight w:val="none"/>
                    </w:rPr>
                  </w:pPr>
                </w:p>
              </w:tc>
              <w:tc>
                <w:tcPr>
                  <w:tcW w:w="1062" w:type="dxa"/>
                  <w:vAlign w:val="center"/>
                </w:tcPr>
                <w:p w14:paraId="1FBCBB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985" w:type="dxa"/>
                  <w:vAlign w:val="center"/>
                </w:tcPr>
                <w:p w14:paraId="125F1D5A">
                  <w:pPr>
                    <w:widowControl/>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3941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78D88E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958" w:type="dxa"/>
                  <w:vMerge w:val="continue"/>
                  <w:vAlign w:val="center"/>
                </w:tcPr>
                <w:p w14:paraId="34EC837C">
                  <w:pPr>
                    <w:rPr>
                      <w:highlight w:val="none"/>
                    </w:rPr>
                  </w:pPr>
                </w:p>
              </w:tc>
              <w:tc>
                <w:tcPr>
                  <w:tcW w:w="1062" w:type="dxa"/>
                  <w:vAlign w:val="center"/>
                </w:tcPr>
                <w:p w14:paraId="5B0C20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985" w:type="dxa"/>
                  <w:vAlign w:val="center"/>
                </w:tcPr>
                <w:p w14:paraId="1AEBABF9">
                  <w:pPr>
                    <w:widowControl/>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2797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5BCFE4B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958" w:type="dxa"/>
                  <w:vAlign w:val="center"/>
                </w:tcPr>
                <w:p w14:paraId="1E4893E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062" w:type="dxa"/>
                  <w:vAlign w:val="center"/>
                </w:tcPr>
                <w:p w14:paraId="651A0C0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985" w:type="dxa"/>
                  <w:vAlign w:val="center"/>
                </w:tcPr>
                <w:p w14:paraId="51F65A18">
                  <w:pPr>
                    <w:widowControl/>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7270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3" w:type="dxa"/>
                  <w:vAlign w:val="center"/>
                </w:tcPr>
                <w:p w14:paraId="7064772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958" w:type="dxa"/>
                  <w:vMerge w:val="restart"/>
                  <w:vAlign w:val="center"/>
                </w:tcPr>
                <w:p w14:paraId="3F851BB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062" w:type="dxa"/>
                  <w:vAlign w:val="center"/>
                </w:tcPr>
                <w:p w14:paraId="63DF19A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985" w:type="dxa"/>
                  <w:vAlign w:val="center"/>
                </w:tcPr>
                <w:p w14:paraId="3EB79203">
                  <w:pPr>
                    <w:widowControl/>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p>
                <w:p w14:paraId="6EC17895">
                  <w:pPr>
                    <w:widowControl/>
                    <w:rPr>
                      <w:rFonts w:ascii="宋体" w:hAnsi="宋体" w:eastAsia="仿宋" w:cs="宋体"/>
                      <w:kern w:val="0"/>
                      <w:sz w:val="22"/>
                      <w:highlight w:val="none"/>
                    </w:rPr>
                  </w:pP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p>
                <w:p w14:paraId="328D4DD8">
                  <w:pPr>
                    <w:widowControl/>
                    <w:rPr>
                      <w:rFonts w:ascii="宋体" w:hAnsi="宋体" w:eastAsia="仿宋" w:cs="宋体"/>
                      <w:kern w:val="0"/>
                      <w:sz w:val="22"/>
                      <w:highlight w:val="none"/>
                    </w:rPr>
                  </w:pPr>
                  <w:r>
                    <w:rPr>
                      <w:rFonts w:hint="eastAsia" w:ascii="宋体" w:hAnsi="宋体" w:eastAsia="仿宋" w:cs="宋体"/>
                      <w:kern w:val="0"/>
                      <w:sz w:val="22"/>
                      <w:highlight w:val="none"/>
                    </w:rPr>
                    <w:t>c) 建立全国技术服务体系和服务团体，符合专业服务体系标准要求，提供中文服务；</w:t>
                  </w:r>
                </w:p>
                <w:p w14:paraId="17D279F3">
                  <w:pPr>
                    <w:widowControl/>
                    <w:rPr>
                      <w:rFonts w:ascii="宋体" w:hAnsi="宋体" w:eastAsia="仿宋" w:cs="宋体"/>
                      <w:kern w:val="0"/>
                      <w:sz w:val="22"/>
                      <w:highlight w:val="none"/>
                    </w:rPr>
                  </w:pPr>
                  <w:r>
                    <w:rPr>
                      <w:rFonts w:hint="eastAsia" w:ascii="宋体" w:hAnsi="宋体" w:eastAsia="仿宋" w:cs="宋体"/>
                      <w:kern w:val="0"/>
                      <w:sz w:val="22"/>
                      <w:highlight w:val="none"/>
                    </w:rPr>
                    <w:t>d) 服务周期内提供产品的维修、换件和升级服务</w:t>
                  </w:r>
                </w:p>
              </w:tc>
            </w:tr>
            <w:tr w14:paraId="69F1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7F62BC9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958" w:type="dxa"/>
                  <w:vMerge w:val="continue"/>
                  <w:vAlign w:val="center"/>
                </w:tcPr>
                <w:p w14:paraId="3CE232CB">
                  <w:pPr>
                    <w:rPr>
                      <w:highlight w:val="none"/>
                    </w:rPr>
                  </w:pPr>
                </w:p>
              </w:tc>
              <w:tc>
                <w:tcPr>
                  <w:tcW w:w="1062" w:type="dxa"/>
                  <w:vAlign w:val="center"/>
                </w:tcPr>
                <w:p w14:paraId="56A6784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985" w:type="dxa"/>
                  <w:vAlign w:val="center"/>
                </w:tcPr>
                <w:p w14:paraId="127D37A2">
                  <w:pPr>
                    <w:widowControl/>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76DC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3" w:type="dxa"/>
                  <w:vAlign w:val="center"/>
                </w:tcPr>
                <w:p w14:paraId="077025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958" w:type="dxa"/>
                  <w:vAlign w:val="center"/>
                </w:tcPr>
                <w:p w14:paraId="3C23A05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062" w:type="dxa"/>
                  <w:vAlign w:val="center"/>
                </w:tcPr>
                <w:p w14:paraId="680226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985" w:type="dxa"/>
                  <w:vAlign w:val="center"/>
                </w:tcPr>
                <w:p w14:paraId="0F1F6EA0">
                  <w:pPr>
                    <w:widowControl/>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w:t>
                  </w:r>
                </w:p>
                <w:p w14:paraId="237137F5">
                  <w:pPr>
                    <w:widowControl/>
                    <w:rPr>
                      <w:rFonts w:ascii="宋体" w:hAnsi="宋体" w:eastAsia="仿宋" w:cs="宋体"/>
                      <w:kern w:val="0"/>
                      <w:sz w:val="22"/>
                      <w:highlight w:val="none"/>
                    </w:rPr>
                  </w:pPr>
                  <w:r>
                    <w:rPr>
                      <w:rFonts w:hint="eastAsia" w:ascii="宋体" w:hAnsi="宋体" w:eastAsia="仿宋" w:cs="宋体"/>
                      <w:kern w:val="0"/>
                      <w:sz w:val="22"/>
                      <w:highlight w:val="none"/>
                    </w:rPr>
                    <w:t>（2）设备停产后继续提供质量保障服务（含备品备件），服务终止时间与最后一批设备交付时间间隔≥6年；</w:t>
                  </w:r>
                </w:p>
                <w:p w14:paraId="4C925BC2">
                  <w:pPr>
                    <w:widowControl/>
                    <w:rPr>
                      <w:rFonts w:ascii="宋体" w:hAnsi="宋体" w:eastAsia="仿宋" w:cs="宋体"/>
                      <w:kern w:val="0"/>
                      <w:sz w:val="22"/>
                      <w:highlight w:val="none"/>
                    </w:rPr>
                  </w:pPr>
                  <w:r>
                    <w:rPr>
                      <w:rFonts w:hint="eastAsia" w:ascii="宋体" w:hAnsi="宋体" w:eastAsia="仿宋" w:cs="宋体"/>
                      <w:kern w:val="0"/>
                      <w:sz w:val="22"/>
                      <w:highlight w:val="none"/>
                    </w:rPr>
                    <w:t>（3）产品停止服务时间应提前1年告知客户；（4）产品发布日期需在随机文件中明确。</w:t>
                  </w:r>
                </w:p>
              </w:tc>
            </w:tr>
            <w:tr w14:paraId="1F4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0243E39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958" w:type="dxa"/>
                  <w:vMerge w:val="restart"/>
                  <w:vAlign w:val="center"/>
                </w:tcPr>
                <w:p w14:paraId="03AF884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062" w:type="dxa"/>
                  <w:vAlign w:val="center"/>
                </w:tcPr>
                <w:p w14:paraId="73C31B6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985" w:type="dxa"/>
                  <w:vAlign w:val="center"/>
                </w:tcPr>
                <w:p w14:paraId="18C1C628">
                  <w:pPr>
                    <w:widowControl/>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06BE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41F985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958" w:type="dxa"/>
                  <w:vMerge w:val="continue"/>
                  <w:vAlign w:val="center"/>
                </w:tcPr>
                <w:p w14:paraId="17A0AA97">
                  <w:pPr>
                    <w:rPr>
                      <w:highlight w:val="none"/>
                    </w:rPr>
                  </w:pPr>
                </w:p>
              </w:tc>
              <w:tc>
                <w:tcPr>
                  <w:tcW w:w="1062" w:type="dxa"/>
                  <w:vAlign w:val="center"/>
                </w:tcPr>
                <w:p w14:paraId="3FA7C7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985" w:type="dxa"/>
                  <w:vAlign w:val="center"/>
                </w:tcPr>
                <w:p w14:paraId="318BF18D">
                  <w:pPr>
                    <w:widowControl/>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11D3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1DF9DC2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958" w:type="dxa"/>
                  <w:vMerge w:val="continue"/>
                  <w:vAlign w:val="center"/>
                </w:tcPr>
                <w:p w14:paraId="58F7789D">
                  <w:pPr>
                    <w:rPr>
                      <w:highlight w:val="none"/>
                    </w:rPr>
                  </w:pPr>
                </w:p>
              </w:tc>
              <w:tc>
                <w:tcPr>
                  <w:tcW w:w="1062" w:type="dxa"/>
                  <w:vAlign w:val="center"/>
                </w:tcPr>
                <w:p w14:paraId="6C0B40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985" w:type="dxa"/>
                  <w:vAlign w:val="center"/>
                </w:tcPr>
                <w:p w14:paraId="250AEE1A">
                  <w:pPr>
                    <w:widowControl/>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26EE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3" w:type="dxa"/>
                  <w:vAlign w:val="center"/>
                </w:tcPr>
                <w:p w14:paraId="764B7F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958" w:type="dxa"/>
                  <w:vMerge w:val="restart"/>
                  <w:vAlign w:val="center"/>
                </w:tcPr>
                <w:p w14:paraId="2F383F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062" w:type="dxa"/>
                  <w:vAlign w:val="center"/>
                </w:tcPr>
                <w:p w14:paraId="1F7396C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985" w:type="dxa"/>
                  <w:vAlign w:val="center"/>
                </w:tcPr>
                <w:p w14:paraId="21CD4E38">
                  <w:pPr>
                    <w:widowControl/>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5AEF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F10898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958" w:type="dxa"/>
                  <w:vMerge w:val="continue"/>
                  <w:vAlign w:val="center"/>
                </w:tcPr>
                <w:p w14:paraId="2D1D361D">
                  <w:pPr>
                    <w:rPr>
                      <w:highlight w:val="none"/>
                    </w:rPr>
                  </w:pPr>
                </w:p>
              </w:tc>
              <w:tc>
                <w:tcPr>
                  <w:tcW w:w="1062" w:type="dxa"/>
                  <w:vAlign w:val="center"/>
                </w:tcPr>
                <w:p w14:paraId="5B3C01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985" w:type="dxa"/>
                  <w:vAlign w:val="center"/>
                </w:tcPr>
                <w:p w14:paraId="024F5562">
                  <w:pPr>
                    <w:widowControl/>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1FE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3" w:type="dxa"/>
                  <w:vAlign w:val="center"/>
                </w:tcPr>
                <w:p w14:paraId="464F67F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958" w:type="dxa"/>
                  <w:vMerge w:val="restart"/>
                  <w:vAlign w:val="center"/>
                </w:tcPr>
                <w:p w14:paraId="2FC9483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062" w:type="dxa"/>
                  <w:vAlign w:val="center"/>
                </w:tcPr>
                <w:p w14:paraId="749CFEE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985" w:type="dxa"/>
                  <w:vAlign w:val="center"/>
                </w:tcPr>
                <w:p w14:paraId="3A863242">
                  <w:pPr>
                    <w:widowControl/>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039B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Align w:val="center"/>
                </w:tcPr>
                <w:p w14:paraId="318D87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958" w:type="dxa"/>
                  <w:vMerge w:val="continue"/>
                  <w:vAlign w:val="center"/>
                </w:tcPr>
                <w:p w14:paraId="4CA9225B">
                  <w:pPr>
                    <w:rPr>
                      <w:highlight w:val="none"/>
                    </w:rPr>
                  </w:pPr>
                </w:p>
              </w:tc>
              <w:tc>
                <w:tcPr>
                  <w:tcW w:w="1062" w:type="dxa"/>
                  <w:vAlign w:val="center"/>
                </w:tcPr>
                <w:p w14:paraId="078D75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985" w:type="dxa"/>
                  <w:vAlign w:val="center"/>
                </w:tcPr>
                <w:p w14:paraId="184C3B5F">
                  <w:pPr>
                    <w:widowControl/>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bookmarkEnd w:id="41"/>
          </w:tbl>
          <w:p w14:paraId="019EB100">
            <w:pPr>
              <w:rPr>
                <w:rFonts w:ascii="宋体" w:hAnsi="宋体" w:eastAsia="仿宋" w:cs="宋体"/>
                <w:b/>
                <w:bCs/>
                <w:kern w:val="0"/>
                <w:sz w:val="22"/>
                <w:highlight w:val="none"/>
              </w:rPr>
            </w:pPr>
            <w:r>
              <w:rPr>
                <w:rFonts w:hint="eastAsia" w:ascii="宋体" w:hAnsi="宋体" w:eastAsia="仿宋" w:cs="宋体"/>
                <w:b/>
                <w:bCs/>
                <w:kern w:val="0"/>
                <w:sz w:val="22"/>
                <w:highlight w:val="none"/>
              </w:rPr>
              <w:t>附6：“融合调度网关一体机”硬件部分详细参数配置</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29"/>
              <w:gridCol w:w="1360"/>
              <w:gridCol w:w="4148"/>
            </w:tblGrid>
            <w:tr w14:paraId="2C0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AA58F5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序号</w:t>
                  </w:r>
                </w:p>
              </w:tc>
              <w:tc>
                <w:tcPr>
                  <w:tcW w:w="1431" w:type="dxa"/>
                  <w:vAlign w:val="center"/>
                </w:tcPr>
                <w:p w14:paraId="5471AD1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361" w:type="dxa"/>
                  <w:vAlign w:val="center"/>
                </w:tcPr>
                <w:p w14:paraId="3892F2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154" w:type="dxa"/>
                  <w:vAlign w:val="center"/>
                </w:tcPr>
                <w:p w14:paraId="798A358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详细参数配置要求</w:t>
                  </w:r>
                </w:p>
              </w:tc>
            </w:tr>
            <w:tr w14:paraId="4B09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692" w:type="dxa"/>
                  <w:vAlign w:val="center"/>
                </w:tcPr>
                <w:p w14:paraId="3FED235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431" w:type="dxa"/>
                  <w:vAlign w:val="center"/>
                </w:tcPr>
                <w:p w14:paraId="502E47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1" w:type="dxa"/>
                  <w:vAlign w:val="center"/>
                </w:tcPr>
                <w:p w14:paraId="07169B8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154" w:type="dxa"/>
                  <w:vAlign w:val="center"/>
                </w:tcPr>
                <w:p w14:paraId="496BDB4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（2）单颗CPU物理核心数≥16核、主频≥2.5GHz、末级缓存容量≥32MB、线程数≥32、热设计功耗≥135W、支持内存的最高速率≥3200MHz、通道数≥4、位宽≥64位；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5B74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588CBF1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431" w:type="dxa"/>
                  <w:vMerge w:val="restart"/>
                  <w:vAlign w:val="center"/>
                </w:tcPr>
                <w:p w14:paraId="54C0F01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1" w:type="dxa"/>
                  <w:vAlign w:val="center"/>
                </w:tcPr>
                <w:p w14:paraId="2BA7FB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154" w:type="dxa"/>
                  <w:vAlign w:val="center"/>
                </w:tcPr>
                <w:p w14:paraId="7B0334C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7650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0B5CAA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431" w:type="dxa"/>
                  <w:vMerge w:val="continue"/>
                  <w:vAlign w:val="center"/>
                </w:tcPr>
                <w:p w14:paraId="27C74E9F">
                  <w:pPr>
                    <w:rPr>
                      <w:highlight w:val="none"/>
                    </w:rPr>
                  </w:pPr>
                </w:p>
              </w:tc>
              <w:tc>
                <w:tcPr>
                  <w:tcW w:w="1361" w:type="dxa"/>
                  <w:vAlign w:val="center"/>
                </w:tcPr>
                <w:p w14:paraId="4E7DBB5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154" w:type="dxa"/>
                  <w:vAlign w:val="center"/>
                </w:tcPr>
                <w:p w14:paraId="69B5C9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0B5E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92" w:type="dxa"/>
                  <w:vAlign w:val="center"/>
                </w:tcPr>
                <w:p w14:paraId="7AB3763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431" w:type="dxa"/>
                  <w:vMerge w:val="continue"/>
                  <w:vAlign w:val="center"/>
                </w:tcPr>
                <w:p w14:paraId="0ECA91C7">
                  <w:pPr>
                    <w:rPr>
                      <w:highlight w:val="none"/>
                    </w:rPr>
                  </w:pPr>
                </w:p>
              </w:tc>
              <w:tc>
                <w:tcPr>
                  <w:tcW w:w="1361" w:type="dxa"/>
                  <w:vAlign w:val="center"/>
                </w:tcPr>
                <w:p w14:paraId="381BA9C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154" w:type="dxa"/>
                  <w:vAlign w:val="center"/>
                </w:tcPr>
                <w:p w14:paraId="3D00598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（2）板载支持≥12个SATA/SAS盘；</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01E2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7083AD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431" w:type="dxa"/>
                  <w:vMerge w:val="continue"/>
                  <w:vAlign w:val="center"/>
                </w:tcPr>
                <w:p w14:paraId="6A2B03DD">
                  <w:pPr>
                    <w:rPr>
                      <w:highlight w:val="none"/>
                    </w:rPr>
                  </w:pPr>
                </w:p>
              </w:tc>
              <w:tc>
                <w:tcPr>
                  <w:tcW w:w="1361" w:type="dxa"/>
                  <w:vAlign w:val="center"/>
                </w:tcPr>
                <w:p w14:paraId="2ABED3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154" w:type="dxa"/>
                  <w:vAlign w:val="center"/>
                </w:tcPr>
                <w:p w14:paraId="6CE542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727E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64C4C95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431" w:type="dxa"/>
                  <w:vMerge w:val="continue"/>
                  <w:vAlign w:val="center"/>
                </w:tcPr>
                <w:p w14:paraId="05C9FA7C">
                  <w:pPr>
                    <w:rPr>
                      <w:highlight w:val="none"/>
                    </w:rPr>
                  </w:pPr>
                </w:p>
              </w:tc>
              <w:tc>
                <w:tcPr>
                  <w:tcW w:w="1361" w:type="dxa"/>
                  <w:vAlign w:val="center"/>
                </w:tcPr>
                <w:p w14:paraId="29F1D8B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154" w:type="dxa"/>
                  <w:vAlign w:val="center"/>
                </w:tcPr>
                <w:p w14:paraId="3E9B15F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3BA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44E590A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431" w:type="dxa"/>
                  <w:vMerge w:val="restart"/>
                  <w:vAlign w:val="center"/>
                </w:tcPr>
                <w:p w14:paraId="444177B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1" w:type="dxa"/>
                  <w:vAlign w:val="center"/>
                </w:tcPr>
                <w:p w14:paraId="4B0079E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154" w:type="dxa"/>
                  <w:vAlign w:val="center"/>
                </w:tcPr>
                <w:p w14:paraId="502ECD2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内存数量≥4</w:t>
                  </w:r>
                </w:p>
              </w:tc>
            </w:tr>
            <w:tr w14:paraId="18A6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6C9F76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431" w:type="dxa"/>
                  <w:vMerge w:val="continue"/>
                  <w:vAlign w:val="center"/>
                </w:tcPr>
                <w:p w14:paraId="0F0DCDCF">
                  <w:pPr>
                    <w:rPr>
                      <w:highlight w:val="none"/>
                    </w:rPr>
                  </w:pPr>
                </w:p>
              </w:tc>
              <w:tc>
                <w:tcPr>
                  <w:tcW w:w="1361" w:type="dxa"/>
                  <w:vAlign w:val="center"/>
                </w:tcPr>
                <w:p w14:paraId="7B07C3E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154" w:type="dxa"/>
                  <w:vAlign w:val="center"/>
                </w:tcPr>
                <w:p w14:paraId="7DDBBF1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5DE6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57486C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431" w:type="dxa"/>
                  <w:vMerge w:val="continue"/>
                  <w:vAlign w:val="center"/>
                </w:tcPr>
                <w:p w14:paraId="10B16739">
                  <w:pPr>
                    <w:rPr>
                      <w:highlight w:val="none"/>
                    </w:rPr>
                  </w:pPr>
                </w:p>
              </w:tc>
              <w:tc>
                <w:tcPr>
                  <w:tcW w:w="1361" w:type="dxa"/>
                  <w:vAlign w:val="center"/>
                </w:tcPr>
                <w:p w14:paraId="08D3C61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154" w:type="dxa"/>
                  <w:vAlign w:val="center"/>
                </w:tcPr>
                <w:p w14:paraId="628FC71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5F5E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6AB69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431" w:type="dxa"/>
                  <w:vMerge w:val="restart"/>
                  <w:vAlign w:val="center"/>
                </w:tcPr>
                <w:p w14:paraId="2BABA5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1" w:type="dxa"/>
                  <w:vAlign w:val="center"/>
                </w:tcPr>
                <w:p w14:paraId="1D7E15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154" w:type="dxa"/>
                  <w:vAlign w:val="center"/>
                </w:tcPr>
                <w:p w14:paraId="609B4F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实配≥3*4TB SATA硬盘</w:t>
                  </w:r>
                </w:p>
              </w:tc>
            </w:tr>
            <w:tr w14:paraId="38D4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604CE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431" w:type="dxa"/>
                  <w:vMerge w:val="continue"/>
                  <w:vAlign w:val="center"/>
                </w:tcPr>
                <w:p w14:paraId="3DB07EB9">
                  <w:pPr>
                    <w:rPr>
                      <w:highlight w:val="none"/>
                    </w:rPr>
                  </w:pPr>
                </w:p>
              </w:tc>
              <w:tc>
                <w:tcPr>
                  <w:tcW w:w="1361" w:type="dxa"/>
                  <w:vAlign w:val="center"/>
                </w:tcPr>
                <w:p w14:paraId="7CEE199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154" w:type="dxa"/>
                  <w:vAlign w:val="center"/>
                </w:tcPr>
                <w:p w14:paraId="6F3AAE1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实配≥3块4TB  SATA硬盘</w:t>
                  </w:r>
                </w:p>
              </w:tc>
            </w:tr>
            <w:tr w14:paraId="524F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92" w:type="dxa"/>
                  <w:vAlign w:val="center"/>
                </w:tcPr>
                <w:p w14:paraId="645A1B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431" w:type="dxa"/>
                  <w:vMerge w:val="continue"/>
                  <w:vAlign w:val="center"/>
                </w:tcPr>
                <w:p w14:paraId="5E94D2C1">
                  <w:pPr>
                    <w:rPr>
                      <w:highlight w:val="none"/>
                    </w:rPr>
                  </w:pPr>
                </w:p>
              </w:tc>
              <w:tc>
                <w:tcPr>
                  <w:tcW w:w="1361" w:type="dxa"/>
                  <w:vAlign w:val="center"/>
                </w:tcPr>
                <w:p w14:paraId="0814E11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154" w:type="dxa"/>
                  <w:vAlign w:val="center"/>
                </w:tcPr>
                <w:p w14:paraId="73B3A7C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71F5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9D8EBE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431" w:type="dxa"/>
                  <w:vAlign w:val="center"/>
                </w:tcPr>
                <w:p w14:paraId="647A626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1" w:type="dxa"/>
                  <w:vAlign w:val="center"/>
                </w:tcPr>
                <w:p w14:paraId="6388F7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154" w:type="dxa"/>
                  <w:vAlign w:val="center"/>
                </w:tcPr>
                <w:p w14:paraId="4FB5A0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≥2*千兆网卡</w:t>
                  </w:r>
                </w:p>
              </w:tc>
            </w:tr>
            <w:tr w14:paraId="269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30A21DC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431" w:type="dxa"/>
                  <w:vMerge w:val="restart"/>
                  <w:vAlign w:val="center"/>
                </w:tcPr>
                <w:p w14:paraId="55AFA40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1" w:type="dxa"/>
                  <w:vAlign w:val="center"/>
                </w:tcPr>
                <w:p w14:paraId="125405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154" w:type="dxa"/>
                  <w:vAlign w:val="center"/>
                </w:tcPr>
                <w:p w14:paraId="61D75C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1DD7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01D17D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431" w:type="dxa"/>
                  <w:vMerge w:val="continue"/>
                  <w:vAlign w:val="center"/>
                </w:tcPr>
                <w:p w14:paraId="029B5E93">
                  <w:pPr>
                    <w:rPr>
                      <w:highlight w:val="none"/>
                    </w:rPr>
                  </w:pPr>
                </w:p>
              </w:tc>
              <w:tc>
                <w:tcPr>
                  <w:tcW w:w="1361" w:type="dxa"/>
                  <w:vAlign w:val="center"/>
                </w:tcPr>
                <w:p w14:paraId="74E76C4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154" w:type="dxa"/>
                  <w:vAlign w:val="center"/>
                </w:tcPr>
                <w:p w14:paraId="0889BF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2A76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7CD96E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431" w:type="dxa"/>
                  <w:vMerge w:val="restart"/>
                  <w:vAlign w:val="center"/>
                </w:tcPr>
                <w:p w14:paraId="1E8084D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1" w:type="dxa"/>
                  <w:vAlign w:val="center"/>
                </w:tcPr>
                <w:p w14:paraId="65E9CE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154" w:type="dxa"/>
                  <w:vAlign w:val="center"/>
                </w:tcPr>
                <w:p w14:paraId="2A62B7B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3D91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F18B7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431" w:type="dxa"/>
                  <w:vMerge w:val="continue"/>
                  <w:vAlign w:val="center"/>
                </w:tcPr>
                <w:p w14:paraId="1A00C0C3">
                  <w:pPr>
                    <w:rPr>
                      <w:highlight w:val="none"/>
                    </w:rPr>
                  </w:pPr>
                </w:p>
              </w:tc>
              <w:tc>
                <w:tcPr>
                  <w:tcW w:w="1361" w:type="dxa"/>
                  <w:vAlign w:val="center"/>
                </w:tcPr>
                <w:p w14:paraId="08ECBC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154" w:type="dxa"/>
                  <w:vAlign w:val="center"/>
                </w:tcPr>
                <w:p w14:paraId="1C7AC62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800W，电源模块功率应有一定冗余， 满足处理器满载时的需求</w:t>
                  </w:r>
                </w:p>
              </w:tc>
            </w:tr>
            <w:tr w14:paraId="11E9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692" w:type="dxa"/>
                  <w:vAlign w:val="center"/>
                </w:tcPr>
                <w:p w14:paraId="4D1A04E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431" w:type="dxa"/>
                  <w:vMerge w:val="restart"/>
                  <w:vAlign w:val="center"/>
                </w:tcPr>
                <w:p w14:paraId="41A68FB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1" w:type="dxa"/>
                  <w:vAlign w:val="center"/>
                </w:tcPr>
                <w:p w14:paraId="6128C5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154" w:type="dxa"/>
                  <w:vAlign w:val="center"/>
                </w:tcPr>
                <w:p w14:paraId="300809CC">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0F93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8AEB6E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431" w:type="dxa"/>
                  <w:vMerge w:val="continue"/>
                  <w:vAlign w:val="center"/>
                </w:tcPr>
                <w:p w14:paraId="4F5CDCCC">
                  <w:pPr>
                    <w:rPr>
                      <w:highlight w:val="none"/>
                    </w:rPr>
                  </w:pPr>
                </w:p>
              </w:tc>
              <w:tc>
                <w:tcPr>
                  <w:tcW w:w="1361" w:type="dxa"/>
                  <w:vAlign w:val="center"/>
                </w:tcPr>
                <w:p w14:paraId="5383B9B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154" w:type="dxa"/>
                  <w:vAlign w:val="center"/>
                </w:tcPr>
                <w:p w14:paraId="089902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7EBA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92" w:type="dxa"/>
                  <w:vAlign w:val="center"/>
                </w:tcPr>
                <w:p w14:paraId="36596C8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431" w:type="dxa"/>
                  <w:vMerge w:val="continue"/>
                  <w:vAlign w:val="center"/>
                </w:tcPr>
                <w:p w14:paraId="0E66B874">
                  <w:pPr>
                    <w:rPr>
                      <w:highlight w:val="none"/>
                    </w:rPr>
                  </w:pPr>
                </w:p>
              </w:tc>
              <w:tc>
                <w:tcPr>
                  <w:tcW w:w="1361" w:type="dxa"/>
                  <w:vAlign w:val="center"/>
                </w:tcPr>
                <w:p w14:paraId="25F11B2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154" w:type="dxa"/>
                  <w:vAlign w:val="center"/>
                </w:tcPr>
                <w:p w14:paraId="730BD1B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7009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6228D8C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431" w:type="dxa"/>
                  <w:vMerge w:val="continue"/>
                  <w:vAlign w:val="center"/>
                </w:tcPr>
                <w:p w14:paraId="40AD15FD">
                  <w:pPr>
                    <w:rPr>
                      <w:highlight w:val="none"/>
                    </w:rPr>
                  </w:pPr>
                </w:p>
              </w:tc>
              <w:tc>
                <w:tcPr>
                  <w:tcW w:w="1361" w:type="dxa"/>
                  <w:vAlign w:val="center"/>
                </w:tcPr>
                <w:p w14:paraId="4D6E2F4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154" w:type="dxa"/>
                  <w:vAlign w:val="center"/>
                </w:tcPr>
                <w:p w14:paraId="7A541B2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77EB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6E7B943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431" w:type="dxa"/>
                  <w:vMerge w:val="continue"/>
                  <w:vAlign w:val="center"/>
                </w:tcPr>
                <w:p w14:paraId="48DDB196">
                  <w:pPr>
                    <w:rPr>
                      <w:highlight w:val="none"/>
                    </w:rPr>
                  </w:pPr>
                </w:p>
              </w:tc>
              <w:tc>
                <w:tcPr>
                  <w:tcW w:w="1361" w:type="dxa"/>
                  <w:vAlign w:val="center"/>
                </w:tcPr>
                <w:p w14:paraId="4CEE488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154" w:type="dxa"/>
                  <w:vAlign w:val="center"/>
                </w:tcPr>
                <w:p w14:paraId="36903F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1441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C6DB22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431" w:type="dxa"/>
                  <w:vAlign w:val="center"/>
                </w:tcPr>
                <w:p w14:paraId="5A75635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机柜规格</w:t>
                  </w:r>
                </w:p>
              </w:tc>
              <w:tc>
                <w:tcPr>
                  <w:tcW w:w="1361" w:type="dxa"/>
                  <w:vAlign w:val="center"/>
                </w:tcPr>
                <w:p w14:paraId="3D16C8E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154" w:type="dxa"/>
                  <w:vAlign w:val="center"/>
                </w:tcPr>
                <w:p w14:paraId="4DB3BA0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4295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28E0C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431" w:type="dxa"/>
                  <w:vAlign w:val="center"/>
                </w:tcPr>
                <w:p w14:paraId="0309ED8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1" w:type="dxa"/>
                  <w:vAlign w:val="center"/>
                </w:tcPr>
                <w:p w14:paraId="1E2F38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154" w:type="dxa"/>
                  <w:vAlign w:val="center"/>
                </w:tcPr>
                <w:p w14:paraId="59FB1BF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02DB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60A72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431" w:type="dxa"/>
                  <w:vAlign w:val="center"/>
                </w:tcPr>
                <w:p w14:paraId="4C4C6EA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1" w:type="dxa"/>
                  <w:vAlign w:val="center"/>
                </w:tcPr>
                <w:p w14:paraId="66F485E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154" w:type="dxa"/>
                  <w:vAlign w:val="center"/>
                </w:tcPr>
                <w:p w14:paraId="3B82511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40FF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92" w:type="dxa"/>
                  <w:vAlign w:val="center"/>
                </w:tcPr>
                <w:p w14:paraId="38A8BE7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431" w:type="dxa"/>
                  <w:vMerge w:val="restart"/>
                  <w:vAlign w:val="center"/>
                </w:tcPr>
                <w:p w14:paraId="0E0D3F0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1" w:type="dxa"/>
                  <w:vAlign w:val="center"/>
                </w:tcPr>
                <w:p w14:paraId="7A0100B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154" w:type="dxa"/>
                  <w:vAlign w:val="center"/>
                </w:tcPr>
                <w:p w14:paraId="4B31049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AB3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348AD6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431" w:type="dxa"/>
                  <w:vMerge w:val="continue"/>
                  <w:vAlign w:val="center"/>
                </w:tcPr>
                <w:p w14:paraId="5C96052D">
                  <w:pPr>
                    <w:rPr>
                      <w:highlight w:val="none"/>
                    </w:rPr>
                  </w:pPr>
                </w:p>
              </w:tc>
              <w:tc>
                <w:tcPr>
                  <w:tcW w:w="1361" w:type="dxa"/>
                  <w:vAlign w:val="center"/>
                </w:tcPr>
                <w:p w14:paraId="5E4503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154" w:type="dxa"/>
                  <w:vAlign w:val="center"/>
                </w:tcPr>
                <w:p w14:paraId="5435D2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2548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66AC48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431" w:type="dxa"/>
                  <w:vMerge w:val="restart"/>
                  <w:vAlign w:val="center"/>
                </w:tcPr>
                <w:p w14:paraId="63A8261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1" w:type="dxa"/>
                  <w:vAlign w:val="center"/>
                </w:tcPr>
                <w:p w14:paraId="48CD28D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154" w:type="dxa"/>
                  <w:vAlign w:val="center"/>
                </w:tcPr>
                <w:p w14:paraId="061DDA5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4CD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920F3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431" w:type="dxa"/>
                  <w:vMerge w:val="continue"/>
                  <w:vAlign w:val="center"/>
                </w:tcPr>
                <w:p w14:paraId="3A020D23">
                  <w:pPr>
                    <w:rPr>
                      <w:highlight w:val="none"/>
                    </w:rPr>
                  </w:pPr>
                </w:p>
              </w:tc>
              <w:tc>
                <w:tcPr>
                  <w:tcW w:w="1361" w:type="dxa"/>
                  <w:vAlign w:val="center"/>
                </w:tcPr>
                <w:p w14:paraId="40C2FC6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154" w:type="dxa"/>
                  <w:vAlign w:val="center"/>
                </w:tcPr>
                <w:p w14:paraId="5B81E9C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146A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2FE998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431" w:type="dxa"/>
                  <w:vAlign w:val="center"/>
                </w:tcPr>
                <w:p w14:paraId="145BAF8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1" w:type="dxa"/>
                  <w:vAlign w:val="center"/>
                </w:tcPr>
                <w:p w14:paraId="4554D7A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154" w:type="dxa"/>
                  <w:vAlign w:val="center"/>
                </w:tcPr>
                <w:p w14:paraId="550E410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6748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F156DF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431" w:type="dxa"/>
                  <w:vMerge w:val="restart"/>
                  <w:vAlign w:val="center"/>
                </w:tcPr>
                <w:p w14:paraId="792CF5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1" w:type="dxa"/>
                  <w:vAlign w:val="center"/>
                </w:tcPr>
                <w:p w14:paraId="3325E5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154" w:type="dxa"/>
                  <w:vAlign w:val="center"/>
                </w:tcPr>
                <w:p w14:paraId="65F7B48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6A95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03A8C79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431" w:type="dxa"/>
                  <w:vMerge w:val="continue"/>
                  <w:vAlign w:val="center"/>
                </w:tcPr>
                <w:p w14:paraId="118F50EF">
                  <w:pPr>
                    <w:rPr>
                      <w:highlight w:val="none"/>
                    </w:rPr>
                  </w:pPr>
                </w:p>
              </w:tc>
              <w:tc>
                <w:tcPr>
                  <w:tcW w:w="1361" w:type="dxa"/>
                  <w:vAlign w:val="center"/>
                </w:tcPr>
                <w:p w14:paraId="501B16B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154" w:type="dxa"/>
                  <w:vAlign w:val="center"/>
                </w:tcPr>
                <w:p w14:paraId="5B6331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5725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100040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431" w:type="dxa"/>
                  <w:vMerge w:val="continue"/>
                  <w:vAlign w:val="center"/>
                </w:tcPr>
                <w:p w14:paraId="77A28A9F">
                  <w:pPr>
                    <w:rPr>
                      <w:highlight w:val="none"/>
                    </w:rPr>
                  </w:pPr>
                </w:p>
              </w:tc>
              <w:tc>
                <w:tcPr>
                  <w:tcW w:w="1361" w:type="dxa"/>
                  <w:vAlign w:val="center"/>
                </w:tcPr>
                <w:p w14:paraId="411EB3D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154" w:type="dxa"/>
                  <w:vAlign w:val="center"/>
                </w:tcPr>
                <w:p w14:paraId="7D574EB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34A2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76EF147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431" w:type="dxa"/>
                  <w:vMerge w:val="restart"/>
                  <w:vAlign w:val="center"/>
                </w:tcPr>
                <w:p w14:paraId="144157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1" w:type="dxa"/>
                  <w:vAlign w:val="center"/>
                </w:tcPr>
                <w:p w14:paraId="7E0C06F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154" w:type="dxa"/>
                  <w:vAlign w:val="center"/>
                </w:tcPr>
                <w:p w14:paraId="0C4353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007D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EFA7C5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431" w:type="dxa"/>
                  <w:vMerge w:val="continue"/>
                  <w:vAlign w:val="center"/>
                </w:tcPr>
                <w:p w14:paraId="5A128FAF">
                  <w:pPr>
                    <w:rPr>
                      <w:highlight w:val="none"/>
                    </w:rPr>
                  </w:pPr>
                </w:p>
              </w:tc>
              <w:tc>
                <w:tcPr>
                  <w:tcW w:w="1361" w:type="dxa"/>
                  <w:vAlign w:val="center"/>
                </w:tcPr>
                <w:p w14:paraId="1BC84A3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154" w:type="dxa"/>
                  <w:vAlign w:val="center"/>
                </w:tcPr>
                <w:p w14:paraId="26D89C9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79B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C17942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431" w:type="dxa"/>
                  <w:vAlign w:val="center"/>
                </w:tcPr>
                <w:p w14:paraId="70A98BE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1" w:type="dxa"/>
                  <w:vAlign w:val="center"/>
                </w:tcPr>
                <w:p w14:paraId="4A100DC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154" w:type="dxa"/>
                  <w:vAlign w:val="center"/>
                </w:tcPr>
                <w:p w14:paraId="01A28ED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3991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73348C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431" w:type="dxa"/>
                  <w:vAlign w:val="center"/>
                </w:tcPr>
                <w:p w14:paraId="0C33BA0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1" w:type="dxa"/>
                  <w:vAlign w:val="center"/>
                </w:tcPr>
                <w:p w14:paraId="391B21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154" w:type="dxa"/>
                  <w:vAlign w:val="center"/>
                </w:tcPr>
                <w:p w14:paraId="6D2C327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0EA3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59EFE09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431" w:type="dxa"/>
                  <w:vAlign w:val="center"/>
                </w:tcPr>
                <w:p w14:paraId="69F14F7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1" w:type="dxa"/>
                  <w:vAlign w:val="center"/>
                </w:tcPr>
                <w:p w14:paraId="4C04475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154" w:type="dxa"/>
                  <w:vAlign w:val="center"/>
                </w:tcPr>
                <w:p w14:paraId="41A62D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13F8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17B433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431" w:type="dxa"/>
                  <w:vMerge w:val="restart"/>
                  <w:vAlign w:val="center"/>
                </w:tcPr>
                <w:p w14:paraId="62E8C28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1" w:type="dxa"/>
                  <w:vAlign w:val="center"/>
                </w:tcPr>
                <w:p w14:paraId="0C8630A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154" w:type="dxa"/>
                  <w:vAlign w:val="center"/>
                </w:tcPr>
                <w:p w14:paraId="3A9450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04DD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4261E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431" w:type="dxa"/>
                  <w:vMerge w:val="continue"/>
                  <w:vAlign w:val="center"/>
                </w:tcPr>
                <w:p w14:paraId="61F43E44">
                  <w:pPr>
                    <w:rPr>
                      <w:highlight w:val="none"/>
                    </w:rPr>
                  </w:pPr>
                </w:p>
              </w:tc>
              <w:tc>
                <w:tcPr>
                  <w:tcW w:w="1361" w:type="dxa"/>
                  <w:vAlign w:val="center"/>
                </w:tcPr>
                <w:p w14:paraId="713EACC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154" w:type="dxa"/>
                  <w:vAlign w:val="center"/>
                </w:tcPr>
                <w:p w14:paraId="5D49906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5F44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1CF64EC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431" w:type="dxa"/>
                  <w:vMerge w:val="continue"/>
                  <w:vAlign w:val="center"/>
                </w:tcPr>
                <w:p w14:paraId="440DFAF0">
                  <w:pPr>
                    <w:rPr>
                      <w:highlight w:val="none"/>
                    </w:rPr>
                  </w:pPr>
                </w:p>
              </w:tc>
              <w:tc>
                <w:tcPr>
                  <w:tcW w:w="1361" w:type="dxa"/>
                  <w:vAlign w:val="center"/>
                </w:tcPr>
                <w:p w14:paraId="68D6F0C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154" w:type="dxa"/>
                  <w:vAlign w:val="center"/>
                </w:tcPr>
                <w:p w14:paraId="062A9D6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55B6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1C50006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431" w:type="dxa"/>
                  <w:vMerge w:val="continue"/>
                  <w:vAlign w:val="center"/>
                </w:tcPr>
                <w:p w14:paraId="077DEC16">
                  <w:pPr>
                    <w:rPr>
                      <w:highlight w:val="none"/>
                    </w:rPr>
                  </w:pPr>
                </w:p>
              </w:tc>
              <w:tc>
                <w:tcPr>
                  <w:tcW w:w="1361" w:type="dxa"/>
                  <w:vAlign w:val="center"/>
                </w:tcPr>
                <w:p w14:paraId="37CD0D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154" w:type="dxa"/>
                  <w:vAlign w:val="center"/>
                </w:tcPr>
                <w:p w14:paraId="2D8FEF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6411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41E2F4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431" w:type="dxa"/>
                  <w:vMerge w:val="continue"/>
                  <w:vAlign w:val="center"/>
                </w:tcPr>
                <w:p w14:paraId="5918EA9D">
                  <w:pPr>
                    <w:rPr>
                      <w:highlight w:val="none"/>
                    </w:rPr>
                  </w:pPr>
                </w:p>
              </w:tc>
              <w:tc>
                <w:tcPr>
                  <w:tcW w:w="1361" w:type="dxa"/>
                  <w:vAlign w:val="center"/>
                </w:tcPr>
                <w:p w14:paraId="635DFCC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154" w:type="dxa"/>
                  <w:vAlign w:val="center"/>
                </w:tcPr>
                <w:p w14:paraId="733C304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3282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92" w:type="dxa"/>
                  <w:vAlign w:val="center"/>
                </w:tcPr>
                <w:p w14:paraId="189F7C9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431" w:type="dxa"/>
                  <w:vAlign w:val="center"/>
                </w:tcPr>
                <w:p w14:paraId="2A08DFB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1" w:type="dxa"/>
                  <w:vAlign w:val="center"/>
                </w:tcPr>
                <w:p w14:paraId="25E1514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154" w:type="dxa"/>
                  <w:vAlign w:val="center"/>
                </w:tcPr>
                <w:p w14:paraId="0E5EE04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46CE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F3558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431" w:type="dxa"/>
                  <w:vAlign w:val="center"/>
                </w:tcPr>
                <w:p w14:paraId="5D6F285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1" w:type="dxa"/>
                  <w:vAlign w:val="center"/>
                </w:tcPr>
                <w:p w14:paraId="49E804F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154" w:type="dxa"/>
                  <w:vAlign w:val="center"/>
                </w:tcPr>
                <w:p w14:paraId="0801AF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321B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0651E78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431" w:type="dxa"/>
                  <w:vAlign w:val="center"/>
                </w:tcPr>
                <w:p w14:paraId="27AA211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361" w:type="dxa"/>
                  <w:vAlign w:val="center"/>
                </w:tcPr>
                <w:p w14:paraId="59127EC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154" w:type="dxa"/>
                  <w:vAlign w:val="center"/>
                </w:tcPr>
                <w:p w14:paraId="5A86409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1BEB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3674F66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431" w:type="dxa"/>
                  <w:vMerge w:val="restart"/>
                  <w:vAlign w:val="center"/>
                </w:tcPr>
                <w:p w14:paraId="314569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1" w:type="dxa"/>
                  <w:vAlign w:val="center"/>
                </w:tcPr>
                <w:p w14:paraId="2D82C9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154" w:type="dxa"/>
                  <w:vAlign w:val="center"/>
                </w:tcPr>
                <w:p w14:paraId="44656E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≥2.5GHz</w:t>
                  </w:r>
                </w:p>
              </w:tc>
            </w:tr>
            <w:tr w14:paraId="7EA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786158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431" w:type="dxa"/>
                  <w:vMerge w:val="continue"/>
                  <w:vAlign w:val="center"/>
                </w:tcPr>
                <w:p w14:paraId="2C193ED2">
                  <w:pPr>
                    <w:rPr>
                      <w:highlight w:val="none"/>
                    </w:rPr>
                  </w:pPr>
                </w:p>
              </w:tc>
              <w:tc>
                <w:tcPr>
                  <w:tcW w:w="1361" w:type="dxa"/>
                  <w:vAlign w:val="center"/>
                </w:tcPr>
                <w:p w14:paraId="7F43180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154" w:type="dxa"/>
                  <w:vAlign w:val="center"/>
                </w:tcPr>
                <w:p w14:paraId="116D657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r>
            <w:tr w14:paraId="6C57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34C207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431" w:type="dxa"/>
                  <w:vMerge w:val="continue"/>
                  <w:vAlign w:val="center"/>
                </w:tcPr>
                <w:p w14:paraId="425701B9">
                  <w:pPr>
                    <w:rPr>
                      <w:highlight w:val="none"/>
                    </w:rPr>
                  </w:pPr>
                </w:p>
              </w:tc>
              <w:tc>
                <w:tcPr>
                  <w:tcW w:w="1361" w:type="dxa"/>
                  <w:vAlign w:val="center"/>
                </w:tcPr>
                <w:p w14:paraId="7B31D42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154" w:type="dxa"/>
                  <w:vAlign w:val="center"/>
                </w:tcPr>
                <w:p w14:paraId="70FB6F3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≥32MB</w:t>
                  </w:r>
                </w:p>
              </w:tc>
            </w:tr>
            <w:tr w14:paraId="2B17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2" w:type="dxa"/>
                  <w:vAlign w:val="center"/>
                </w:tcPr>
                <w:p w14:paraId="728B232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431" w:type="dxa"/>
                  <w:vAlign w:val="center"/>
                </w:tcPr>
                <w:p w14:paraId="04A22C3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1" w:type="dxa"/>
                  <w:vAlign w:val="center"/>
                </w:tcPr>
                <w:p w14:paraId="5A7AC72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154" w:type="dxa"/>
                  <w:vAlign w:val="center"/>
                </w:tcPr>
                <w:p w14:paraId="7F6C90A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02D4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C5C58E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431" w:type="dxa"/>
                  <w:vAlign w:val="center"/>
                </w:tcPr>
                <w:p w14:paraId="09A28B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361" w:type="dxa"/>
                  <w:vAlign w:val="center"/>
                </w:tcPr>
                <w:p w14:paraId="701806D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154" w:type="dxa"/>
                  <w:vAlign w:val="center"/>
                </w:tcPr>
                <w:p w14:paraId="529D143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1E2A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0FFE1C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431" w:type="dxa"/>
                  <w:vMerge w:val="restart"/>
                  <w:vAlign w:val="center"/>
                </w:tcPr>
                <w:p w14:paraId="66A643A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1" w:type="dxa"/>
                  <w:vAlign w:val="center"/>
                </w:tcPr>
                <w:p w14:paraId="1403C69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154" w:type="dxa"/>
                  <w:vAlign w:val="center"/>
                </w:tcPr>
                <w:p w14:paraId="027B13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442A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2374FDC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431" w:type="dxa"/>
                  <w:vMerge w:val="continue"/>
                  <w:vAlign w:val="center"/>
                </w:tcPr>
                <w:p w14:paraId="0AC3DDBC">
                  <w:pPr>
                    <w:rPr>
                      <w:highlight w:val="none"/>
                    </w:rPr>
                  </w:pPr>
                </w:p>
              </w:tc>
              <w:tc>
                <w:tcPr>
                  <w:tcW w:w="1361" w:type="dxa"/>
                  <w:vAlign w:val="center"/>
                </w:tcPr>
                <w:p w14:paraId="18C96C6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154" w:type="dxa"/>
                  <w:vAlign w:val="center"/>
                </w:tcPr>
                <w:p w14:paraId="0E5FA8A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322E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49E0C2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431" w:type="dxa"/>
                  <w:vMerge w:val="continue"/>
                  <w:vAlign w:val="center"/>
                </w:tcPr>
                <w:p w14:paraId="48463D81">
                  <w:pPr>
                    <w:rPr>
                      <w:highlight w:val="none"/>
                    </w:rPr>
                  </w:pPr>
                </w:p>
              </w:tc>
              <w:tc>
                <w:tcPr>
                  <w:tcW w:w="1361" w:type="dxa"/>
                  <w:vAlign w:val="center"/>
                </w:tcPr>
                <w:p w14:paraId="241607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154" w:type="dxa"/>
                  <w:vAlign w:val="center"/>
                </w:tcPr>
                <w:p w14:paraId="077FC53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724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7DE602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431" w:type="dxa"/>
                  <w:vMerge w:val="continue"/>
                  <w:vAlign w:val="center"/>
                </w:tcPr>
                <w:p w14:paraId="4299ECF3">
                  <w:pPr>
                    <w:rPr>
                      <w:highlight w:val="none"/>
                    </w:rPr>
                  </w:pPr>
                </w:p>
              </w:tc>
              <w:tc>
                <w:tcPr>
                  <w:tcW w:w="1361" w:type="dxa"/>
                  <w:vAlign w:val="center"/>
                </w:tcPr>
                <w:p w14:paraId="2059B2E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154" w:type="dxa"/>
                  <w:vAlign w:val="center"/>
                </w:tcPr>
                <w:p w14:paraId="1EEA93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348D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92" w:type="dxa"/>
                  <w:vAlign w:val="center"/>
                </w:tcPr>
                <w:p w14:paraId="52A6A3B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431" w:type="dxa"/>
                  <w:vAlign w:val="center"/>
                </w:tcPr>
                <w:p w14:paraId="17F8963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1" w:type="dxa"/>
                  <w:vAlign w:val="center"/>
                </w:tcPr>
                <w:p w14:paraId="483F23A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154" w:type="dxa"/>
                  <w:vAlign w:val="center"/>
                </w:tcPr>
                <w:p w14:paraId="26C316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4E15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CBF1F2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431" w:type="dxa"/>
                  <w:vMerge w:val="restart"/>
                  <w:vAlign w:val="center"/>
                </w:tcPr>
                <w:p w14:paraId="4011A7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1" w:type="dxa"/>
                  <w:vAlign w:val="center"/>
                </w:tcPr>
                <w:p w14:paraId="0A8059C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154" w:type="dxa"/>
                  <w:vAlign w:val="center"/>
                </w:tcPr>
                <w:p w14:paraId="012C37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7168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0163C2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431" w:type="dxa"/>
                  <w:vMerge w:val="continue"/>
                  <w:vAlign w:val="center"/>
                </w:tcPr>
                <w:p w14:paraId="577FBFB1">
                  <w:pPr>
                    <w:rPr>
                      <w:highlight w:val="none"/>
                    </w:rPr>
                  </w:pPr>
                </w:p>
              </w:tc>
              <w:tc>
                <w:tcPr>
                  <w:tcW w:w="1361" w:type="dxa"/>
                  <w:vAlign w:val="center"/>
                </w:tcPr>
                <w:p w14:paraId="73AB7DC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154" w:type="dxa"/>
                  <w:vAlign w:val="center"/>
                </w:tcPr>
                <w:p w14:paraId="1C6AD79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1745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50E212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431" w:type="dxa"/>
                  <w:vMerge w:val="continue"/>
                  <w:vAlign w:val="center"/>
                </w:tcPr>
                <w:p w14:paraId="7A24774D">
                  <w:pPr>
                    <w:rPr>
                      <w:highlight w:val="none"/>
                    </w:rPr>
                  </w:pPr>
                </w:p>
              </w:tc>
              <w:tc>
                <w:tcPr>
                  <w:tcW w:w="1361" w:type="dxa"/>
                  <w:vAlign w:val="center"/>
                </w:tcPr>
                <w:p w14:paraId="320809B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154" w:type="dxa"/>
                  <w:vAlign w:val="center"/>
                </w:tcPr>
                <w:p w14:paraId="5DA3DD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70F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01C09B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431" w:type="dxa"/>
                  <w:vMerge w:val="restart"/>
                  <w:vAlign w:val="center"/>
                </w:tcPr>
                <w:p w14:paraId="10A5686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1" w:type="dxa"/>
                  <w:vAlign w:val="center"/>
                </w:tcPr>
                <w:p w14:paraId="4C13EF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154" w:type="dxa"/>
                  <w:vAlign w:val="center"/>
                </w:tcPr>
                <w:p w14:paraId="4802BF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5F9C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0E2438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431" w:type="dxa"/>
                  <w:vMerge w:val="continue"/>
                  <w:vAlign w:val="center"/>
                </w:tcPr>
                <w:p w14:paraId="224C8CBF">
                  <w:pPr>
                    <w:rPr>
                      <w:highlight w:val="none"/>
                    </w:rPr>
                  </w:pPr>
                </w:p>
              </w:tc>
              <w:tc>
                <w:tcPr>
                  <w:tcW w:w="1361" w:type="dxa"/>
                  <w:vAlign w:val="center"/>
                </w:tcPr>
                <w:p w14:paraId="08DC2C5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154" w:type="dxa"/>
                  <w:vAlign w:val="center"/>
                </w:tcPr>
                <w:p w14:paraId="17A85FE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6ECA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32E82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431" w:type="dxa"/>
                  <w:vMerge w:val="continue"/>
                  <w:vAlign w:val="center"/>
                </w:tcPr>
                <w:p w14:paraId="4AB963E1">
                  <w:pPr>
                    <w:rPr>
                      <w:highlight w:val="none"/>
                    </w:rPr>
                  </w:pPr>
                </w:p>
              </w:tc>
              <w:tc>
                <w:tcPr>
                  <w:tcW w:w="1361" w:type="dxa"/>
                  <w:vAlign w:val="center"/>
                </w:tcPr>
                <w:p w14:paraId="730970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154" w:type="dxa"/>
                  <w:vAlign w:val="center"/>
                </w:tcPr>
                <w:p w14:paraId="71D41BC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1B8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47216C1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431" w:type="dxa"/>
                  <w:vAlign w:val="center"/>
                </w:tcPr>
                <w:p w14:paraId="73C4750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1" w:type="dxa"/>
                  <w:vAlign w:val="center"/>
                </w:tcPr>
                <w:p w14:paraId="0768A44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154" w:type="dxa"/>
                  <w:vAlign w:val="center"/>
                </w:tcPr>
                <w:p w14:paraId="04D86F9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498F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692" w:type="dxa"/>
                  <w:vAlign w:val="center"/>
                </w:tcPr>
                <w:p w14:paraId="00768B9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431" w:type="dxa"/>
                  <w:vMerge w:val="restart"/>
                  <w:vAlign w:val="center"/>
                </w:tcPr>
                <w:p w14:paraId="279FFD7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1" w:type="dxa"/>
                  <w:vAlign w:val="center"/>
                </w:tcPr>
                <w:p w14:paraId="3675339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154" w:type="dxa"/>
                  <w:vAlign w:val="center"/>
                </w:tcPr>
                <w:p w14:paraId="1D7D25FE">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310A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FAA355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431" w:type="dxa"/>
                  <w:vMerge w:val="continue"/>
                  <w:vAlign w:val="center"/>
                </w:tcPr>
                <w:p w14:paraId="5C880D66">
                  <w:pPr>
                    <w:rPr>
                      <w:highlight w:val="none"/>
                    </w:rPr>
                  </w:pPr>
                </w:p>
              </w:tc>
              <w:tc>
                <w:tcPr>
                  <w:tcW w:w="1361" w:type="dxa"/>
                  <w:vAlign w:val="center"/>
                </w:tcPr>
                <w:p w14:paraId="54B5C2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154" w:type="dxa"/>
                  <w:vAlign w:val="center"/>
                </w:tcPr>
                <w:p w14:paraId="1C25CB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2A17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92" w:type="dxa"/>
                  <w:vAlign w:val="center"/>
                </w:tcPr>
                <w:p w14:paraId="510157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431" w:type="dxa"/>
                  <w:vAlign w:val="center"/>
                </w:tcPr>
                <w:p w14:paraId="7214A6B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1" w:type="dxa"/>
                  <w:vAlign w:val="center"/>
                </w:tcPr>
                <w:p w14:paraId="1866B6A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154" w:type="dxa"/>
                  <w:vAlign w:val="center"/>
                </w:tcPr>
                <w:p w14:paraId="090249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34DB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71BA5F4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431" w:type="dxa"/>
                  <w:vMerge w:val="restart"/>
                  <w:vAlign w:val="center"/>
                </w:tcPr>
                <w:p w14:paraId="3CD02CB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1" w:type="dxa"/>
                  <w:vAlign w:val="center"/>
                </w:tcPr>
                <w:p w14:paraId="0D05B5E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154" w:type="dxa"/>
                  <w:vAlign w:val="center"/>
                </w:tcPr>
                <w:p w14:paraId="7BA8A0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75F9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3755398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431" w:type="dxa"/>
                  <w:vMerge w:val="continue"/>
                  <w:vAlign w:val="center"/>
                </w:tcPr>
                <w:p w14:paraId="32CCC446">
                  <w:pPr>
                    <w:rPr>
                      <w:highlight w:val="none"/>
                    </w:rPr>
                  </w:pPr>
                </w:p>
              </w:tc>
              <w:tc>
                <w:tcPr>
                  <w:tcW w:w="1361" w:type="dxa"/>
                  <w:vAlign w:val="center"/>
                </w:tcPr>
                <w:p w14:paraId="5C97F9D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154" w:type="dxa"/>
                  <w:vAlign w:val="center"/>
                </w:tcPr>
                <w:p w14:paraId="756F84C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04A8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4419D5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431" w:type="dxa"/>
                  <w:vMerge w:val="continue"/>
                  <w:vAlign w:val="center"/>
                </w:tcPr>
                <w:p w14:paraId="00F0277E">
                  <w:pPr>
                    <w:rPr>
                      <w:highlight w:val="none"/>
                    </w:rPr>
                  </w:pPr>
                </w:p>
              </w:tc>
              <w:tc>
                <w:tcPr>
                  <w:tcW w:w="1361" w:type="dxa"/>
                  <w:vAlign w:val="center"/>
                </w:tcPr>
                <w:p w14:paraId="4F8F7FD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154" w:type="dxa"/>
                  <w:vAlign w:val="center"/>
                </w:tcPr>
                <w:p w14:paraId="6D56295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733C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6FFCDC4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431" w:type="dxa"/>
                  <w:vMerge w:val="restart"/>
                  <w:vAlign w:val="center"/>
                </w:tcPr>
                <w:p w14:paraId="784843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1" w:type="dxa"/>
                  <w:vAlign w:val="center"/>
                </w:tcPr>
                <w:p w14:paraId="54E885F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154" w:type="dxa"/>
                  <w:vAlign w:val="center"/>
                </w:tcPr>
                <w:p w14:paraId="5CD458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7A6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6DB60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431" w:type="dxa"/>
                  <w:vMerge w:val="continue"/>
                  <w:vAlign w:val="center"/>
                </w:tcPr>
                <w:p w14:paraId="6079CE41">
                  <w:pPr>
                    <w:rPr>
                      <w:highlight w:val="none"/>
                    </w:rPr>
                  </w:pPr>
                </w:p>
              </w:tc>
              <w:tc>
                <w:tcPr>
                  <w:tcW w:w="1361" w:type="dxa"/>
                  <w:vAlign w:val="center"/>
                </w:tcPr>
                <w:p w14:paraId="3CD0F59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154" w:type="dxa"/>
                  <w:vAlign w:val="center"/>
                </w:tcPr>
                <w:p w14:paraId="04C9BF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61ED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92" w:type="dxa"/>
                  <w:vAlign w:val="center"/>
                </w:tcPr>
                <w:p w14:paraId="0EBC566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431" w:type="dxa"/>
                  <w:vMerge w:val="restart"/>
                  <w:vAlign w:val="center"/>
                </w:tcPr>
                <w:p w14:paraId="28D9444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1" w:type="dxa"/>
                  <w:vAlign w:val="center"/>
                </w:tcPr>
                <w:p w14:paraId="7239175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154" w:type="dxa"/>
                  <w:vAlign w:val="center"/>
                </w:tcPr>
                <w:p w14:paraId="4533755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3720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2" w:type="dxa"/>
                  <w:vAlign w:val="center"/>
                </w:tcPr>
                <w:p w14:paraId="5ADB3A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431" w:type="dxa"/>
                  <w:vMerge w:val="continue"/>
                  <w:vAlign w:val="center"/>
                </w:tcPr>
                <w:p w14:paraId="226138A4">
                  <w:pPr>
                    <w:rPr>
                      <w:highlight w:val="none"/>
                    </w:rPr>
                  </w:pPr>
                </w:p>
              </w:tc>
              <w:tc>
                <w:tcPr>
                  <w:tcW w:w="1361" w:type="dxa"/>
                  <w:vAlign w:val="center"/>
                </w:tcPr>
                <w:p w14:paraId="5AFFE2D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154" w:type="dxa"/>
                  <w:vAlign w:val="center"/>
                </w:tcPr>
                <w:p w14:paraId="751F2A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1763A921">
            <w:pPr>
              <w:rPr>
                <w:rFonts w:ascii="宋体" w:hAnsi="宋体" w:eastAsia="仿宋" w:cs="宋体"/>
                <w:b/>
                <w:bCs/>
                <w:kern w:val="0"/>
                <w:sz w:val="22"/>
                <w:highlight w:val="none"/>
              </w:rPr>
            </w:pPr>
            <w:r>
              <w:rPr>
                <w:rFonts w:hint="eastAsia" w:ascii="宋体" w:hAnsi="宋体" w:eastAsia="仿宋" w:cs="宋体"/>
                <w:b/>
                <w:bCs/>
                <w:kern w:val="0"/>
                <w:sz w:val="22"/>
                <w:highlight w:val="none"/>
              </w:rPr>
              <w:t>附7：“数据处理一体机 计算节点”硬件部分详细参数配置要求：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29"/>
              <w:gridCol w:w="1360"/>
              <w:gridCol w:w="4148"/>
            </w:tblGrid>
            <w:tr w14:paraId="1454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0A2EF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序号</w:t>
                  </w:r>
                </w:p>
              </w:tc>
              <w:tc>
                <w:tcPr>
                  <w:tcW w:w="1431" w:type="dxa"/>
                  <w:vAlign w:val="center"/>
                </w:tcPr>
                <w:p w14:paraId="5E6E67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361" w:type="dxa"/>
                  <w:vAlign w:val="center"/>
                </w:tcPr>
                <w:p w14:paraId="5491DE8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154" w:type="dxa"/>
                  <w:vAlign w:val="center"/>
                </w:tcPr>
                <w:p w14:paraId="53C553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详细参数配置要求</w:t>
                  </w:r>
                </w:p>
              </w:tc>
            </w:tr>
            <w:tr w14:paraId="763E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CC4E3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431" w:type="dxa"/>
                  <w:vAlign w:val="center"/>
                </w:tcPr>
                <w:p w14:paraId="54EB29C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1" w:type="dxa"/>
                  <w:vAlign w:val="center"/>
                </w:tcPr>
                <w:p w14:paraId="595E115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154" w:type="dxa"/>
                  <w:vAlign w:val="center"/>
                </w:tcPr>
                <w:p w14:paraId="7890A4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（2）单颗CPU物理核心数≥32核、主频≥2.2GHz、末级缓存容量≥64MB、线程数≥64、热设计功耗≥135W、支持内存的最高速率≥3200MHz、通道数≥8、位宽≥64位；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4F5B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1533E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431" w:type="dxa"/>
                  <w:vMerge w:val="restart"/>
                  <w:vAlign w:val="center"/>
                </w:tcPr>
                <w:p w14:paraId="7F96538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1" w:type="dxa"/>
                  <w:vAlign w:val="center"/>
                </w:tcPr>
                <w:p w14:paraId="67BB480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154" w:type="dxa"/>
                  <w:vAlign w:val="center"/>
                </w:tcPr>
                <w:p w14:paraId="6E31C5C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1E68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45E4FE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431" w:type="dxa"/>
                  <w:vMerge w:val="continue"/>
                  <w:vAlign w:val="center"/>
                </w:tcPr>
                <w:p w14:paraId="2D2763EB">
                  <w:pPr>
                    <w:rPr>
                      <w:highlight w:val="none"/>
                    </w:rPr>
                  </w:pPr>
                </w:p>
              </w:tc>
              <w:tc>
                <w:tcPr>
                  <w:tcW w:w="1361" w:type="dxa"/>
                  <w:vAlign w:val="center"/>
                </w:tcPr>
                <w:p w14:paraId="60CCB28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154" w:type="dxa"/>
                  <w:vAlign w:val="center"/>
                </w:tcPr>
                <w:p w14:paraId="30CD763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69F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CEEAF1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431" w:type="dxa"/>
                  <w:vMerge w:val="continue"/>
                  <w:vAlign w:val="center"/>
                </w:tcPr>
                <w:p w14:paraId="42B283B2">
                  <w:pPr>
                    <w:rPr>
                      <w:highlight w:val="none"/>
                    </w:rPr>
                  </w:pPr>
                </w:p>
              </w:tc>
              <w:tc>
                <w:tcPr>
                  <w:tcW w:w="1361" w:type="dxa"/>
                  <w:vAlign w:val="center"/>
                </w:tcPr>
                <w:p w14:paraId="124A6DF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154" w:type="dxa"/>
                  <w:vAlign w:val="center"/>
                </w:tcPr>
                <w:p w14:paraId="694E80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（2）板载支持≥12个SATA/SAC盘；</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528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88FE2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431" w:type="dxa"/>
                  <w:vMerge w:val="continue"/>
                  <w:vAlign w:val="center"/>
                </w:tcPr>
                <w:p w14:paraId="7050A9DB">
                  <w:pPr>
                    <w:rPr>
                      <w:highlight w:val="none"/>
                    </w:rPr>
                  </w:pPr>
                </w:p>
              </w:tc>
              <w:tc>
                <w:tcPr>
                  <w:tcW w:w="1361" w:type="dxa"/>
                  <w:vAlign w:val="center"/>
                </w:tcPr>
                <w:p w14:paraId="17FC897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154" w:type="dxa"/>
                  <w:vAlign w:val="center"/>
                </w:tcPr>
                <w:p w14:paraId="30AED3C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1869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C399C5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431" w:type="dxa"/>
                  <w:vMerge w:val="continue"/>
                  <w:vAlign w:val="center"/>
                </w:tcPr>
                <w:p w14:paraId="3F384029">
                  <w:pPr>
                    <w:rPr>
                      <w:highlight w:val="none"/>
                    </w:rPr>
                  </w:pPr>
                </w:p>
              </w:tc>
              <w:tc>
                <w:tcPr>
                  <w:tcW w:w="1361" w:type="dxa"/>
                  <w:vAlign w:val="center"/>
                </w:tcPr>
                <w:p w14:paraId="3C6CAB3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154" w:type="dxa"/>
                  <w:vAlign w:val="center"/>
                </w:tcPr>
                <w:p w14:paraId="287E627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6647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C3293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431" w:type="dxa"/>
                  <w:vMerge w:val="restart"/>
                  <w:vAlign w:val="center"/>
                </w:tcPr>
                <w:p w14:paraId="5CC4DDF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1" w:type="dxa"/>
                  <w:vAlign w:val="center"/>
                </w:tcPr>
                <w:p w14:paraId="1DD0D44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154" w:type="dxa"/>
                  <w:vAlign w:val="center"/>
                </w:tcPr>
                <w:p w14:paraId="3BD838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内存数量≥16</w:t>
                  </w:r>
                </w:p>
              </w:tc>
            </w:tr>
            <w:tr w14:paraId="0097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C43E9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431" w:type="dxa"/>
                  <w:vMerge w:val="continue"/>
                  <w:vAlign w:val="center"/>
                </w:tcPr>
                <w:p w14:paraId="207B5E49">
                  <w:pPr>
                    <w:rPr>
                      <w:highlight w:val="none"/>
                    </w:rPr>
                  </w:pPr>
                </w:p>
              </w:tc>
              <w:tc>
                <w:tcPr>
                  <w:tcW w:w="1361" w:type="dxa"/>
                  <w:vAlign w:val="center"/>
                </w:tcPr>
                <w:p w14:paraId="71FE15C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154" w:type="dxa"/>
                  <w:vAlign w:val="center"/>
                </w:tcPr>
                <w:p w14:paraId="27C8786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155F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CE5373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431" w:type="dxa"/>
                  <w:vMerge w:val="continue"/>
                  <w:vAlign w:val="center"/>
                </w:tcPr>
                <w:p w14:paraId="1CB270B8">
                  <w:pPr>
                    <w:rPr>
                      <w:highlight w:val="none"/>
                    </w:rPr>
                  </w:pPr>
                </w:p>
              </w:tc>
              <w:tc>
                <w:tcPr>
                  <w:tcW w:w="1361" w:type="dxa"/>
                  <w:vAlign w:val="center"/>
                </w:tcPr>
                <w:p w14:paraId="398D64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154" w:type="dxa"/>
                  <w:vAlign w:val="center"/>
                </w:tcPr>
                <w:p w14:paraId="18410E3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198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0C93F1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431" w:type="dxa"/>
                  <w:vMerge w:val="restart"/>
                  <w:vAlign w:val="center"/>
                </w:tcPr>
                <w:p w14:paraId="26FAE08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1" w:type="dxa"/>
                  <w:vAlign w:val="center"/>
                </w:tcPr>
                <w:p w14:paraId="53143C7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154" w:type="dxa"/>
                  <w:vAlign w:val="center"/>
                </w:tcPr>
                <w:p w14:paraId="43411ED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w:t>
                  </w:r>
                  <w:r>
                    <w:rPr>
                      <w:rFonts w:ascii="宋体" w:hAnsi="宋体" w:eastAsia="仿宋" w:cs="宋体"/>
                      <w:kern w:val="0"/>
                      <w:sz w:val="22"/>
                      <w:highlight w:val="none"/>
                    </w:rPr>
                    <w:t>*</w:t>
                  </w:r>
                  <w:r>
                    <w:rPr>
                      <w:rFonts w:hint="eastAsia" w:ascii="宋体" w:hAnsi="宋体" w:eastAsia="仿宋" w:cs="宋体"/>
                      <w:kern w:val="0"/>
                      <w:sz w:val="22"/>
                      <w:highlight w:val="none"/>
                    </w:rPr>
                    <w:t>1.92TB U.2 NVMe 企业级SSD</w:t>
                  </w:r>
                </w:p>
              </w:tc>
            </w:tr>
            <w:tr w14:paraId="5B5B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038D7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431" w:type="dxa"/>
                  <w:vMerge w:val="continue"/>
                  <w:vAlign w:val="center"/>
                </w:tcPr>
                <w:p w14:paraId="65490F9B">
                  <w:pPr>
                    <w:rPr>
                      <w:highlight w:val="none"/>
                    </w:rPr>
                  </w:pPr>
                </w:p>
              </w:tc>
              <w:tc>
                <w:tcPr>
                  <w:tcW w:w="1361" w:type="dxa"/>
                  <w:vAlign w:val="center"/>
                </w:tcPr>
                <w:p w14:paraId="538A51F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154" w:type="dxa"/>
                  <w:vAlign w:val="center"/>
                </w:tcPr>
                <w:p w14:paraId="3855C82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实配≥2块U.2 NVMe 企业级SSD</w:t>
                  </w:r>
                </w:p>
              </w:tc>
            </w:tr>
            <w:tr w14:paraId="343A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B2733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431" w:type="dxa"/>
                  <w:vMerge w:val="continue"/>
                  <w:vAlign w:val="center"/>
                </w:tcPr>
                <w:p w14:paraId="15242FB4">
                  <w:pPr>
                    <w:rPr>
                      <w:highlight w:val="none"/>
                    </w:rPr>
                  </w:pPr>
                </w:p>
              </w:tc>
              <w:tc>
                <w:tcPr>
                  <w:tcW w:w="1361" w:type="dxa"/>
                  <w:vAlign w:val="center"/>
                </w:tcPr>
                <w:p w14:paraId="4E125BC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154" w:type="dxa"/>
                  <w:vAlign w:val="center"/>
                </w:tcPr>
                <w:p w14:paraId="0ADB54C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51AC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CDAD5C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431" w:type="dxa"/>
                  <w:vAlign w:val="center"/>
                </w:tcPr>
                <w:p w14:paraId="0FBB6B4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1" w:type="dxa"/>
                  <w:vAlign w:val="center"/>
                </w:tcPr>
                <w:p w14:paraId="2497871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154" w:type="dxa"/>
                  <w:vAlign w:val="center"/>
                </w:tcPr>
                <w:p w14:paraId="417811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≥2*100GbE 双端口QSFP28光模块，PCIe3.0 x16网卡(支持 RoCE v2)；</w:t>
                  </w:r>
                </w:p>
              </w:tc>
            </w:tr>
            <w:tr w14:paraId="4A77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E09CA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431" w:type="dxa"/>
                  <w:vMerge w:val="restart"/>
                  <w:vAlign w:val="center"/>
                </w:tcPr>
                <w:p w14:paraId="561491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1" w:type="dxa"/>
                  <w:vAlign w:val="center"/>
                </w:tcPr>
                <w:p w14:paraId="59A93FB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154" w:type="dxa"/>
                  <w:vAlign w:val="center"/>
                </w:tcPr>
                <w:p w14:paraId="1294F1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03B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8D6F3F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431" w:type="dxa"/>
                  <w:vMerge w:val="continue"/>
                  <w:vAlign w:val="center"/>
                </w:tcPr>
                <w:p w14:paraId="3C675439">
                  <w:pPr>
                    <w:rPr>
                      <w:highlight w:val="none"/>
                    </w:rPr>
                  </w:pPr>
                </w:p>
              </w:tc>
              <w:tc>
                <w:tcPr>
                  <w:tcW w:w="1361" w:type="dxa"/>
                  <w:vAlign w:val="center"/>
                </w:tcPr>
                <w:p w14:paraId="2FA3505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154" w:type="dxa"/>
                  <w:vAlign w:val="center"/>
                </w:tcPr>
                <w:p w14:paraId="582F31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7DB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ACA926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431" w:type="dxa"/>
                  <w:vMerge w:val="restart"/>
                  <w:vAlign w:val="center"/>
                </w:tcPr>
                <w:p w14:paraId="3EBEFAC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1" w:type="dxa"/>
                  <w:vAlign w:val="center"/>
                </w:tcPr>
                <w:p w14:paraId="401EA79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154" w:type="dxa"/>
                  <w:vAlign w:val="center"/>
                </w:tcPr>
                <w:p w14:paraId="022C8F3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212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BF758B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431" w:type="dxa"/>
                  <w:vMerge w:val="continue"/>
                  <w:vAlign w:val="center"/>
                </w:tcPr>
                <w:p w14:paraId="44DF468C">
                  <w:pPr>
                    <w:rPr>
                      <w:highlight w:val="none"/>
                    </w:rPr>
                  </w:pPr>
                </w:p>
              </w:tc>
              <w:tc>
                <w:tcPr>
                  <w:tcW w:w="1361" w:type="dxa"/>
                  <w:vAlign w:val="center"/>
                </w:tcPr>
                <w:p w14:paraId="7076C9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154" w:type="dxa"/>
                  <w:vAlign w:val="center"/>
                </w:tcPr>
                <w:p w14:paraId="08C7A2C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≥1300W，电源模块功率应有一定冗余， 满足处理器满载时的需求</w:t>
                  </w:r>
                </w:p>
              </w:tc>
            </w:tr>
            <w:tr w14:paraId="0841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D51F4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431" w:type="dxa"/>
                  <w:vMerge w:val="restart"/>
                  <w:vAlign w:val="center"/>
                </w:tcPr>
                <w:p w14:paraId="743D33C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1" w:type="dxa"/>
                  <w:vAlign w:val="center"/>
                </w:tcPr>
                <w:p w14:paraId="4C0C1C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154" w:type="dxa"/>
                  <w:vAlign w:val="center"/>
                </w:tcPr>
                <w:p w14:paraId="5EBB60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6EFD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B5A64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431" w:type="dxa"/>
                  <w:vMerge w:val="continue"/>
                  <w:vAlign w:val="center"/>
                </w:tcPr>
                <w:p w14:paraId="7473C326">
                  <w:pPr>
                    <w:rPr>
                      <w:highlight w:val="none"/>
                    </w:rPr>
                  </w:pPr>
                </w:p>
              </w:tc>
              <w:tc>
                <w:tcPr>
                  <w:tcW w:w="1361" w:type="dxa"/>
                  <w:vAlign w:val="center"/>
                </w:tcPr>
                <w:p w14:paraId="2B70702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154" w:type="dxa"/>
                  <w:vAlign w:val="center"/>
                </w:tcPr>
                <w:p w14:paraId="6E66C3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2AB8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43856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431" w:type="dxa"/>
                  <w:vMerge w:val="continue"/>
                  <w:vAlign w:val="center"/>
                </w:tcPr>
                <w:p w14:paraId="7520DEE3">
                  <w:pPr>
                    <w:rPr>
                      <w:highlight w:val="none"/>
                    </w:rPr>
                  </w:pPr>
                </w:p>
              </w:tc>
              <w:tc>
                <w:tcPr>
                  <w:tcW w:w="1361" w:type="dxa"/>
                  <w:vAlign w:val="center"/>
                </w:tcPr>
                <w:p w14:paraId="2B31926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154" w:type="dxa"/>
                  <w:vAlign w:val="center"/>
                </w:tcPr>
                <w:p w14:paraId="6BA09FE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11E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33A13D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431" w:type="dxa"/>
                  <w:vMerge w:val="continue"/>
                  <w:vAlign w:val="center"/>
                </w:tcPr>
                <w:p w14:paraId="6C7F0844">
                  <w:pPr>
                    <w:rPr>
                      <w:highlight w:val="none"/>
                    </w:rPr>
                  </w:pPr>
                </w:p>
              </w:tc>
              <w:tc>
                <w:tcPr>
                  <w:tcW w:w="1361" w:type="dxa"/>
                  <w:vAlign w:val="center"/>
                </w:tcPr>
                <w:p w14:paraId="31A3599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154" w:type="dxa"/>
                  <w:vAlign w:val="center"/>
                </w:tcPr>
                <w:p w14:paraId="3C327DC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005E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DC6A1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431" w:type="dxa"/>
                  <w:vMerge w:val="continue"/>
                  <w:vAlign w:val="center"/>
                </w:tcPr>
                <w:p w14:paraId="6CDF3A14">
                  <w:pPr>
                    <w:rPr>
                      <w:highlight w:val="none"/>
                    </w:rPr>
                  </w:pPr>
                </w:p>
              </w:tc>
              <w:tc>
                <w:tcPr>
                  <w:tcW w:w="1361" w:type="dxa"/>
                  <w:vAlign w:val="center"/>
                </w:tcPr>
                <w:p w14:paraId="06BDF43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154" w:type="dxa"/>
                  <w:vAlign w:val="center"/>
                </w:tcPr>
                <w:p w14:paraId="0D43169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0F8E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90E8A0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431" w:type="dxa"/>
                  <w:vAlign w:val="center"/>
                </w:tcPr>
                <w:p w14:paraId="58973C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机柜规格</w:t>
                  </w:r>
                </w:p>
              </w:tc>
              <w:tc>
                <w:tcPr>
                  <w:tcW w:w="1361" w:type="dxa"/>
                  <w:vAlign w:val="center"/>
                </w:tcPr>
                <w:p w14:paraId="32D917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154" w:type="dxa"/>
                  <w:vAlign w:val="center"/>
                </w:tcPr>
                <w:p w14:paraId="1F5877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3859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870551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431" w:type="dxa"/>
                  <w:vAlign w:val="center"/>
                </w:tcPr>
                <w:p w14:paraId="1C9061B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1" w:type="dxa"/>
                  <w:vAlign w:val="center"/>
                </w:tcPr>
                <w:p w14:paraId="22913D9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154" w:type="dxa"/>
                  <w:vAlign w:val="center"/>
                </w:tcPr>
                <w:p w14:paraId="766B5A2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6D5C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F6A62A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431" w:type="dxa"/>
                  <w:vAlign w:val="center"/>
                </w:tcPr>
                <w:p w14:paraId="147A525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1" w:type="dxa"/>
                  <w:vAlign w:val="center"/>
                </w:tcPr>
                <w:p w14:paraId="0D04070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154" w:type="dxa"/>
                  <w:vAlign w:val="center"/>
                </w:tcPr>
                <w:p w14:paraId="1AA8F90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099D7D1C">
              <w:tblPrEx>
                <w:tblCellMar>
                  <w:top w:w="0" w:type="dxa"/>
                  <w:left w:w="108" w:type="dxa"/>
                  <w:bottom w:w="0" w:type="dxa"/>
                  <w:right w:w="108" w:type="dxa"/>
                </w:tblCellMar>
              </w:tblPrEx>
              <w:trPr>
                <w:trHeight w:val="20" w:hRule="atLeast"/>
              </w:trPr>
              <w:tc>
                <w:tcPr>
                  <w:tcW w:w="692" w:type="dxa"/>
                  <w:vAlign w:val="center"/>
                </w:tcPr>
                <w:p w14:paraId="6546295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431" w:type="dxa"/>
                  <w:vMerge w:val="restart"/>
                  <w:vAlign w:val="center"/>
                </w:tcPr>
                <w:p w14:paraId="752919B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1" w:type="dxa"/>
                  <w:vAlign w:val="center"/>
                </w:tcPr>
                <w:p w14:paraId="3D80ABF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154" w:type="dxa"/>
                  <w:vAlign w:val="center"/>
                </w:tcPr>
                <w:p w14:paraId="0340F19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14F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9EA8B1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431" w:type="dxa"/>
                  <w:vMerge w:val="continue"/>
                  <w:vAlign w:val="center"/>
                </w:tcPr>
                <w:p w14:paraId="4A9D6428">
                  <w:pPr>
                    <w:rPr>
                      <w:highlight w:val="none"/>
                    </w:rPr>
                  </w:pPr>
                </w:p>
              </w:tc>
              <w:tc>
                <w:tcPr>
                  <w:tcW w:w="1361" w:type="dxa"/>
                  <w:vAlign w:val="center"/>
                </w:tcPr>
                <w:p w14:paraId="298CECF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154" w:type="dxa"/>
                  <w:vAlign w:val="center"/>
                </w:tcPr>
                <w:p w14:paraId="676EC6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3A69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2E777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431" w:type="dxa"/>
                  <w:vMerge w:val="restart"/>
                  <w:vAlign w:val="center"/>
                </w:tcPr>
                <w:p w14:paraId="5ECBDC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1" w:type="dxa"/>
                  <w:vAlign w:val="center"/>
                </w:tcPr>
                <w:p w14:paraId="6DD68B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154" w:type="dxa"/>
                  <w:vAlign w:val="center"/>
                </w:tcPr>
                <w:p w14:paraId="1B72994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7285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160CBC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431" w:type="dxa"/>
                  <w:vMerge w:val="continue"/>
                  <w:vAlign w:val="center"/>
                </w:tcPr>
                <w:p w14:paraId="37043721">
                  <w:pPr>
                    <w:rPr>
                      <w:highlight w:val="none"/>
                    </w:rPr>
                  </w:pPr>
                </w:p>
              </w:tc>
              <w:tc>
                <w:tcPr>
                  <w:tcW w:w="1361" w:type="dxa"/>
                  <w:vAlign w:val="center"/>
                </w:tcPr>
                <w:p w14:paraId="6761D1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154" w:type="dxa"/>
                  <w:vAlign w:val="center"/>
                </w:tcPr>
                <w:p w14:paraId="4A21D10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6CE0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B9DB10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431" w:type="dxa"/>
                  <w:vAlign w:val="center"/>
                </w:tcPr>
                <w:p w14:paraId="49A2805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1" w:type="dxa"/>
                  <w:vAlign w:val="center"/>
                </w:tcPr>
                <w:p w14:paraId="4F4D94F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154" w:type="dxa"/>
                  <w:vAlign w:val="center"/>
                </w:tcPr>
                <w:p w14:paraId="0CF8469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291B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D53C7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431" w:type="dxa"/>
                  <w:vMerge w:val="restart"/>
                  <w:vAlign w:val="center"/>
                </w:tcPr>
                <w:p w14:paraId="5EA78B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1" w:type="dxa"/>
                  <w:vAlign w:val="center"/>
                </w:tcPr>
                <w:p w14:paraId="0036F7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154" w:type="dxa"/>
                  <w:vAlign w:val="center"/>
                </w:tcPr>
                <w:p w14:paraId="578F4D5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72C9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B06530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431" w:type="dxa"/>
                  <w:vMerge w:val="continue"/>
                  <w:vAlign w:val="center"/>
                </w:tcPr>
                <w:p w14:paraId="3B160CD4">
                  <w:pPr>
                    <w:rPr>
                      <w:highlight w:val="none"/>
                    </w:rPr>
                  </w:pPr>
                </w:p>
              </w:tc>
              <w:tc>
                <w:tcPr>
                  <w:tcW w:w="1361" w:type="dxa"/>
                  <w:vAlign w:val="center"/>
                </w:tcPr>
                <w:p w14:paraId="58E1949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154" w:type="dxa"/>
                  <w:vAlign w:val="center"/>
                </w:tcPr>
                <w:p w14:paraId="16D790D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6A1B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EAC5DF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431" w:type="dxa"/>
                  <w:vMerge w:val="continue"/>
                  <w:vAlign w:val="center"/>
                </w:tcPr>
                <w:p w14:paraId="3589A08C">
                  <w:pPr>
                    <w:rPr>
                      <w:highlight w:val="none"/>
                    </w:rPr>
                  </w:pPr>
                </w:p>
              </w:tc>
              <w:tc>
                <w:tcPr>
                  <w:tcW w:w="1361" w:type="dxa"/>
                  <w:vAlign w:val="center"/>
                </w:tcPr>
                <w:p w14:paraId="018514B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154" w:type="dxa"/>
                  <w:vAlign w:val="center"/>
                </w:tcPr>
                <w:p w14:paraId="47B684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5441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E2761F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431" w:type="dxa"/>
                  <w:vMerge w:val="restart"/>
                  <w:vAlign w:val="center"/>
                </w:tcPr>
                <w:p w14:paraId="4EDFC29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1" w:type="dxa"/>
                  <w:vAlign w:val="center"/>
                </w:tcPr>
                <w:p w14:paraId="26D9416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154" w:type="dxa"/>
                  <w:vAlign w:val="center"/>
                </w:tcPr>
                <w:p w14:paraId="181445F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36D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A70FB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431" w:type="dxa"/>
                  <w:vMerge w:val="continue"/>
                  <w:vAlign w:val="center"/>
                </w:tcPr>
                <w:p w14:paraId="5A00E229">
                  <w:pPr>
                    <w:rPr>
                      <w:highlight w:val="none"/>
                    </w:rPr>
                  </w:pPr>
                </w:p>
              </w:tc>
              <w:tc>
                <w:tcPr>
                  <w:tcW w:w="1361" w:type="dxa"/>
                  <w:vAlign w:val="center"/>
                </w:tcPr>
                <w:p w14:paraId="76A5D19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154" w:type="dxa"/>
                  <w:vAlign w:val="center"/>
                </w:tcPr>
                <w:p w14:paraId="56D552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1DFC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DB3167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431" w:type="dxa"/>
                  <w:vAlign w:val="center"/>
                </w:tcPr>
                <w:p w14:paraId="3DC8794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1" w:type="dxa"/>
                  <w:vAlign w:val="center"/>
                </w:tcPr>
                <w:p w14:paraId="2E7E5DF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154" w:type="dxa"/>
                  <w:vAlign w:val="center"/>
                </w:tcPr>
                <w:p w14:paraId="53D7AD4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21C1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A2470E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431" w:type="dxa"/>
                  <w:vAlign w:val="center"/>
                </w:tcPr>
                <w:p w14:paraId="4DB6A69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1" w:type="dxa"/>
                  <w:vAlign w:val="center"/>
                </w:tcPr>
                <w:p w14:paraId="3E2D9FE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154" w:type="dxa"/>
                  <w:vAlign w:val="center"/>
                </w:tcPr>
                <w:p w14:paraId="349074A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23D2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F76AE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431" w:type="dxa"/>
                  <w:vAlign w:val="center"/>
                </w:tcPr>
                <w:p w14:paraId="3ADDCC5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1" w:type="dxa"/>
                  <w:vAlign w:val="center"/>
                </w:tcPr>
                <w:p w14:paraId="4190B82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154" w:type="dxa"/>
                  <w:vAlign w:val="center"/>
                </w:tcPr>
                <w:p w14:paraId="2B9C92F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2EFB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24FA32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431" w:type="dxa"/>
                  <w:vMerge w:val="restart"/>
                  <w:vAlign w:val="center"/>
                </w:tcPr>
                <w:p w14:paraId="1745F01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1" w:type="dxa"/>
                  <w:vAlign w:val="center"/>
                </w:tcPr>
                <w:p w14:paraId="740A08E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154" w:type="dxa"/>
                  <w:vAlign w:val="center"/>
                </w:tcPr>
                <w:p w14:paraId="39A5F51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6FC1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EB5408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431" w:type="dxa"/>
                  <w:vMerge w:val="continue"/>
                  <w:vAlign w:val="center"/>
                </w:tcPr>
                <w:p w14:paraId="6C739905">
                  <w:pPr>
                    <w:rPr>
                      <w:highlight w:val="none"/>
                    </w:rPr>
                  </w:pPr>
                </w:p>
              </w:tc>
              <w:tc>
                <w:tcPr>
                  <w:tcW w:w="1361" w:type="dxa"/>
                  <w:vAlign w:val="center"/>
                </w:tcPr>
                <w:p w14:paraId="08A7DB0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154" w:type="dxa"/>
                  <w:vAlign w:val="center"/>
                </w:tcPr>
                <w:p w14:paraId="2959F67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5DC1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992B6E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431" w:type="dxa"/>
                  <w:vMerge w:val="continue"/>
                  <w:vAlign w:val="center"/>
                </w:tcPr>
                <w:p w14:paraId="0A5904A7">
                  <w:pPr>
                    <w:rPr>
                      <w:highlight w:val="none"/>
                    </w:rPr>
                  </w:pPr>
                </w:p>
              </w:tc>
              <w:tc>
                <w:tcPr>
                  <w:tcW w:w="1361" w:type="dxa"/>
                  <w:vAlign w:val="center"/>
                </w:tcPr>
                <w:p w14:paraId="340A018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154" w:type="dxa"/>
                  <w:vAlign w:val="center"/>
                </w:tcPr>
                <w:p w14:paraId="0379148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0921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6A8FF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431" w:type="dxa"/>
                  <w:vMerge w:val="continue"/>
                  <w:vAlign w:val="center"/>
                </w:tcPr>
                <w:p w14:paraId="4B093BB1">
                  <w:pPr>
                    <w:rPr>
                      <w:highlight w:val="none"/>
                    </w:rPr>
                  </w:pPr>
                </w:p>
              </w:tc>
              <w:tc>
                <w:tcPr>
                  <w:tcW w:w="1361" w:type="dxa"/>
                  <w:vAlign w:val="center"/>
                </w:tcPr>
                <w:p w14:paraId="6D26BC7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154" w:type="dxa"/>
                  <w:vAlign w:val="center"/>
                </w:tcPr>
                <w:p w14:paraId="42E6A0E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3356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0805D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431" w:type="dxa"/>
                  <w:vMerge w:val="continue"/>
                  <w:vAlign w:val="center"/>
                </w:tcPr>
                <w:p w14:paraId="53CD7A81">
                  <w:pPr>
                    <w:rPr>
                      <w:highlight w:val="none"/>
                    </w:rPr>
                  </w:pPr>
                </w:p>
              </w:tc>
              <w:tc>
                <w:tcPr>
                  <w:tcW w:w="1361" w:type="dxa"/>
                  <w:vAlign w:val="center"/>
                </w:tcPr>
                <w:p w14:paraId="529B38C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154" w:type="dxa"/>
                  <w:vAlign w:val="center"/>
                </w:tcPr>
                <w:p w14:paraId="592D955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793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49020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431" w:type="dxa"/>
                  <w:vAlign w:val="center"/>
                </w:tcPr>
                <w:p w14:paraId="573CA38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1" w:type="dxa"/>
                  <w:vAlign w:val="center"/>
                </w:tcPr>
                <w:p w14:paraId="69DCDD8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154" w:type="dxa"/>
                  <w:vAlign w:val="center"/>
                </w:tcPr>
                <w:p w14:paraId="41E3B4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仿宋" w:cs="宋体"/>
                      <w:kern w:val="0"/>
                      <w:sz w:val="22"/>
                      <w:highlight w:val="none"/>
                    </w:rPr>
                    <w:br w:type="textWrapping"/>
                  </w:r>
                </w:p>
              </w:tc>
            </w:tr>
            <w:tr w14:paraId="4238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9E466E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431" w:type="dxa"/>
                  <w:vAlign w:val="center"/>
                </w:tcPr>
                <w:p w14:paraId="3DD45FC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1" w:type="dxa"/>
                  <w:vAlign w:val="center"/>
                </w:tcPr>
                <w:p w14:paraId="10861ED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154" w:type="dxa"/>
                  <w:vAlign w:val="center"/>
                </w:tcPr>
                <w:p w14:paraId="00B5D59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0112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88E06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431" w:type="dxa"/>
                  <w:vAlign w:val="center"/>
                </w:tcPr>
                <w:p w14:paraId="4B03751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求</w:t>
                  </w:r>
                </w:p>
              </w:tc>
              <w:tc>
                <w:tcPr>
                  <w:tcW w:w="1361" w:type="dxa"/>
                  <w:vAlign w:val="center"/>
                </w:tcPr>
                <w:p w14:paraId="433AAE8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154" w:type="dxa"/>
                  <w:vAlign w:val="center"/>
                </w:tcPr>
                <w:p w14:paraId="77409FC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64B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F7FC08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431" w:type="dxa"/>
                  <w:vMerge w:val="restart"/>
                  <w:vAlign w:val="center"/>
                </w:tcPr>
                <w:p w14:paraId="6C7F11E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1" w:type="dxa"/>
                  <w:vAlign w:val="center"/>
                </w:tcPr>
                <w:p w14:paraId="70E0BD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154" w:type="dxa"/>
                  <w:vAlign w:val="center"/>
                </w:tcPr>
                <w:p w14:paraId="6B6A1BF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≥2.2GHz</w:t>
                  </w:r>
                </w:p>
              </w:tc>
            </w:tr>
            <w:tr w14:paraId="3B46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7EF2A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431" w:type="dxa"/>
                  <w:vMerge w:val="continue"/>
                  <w:vAlign w:val="center"/>
                </w:tcPr>
                <w:p w14:paraId="5CD03DC3">
                  <w:pPr>
                    <w:rPr>
                      <w:highlight w:val="none"/>
                    </w:rPr>
                  </w:pPr>
                </w:p>
              </w:tc>
              <w:tc>
                <w:tcPr>
                  <w:tcW w:w="1361" w:type="dxa"/>
                  <w:vAlign w:val="center"/>
                </w:tcPr>
                <w:p w14:paraId="7FF61D2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154" w:type="dxa"/>
                  <w:vAlign w:val="center"/>
                </w:tcPr>
                <w:p w14:paraId="6110BB7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r>
            <w:tr w14:paraId="319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93F1E4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431" w:type="dxa"/>
                  <w:vMerge w:val="continue"/>
                  <w:vAlign w:val="center"/>
                </w:tcPr>
                <w:p w14:paraId="0A3A411A">
                  <w:pPr>
                    <w:rPr>
                      <w:highlight w:val="none"/>
                    </w:rPr>
                  </w:pPr>
                </w:p>
              </w:tc>
              <w:tc>
                <w:tcPr>
                  <w:tcW w:w="1361" w:type="dxa"/>
                  <w:vAlign w:val="center"/>
                </w:tcPr>
                <w:p w14:paraId="474498F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154" w:type="dxa"/>
                  <w:vAlign w:val="center"/>
                </w:tcPr>
                <w:p w14:paraId="0041574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≥64MB</w:t>
                  </w:r>
                </w:p>
              </w:tc>
            </w:tr>
            <w:tr w14:paraId="0542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6EA4F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431" w:type="dxa"/>
                  <w:vAlign w:val="center"/>
                </w:tcPr>
                <w:p w14:paraId="2D17FAB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1" w:type="dxa"/>
                  <w:vAlign w:val="center"/>
                </w:tcPr>
                <w:p w14:paraId="247DF9B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154" w:type="dxa"/>
                  <w:vAlign w:val="center"/>
                </w:tcPr>
                <w:p w14:paraId="0A091E1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0BF5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82226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431" w:type="dxa"/>
                  <w:vAlign w:val="center"/>
                </w:tcPr>
                <w:p w14:paraId="5D7D12C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361" w:type="dxa"/>
                  <w:vAlign w:val="center"/>
                </w:tcPr>
                <w:p w14:paraId="1929AF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154" w:type="dxa"/>
                  <w:vAlign w:val="center"/>
                </w:tcPr>
                <w:p w14:paraId="6744565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7B00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662DF2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431" w:type="dxa"/>
                  <w:vMerge w:val="restart"/>
                  <w:vAlign w:val="center"/>
                </w:tcPr>
                <w:p w14:paraId="3DF8FC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1" w:type="dxa"/>
                  <w:vAlign w:val="center"/>
                </w:tcPr>
                <w:p w14:paraId="76E66B5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154" w:type="dxa"/>
                  <w:vAlign w:val="center"/>
                </w:tcPr>
                <w:p w14:paraId="7F047E6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51B4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CA9808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431" w:type="dxa"/>
                  <w:vMerge w:val="continue"/>
                  <w:vAlign w:val="center"/>
                </w:tcPr>
                <w:p w14:paraId="100A8BBE">
                  <w:pPr>
                    <w:rPr>
                      <w:highlight w:val="none"/>
                    </w:rPr>
                  </w:pPr>
                </w:p>
              </w:tc>
              <w:tc>
                <w:tcPr>
                  <w:tcW w:w="1361" w:type="dxa"/>
                  <w:vAlign w:val="center"/>
                </w:tcPr>
                <w:p w14:paraId="6BCA923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154" w:type="dxa"/>
                  <w:vAlign w:val="center"/>
                </w:tcPr>
                <w:p w14:paraId="7D2765B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3AE2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E17FB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431" w:type="dxa"/>
                  <w:vMerge w:val="continue"/>
                  <w:vAlign w:val="center"/>
                </w:tcPr>
                <w:p w14:paraId="2F9BD3BB">
                  <w:pPr>
                    <w:rPr>
                      <w:highlight w:val="none"/>
                    </w:rPr>
                  </w:pPr>
                </w:p>
              </w:tc>
              <w:tc>
                <w:tcPr>
                  <w:tcW w:w="1361" w:type="dxa"/>
                  <w:vAlign w:val="center"/>
                </w:tcPr>
                <w:p w14:paraId="42C709A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154" w:type="dxa"/>
                  <w:vAlign w:val="center"/>
                </w:tcPr>
                <w:p w14:paraId="572E5D3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3C4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77A96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431" w:type="dxa"/>
                  <w:vMerge w:val="continue"/>
                  <w:vAlign w:val="center"/>
                </w:tcPr>
                <w:p w14:paraId="541D6A25">
                  <w:pPr>
                    <w:rPr>
                      <w:highlight w:val="none"/>
                    </w:rPr>
                  </w:pPr>
                </w:p>
              </w:tc>
              <w:tc>
                <w:tcPr>
                  <w:tcW w:w="1361" w:type="dxa"/>
                  <w:vAlign w:val="center"/>
                </w:tcPr>
                <w:p w14:paraId="5ECDC2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154" w:type="dxa"/>
                  <w:vAlign w:val="center"/>
                </w:tcPr>
                <w:p w14:paraId="7897B03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05F1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BF6673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431" w:type="dxa"/>
                  <w:vAlign w:val="center"/>
                </w:tcPr>
                <w:p w14:paraId="3DA105F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1" w:type="dxa"/>
                  <w:vAlign w:val="center"/>
                </w:tcPr>
                <w:p w14:paraId="78C44D1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154" w:type="dxa"/>
                  <w:vAlign w:val="center"/>
                </w:tcPr>
                <w:p w14:paraId="175FB6C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6A32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CECD8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431" w:type="dxa"/>
                  <w:vMerge w:val="restart"/>
                  <w:vAlign w:val="center"/>
                </w:tcPr>
                <w:p w14:paraId="487A12C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1" w:type="dxa"/>
                  <w:vAlign w:val="center"/>
                </w:tcPr>
                <w:p w14:paraId="3835A6E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154" w:type="dxa"/>
                  <w:vAlign w:val="center"/>
                </w:tcPr>
                <w:p w14:paraId="19408CC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1544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A3B62C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431" w:type="dxa"/>
                  <w:vMerge w:val="continue"/>
                  <w:vAlign w:val="center"/>
                </w:tcPr>
                <w:p w14:paraId="6395A017">
                  <w:pPr>
                    <w:rPr>
                      <w:highlight w:val="none"/>
                    </w:rPr>
                  </w:pPr>
                </w:p>
              </w:tc>
              <w:tc>
                <w:tcPr>
                  <w:tcW w:w="1361" w:type="dxa"/>
                  <w:vAlign w:val="center"/>
                </w:tcPr>
                <w:p w14:paraId="73F8FCB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154" w:type="dxa"/>
                  <w:vAlign w:val="center"/>
                </w:tcPr>
                <w:p w14:paraId="3F024DF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3A8C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4458C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431" w:type="dxa"/>
                  <w:vMerge w:val="continue"/>
                  <w:vAlign w:val="center"/>
                </w:tcPr>
                <w:p w14:paraId="2C03A651">
                  <w:pPr>
                    <w:rPr>
                      <w:highlight w:val="none"/>
                    </w:rPr>
                  </w:pPr>
                </w:p>
              </w:tc>
              <w:tc>
                <w:tcPr>
                  <w:tcW w:w="1361" w:type="dxa"/>
                  <w:vAlign w:val="center"/>
                </w:tcPr>
                <w:p w14:paraId="6EF660A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154" w:type="dxa"/>
                  <w:vAlign w:val="center"/>
                </w:tcPr>
                <w:p w14:paraId="16484B2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01FE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36E0C5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431" w:type="dxa"/>
                  <w:vMerge w:val="restart"/>
                  <w:vAlign w:val="center"/>
                </w:tcPr>
                <w:p w14:paraId="56EEB97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1" w:type="dxa"/>
                  <w:vAlign w:val="center"/>
                </w:tcPr>
                <w:p w14:paraId="0D4189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154" w:type="dxa"/>
                  <w:vAlign w:val="center"/>
                </w:tcPr>
                <w:p w14:paraId="4C095B5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7BA5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EB113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431" w:type="dxa"/>
                  <w:vMerge w:val="continue"/>
                  <w:vAlign w:val="center"/>
                </w:tcPr>
                <w:p w14:paraId="5BE1AB66">
                  <w:pPr>
                    <w:rPr>
                      <w:highlight w:val="none"/>
                    </w:rPr>
                  </w:pPr>
                </w:p>
              </w:tc>
              <w:tc>
                <w:tcPr>
                  <w:tcW w:w="1361" w:type="dxa"/>
                  <w:vAlign w:val="center"/>
                </w:tcPr>
                <w:p w14:paraId="669C572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154" w:type="dxa"/>
                  <w:vAlign w:val="center"/>
                </w:tcPr>
                <w:p w14:paraId="457847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0C7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5B6B3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431" w:type="dxa"/>
                  <w:vMerge w:val="continue"/>
                  <w:vAlign w:val="center"/>
                </w:tcPr>
                <w:p w14:paraId="17FC8581">
                  <w:pPr>
                    <w:rPr>
                      <w:highlight w:val="none"/>
                    </w:rPr>
                  </w:pPr>
                </w:p>
              </w:tc>
              <w:tc>
                <w:tcPr>
                  <w:tcW w:w="1361" w:type="dxa"/>
                  <w:vAlign w:val="center"/>
                </w:tcPr>
                <w:p w14:paraId="0A9D8B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154" w:type="dxa"/>
                  <w:vAlign w:val="center"/>
                </w:tcPr>
                <w:p w14:paraId="107A76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5D15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1010F0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431" w:type="dxa"/>
                  <w:vAlign w:val="center"/>
                </w:tcPr>
                <w:p w14:paraId="1E8CD35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1" w:type="dxa"/>
                  <w:vAlign w:val="center"/>
                </w:tcPr>
                <w:p w14:paraId="3F8937D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154" w:type="dxa"/>
                  <w:vAlign w:val="center"/>
                </w:tcPr>
                <w:p w14:paraId="28CEF7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2809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742BC8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431" w:type="dxa"/>
                  <w:vMerge w:val="restart"/>
                  <w:vAlign w:val="center"/>
                </w:tcPr>
                <w:p w14:paraId="5744EBD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1" w:type="dxa"/>
                  <w:vAlign w:val="center"/>
                </w:tcPr>
                <w:p w14:paraId="3FDD87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154" w:type="dxa"/>
                  <w:vAlign w:val="center"/>
                </w:tcPr>
                <w:p w14:paraId="2E3D18E7">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7220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38ACD0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431" w:type="dxa"/>
                  <w:vMerge w:val="continue"/>
                  <w:vAlign w:val="center"/>
                </w:tcPr>
                <w:p w14:paraId="7028D32D">
                  <w:pPr>
                    <w:rPr>
                      <w:highlight w:val="none"/>
                    </w:rPr>
                  </w:pPr>
                </w:p>
              </w:tc>
              <w:tc>
                <w:tcPr>
                  <w:tcW w:w="1361" w:type="dxa"/>
                  <w:vAlign w:val="center"/>
                </w:tcPr>
                <w:p w14:paraId="1BFB2E0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154" w:type="dxa"/>
                  <w:vAlign w:val="center"/>
                </w:tcPr>
                <w:p w14:paraId="1BB11F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2D7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CE40D0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431" w:type="dxa"/>
                  <w:vAlign w:val="center"/>
                </w:tcPr>
                <w:p w14:paraId="37DB577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1" w:type="dxa"/>
                  <w:vAlign w:val="center"/>
                </w:tcPr>
                <w:p w14:paraId="664765A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154" w:type="dxa"/>
                  <w:vAlign w:val="center"/>
                </w:tcPr>
                <w:p w14:paraId="76352F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1EEC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FF85B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431" w:type="dxa"/>
                  <w:vMerge w:val="restart"/>
                  <w:vAlign w:val="center"/>
                </w:tcPr>
                <w:p w14:paraId="1B69882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1" w:type="dxa"/>
                  <w:vAlign w:val="center"/>
                </w:tcPr>
                <w:p w14:paraId="4E87A97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154" w:type="dxa"/>
                  <w:vAlign w:val="center"/>
                </w:tcPr>
                <w:p w14:paraId="0792A10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0B5F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0F2F59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431" w:type="dxa"/>
                  <w:vMerge w:val="continue"/>
                  <w:vAlign w:val="center"/>
                </w:tcPr>
                <w:p w14:paraId="3B6BBE26">
                  <w:pPr>
                    <w:rPr>
                      <w:highlight w:val="none"/>
                    </w:rPr>
                  </w:pPr>
                </w:p>
              </w:tc>
              <w:tc>
                <w:tcPr>
                  <w:tcW w:w="1361" w:type="dxa"/>
                  <w:vAlign w:val="center"/>
                </w:tcPr>
                <w:p w14:paraId="2894740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154" w:type="dxa"/>
                  <w:vAlign w:val="center"/>
                </w:tcPr>
                <w:p w14:paraId="653C82D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7935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55A94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431" w:type="dxa"/>
                  <w:vMerge w:val="continue"/>
                  <w:vAlign w:val="center"/>
                </w:tcPr>
                <w:p w14:paraId="6F4D8B4D">
                  <w:pPr>
                    <w:rPr>
                      <w:highlight w:val="none"/>
                    </w:rPr>
                  </w:pPr>
                </w:p>
              </w:tc>
              <w:tc>
                <w:tcPr>
                  <w:tcW w:w="1361" w:type="dxa"/>
                  <w:vAlign w:val="center"/>
                </w:tcPr>
                <w:p w14:paraId="443E566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154" w:type="dxa"/>
                  <w:vAlign w:val="center"/>
                </w:tcPr>
                <w:p w14:paraId="10EB746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3F26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C46B6D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431" w:type="dxa"/>
                  <w:vMerge w:val="restart"/>
                  <w:vAlign w:val="center"/>
                </w:tcPr>
                <w:p w14:paraId="4F1FD25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1" w:type="dxa"/>
                  <w:vAlign w:val="center"/>
                </w:tcPr>
                <w:p w14:paraId="39E312C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154" w:type="dxa"/>
                  <w:vAlign w:val="center"/>
                </w:tcPr>
                <w:p w14:paraId="3A885B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041B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43C70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431" w:type="dxa"/>
                  <w:vMerge w:val="continue"/>
                  <w:vAlign w:val="center"/>
                </w:tcPr>
                <w:p w14:paraId="1BC09EE6">
                  <w:pPr>
                    <w:rPr>
                      <w:highlight w:val="none"/>
                    </w:rPr>
                  </w:pPr>
                </w:p>
              </w:tc>
              <w:tc>
                <w:tcPr>
                  <w:tcW w:w="1361" w:type="dxa"/>
                  <w:vAlign w:val="center"/>
                </w:tcPr>
                <w:p w14:paraId="6C015DA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154" w:type="dxa"/>
                  <w:vAlign w:val="center"/>
                </w:tcPr>
                <w:p w14:paraId="4E0BA17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025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42F556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431" w:type="dxa"/>
                  <w:vMerge w:val="restart"/>
                  <w:vAlign w:val="center"/>
                </w:tcPr>
                <w:p w14:paraId="2980451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1" w:type="dxa"/>
                  <w:vAlign w:val="center"/>
                </w:tcPr>
                <w:p w14:paraId="41E21C5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154" w:type="dxa"/>
                  <w:vAlign w:val="center"/>
                </w:tcPr>
                <w:p w14:paraId="1BE25C3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22C2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7F53A7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431" w:type="dxa"/>
                  <w:vMerge w:val="continue"/>
                  <w:vAlign w:val="center"/>
                </w:tcPr>
                <w:p w14:paraId="62FF34F6">
                  <w:pPr>
                    <w:rPr>
                      <w:highlight w:val="none"/>
                    </w:rPr>
                  </w:pPr>
                </w:p>
              </w:tc>
              <w:tc>
                <w:tcPr>
                  <w:tcW w:w="1361" w:type="dxa"/>
                  <w:vAlign w:val="center"/>
                </w:tcPr>
                <w:p w14:paraId="1991309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154" w:type="dxa"/>
                  <w:vAlign w:val="center"/>
                </w:tcPr>
                <w:p w14:paraId="6BF9114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336859DF">
            <w:pPr>
              <w:rPr>
                <w:rFonts w:ascii="宋体" w:hAnsi="宋体" w:eastAsia="仿宋" w:cs="宋体"/>
                <w:b/>
                <w:bCs/>
                <w:kern w:val="0"/>
                <w:sz w:val="22"/>
                <w:highlight w:val="none"/>
              </w:rPr>
            </w:pPr>
            <w:r>
              <w:rPr>
                <w:rFonts w:hint="eastAsia" w:ascii="宋体" w:hAnsi="宋体" w:eastAsia="仿宋" w:cs="宋体"/>
                <w:b/>
                <w:bCs/>
                <w:kern w:val="0"/>
                <w:sz w:val="22"/>
                <w:highlight w:val="none"/>
              </w:rPr>
              <w:t>附8：“数据处理一体机 存储节点”硬件部分详细参数配置要求：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29"/>
              <w:gridCol w:w="1360"/>
              <w:gridCol w:w="4148"/>
            </w:tblGrid>
            <w:tr w14:paraId="32EF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DFB4C4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序号</w:t>
                  </w:r>
                </w:p>
              </w:tc>
              <w:tc>
                <w:tcPr>
                  <w:tcW w:w="1431" w:type="dxa"/>
                  <w:vAlign w:val="center"/>
                </w:tcPr>
                <w:p w14:paraId="68FE666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361" w:type="dxa"/>
                  <w:vAlign w:val="center"/>
                </w:tcPr>
                <w:p w14:paraId="1A31A9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154" w:type="dxa"/>
                  <w:vAlign w:val="center"/>
                </w:tcPr>
                <w:p w14:paraId="2D568B8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详细参数配置要求</w:t>
                  </w:r>
                </w:p>
              </w:tc>
            </w:tr>
            <w:tr w14:paraId="5850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835EE9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431" w:type="dxa"/>
                  <w:vAlign w:val="center"/>
                </w:tcPr>
                <w:p w14:paraId="3AE2F1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1" w:type="dxa"/>
                  <w:vAlign w:val="center"/>
                </w:tcPr>
                <w:p w14:paraId="503AB07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154" w:type="dxa"/>
                  <w:vAlign w:val="center"/>
                </w:tcPr>
                <w:p w14:paraId="495438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（2）单颗CPU物理核心数≥24核、主频≥2.2GHz、末级缓存容量≥64MB、线程数≥48、热设计功耗≥135W、支持内存的最高速率≥3200MHz、通道数≥8、位宽≥64位；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534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44D8C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431" w:type="dxa"/>
                  <w:vMerge w:val="restart"/>
                  <w:vAlign w:val="center"/>
                </w:tcPr>
                <w:p w14:paraId="583D6EE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1" w:type="dxa"/>
                  <w:vAlign w:val="center"/>
                </w:tcPr>
                <w:p w14:paraId="2FD35C5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154" w:type="dxa"/>
                  <w:vAlign w:val="center"/>
                </w:tcPr>
                <w:p w14:paraId="6A9A32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0391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5A012A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431" w:type="dxa"/>
                  <w:vMerge w:val="continue"/>
                  <w:vAlign w:val="center"/>
                </w:tcPr>
                <w:p w14:paraId="5313A0F7">
                  <w:pPr>
                    <w:rPr>
                      <w:highlight w:val="none"/>
                    </w:rPr>
                  </w:pPr>
                </w:p>
              </w:tc>
              <w:tc>
                <w:tcPr>
                  <w:tcW w:w="1361" w:type="dxa"/>
                  <w:vAlign w:val="center"/>
                </w:tcPr>
                <w:p w14:paraId="75D3F36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154" w:type="dxa"/>
                  <w:vAlign w:val="center"/>
                </w:tcPr>
                <w:p w14:paraId="4F5CD49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0C9F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31CF2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431" w:type="dxa"/>
                  <w:vMerge w:val="continue"/>
                  <w:vAlign w:val="center"/>
                </w:tcPr>
                <w:p w14:paraId="3CCCB516">
                  <w:pPr>
                    <w:rPr>
                      <w:highlight w:val="none"/>
                    </w:rPr>
                  </w:pPr>
                </w:p>
              </w:tc>
              <w:tc>
                <w:tcPr>
                  <w:tcW w:w="1361" w:type="dxa"/>
                  <w:vAlign w:val="center"/>
                </w:tcPr>
                <w:p w14:paraId="01FFC93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154" w:type="dxa"/>
                  <w:vAlign w:val="center"/>
                </w:tcPr>
                <w:p w14:paraId="70A472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（2）板载支持≥12个U.2 或 SATA/SAS；</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0956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7ED8E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431" w:type="dxa"/>
                  <w:vMerge w:val="continue"/>
                  <w:vAlign w:val="center"/>
                </w:tcPr>
                <w:p w14:paraId="64317A91">
                  <w:pPr>
                    <w:rPr>
                      <w:highlight w:val="none"/>
                    </w:rPr>
                  </w:pPr>
                </w:p>
              </w:tc>
              <w:tc>
                <w:tcPr>
                  <w:tcW w:w="1361" w:type="dxa"/>
                  <w:vAlign w:val="center"/>
                </w:tcPr>
                <w:p w14:paraId="4812591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154" w:type="dxa"/>
                  <w:vAlign w:val="center"/>
                </w:tcPr>
                <w:p w14:paraId="4C57731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6EDC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7CEEA0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431" w:type="dxa"/>
                  <w:vMerge w:val="continue"/>
                  <w:vAlign w:val="center"/>
                </w:tcPr>
                <w:p w14:paraId="25E12CBC">
                  <w:pPr>
                    <w:rPr>
                      <w:highlight w:val="none"/>
                    </w:rPr>
                  </w:pPr>
                </w:p>
              </w:tc>
              <w:tc>
                <w:tcPr>
                  <w:tcW w:w="1361" w:type="dxa"/>
                  <w:vAlign w:val="center"/>
                </w:tcPr>
                <w:p w14:paraId="69485BE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154" w:type="dxa"/>
                  <w:vAlign w:val="center"/>
                </w:tcPr>
                <w:p w14:paraId="29A900B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209D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518D87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431" w:type="dxa"/>
                  <w:vMerge w:val="restart"/>
                  <w:vAlign w:val="center"/>
                </w:tcPr>
                <w:p w14:paraId="3959AD3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1" w:type="dxa"/>
                  <w:vAlign w:val="center"/>
                </w:tcPr>
                <w:p w14:paraId="438DA3E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154" w:type="dxa"/>
                  <w:vAlign w:val="center"/>
                </w:tcPr>
                <w:p w14:paraId="206E132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内存数量≥4</w:t>
                  </w:r>
                </w:p>
              </w:tc>
            </w:tr>
            <w:tr w14:paraId="6EDA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2D27FF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431" w:type="dxa"/>
                  <w:vMerge w:val="continue"/>
                  <w:vAlign w:val="center"/>
                </w:tcPr>
                <w:p w14:paraId="275C57C4">
                  <w:pPr>
                    <w:rPr>
                      <w:highlight w:val="none"/>
                    </w:rPr>
                  </w:pPr>
                </w:p>
              </w:tc>
              <w:tc>
                <w:tcPr>
                  <w:tcW w:w="1361" w:type="dxa"/>
                  <w:vAlign w:val="center"/>
                </w:tcPr>
                <w:p w14:paraId="006DF7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154" w:type="dxa"/>
                  <w:vAlign w:val="center"/>
                </w:tcPr>
                <w:p w14:paraId="32F96F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2CA8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F34E58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431" w:type="dxa"/>
                  <w:vMerge w:val="continue"/>
                  <w:vAlign w:val="center"/>
                </w:tcPr>
                <w:p w14:paraId="6F3F439B">
                  <w:pPr>
                    <w:rPr>
                      <w:highlight w:val="none"/>
                    </w:rPr>
                  </w:pPr>
                </w:p>
              </w:tc>
              <w:tc>
                <w:tcPr>
                  <w:tcW w:w="1361" w:type="dxa"/>
                  <w:vAlign w:val="center"/>
                </w:tcPr>
                <w:p w14:paraId="7062E27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154" w:type="dxa"/>
                  <w:vAlign w:val="center"/>
                </w:tcPr>
                <w:p w14:paraId="69B9C3F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7425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30258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431" w:type="dxa"/>
                  <w:vMerge w:val="restart"/>
                  <w:vAlign w:val="center"/>
                </w:tcPr>
                <w:p w14:paraId="20EAB77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1" w:type="dxa"/>
                  <w:vAlign w:val="center"/>
                </w:tcPr>
                <w:p w14:paraId="33F27E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154" w:type="dxa"/>
                  <w:vAlign w:val="center"/>
                </w:tcPr>
                <w:p w14:paraId="6FDE52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实配≥2块1.92TB U.2 NVMe 企业级SSD，≥10块7.68TB 2.5英寸 U.2企业级 NVMe SSD</w:t>
                  </w:r>
                </w:p>
              </w:tc>
            </w:tr>
            <w:tr w14:paraId="594C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4C0FC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431" w:type="dxa"/>
                  <w:vMerge w:val="continue"/>
                  <w:vAlign w:val="center"/>
                </w:tcPr>
                <w:p w14:paraId="608BAEF9">
                  <w:pPr>
                    <w:rPr>
                      <w:highlight w:val="none"/>
                    </w:rPr>
                  </w:pPr>
                </w:p>
              </w:tc>
              <w:tc>
                <w:tcPr>
                  <w:tcW w:w="1361" w:type="dxa"/>
                  <w:vAlign w:val="center"/>
                </w:tcPr>
                <w:p w14:paraId="42AFE46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154" w:type="dxa"/>
                  <w:vAlign w:val="center"/>
                </w:tcPr>
                <w:p w14:paraId="5EC4656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实配≥2块U.2 NVMe 企业级SSD，≥10块2.5英寸 U.2企业级 NVMe SSD</w:t>
                  </w:r>
                </w:p>
              </w:tc>
            </w:tr>
            <w:tr w14:paraId="7135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716979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431" w:type="dxa"/>
                  <w:vMerge w:val="continue"/>
                  <w:vAlign w:val="center"/>
                </w:tcPr>
                <w:p w14:paraId="168AF223">
                  <w:pPr>
                    <w:rPr>
                      <w:highlight w:val="none"/>
                    </w:rPr>
                  </w:pPr>
                </w:p>
              </w:tc>
              <w:tc>
                <w:tcPr>
                  <w:tcW w:w="1361" w:type="dxa"/>
                  <w:vAlign w:val="center"/>
                </w:tcPr>
                <w:p w14:paraId="313F6D2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154" w:type="dxa"/>
                  <w:vAlign w:val="center"/>
                </w:tcPr>
                <w:p w14:paraId="11A8F80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6853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5335A0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431" w:type="dxa"/>
                  <w:vAlign w:val="center"/>
                </w:tcPr>
                <w:p w14:paraId="69E10B6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1" w:type="dxa"/>
                  <w:vAlign w:val="center"/>
                </w:tcPr>
                <w:p w14:paraId="7359300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154" w:type="dxa"/>
                  <w:vAlign w:val="center"/>
                </w:tcPr>
                <w:p w14:paraId="5213F52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≥2*100GbE 双端口QSFP28光模块； ≥PCIe3.0 x16网卡(支持 RoCE v2)</w:t>
                  </w:r>
                </w:p>
              </w:tc>
            </w:tr>
            <w:tr w14:paraId="482D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52EEA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431" w:type="dxa"/>
                  <w:vMerge w:val="restart"/>
                  <w:vAlign w:val="center"/>
                </w:tcPr>
                <w:p w14:paraId="3A2A15D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1" w:type="dxa"/>
                  <w:vAlign w:val="center"/>
                </w:tcPr>
                <w:p w14:paraId="65CEE50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154" w:type="dxa"/>
                  <w:vAlign w:val="center"/>
                </w:tcPr>
                <w:p w14:paraId="79D138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0635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0A6449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431" w:type="dxa"/>
                  <w:vMerge w:val="continue"/>
                  <w:vAlign w:val="center"/>
                </w:tcPr>
                <w:p w14:paraId="288F6213">
                  <w:pPr>
                    <w:rPr>
                      <w:highlight w:val="none"/>
                    </w:rPr>
                  </w:pPr>
                </w:p>
              </w:tc>
              <w:tc>
                <w:tcPr>
                  <w:tcW w:w="1361" w:type="dxa"/>
                  <w:vAlign w:val="center"/>
                </w:tcPr>
                <w:p w14:paraId="2A07A18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154" w:type="dxa"/>
                  <w:vAlign w:val="center"/>
                </w:tcPr>
                <w:p w14:paraId="4983CC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0A59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DC9E4C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431" w:type="dxa"/>
                  <w:vMerge w:val="restart"/>
                  <w:vAlign w:val="center"/>
                </w:tcPr>
                <w:p w14:paraId="04D362A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1" w:type="dxa"/>
                  <w:vAlign w:val="center"/>
                </w:tcPr>
                <w:p w14:paraId="7E321C5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154" w:type="dxa"/>
                  <w:vAlign w:val="center"/>
                </w:tcPr>
                <w:p w14:paraId="68C126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0706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AB871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431" w:type="dxa"/>
                  <w:vMerge w:val="continue"/>
                  <w:vAlign w:val="center"/>
                </w:tcPr>
                <w:p w14:paraId="49B4A8DD">
                  <w:pPr>
                    <w:rPr>
                      <w:highlight w:val="none"/>
                    </w:rPr>
                  </w:pPr>
                </w:p>
              </w:tc>
              <w:tc>
                <w:tcPr>
                  <w:tcW w:w="1361" w:type="dxa"/>
                  <w:vAlign w:val="center"/>
                </w:tcPr>
                <w:p w14:paraId="1C8023D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154" w:type="dxa"/>
                  <w:vAlign w:val="center"/>
                </w:tcPr>
                <w:p w14:paraId="07DF86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≥1300W，电源模块功率应有一定冗余， 满足处理器满载时的需求</w:t>
                  </w:r>
                </w:p>
              </w:tc>
            </w:tr>
            <w:tr w14:paraId="703F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46D937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431" w:type="dxa"/>
                  <w:vMerge w:val="restart"/>
                  <w:vAlign w:val="center"/>
                </w:tcPr>
                <w:p w14:paraId="5B6DFF7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1" w:type="dxa"/>
                  <w:vAlign w:val="center"/>
                </w:tcPr>
                <w:p w14:paraId="15F6A92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154" w:type="dxa"/>
                  <w:vAlign w:val="center"/>
                </w:tcPr>
                <w:p w14:paraId="6E3AB97F">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15A2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75DEF0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431" w:type="dxa"/>
                  <w:vMerge w:val="continue"/>
                  <w:vAlign w:val="center"/>
                </w:tcPr>
                <w:p w14:paraId="4AADB731">
                  <w:pPr>
                    <w:rPr>
                      <w:highlight w:val="none"/>
                    </w:rPr>
                  </w:pPr>
                </w:p>
              </w:tc>
              <w:tc>
                <w:tcPr>
                  <w:tcW w:w="1361" w:type="dxa"/>
                  <w:vAlign w:val="center"/>
                </w:tcPr>
                <w:p w14:paraId="3F6FA2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154" w:type="dxa"/>
                  <w:vAlign w:val="center"/>
                </w:tcPr>
                <w:p w14:paraId="03B669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3CCC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2AF9B7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431" w:type="dxa"/>
                  <w:vMerge w:val="continue"/>
                  <w:vAlign w:val="center"/>
                </w:tcPr>
                <w:p w14:paraId="1BBA98F6">
                  <w:pPr>
                    <w:rPr>
                      <w:highlight w:val="none"/>
                    </w:rPr>
                  </w:pPr>
                </w:p>
              </w:tc>
              <w:tc>
                <w:tcPr>
                  <w:tcW w:w="1361" w:type="dxa"/>
                  <w:vAlign w:val="center"/>
                </w:tcPr>
                <w:p w14:paraId="44E8CE7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154" w:type="dxa"/>
                  <w:vAlign w:val="center"/>
                </w:tcPr>
                <w:p w14:paraId="35335A3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65B9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18D99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431" w:type="dxa"/>
                  <w:vMerge w:val="continue"/>
                  <w:vAlign w:val="center"/>
                </w:tcPr>
                <w:p w14:paraId="1A368E04">
                  <w:pPr>
                    <w:rPr>
                      <w:highlight w:val="none"/>
                    </w:rPr>
                  </w:pPr>
                </w:p>
              </w:tc>
              <w:tc>
                <w:tcPr>
                  <w:tcW w:w="1361" w:type="dxa"/>
                  <w:vAlign w:val="center"/>
                </w:tcPr>
                <w:p w14:paraId="6F71D0C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154" w:type="dxa"/>
                  <w:vAlign w:val="center"/>
                </w:tcPr>
                <w:p w14:paraId="625D88D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61F0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5C2507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431" w:type="dxa"/>
                  <w:vMerge w:val="continue"/>
                  <w:vAlign w:val="center"/>
                </w:tcPr>
                <w:p w14:paraId="3B706274">
                  <w:pPr>
                    <w:rPr>
                      <w:highlight w:val="none"/>
                    </w:rPr>
                  </w:pPr>
                </w:p>
              </w:tc>
              <w:tc>
                <w:tcPr>
                  <w:tcW w:w="1361" w:type="dxa"/>
                  <w:vAlign w:val="center"/>
                </w:tcPr>
                <w:p w14:paraId="45D9BB4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154" w:type="dxa"/>
                  <w:vAlign w:val="center"/>
                </w:tcPr>
                <w:p w14:paraId="3D51BEB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0764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DD312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431" w:type="dxa"/>
                  <w:vAlign w:val="center"/>
                </w:tcPr>
                <w:p w14:paraId="2F0E364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机柜规格</w:t>
                  </w:r>
                </w:p>
              </w:tc>
              <w:tc>
                <w:tcPr>
                  <w:tcW w:w="1361" w:type="dxa"/>
                  <w:vAlign w:val="center"/>
                </w:tcPr>
                <w:p w14:paraId="78D0737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154" w:type="dxa"/>
                  <w:vAlign w:val="center"/>
                </w:tcPr>
                <w:p w14:paraId="3B3E665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7741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B41AC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431" w:type="dxa"/>
                  <w:vAlign w:val="center"/>
                </w:tcPr>
                <w:p w14:paraId="72987E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1" w:type="dxa"/>
                  <w:vAlign w:val="center"/>
                </w:tcPr>
                <w:p w14:paraId="7FE5708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154" w:type="dxa"/>
                  <w:vAlign w:val="center"/>
                </w:tcPr>
                <w:p w14:paraId="5D852A4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5AB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B15976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431" w:type="dxa"/>
                  <w:vAlign w:val="center"/>
                </w:tcPr>
                <w:p w14:paraId="2C492F4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1" w:type="dxa"/>
                  <w:vAlign w:val="center"/>
                </w:tcPr>
                <w:p w14:paraId="31B3D1F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154" w:type="dxa"/>
                  <w:vAlign w:val="center"/>
                </w:tcPr>
                <w:p w14:paraId="32E9172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2AF5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42D278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431" w:type="dxa"/>
                  <w:vMerge w:val="restart"/>
                  <w:vAlign w:val="center"/>
                </w:tcPr>
                <w:p w14:paraId="5C63A36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1" w:type="dxa"/>
                  <w:vAlign w:val="center"/>
                </w:tcPr>
                <w:p w14:paraId="03DD84D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154" w:type="dxa"/>
                  <w:vAlign w:val="center"/>
                </w:tcPr>
                <w:p w14:paraId="21FCD0F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62F3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0601D2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431" w:type="dxa"/>
                  <w:vMerge w:val="continue"/>
                  <w:vAlign w:val="center"/>
                </w:tcPr>
                <w:p w14:paraId="693ED3B4">
                  <w:pPr>
                    <w:rPr>
                      <w:highlight w:val="none"/>
                    </w:rPr>
                  </w:pPr>
                </w:p>
              </w:tc>
              <w:tc>
                <w:tcPr>
                  <w:tcW w:w="1361" w:type="dxa"/>
                  <w:vAlign w:val="center"/>
                </w:tcPr>
                <w:p w14:paraId="1FF08C6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154" w:type="dxa"/>
                  <w:vAlign w:val="center"/>
                </w:tcPr>
                <w:p w14:paraId="68399E1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32B8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EA531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431" w:type="dxa"/>
                  <w:vMerge w:val="restart"/>
                  <w:vAlign w:val="center"/>
                </w:tcPr>
                <w:p w14:paraId="65EEA8C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1" w:type="dxa"/>
                  <w:vAlign w:val="center"/>
                </w:tcPr>
                <w:p w14:paraId="4A6AEB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154" w:type="dxa"/>
                  <w:vAlign w:val="center"/>
                </w:tcPr>
                <w:p w14:paraId="5ED29EF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3F6D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AF2CFC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431" w:type="dxa"/>
                  <w:vMerge w:val="continue"/>
                  <w:vAlign w:val="center"/>
                </w:tcPr>
                <w:p w14:paraId="7F4629EE">
                  <w:pPr>
                    <w:rPr>
                      <w:highlight w:val="none"/>
                    </w:rPr>
                  </w:pPr>
                </w:p>
              </w:tc>
              <w:tc>
                <w:tcPr>
                  <w:tcW w:w="1361" w:type="dxa"/>
                  <w:vAlign w:val="center"/>
                </w:tcPr>
                <w:p w14:paraId="1FE11FA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154" w:type="dxa"/>
                  <w:vAlign w:val="center"/>
                </w:tcPr>
                <w:p w14:paraId="4A5F54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7A90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F9ACC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431" w:type="dxa"/>
                  <w:vAlign w:val="center"/>
                </w:tcPr>
                <w:p w14:paraId="7AC7B5F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1" w:type="dxa"/>
                  <w:vAlign w:val="center"/>
                </w:tcPr>
                <w:p w14:paraId="7413433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154" w:type="dxa"/>
                  <w:vAlign w:val="center"/>
                </w:tcPr>
                <w:p w14:paraId="791AC73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2E69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0A2110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431" w:type="dxa"/>
                  <w:vMerge w:val="restart"/>
                  <w:vAlign w:val="center"/>
                </w:tcPr>
                <w:p w14:paraId="7B47311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1" w:type="dxa"/>
                  <w:vAlign w:val="center"/>
                </w:tcPr>
                <w:p w14:paraId="05AF1A7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154" w:type="dxa"/>
                  <w:vAlign w:val="center"/>
                </w:tcPr>
                <w:p w14:paraId="33B3753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5DF5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6F0520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431" w:type="dxa"/>
                  <w:vMerge w:val="continue"/>
                  <w:vAlign w:val="center"/>
                </w:tcPr>
                <w:p w14:paraId="05E516B3">
                  <w:pPr>
                    <w:rPr>
                      <w:highlight w:val="none"/>
                    </w:rPr>
                  </w:pPr>
                </w:p>
              </w:tc>
              <w:tc>
                <w:tcPr>
                  <w:tcW w:w="1361" w:type="dxa"/>
                  <w:vAlign w:val="center"/>
                </w:tcPr>
                <w:p w14:paraId="19324FB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154" w:type="dxa"/>
                  <w:vAlign w:val="center"/>
                </w:tcPr>
                <w:p w14:paraId="2F1BA63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2599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585DF8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431" w:type="dxa"/>
                  <w:vMerge w:val="continue"/>
                  <w:vAlign w:val="center"/>
                </w:tcPr>
                <w:p w14:paraId="247219A8">
                  <w:pPr>
                    <w:rPr>
                      <w:highlight w:val="none"/>
                    </w:rPr>
                  </w:pPr>
                </w:p>
              </w:tc>
              <w:tc>
                <w:tcPr>
                  <w:tcW w:w="1361" w:type="dxa"/>
                  <w:vAlign w:val="center"/>
                </w:tcPr>
                <w:p w14:paraId="6AEE0DE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154" w:type="dxa"/>
                  <w:vAlign w:val="center"/>
                </w:tcPr>
                <w:p w14:paraId="5AB881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p>
              </w:tc>
            </w:tr>
            <w:tr w14:paraId="2FBD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E1049B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431" w:type="dxa"/>
                  <w:vMerge w:val="restart"/>
                  <w:vAlign w:val="center"/>
                </w:tcPr>
                <w:p w14:paraId="3E1CB9B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1" w:type="dxa"/>
                  <w:vAlign w:val="center"/>
                </w:tcPr>
                <w:p w14:paraId="0279D33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154" w:type="dxa"/>
                  <w:vAlign w:val="center"/>
                </w:tcPr>
                <w:p w14:paraId="05E8F8E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4A77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C4747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431" w:type="dxa"/>
                  <w:vMerge w:val="continue"/>
                  <w:vAlign w:val="center"/>
                </w:tcPr>
                <w:p w14:paraId="5E6613F5">
                  <w:pPr>
                    <w:rPr>
                      <w:highlight w:val="none"/>
                    </w:rPr>
                  </w:pPr>
                </w:p>
              </w:tc>
              <w:tc>
                <w:tcPr>
                  <w:tcW w:w="1361" w:type="dxa"/>
                  <w:vAlign w:val="center"/>
                </w:tcPr>
                <w:p w14:paraId="77B3306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154" w:type="dxa"/>
                  <w:vAlign w:val="center"/>
                </w:tcPr>
                <w:p w14:paraId="2E1AC9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03A4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107EE8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431" w:type="dxa"/>
                  <w:vAlign w:val="center"/>
                </w:tcPr>
                <w:p w14:paraId="47A75C9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1" w:type="dxa"/>
                  <w:vAlign w:val="center"/>
                </w:tcPr>
                <w:p w14:paraId="57C1228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154" w:type="dxa"/>
                  <w:vAlign w:val="center"/>
                </w:tcPr>
                <w:p w14:paraId="223917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2039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0443F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431" w:type="dxa"/>
                  <w:vAlign w:val="center"/>
                </w:tcPr>
                <w:p w14:paraId="58D0F11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1" w:type="dxa"/>
                  <w:vAlign w:val="center"/>
                </w:tcPr>
                <w:p w14:paraId="72C71F3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154" w:type="dxa"/>
                  <w:vAlign w:val="center"/>
                </w:tcPr>
                <w:p w14:paraId="7FAE40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5352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009F10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431" w:type="dxa"/>
                  <w:vAlign w:val="center"/>
                </w:tcPr>
                <w:p w14:paraId="749D86B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1" w:type="dxa"/>
                  <w:vAlign w:val="center"/>
                </w:tcPr>
                <w:p w14:paraId="54D73FD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154" w:type="dxa"/>
                  <w:vAlign w:val="center"/>
                </w:tcPr>
                <w:p w14:paraId="6F8187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43BF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D8BB6F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431" w:type="dxa"/>
                  <w:vMerge w:val="restart"/>
                  <w:vAlign w:val="center"/>
                </w:tcPr>
                <w:p w14:paraId="4741A57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1" w:type="dxa"/>
                  <w:vAlign w:val="center"/>
                </w:tcPr>
                <w:p w14:paraId="7D40A43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154" w:type="dxa"/>
                  <w:vAlign w:val="center"/>
                </w:tcPr>
                <w:p w14:paraId="3ABEDCF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5270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50279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431" w:type="dxa"/>
                  <w:vMerge w:val="continue"/>
                  <w:vAlign w:val="center"/>
                </w:tcPr>
                <w:p w14:paraId="726B2D67">
                  <w:pPr>
                    <w:rPr>
                      <w:highlight w:val="none"/>
                    </w:rPr>
                  </w:pPr>
                </w:p>
              </w:tc>
              <w:tc>
                <w:tcPr>
                  <w:tcW w:w="1361" w:type="dxa"/>
                  <w:vAlign w:val="center"/>
                </w:tcPr>
                <w:p w14:paraId="2C2D651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154" w:type="dxa"/>
                  <w:vAlign w:val="center"/>
                </w:tcPr>
                <w:p w14:paraId="44D593F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42E1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A2423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431" w:type="dxa"/>
                  <w:vMerge w:val="continue"/>
                  <w:vAlign w:val="center"/>
                </w:tcPr>
                <w:p w14:paraId="67C9F440">
                  <w:pPr>
                    <w:rPr>
                      <w:highlight w:val="none"/>
                    </w:rPr>
                  </w:pPr>
                </w:p>
              </w:tc>
              <w:tc>
                <w:tcPr>
                  <w:tcW w:w="1361" w:type="dxa"/>
                  <w:vAlign w:val="center"/>
                </w:tcPr>
                <w:p w14:paraId="4823C5E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154" w:type="dxa"/>
                  <w:vAlign w:val="center"/>
                </w:tcPr>
                <w:p w14:paraId="58344E4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2F3E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2B0DC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431" w:type="dxa"/>
                  <w:vMerge w:val="continue"/>
                  <w:vAlign w:val="center"/>
                </w:tcPr>
                <w:p w14:paraId="000CDF84">
                  <w:pPr>
                    <w:rPr>
                      <w:highlight w:val="none"/>
                    </w:rPr>
                  </w:pPr>
                </w:p>
              </w:tc>
              <w:tc>
                <w:tcPr>
                  <w:tcW w:w="1361" w:type="dxa"/>
                  <w:vAlign w:val="center"/>
                </w:tcPr>
                <w:p w14:paraId="48601D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154" w:type="dxa"/>
                  <w:vAlign w:val="center"/>
                </w:tcPr>
                <w:p w14:paraId="5A762BB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7FA0F84E">
              <w:tblPrEx>
                <w:tblCellMar>
                  <w:top w:w="0" w:type="dxa"/>
                  <w:left w:w="108" w:type="dxa"/>
                  <w:bottom w:w="0" w:type="dxa"/>
                  <w:right w:w="108" w:type="dxa"/>
                </w:tblCellMar>
              </w:tblPrEx>
              <w:trPr>
                <w:trHeight w:val="20" w:hRule="atLeast"/>
              </w:trPr>
              <w:tc>
                <w:tcPr>
                  <w:tcW w:w="692" w:type="dxa"/>
                  <w:vAlign w:val="center"/>
                </w:tcPr>
                <w:p w14:paraId="681EA4F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431" w:type="dxa"/>
                  <w:vMerge w:val="continue"/>
                  <w:vAlign w:val="center"/>
                </w:tcPr>
                <w:p w14:paraId="5725CCA6">
                  <w:pPr>
                    <w:rPr>
                      <w:highlight w:val="none"/>
                    </w:rPr>
                  </w:pPr>
                </w:p>
              </w:tc>
              <w:tc>
                <w:tcPr>
                  <w:tcW w:w="1361" w:type="dxa"/>
                  <w:vAlign w:val="center"/>
                </w:tcPr>
                <w:p w14:paraId="02FB40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154" w:type="dxa"/>
                  <w:vAlign w:val="center"/>
                </w:tcPr>
                <w:p w14:paraId="44F0E00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7867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8098A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431" w:type="dxa"/>
                  <w:vAlign w:val="center"/>
                </w:tcPr>
                <w:p w14:paraId="768F471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1" w:type="dxa"/>
                  <w:vAlign w:val="center"/>
                </w:tcPr>
                <w:p w14:paraId="05D213E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154" w:type="dxa"/>
                  <w:vAlign w:val="center"/>
                </w:tcPr>
                <w:p w14:paraId="07A8647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仿宋" w:cs="宋体"/>
                      <w:kern w:val="0"/>
                      <w:sz w:val="22"/>
                      <w:highlight w:val="none"/>
                    </w:rPr>
                    <w:br w:type="textWrapping"/>
                  </w:r>
                </w:p>
              </w:tc>
            </w:tr>
            <w:tr w14:paraId="66F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4BB05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431" w:type="dxa"/>
                  <w:vAlign w:val="center"/>
                </w:tcPr>
                <w:p w14:paraId="47F7DF4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1" w:type="dxa"/>
                  <w:vAlign w:val="center"/>
                </w:tcPr>
                <w:p w14:paraId="61F28FC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154" w:type="dxa"/>
                  <w:vAlign w:val="center"/>
                </w:tcPr>
                <w:p w14:paraId="7411EFA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24E5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5D182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431" w:type="dxa"/>
                  <w:vAlign w:val="center"/>
                </w:tcPr>
                <w:p w14:paraId="75A429A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1361" w:type="dxa"/>
                  <w:vAlign w:val="center"/>
                </w:tcPr>
                <w:p w14:paraId="17886EA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154" w:type="dxa"/>
                  <w:vAlign w:val="center"/>
                </w:tcPr>
                <w:p w14:paraId="44223B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3989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5A92C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431" w:type="dxa"/>
                  <w:vMerge w:val="restart"/>
                  <w:vAlign w:val="center"/>
                </w:tcPr>
                <w:p w14:paraId="34D94AA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1" w:type="dxa"/>
                  <w:vAlign w:val="center"/>
                </w:tcPr>
                <w:p w14:paraId="4F99637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154" w:type="dxa"/>
                  <w:vAlign w:val="center"/>
                </w:tcPr>
                <w:p w14:paraId="401B105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≥2.2GHz</w:t>
                  </w:r>
                </w:p>
              </w:tc>
            </w:tr>
            <w:tr w14:paraId="690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0EDAB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431" w:type="dxa"/>
                  <w:vMerge w:val="continue"/>
                  <w:vAlign w:val="center"/>
                </w:tcPr>
                <w:p w14:paraId="3F5CD3E1">
                  <w:pPr>
                    <w:rPr>
                      <w:highlight w:val="none"/>
                    </w:rPr>
                  </w:pPr>
                </w:p>
              </w:tc>
              <w:tc>
                <w:tcPr>
                  <w:tcW w:w="1361" w:type="dxa"/>
                  <w:vAlign w:val="center"/>
                </w:tcPr>
                <w:p w14:paraId="16C27B2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154" w:type="dxa"/>
                  <w:vAlign w:val="center"/>
                </w:tcPr>
                <w:p w14:paraId="68748D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r>
            <w:tr w14:paraId="2AE4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F426BA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431" w:type="dxa"/>
                  <w:vMerge w:val="continue"/>
                  <w:vAlign w:val="center"/>
                </w:tcPr>
                <w:p w14:paraId="247F1E10">
                  <w:pPr>
                    <w:rPr>
                      <w:highlight w:val="none"/>
                    </w:rPr>
                  </w:pPr>
                </w:p>
              </w:tc>
              <w:tc>
                <w:tcPr>
                  <w:tcW w:w="1361" w:type="dxa"/>
                  <w:vAlign w:val="center"/>
                </w:tcPr>
                <w:p w14:paraId="786E865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154" w:type="dxa"/>
                  <w:vAlign w:val="center"/>
                </w:tcPr>
                <w:p w14:paraId="37DEEEE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≥64MB</w:t>
                  </w:r>
                </w:p>
              </w:tc>
            </w:tr>
            <w:tr w14:paraId="780C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6522F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431" w:type="dxa"/>
                  <w:vAlign w:val="center"/>
                </w:tcPr>
                <w:p w14:paraId="30FDB3A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1" w:type="dxa"/>
                  <w:vAlign w:val="center"/>
                </w:tcPr>
                <w:p w14:paraId="09C8BF1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154" w:type="dxa"/>
                  <w:vAlign w:val="center"/>
                </w:tcPr>
                <w:p w14:paraId="662BF7D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33E4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A4DCD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431" w:type="dxa"/>
                  <w:vAlign w:val="center"/>
                </w:tcPr>
                <w:p w14:paraId="68B4A40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361" w:type="dxa"/>
                  <w:vAlign w:val="center"/>
                </w:tcPr>
                <w:p w14:paraId="5BCFDFD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154" w:type="dxa"/>
                  <w:vAlign w:val="center"/>
                </w:tcPr>
                <w:p w14:paraId="7172DD4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564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BB4E2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431" w:type="dxa"/>
                  <w:vMerge w:val="restart"/>
                  <w:vAlign w:val="center"/>
                </w:tcPr>
                <w:p w14:paraId="777AB21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1" w:type="dxa"/>
                  <w:vAlign w:val="center"/>
                </w:tcPr>
                <w:p w14:paraId="64347D2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154" w:type="dxa"/>
                  <w:vAlign w:val="center"/>
                </w:tcPr>
                <w:p w14:paraId="615F632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39FC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4EC4F4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431" w:type="dxa"/>
                  <w:vMerge w:val="continue"/>
                  <w:vAlign w:val="center"/>
                </w:tcPr>
                <w:p w14:paraId="3ACAFA4F">
                  <w:pPr>
                    <w:rPr>
                      <w:highlight w:val="none"/>
                    </w:rPr>
                  </w:pPr>
                </w:p>
              </w:tc>
              <w:tc>
                <w:tcPr>
                  <w:tcW w:w="1361" w:type="dxa"/>
                  <w:vAlign w:val="center"/>
                </w:tcPr>
                <w:p w14:paraId="277C581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154" w:type="dxa"/>
                  <w:vAlign w:val="center"/>
                </w:tcPr>
                <w:p w14:paraId="7DD757A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464E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45D67A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431" w:type="dxa"/>
                  <w:vMerge w:val="continue"/>
                  <w:vAlign w:val="center"/>
                </w:tcPr>
                <w:p w14:paraId="66FB5C14">
                  <w:pPr>
                    <w:rPr>
                      <w:highlight w:val="none"/>
                    </w:rPr>
                  </w:pPr>
                </w:p>
              </w:tc>
              <w:tc>
                <w:tcPr>
                  <w:tcW w:w="1361" w:type="dxa"/>
                  <w:vAlign w:val="center"/>
                </w:tcPr>
                <w:p w14:paraId="41833AF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154" w:type="dxa"/>
                  <w:vAlign w:val="center"/>
                </w:tcPr>
                <w:p w14:paraId="2ED4E2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65AE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23A54E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431" w:type="dxa"/>
                  <w:vMerge w:val="continue"/>
                  <w:vAlign w:val="center"/>
                </w:tcPr>
                <w:p w14:paraId="5F30970B">
                  <w:pPr>
                    <w:rPr>
                      <w:highlight w:val="none"/>
                    </w:rPr>
                  </w:pPr>
                </w:p>
              </w:tc>
              <w:tc>
                <w:tcPr>
                  <w:tcW w:w="1361" w:type="dxa"/>
                  <w:vAlign w:val="center"/>
                </w:tcPr>
                <w:p w14:paraId="1651D18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154" w:type="dxa"/>
                  <w:vAlign w:val="center"/>
                </w:tcPr>
                <w:p w14:paraId="44D346C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3024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4A163E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431" w:type="dxa"/>
                  <w:vAlign w:val="center"/>
                </w:tcPr>
                <w:p w14:paraId="025D62D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1" w:type="dxa"/>
                  <w:vAlign w:val="center"/>
                </w:tcPr>
                <w:p w14:paraId="5E57823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154" w:type="dxa"/>
                  <w:vAlign w:val="center"/>
                </w:tcPr>
                <w:p w14:paraId="0DE9E08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07F6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0B8F03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431" w:type="dxa"/>
                  <w:vMerge w:val="restart"/>
                  <w:vAlign w:val="center"/>
                </w:tcPr>
                <w:p w14:paraId="41651E8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1" w:type="dxa"/>
                  <w:vAlign w:val="center"/>
                </w:tcPr>
                <w:p w14:paraId="7054A7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154" w:type="dxa"/>
                  <w:vAlign w:val="center"/>
                </w:tcPr>
                <w:p w14:paraId="4D5BF29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10FC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BF38D3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431" w:type="dxa"/>
                  <w:vMerge w:val="continue"/>
                  <w:vAlign w:val="center"/>
                </w:tcPr>
                <w:p w14:paraId="74E43C7A">
                  <w:pPr>
                    <w:rPr>
                      <w:highlight w:val="none"/>
                    </w:rPr>
                  </w:pPr>
                </w:p>
              </w:tc>
              <w:tc>
                <w:tcPr>
                  <w:tcW w:w="1361" w:type="dxa"/>
                  <w:vAlign w:val="center"/>
                </w:tcPr>
                <w:p w14:paraId="33F2871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154" w:type="dxa"/>
                  <w:vAlign w:val="center"/>
                </w:tcPr>
                <w:p w14:paraId="5474A2E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1DA7C204">
              <w:tblPrEx>
                <w:tblCellMar>
                  <w:top w:w="0" w:type="dxa"/>
                  <w:left w:w="108" w:type="dxa"/>
                  <w:bottom w:w="0" w:type="dxa"/>
                  <w:right w:w="108" w:type="dxa"/>
                </w:tblCellMar>
              </w:tblPrEx>
              <w:trPr>
                <w:trHeight w:val="20" w:hRule="atLeast"/>
              </w:trPr>
              <w:tc>
                <w:tcPr>
                  <w:tcW w:w="692" w:type="dxa"/>
                  <w:vAlign w:val="center"/>
                </w:tcPr>
                <w:p w14:paraId="21D525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431" w:type="dxa"/>
                  <w:vMerge w:val="continue"/>
                  <w:vAlign w:val="center"/>
                </w:tcPr>
                <w:p w14:paraId="5F11F653">
                  <w:pPr>
                    <w:rPr>
                      <w:highlight w:val="none"/>
                    </w:rPr>
                  </w:pPr>
                </w:p>
              </w:tc>
              <w:tc>
                <w:tcPr>
                  <w:tcW w:w="1361" w:type="dxa"/>
                  <w:vAlign w:val="center"/>
                </w:tcPr>
                <w:p w14:paraId="6C85576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154" w:type="dxa"/>
                  <w:vAlign w:val="center"/>
                </w:tcPr>
                <w:p w14:paraId="43932B6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022A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BF09EB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431" w:type="dxa"/>
                  <w:vMerge w:val="restart"/>
                  <w:vAlign w:val="center"/>
                </w:tcPr>
                <w:p w14:paraId="423CE3F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1" w:type="dxa"/>
                  <w:vAlign w:val="center"/>
                </w:tcPr>
                <w:p w14:paraId="581E0DA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154" w:type="dxa"/>
                  <w:vAlign w:val="center"/>
                </w:tcPr>
                <w:p w14:paraId="73222FD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7A37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E34A6E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431" w:type="dxa"/>
                  <w:vMerge w:val="continue"/>
                  <w:vAlign w:val="center"/>
                </w:tcPr>
                <w:p w14:paraId="6347F36F">
                  <w:pPr>
                    <w:rPr>
                      <w:highlight w:val="none"/>
                    </w:rPr>
                  </w:pPr>
                </w:p>
              </w:tc>
              <w:tc>
                <w:tcPr>
                  <w:tcW w:w="1361" w:type="dxa"/>
                  <w:vAlign w:val="center"/>
                </w:tcPr>
                <w:p w14:paraId="2504AB0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154" w:type="dxa"/>
                  <w:vAlign w:val="center"/>
                </w:tcPr>
                <w:p w14:paraId="5D52844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5B13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8EA36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431" w:type="dxa"/>
                  <w:vMerge w:val="continue"/>
                  <w:vAlign w:val="center"/>
                </w:tcPr>
                <w:p w14:paraId="50895A43">
                  <w:pPr>
                    <w:rPr>
                      <w:highlight w:val="none"/>
                    </w:rPr>
                  </w:pPr>
                </w:p>
              </w:tc>
              <w:tc>
                <w:tcPr>
                  <w:tcW w:w="1361" w:type="dxa"/>
                  <w:vAlign w:val="center"/>
                </w:tcPr>
                <w:p w14:paraId="5FAF93B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154" w:type="dxa"/>
                  <w:vAlign w:val="center"/>
                </w:tcPr>
                <w:p w14:paraId="661012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3C942098">
              <w:tblPrEx>
                <w:tblCellMar>
                  <w:top w:w="0" w:type="dxa"/>
                  <w:left w:w="108" w:type="dxa"/>
                  <w:bottom w:w="0" w:type="dxa"/>
                  <w:right w:w="108" w:type="dxa"/>
                </w:tblCellMar>
              </w:tblPrEx>
              <w:trPr>
                <w:trHeight w:val="20" w:hRule="atLeast"/>
              </w:trPr>
              <w:tc>
                <w:tcPr>
                  <w:tcW w:w="692" w:type="dxa"/>
                  <w:vAlign w:val="center"/>
                </w:tcPr>
                <w:p w14:paraId="2343689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431" w:type="dxa"/>
                  <w:vAlign w:val="center"/>
                </w:tcPr>
                <w:p w14:paraId="1B3503A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1" w:type="dxa"/>
                  <w:vAlign w:val="center"/>
                </w:tcPr>
                <w:p w14:paraId="1EAB35F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154" w:type="dxa"/>
                  <w:vAlign w:val="center"/>
                </w:tcPr>
                <w:p w14:paraId="4ACEA0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50E9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231075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431" w:type="dxa"/>
                  <w:vMerge w:val="restart"/>
                  <w:vAlign w:val="center"/>
                </w:tcPr>
                <w:p w14:paraId="12622D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1" w:type="dxa"/>
                  <w:vAlign w:val="center"/>
                </w:tcPr>
                <w:p w14:paraId="11A8916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154" w:type="dxa"/>
                  <w:vAlign w:val="center"/>
                </w:tcPr>
                <w:p w14:paraId="42DBB9B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5418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828734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431" w:type="dxa"/>
                  <w:vMerge w:val="continue"/>
                  <w:vAlign w:val="center"/>
                </w:tcPr>
                <w:p w14:paraId="2EA74809">
                  <w:pPr>
                    <w:rPr>
                      <w:highlight w:val="none"/>
                    </w:rPr>
                  </w:pPr>
                </w:p>
              </w:tc>
              <w:tc>
                <w:tcPr>
                  <w:tcW w:w="1361" w:type="dxa"/>
                  <w:vAlign w:val="center"/>
                </w:tcPr>
                <w:p w14:paraId="579BF12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154" w:type="dxa"/>
                  <w:vAlign w:val="center"/>
                </w:tcPr>
                <w:p w14:paraId="443E9E58">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4C6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241EF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431" w:type="dxa"/>
                  <w:vAlign w:val="center"/>
                </w:tcPr>
                <w:p w14:paraId="2A6A996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1" w:type="dxa"/>
                  <w:vAlign w:val="center"/>
                </w:tcPr>
                <w:p w14:paraId="59B4F68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154" w:type="dxa"/>
                  <w:vAlign w:val="center"/>
                </w:tcPr>
                <w:p w14:paraId="45D0D9A4">
                  <w:pPr>
                    <w:widowControl/>
                    <w:jc w:val="left"/>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4D2C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9C393F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431" w:type="dxa"/>
                  <w:vMerge w:val="restart"/>
                  <w:vAlign w:val="center"/>
                </w:tcPr>
                <w:p w14:paraId="167009A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1" w:type="dxa"/>
                  <w:vAlign w:val="center"/>
                </w:tcPr>
                <w:p w14:paraId="546B662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154" w:type="dxa"/>
                  <w:vAlign w:val="center"/>
                </w:tcPr>
                <w:p w14:paraId="362B49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1416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4CA25B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431" w:type="dxa"/>
                  <w:vMerge w:val="continue"/>
                  <w:vAlign w:val="center"/>
                </w:tcPr>
                <w:p w14:paraId="0C0D3948">
                  <w:pPr>
                    <w:rPr>
                      <w:highlight w:val="none"/>
                    </w:rPr>
                  </w:pPr>
                </w:p>
              </w:tc>
              <w:tc>
                <w:tcPr>
                  <w:tcW w:w="1361" w:type="dxa"/>
                  <w:vAlign w:val="center"/>
                </w:tcPr>
                <w:p w14:paraId="14D776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154" w:type="dxa"/>
                  <w:vAlign w:val="center"/>
                </w:tcPr>
                <w:p w14:paraId="05420EF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377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3F0134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431" w:type="dxa"/>
                  <w:vMerge w:val="continue"/>
                  <w:vAlign w:val="center"/>
                </w:tcPr>
                <w:p w14:paraId="0998FE85">
                  <w:pPr>
                    <w:rPr>
                      <w:highlight w:val="none"/>
                    </w:rPr>
                  </w:pPr>
                </w:p>
              </w:tc>
              <w:tc>
                <w:tcPr>
                  <w:tcW w:w="1361" w:type="dxa"/>
                  <w:vAlign w:val="center"/>
                </w:tcPr>
                <w:p w14:paraId="3882224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154" w:type="dxa"/>
                  <w:vAlign w:val="center"/>
                </w:tcPr>
                <w:p w14:paraId="19A90BC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43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571E7A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431" w:type="dxa"/>
                  <w:vMerge w:val="restart"/>
                  <w:vAlign w:val="center"/>
                </w:tcPr>
                <w:p w14:paraId="125D69E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1" w:type="dxa"/>
                  <w:vAlign w:val="center"/>
                </w:tcPr>
                <w:p w14:paraId="63E7897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154" w:type="dxa"/>
                  <w:vAlign w:val="center"/>
                </w:tcPr>
                <w:p w14:paraId="78FB47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2AC6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2251B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431" w:type="dxa"/>
                  <w:vMerge w:val="continue"/>
                  <w:vAlign w:val="center"/>
                </w:tcPr>
                <w:p w14:paraId="44E7895A">
                  <w:pPr>
                    <w:rPr>
                      <w:highlight w:val="none"/>
                    </w:rPr>
                  </w:pPr>
                </w:p>
              </w:tc>
              <w:tc>
                <w:tcPr>
                  <w:tcW w:w="1361" w:type="dxa"/>
                  <w:vAlign w:val="center"/>
                </w:tcPr>
                <w:p w14:paraId="5AD65D6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154" w:type="dxa"/>
                  <w:vAlign w:val="center"/>
                </w:tcPr>
                <w:p w14:paraId="2BD226B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2FE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719199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431" w:type="dxa"/>
                  <w:vMerge w:val="restart"/>
                  <w:vAlign w:val="center"/>
                </w:tcPr>
                <w:p w14:paraId="55447F4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1" w:type="dxa"/>
                  <w:vAlign w:val="center"/>
                </w:tcPr>
                <w:p w14:paraId="5A948C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154" w:type="dxa"/>
                  <w:vAlign w:val="center"/>
                </w:tcPr>
                <w:p w14:paraId="5C42F2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2B6E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83D68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431" w:type="dxa"/>
                  <w:vMerge w:val="continue"/>
                  <w:vAlign w:val="center"/>
                </w:tcPr>
                <w:p w14:paraId="121168EC">
                  <w:pPr>
                    <w:rPr>
                      <w:highlight w:val="none"/>
                    </w:rPr>
                  </w:pPr>
                </w:p>
              </w:tc>
              <w:tc>
                <w:tcPr>
                  <w:tcW w:w="1361" w:type="dxa"/>
                  <w:vAlign w:val="center"/>
                </w:tcPr>
                <w:p w14:paraId="7D14E7B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154" w:type="dxa"/>
                  <w:vAlign w:val="center"/>
                </w:tcPr>
                <w:p w14:paraId="299DA2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133BAF0E">
            <w:pPr>
              <w:rPr>
                <w:rFonts w:ascii="宋体" w:hAnsi="宋体" w:eastAsia="仿宋" w:cs="宋体"/>
                <w:b/>
                <w:bCs/>
                <w:kern w:val="0"/>
                <w:sz w:val="22"/>
                <w:highlight w:val="none"/>
              </w:rPr>
            </w:pPr>
          </w:p>
          <w:p w14:paraId="00C0B664">
            <w:pPr>
              <w:rPr>
                <w:rFonts w:ascii="宋体" w:hAnsi="宋体" w:eastAsia="仿宋" w:cs="宋体"/>
                <w:b/>
                <w:bCs/>
                <w:kern w:val="0"/>
                <w:sz w:val="22"/>
                <w:highlight w:val="none"/>
              </w:rPr>
            </w:pPr>
            <w:r>
              <w:rPr>
                <w:rFonts w:hint="eastAsia" w:ascii="宋体" w:hAnsi="宋体" w:eastAsia="仿宋" w:cs="宋体"/>
                <w:b/>
                <w:bCs/>
                <w:kern w:val="0"/>
                <w:sz w:val="22"/>
                <w:highlight w:val="none"/>
              </w:rPr>
              <w:t>附9：“数据库备份一体机”硬件部分详细参数配置要求：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29"/>
              <w:gridCol w:w="1360"/>
              <w:gridCol w:w="4148"/>
            </w:tblGrid>
            <w:tr w14:paraId="744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B5EE15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序号</w:t>
                  </w:r>
                </w:p>
              </w:tc>
              <w:tc>
                <w:tcPr>
                  <w:tcW w:w="1431" w:type="dxa"/>
                  <w:vAlign w:val="center"/>
                </w:tcPr>
                <w:p w14:paraId="375CE24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一级性能参数指标</w:t>
                  </w:r>
                </w:p>
              </w:tc>
              <w:tc>
                <w:tcPr>
                  <w:tcW w:w="1361" w:type="dxa"/>
                  <w:vAlign w:val="center"/>
                </w:tcPr>
                <w:p w14:paraId="2BC8C78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二级性能参数指标</w:t>
                  </w:r>
                </w:p>
              </w:tc>
              <w:tc>
                <w:tcPr>
                  <w:tcW w:w="4154" w:type="dxa"/>
                  <w:vAlign w:val="center"/>
                </w:tcPr>
                <w:p w14:paraId="3512E8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详细参数配置要求</w:t>
                  </w:r>
                </w:p>
              </w:tc>
            </w:tr>
            <w:tr w14:paraId="137F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28892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w:t>
                  </w:r>
                </w:p>
              </w:tc>
              <w:tc>
                <w:tcPr>
                  <w:tcW w:w="1431" w:type="dxa"/>
                  <w:vAlign w:val="center"/>
                </w:tcPr>
                <w:p w14:paraId="713A6F8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CPU规格</w:t>
                  </w:r>
                </w:p>
              </w:tc>
              <w:tc>
                <w:tcPr>
                  <w:tcW w:w="1361" w:type="dxa"/>
                  <w:vAlign w:val="center"/>
                </w:tcPr>
                <w:p w14:paraId="4121553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信息</w:t>
                  </w:r>
                </w:p>
              </w:tc>
              <w:tc>
                <w:tcPr>
                  <w:tcW w:w="4154" w:type="dxa"/>
                  <w:vAlign w:val="center"/>
                </w:tcPr>
                <w:p w14:paraId="3225FB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（1）配置≥2颗国产C86-3G架构处理器，支持超线程技术和睿频技术；</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（2）单颗CPU物理核心数≥32核、主频≥2.2GHz、末级缓存容量≥64MB、线程数≥64、热设计功耗≥135W、支持内存的最高速率≥3200MHz、通道数≥8、位宽≥64位；</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供应商应在投标时给出CPU型号</w:t>
                  </w:r>
                </w:p>
              </w:tc>
            </w:tr>
            <w:tr w14:paraId="30F9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F17FC9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c>
                <w:tcPr>
                  <w:tcW w:w="1431" w:type="dxa"/>
                  <w:vMerge w:val="restart"/>
                  <w:vAlign w:val="center"/>
                </w:tcPr>
                <w:p w14:paraId="055E20A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主板规格</w:t>
                  </w:r>
                </w:p>
              </w:tc>
              <w:tc>
                <w:tcPr>
                  <w:tcW w:w="1361" w:type="dxa"/>
                  <w:vAlign w:val="center"/>
                </w:tcPr>
                <w:p w14:paraId="5A6188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主板支持的CPU 和内存情况</w:t>
                  </w:r>
                </w:p>
              </w:tc>
              <w:tc>
                <w:tcPr>
                  <w:tcW w:w="4154" w:type="dxa"/>
                  <w:vAlign w:val="center"/>
                </w:tcPr>
                <w:p w14:paraId="1168CA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主板支持CPU ≥2颗，内存数量支持≥ 16个；</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供应商应在投标时给出主板支持的CPU型号；</w:t>
                  </w:r>
                </w:p>
              </w:tc>
            </w:tr>
            <w:tr w14:paraId="5E74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D0916B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w:t>
                  </w:r>
                </w:p>
              </w:tc>
              <w:tc>
                <w:tcPr>
                  <w:tcW w:w="1431" w:type="dxa"/>
                  <w:vMerge w:val="continue"/>
                  <w:vAlign w:val="center"/>
                </w:tcPr>
                <w:p w14:paraId="2833D8D1">
                  <w:pPr>
                    <w:rPr>
                      <w:highlight w:val="none"/>
                    </w:rPr>
                  </w:pPr>
                </w:p>
              </w:tc>
              <w:tc>
                <w:tcPr>
                  <w:tcW w:w="1361" w:type="dxa"/>
                  <w:vAlign w:val="center"/>
                </w:tcPr>
                <w:p w14:paraId="78AD818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主板内存槽数量</w:t>
                  </w:r>
                </w:p>
              </w:tc>
              <w:tc>
                <w:tcPr>
                  <w:tcW w:w="4154" w:type="dxa"/>
                  <w:vAlign w:val="center"/>
                </w:tcPr>
                <w:p w14:paraId="463D1E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主板内存槽数量≥16个</w:t>
                  </w:r>
                </w:p>
              </w:tc>
            </w:tr>
            <w:tr w14:paraId="4DC5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B4FFF7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w:t>
                  </w:r>
                </w:p>
              </w:tc>
              <w:tc>
                <w:tcPr>
                  <w:tcW w:w="1431" w:type="dxa"/>
                  <w:vMerge w:val="continue"/>
                  <w:vAlign w:val="center"/>
                </w:tcPr>
                <w:p w14:paraId="64346FD0">
                  <w:pPr>
                    <w:rPr>
                      <w:highlight w:val="none"/>
                    </w:rPr>
                  </w:pPr>
                </w:p>
              </w:tc>
              <w:tc>
                <w:tcPr>
                  <w:tcW w:w="1361" w:type="dxa"/>
                  <w:vAlign w:val="center"/>
                </w:tcPr>
                <w:p w14:paraId="0D22EE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主板存储接口</w:t>
                  </w:r>
                </w:p>
              </w:tc>
              <w:tc>
                <w:tcPr>
                  <w:tcW w:w="4154" w:type="dxa"/>
                  <w:vAlign w:val="center"/>
                </w:tcPr>
                <w:p w14:paraId="6D0C73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（1）主板支持SATA/SAS/M.2/U.2存储接口；</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（2）板载支持≥12个U.2或  SATA/SAS；</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（3）板载可支持1个内置M.2 SSD；</w:t>
                  </w:r>
                </w:p>
              </w:tc>
            </w:tr>
            <w:tr w14:paraId="6187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36989A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w:t>
                  </w:r>
                </w:p>
              </w:tc>
              <w:tc>
                <w:tcPr>
                  <w:tcW w:w="1431" w:type="dxa"/>
                  <w:vMerge w:val="continue"/>
                  <w:vAlign w:val="center"/>
                </w:tcPr>
                <w:p w14:paraId="3DA4224E">
                  <w:pPr>
                    <w:rPr>
                      <w:highlight w:val="none"/>
                    </w:rPr>
                  </w:pPr>
                </w:p>
              </w:tc>
              <w:tc>
                <w:tcPr>
                  <w:tcW w:w="1361" w:type="dxa"/>
                  <w:vAlign w:val="center"/>
                </w:tcPr>
                <w:p w14:paraId="4E64A01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PCIe 插槽接口</w:t>
                  </w:r>
                </w:p>
              </w:tc>
              <w:tc>
                <w:tcPr>
                  <w:tcW w:w="4154" w:type="dxa"/>
                  <w:vAlign w:val="center"/>
                </w:tcPr>
                <w:p w14:paraId="2A8EDA5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支持PCI-E 4.0插槽，可支持向下兼容</w:t>
                  </w:r>
                </w:p>
              </w:tc>
            </w:tr>
            <w:tr w14:paraId="095C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AA46D1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w:t>
                  </w:r>
                </w:p>
              </w:tc>
              <w:tc>
                <w:tcPr>
                  <w:tcW w:w="1431" w:type="dxa"/>
                  <w:vMerge w:val="continue"/>
                  <w:vAlign w:val="center"/>
                </w:tcPr>
                <w:p w14:paraId="1EEFE086">
                  <w:pPr>
                    <w:rPr>
                      <w:highlight w:val="none"/>
                    </w:rPr>
                  </w:pPr>
                </w:p>
              </w:tc>
              <w:tc>
                <w:tcPr>
                  <w:tcW w:w="1361" w:type="dxa"/>
                  <w:vAlign w:val="center"/>
                </w:tcPr>
                <w:p w14:paraId="3790BC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主板PCIe插槽数量及规格</w:t>
                  </w:r>
                </w:p>
              </w:tc>
              <w:tc>
                <w:tcPr>
                  <w:tcW w:w="4154" w:type="dxa"/>
                  <w:vAlign w:val="center"/>
                </w:tcPr>
                <w:p w14:paraId="7122181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主板最大可扩展≥6个PCIe 4.0插槽；</w:t>
                  </w:r>
                </w:p>
              </w:tc>
            </w:tr>
            <w:tr w14:paraId="48DB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51878F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w:t>
                  </w:r>
                </w:p>
              </w:tc>
              <w:tc>
                <w:tcPr>
                  <w:tcW w:w="1431" w:type="dxa"/>
                  <w:vMerge w:val="restart"/>
                  <w:vAlign w:val="center"/>
                </w:tcPr>
                <w:p w14:paraId="37B26B0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1361" w:type="dxa"/>
                  <w:vAlign w:val="center"/>
                </w:tcPr>
                <w:p w14:paraId="6B54313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内存数量</w:t>
                  </w:r>
                </w:p>
              </w:tc>
              <w:tc>
                <w:tcPr>
                  <w:tcW w:w="4154" w:type="dxa"/>
                  <w:vAlign w:val="center"/>
                </w:tcPr>
                <w:p w14:paraId="349161F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内存数量≥16</w:t>
                  </w:r>
                </w:p>
              </w:tc>
            </w:tr>
            <w:tr w14:paraId="50AA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2D8EE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8</w:t>
                  </w:r>
                </w:p>
              </w:tc>
              <w:tc>
                <w:tcPr>
                  <w:tcW w:w="1431" w:type="dxa"/>
                  <w:vMerge w:val="continue"/>
                  <w:vAlign w:val="center"/>
                </w:tcPr>
                <w:p w14:paraId="5F146FF4">
                  <w:pPr>
                    <w:rPr>
                      <w:highlight w:val="none"/>
                    </w:rPr>
                  </w:pPr>
                </w:p>
              </w:tc>
              <w:tc>
                <w:tcPr>
                  <w:tcW w:w="1361" w:type="dxa"/>
                  <w:vAlign w:val="center"/>
                </w:tcPr>
                <w:p w14:paraId="027BC27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内存规格</w:t>
                  </w:r>
                </w:p>
              </w:tc>
              <w:tc>
                <w:tcPr>
                  <w:tcW w:w="4154" w:type="dxa"/>
                  <w:vAlign w:val="center"/>
                </w:tcPr>
                <w:p w14:paraId="69F05E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实配≥32GB DDR4</w:t>
                  </w:r>
                </w:p>
              </w:tc>
            </w:tr>
            <w:tr w14:paraId="418F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A9065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9</w:t>
                  </w:r>
                </w:p>
              </w:tc>
              <w:tc>
                <w:tcPr>
                  <w:tcW w:w="1431" w:type="dxa"/>
                  <w:vMerge w:val="continue"/>
                  <w:vAlign w:val="center"/>
                </w:tcPr>
                <w:p w14:paraId="28EAAC9C">
                  <w:pPr>
                    <w:rPr>
                      <w:highlight w:val="none"/>
                    </w:rPr>
                  </w:pPr>
                </w:p>
              </w:tc>
              <w:tc>
                <w:tcPr>
                  <w:tcW w:w="1361" w:type="dxa"/>
                  <w:vAlign w:val="center"/>
                </w:tcPr>
                <w:p w14:paraId="4F9B53F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内存通道</w:t>
                  </w:r>
                </w:p>
              </w:tc>
              <w:tc>
                <w:tcPr>
                  <w:tcW w:w="4154" w:type="dxa"/>
                  <w:vAlign w:val="center"/>
                </w:tcPr>
                <w:p w14:paraId="58EF00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支持≥4个内存接口通道</w:t>
                  </w:r>
                </w:p>
              </w:tc>
            </w:tr>
            <w:tr w14:paraId="0BB1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9D533B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10</w:t>
                  </w:r>
                </w:p>
              </w:tc>
              <w:tc>
                <w:tcPr>
                  <w:tcW w:w="1431" w:type="dxa"/>
                  <w:vMerge w:val="restart"/>
                  <w:vAlign w:val="center"/>
                </w:tcPr>
                <w:p w14:paraId="0579ED8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存储规格</w:t>
                  </w:r>
                </w:p>
              </w:tc>
              <w:tc>
                <w:tcPr>
                  <w:tcW w:w="1361" w:type="dxa"/>
                  <w:vAlign w:val="center"/>
                </w:tcPr>
                <w:p w14:paraId="2E417A4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硬磁盘实配容量</w:t>
                  </w:r>
                </w:p>
              </w:tc>
              <w:tc>
                <w:tcPr>
                  <w:tcW w:w="4154" w:type="dxa"/>
                  <w:vAlign w:val="center"/>
                </w:tcPr>
                <w:p w14:paraId="5371B72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实配≥2块1.92TB U.2 NVMe 企业级SSD，≥10块7.68TB 2.5英寸 U.2企业级 NVMe SSD</w:t>
                  </w:r>
                </w:p>
              </w:tc>
            </w:tr>
            <w:tr w14:paraId="3497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D5204D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w:t>
                  </w:r>
                </w:p>
              </w:tc>
              <w:tc>
                <w:tcPr>
                  <w:tcW w:w="1431" w:type="dxa"/>
                  <w:vMerge w:val="continue"/>
                  <w:vAlign w:val="center"/>
                </w:tcPr>
                <w:p w14:paraId="2FE5236F">
                  <w:pPr>
                    <w:rPr>
                      <w:highlight w:val="none"/>
                    </w:rPr>
                  </w:pPr>
                </w:p>
              </w:tc>
              <w:tc>
                <w:tcPr>
                  <w:tcW w:w="1361" w:type="dxa"/>
                  <w:vAlign w:val="center"/>
                </w:tcPr>
                <w:p w14:paraId="4C74526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硬盘实配数量</w:t>
                  </w:r>
                </w:p>
              </w:tc>
              <w:tc>
                <w:tcPr>
                  <w:tcW w:w="4154" w:type="dxa"/>
                  <w:vAlign w:val="center"/>
                </w:tcPr>
                <w:p w14:paraId="433C76F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实配≥2块U.2 NVMe 企业级SSD，≥10块2.5英寸 U.2企业级 NVMe SSD</w:t>
                  </w:r>
                </w:p>
              </w:tc>
            </w:tr>
            <w:tr w14:paraId="0D2A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8D6F6A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12</w:t>
                  </w:r>
                </w:p>
              </w:tc>
              <w:tc>
                <w:tcPr>
                  <w:tcW w:w="1431" w:type="dxa"/>
                  <w:vMerge w:val="continue"/>
                  <w:vAlign w:val="center"/>
                </w:tcPr>
                <w:p w14:paraId="325A5775">
                  <w:pPr>
                    <w:rPr>
                      <w:highlight w:val="none"/>
                    </w:rPr>
                  </w:pPr>
                </w:p>
              </w:tc>
              <w:tc>
                <w:tcPr>
                  <w:tcW w:w="1361" w:type="dxa"/>
                  <w:vAlign w:val="center"/>
                </w:tcPr>
                <w:p w14:paraId="7A1B8E3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硬盘插槽数量及规格</w:t>
                  </w:r>
                </w:p>
              </w:tc>
              <w:tc>
                <w:tcPr>
                  <w:tcW w:w="4154" w:type="dxa"/>
                  <w:vAlign w:val="center"/>
                </w:tcPr>
                <w:p w14:paraId="2DA5E77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（1）支持≥12个前置热插拔3.5硬盘或2.5硬盘，支持SAS/SATA混插，支持4块U.2 SSD</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（2）后置支持≥2个2.5寸硬盘/3.5寸硬盘；</w:t>
                  </w:r>
                </w:p>
              </w:tc>
            </w:tr>
            <w:tr w14:paraId="2136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D5FF81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w:t>
                  </w:r>
                </w:p>
              </w:tc>
              <w:tc>
                <w:tcPr>
                  <w:tcW w:w="1431" w:type="dxa"/>
                  <w:vAlign w:val="center"/>
                </w:tcPr>
                <w:p w14:paraId="615E133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网络规格</w:t>
                  </w:r>
                </w:p>
              </w:tc>
              <w:tc>
                <w:tcPr>
                  <w:tcW w:w="1361" w:type="dxa"/>
                  <w:vAlign w:val="center"/>
                </w:tcPr>
                <w:p w14:paraId="173630C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网口速率和数量</w:t>
                  </w:r>
                </w:p>
              </w:tc>
              <w:tc>
                <w:tcPr>
                  <w:tcW w:w="4154" w:type="dxa"/>
                  <w:vAlign w:val="center"/>
                </w:tcPr>
                <w:p w14:paraId="2630498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≥1*100GbE 双端口QSFP28光模块，PCIe3.0 x16网卡(支持 RoCE v2)</w:t>
                  </w:r>
                </w:p>
              </w:tc>
            </w:tr>
            <w:tr w14:paraId="0A92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F014A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14</w:t>
                  </w:r>
                </w:p>
              </w:tc>
              <w:tc>
                <w:tcPr>
                  <w:tcW w:w="1431" w:type="dxa"/>
                  <w:vMerge w:val="restart"/>
                  <w:vAlign w:val="center"/>
                </w:tcPr>
                <w:p w14:paraId="7502968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外部接口规格</w:t>
                  </w:r>
                </w:p>
              </w:tc>
              <w:tc>
                <w:tcPr>
                  <w:tcW w:w="1361" w:type="dxa"/>
                  <w:vAlign w:val="center"/>
                </w:tcPr>
                <w:p w14:paraId="3D0B68D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显示接口</w:t>
                  </w:r>
                </w:p>
              </w:tc>
              <w:tc>
                <w:tcPr>
                  <w:tcW w:w="4154" w:type="dxa"/>
                  <w:vAlign w:val="center"/>
                </w:tcPr>
                <w:p w14:paraId="39838A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配置≥1个VGA接口</w:t>
                  </w:r>
                </w:p>
              </w:tc>
            </w:tr>
            <w:tr w14:paraId="16EA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505168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15</w:t>
                  </w:r>
                </w:p>
              </w:tc>
              <w:tc>
                <w:tcPr>
                  <w:tcW w:w="1431" w:type="dxa"/>
                  <w:vMerge w:val="continue"/>
                  <w:vAlign w:val="center"/>
                </w:tcPr>
                <w:p w14:paraId="5E75A2DA">
                  <w:pPr>
                    <w:rPr>
                      <w:highlight w:val="none"/>
                    </w:rPr>
                  </w:pPr>
                </w:p>
              </w:tc>
              <w:tc>
                <w:tcPr>
                  <w:tcW w:w="1361" w:type="dxa"/>
                  <w:vAlign w:val="center"/>
                </w:tcPr>
                <w:p w14:paraId="4A8EA7F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USB 接口</w:t>
                  </w:r>
                </w:p>
              </w:tc>
              <w:tc>
                <w:tcPr>
                  <w:tcW w:w="4154" w:type="dxa"/>
                  <w:vAlign w:val="center"/>
                </w:tcPr>
                <w:p w14:paraId="289814E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配置≥4个USB3.0接口，2个位于机箱后部，2个位于机箱前部。</w:t>
                  </w:r>
                </w:p>
              </w:tc>
            </w:tr>
            <w:tr w14:paraId="16B3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34F48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16</w:t>
                  </w:r>
                </w:p>
              </w:tc>
              <w:tc>
                <w:tcPr>
                  <w:tcW w:w="1431" w:type="dxa"/>
                  <w:vMerge w:val="restart"/>
                  <w:vAlign w:val="center"/>
                </w:tcPr>
                <w:p w14:paraId="719B22A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电源规格</w:t>
                  </w:r>
                </w:p>
              </w:tc>
              <w:tc>
                <w:tcPr>
                  <w:tcW w:w="1361" w:type="dxa"/>
                  <w:vAlign w:val="center"/>
                </w:tcPr>
                <w:p w14:paraId="1096D89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电源模块数量</w:t>
                  </w:r>
                </w:p>
              </w:tc>
              <w:tc>
                <w:tcPr>
                  <w:tcW w:w="4154" w:type="dxa"/>
                  <w:vAlign w:val="center"/>
                </w:tcPr>
                <w:p w14:paraId="0A6086B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w:t>
                  </w:r>
                </w:p>
              </w:tc>
            </w:tr>
            <w:tr w14:paraId="695C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1CBFE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17</w:t>
                  </w:r>
                </w:p>
              </w:tc>
              <w:tc>
                <w:tcPr>
                  <w:tcW w:w="1431" w:type="dxa"/>
                  <w:vMerge w:val="continue"/>
                  <w:vAlign w:val="center"/>
                </w:tcPr>
                <w:p w14:paraId="7A0673FD">
                  <w:pPr>
                    <w:rPr>
                      <w:highlight w:val="none"/>
                    </w:rPr>
                  </w:pPr>
                </w:p>
              </w:tc>
              <w:tc>
                <w:tcPr>
                  <w:tcW w:w="1361" w:type="dxa"/>
                  <w:vAlign w:val="center"/>
                </w:tcPr>
                <w:p w14:paraId="2A8979E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电源功率</w:t>
                  </w:r>
                </w:p>
              </w:tc>
              <w:tc>
                <w:tcPr>
                  <w:tcW w:w="4154" w:type="dxa"/>
                  <w:vAlign w:val="center"/>
                </w:tcPr>
                <w:p w14:paraId="6BFE2D7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≥1300W，电源模块功率应有一定冗余， 满足处理器满载时的需求</w:t>
                  </w:r>
                </w:p>
              </w:tc>
            </w:tr>
            <w:tr w14:paraId="2CC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637B99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18</w:t>
                  </w:r>
                </w:p>
              </w:tc>
              <w:tc>
                <w:tcPr>
                  <w:tcW w:w="1431" w:type="dxa"/>
                  <w:vMerge w:val="restart"/>
                  <w:vAlign w:val="center"/>
                </w:tcPr>
                <w:p w14:paraId="5583293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整机规格</w:t>
                  </w:r>
                </w:p>
              </w:tc>
              <w:tc>
                <w:tcPr>
                  <w:tcW w:w="1361" w:type="dxa"/>
                  <w:vAlign w:val="center"/>
                </w:tcPr>
                <w:p w14:paraId="719F607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外观和结构</w:t>
                  </w:r>
                </w:p>
              </w:tc>
              <w:tc>
                <w:tcPr>
                  <w:tcW w:w="4154" w:type="dxa"/>
                  <w:vAlign w:val="center"/>
                </w:tcPr>
                <w:p w14:paraId="40D764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a)服务器的零部件应紧固无松动，可插拔部件应可靠连接，开关、按钮和其它控制部件应灵活可靠，布局应方便使用；</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产品表面不应有明显的凹痕、划伤、裂缝、变形和污染等。表面涂层均匀，不应起泡、龟裂、脱落和磨损，金属零部件无锈蚀及其它机械损伤；</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产品表面说明功能的文字、符号和标志应清晰、端正且牢固；</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应在服务器的显著位置提供运行状态的指示功能，并在随机文件中明确具体含义；</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f) 高密度服务器应给出 CPU 个数与机柜高度；</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g) 服务器尺寸具体要求在随机文件中明确</w:t>
                  </w:r>
                </w:p>
              </w:tc>
            </w:tr>
            <w:tr w14:paraId="16E2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17AC87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19</w:t>
                  </w:r>
                </w:p>
              </w:tc>
              <w:tc>
                <w:tcPr>
                  <w:tcW w:w="1431" w:type="dxa"/>
                  <w:vMerge w:val="continue"/>
                  <w:vAlign w:val="center"/>
                </w:tcPr>
                <w:p w14:paraId="4743CC43">
                  <w:pPr>
                    <w:rPr>
                      <w:highlight w:val="none"/>
                    </w:rPr>
                  </w:pPr>
                </w:p>
              </w:tc>
              <w:tc>
                <w:tcPr>
                  <w:tcW w:w="1361" w:type="dxa"/>
                  <w:vAlign w:val="center"/>
                </w:tcPr>
                <w:p w14:paraId="0DB7C52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尺寸（高×宽×深）</w:t>
                  </w:r>
                </w:p>
              </w:tc>
              <w:tc>
                <w:tcPr>
                  <w:tcW w:w="4154" w:type="dxa"/>
                  <w:vAlign w:val="center"/>
                </w:tcPr>
                <w:p w14:paraId="33554E8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2U机架式服务器，机箱深度小于800mm</w:t>
                  </w:r>
                </w:p>
              </w:tc>
            </w:tr>
            <w:tr w14:paraId="2AFB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F5FB87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20</w:t>
                  </w:r>
                </w:p>
              </w:tc>
              <w:tc>
                <w:tcPr>
                  <w:tcW w:w="1431" w:type="dxa"/>
                  <w:vMerge w:val="continue"/>
                  <w:vAlign w:val="center"/>
                </w:tcPr>
                <w:p w14:paraId="4D78F463">
                  <w:pPr>
                    <w:rPr>
                      <w:highlight w:val="none"/>
                    </w:rPr>
                  </w:pPr>
                </w:p>
              </w:tc>
              <w:tc>
                <w:tcPr>
                  <w:tcW w:w="1361" w:type="dxa"/>
                  <w:vAlign w:val="center"/>
                </w:tcPr>
                <w:p w14:paraId="5A516FB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环境适应性</w:t>
                  </w:r>
                </w:p>
              </w:tc>
              <w:tc>
                <w:tcPr>
                  <w:tcW w:w="4154" w:type="dxa"/>
                  <w:vAlign w:val="center"/>
                </w:tcPr>
                <w:p w14:paraId="55428EE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气候环境适应性应符合 GB/T9813.3 的有关规定，工作温度 10～35℃，贮存运输温度-40～55℃；工作相对湿度 35%～80%，贮存运输相对湿度 20％～93%（40℃）；大气压86～106kPa</w:t>
                  </w:r>
                </w:p>
              </w:tc>
            </w:tr>
            <w:tr w14:paraId="56BB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E33678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21</w:t>
                  </w:r>
                </w:p>
              </w:tc>
              <w:tc>
                <w:tcPr>
                  <w:tcW w:w="1431" w:type="dxa"/>
                  <w:vMerge w:val="continue"/>
                  <w:vAlign w:val="center"/>
                </w:tcPr>
                <w:p w14:paraId="33E521AA">
                  <w:pPr>
                    <w:rPr>
                      <w:highlight w:val="none"/>
                    </w:rPr>
                  </w:pPr>
                </w:p>
              </w:tc>
              <w:tc>
                <w:tcPr>
                  <w:tcW w:w="1361" w:type="dxa"/>
                  <w:vAlign w:val="center"/>
                </w:tcPr>
                <w:p w14:paraId="60F7BBC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机械环境适应性</w:t>
                  </w:r>
                </w:p>
              </w:tc>
              <w:tc>
                <w:tcPr>
                  <w:tcW w:w="4154" w:type="dxa"/>
                  <w:vAlign w:val="center"/>
                </w:tcPr>
                <w:p w14:paraId="0476E9C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机械环境适应性应符合 GB/T9813.3 的有关规定</w:t>
                  </w:r>
                </w:p>
              </w:tc>
            </w:tr>
            <w:tr w14:paraId="13F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9254C1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w:t>
                  </w:r>
                </w:p>
              </w:tc>
              <w:tc>
                <w:tcPr>
                  <w:tcW w:w="1431" w:type="dxa"/>
                  <w:vMerge w:val="continue"/>
                  <w:vAlign w:val="center"/>
                </w:tcPr>
                <w:p w14:paraId="271506CD">
                  <w:pPr>
                    <w:rPr>
                      <w:highlight w:val="none"/>
                    </w:rPr>
                  </w:pPr>
                </w:p>
              </w:tc>
              <w:tc>
                <w:tcPr>
                  <w:tcW w:w="1361" w:type="dxa"/>
                  <w:vAlign w:val="center"/>
                </w:tcPr>
                <w:p w14:paraId="5FE9848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噪声</w:t>
                  </w:r>
                </w:p>
              </w:tc>
              <w:tc>
                <w:tcPr>
                  <w:tcW w:w="4154" w:type="dxa"/>
                  <w:vAlign w:val="center"/>
                </w:tcPr>
                <w:p w14:paraId="4797C2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的有关规定，在产品说明中给出具体测试值塔式服务器噪声在空闲状态下不大于 50dB</w:t>
                  </w:r>
                </w:p>
              </w:tc>
            </w:tr>
            <w:tr w14:paraId="6854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A0AF0F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23</w:t>
                  </w:r>
                </w:p>
              </w:tc>
              <w:tc>
                <w:tcPr>
                  <w:tcW w:w="1431" w:type="dxa"/>
                  <w:vAlign w:val="center"/>
                </w:tcPr>
                <w:p w14:paraId="3DA7E52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机柜规格</w:t>
                  </w:r>
                </w:p>
              </w:tc>
              <w:tc>
                <w:tcPr>
                  <w:tcW w:w="1361" w:type="dxa"/>
                  <w:vAlign w:val="center"/>
                </w:tcPr>
                <w:p w14:paraId="6AF2055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机柜尺寸</w:t>
                  </w:r>
                </w:p>
              </w:tc>
              <w:tc>
                <w:tcPr>
                  <w:tcW w:w="4154" w:type="dxa"/>
                  <w:vAlign w:val="center"/>
                </w:tcPr>
                <w:p w14:paraId="34EA2BD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2U机架式服务器，能安装于19英寸标准服务器机柜</w:t>
                  </w:r>
                </w:p>
              </w:tc>
            </w:tr>
            <w:tr w14:paraId="7DA0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B37477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24</w:t>
                  </w:r>
                </w:p>
              </w:tc>
              <w:tc>
                <w:tcPr>
                  <w:tcW w:w="1431" w:type="dxa"/>
                  <w:vAlign w:val="center"/>
                </w:tcPr>
                <w:p w14:paraId="0295623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主板功能</w:t>
                  </w:r>
                </w:p>
              </w:tc>
              <w:tc>
                <w:tcPr>
                  <w:tcW w:w="1361" w:type="dxa"/>
                  <w:vAlign w:val="center"/>
                </w:tcPr>
                <w:p w14:paraId="40E20AA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主板外部接口种类</w:t>
                  </w:r>
                </w:p>
              </w:tc>
              <w:tc>
                <w:tcPr>
                  <w:tcW w:w="4154" w:type="dxa"/>
                  <w:vAlign w:val="center"/>
                </w:tcPr>
                <w:p w14:paraId="7DB2FDA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 USB、显示、管理等接口</w:t>
                  </w:r>
                </w:p>
              </w:tc>
            </w:tr>
            <w:tr w14:paraId="37D4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4EFAB1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25</w:t>
                  </w:r>
                </w:p>
              </w:tc>
              <w:tc>
                <w:tcPr>
                  <w:tcW w:w="1431" w:type="dxa"/>
                  <w:vAlign w:val="center"/>
                </w:tcPr>
                <w:p w14:paraId="2CEB75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1361" w:type="dxa"/>
                  <w:vAlign w:val="center"/>
                </w:tcPr>
                <w:p w14:paraId="6776E42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网络功能</w:t>
                  </w:r>
                </w:p>
              </w:tc>
              <w:tc>
                <w:tcPr>
                  <w:tcW w:w="4154" w:type="dxa"/>
                  <w:vAlign w:val="center"/>
                </w:tcPr>
                <w:p w14:paraId="32C65D3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支持网络连接、网络访问、数据交换和网络管控功能</w:t>
                  </w:r>
                </w:p>
              </w:tc>
            </w:tr>
            <w:tr w14:paraId="19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47B4CA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26</w:t>
                  </w:r>
                </w:p>
              </w:tc>
              <w:tc>
                <w:tcPr>
                  <w:tcW w:w="1431" w:type="dxa"/>
                  <w:vMerge w:val="restart"/>
                  <w:vAlign w:val="center"/>
                </w:tcPr>
                <w:p w14:paraId="1C84261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CPU功能</w:t>
                  </w:r>
                </w:p>
              </w:tc>
              <w:tc>
                <w:tcPr>
                  <w:tcW w:w="1361" w:type="dxa"/>
                  <w:vAlign w:val="center"/>
                </w:tcPr>
                <w:p w14:paraId="188B33E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计算处理</w:t>
                  </w:r>
                </w:p>
              </w:tc>
              <w:tc>
                <w:tcPr>
                  <w:tcW w:w="4154" w:type="dxa"/>
                  <w:vAlign w:val="center"/>
                </w:tcPr>
                <w:p w14:paraId="79E022D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EEC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BC0F26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27</w:t>
                  </w:r>
                </w:p>
              </w:tc>
              <w:tc>
                <w:tcPr>
                  <w:tcW w:w="1431" w:type="dxa"/>
                  <w:vMerge w:val="continue"/>
                  <w:vAlign w:val="center"/>
                </w:tcPr>
                <w:p w14:paraId="5AC12D40">
                  <w:pPr>
                    <w:rPr>
                      <w:highlight w:val="none"/>
                    </w:rPr>
                  </w:pPr>
                </w:p>
              </w:tc>
              <w:tc>
                <w:tcPr>
                  <w:tcW w:w="1361" w:type="dxa"/>
                  <w:vAlign w:val="center"/>
                </w:tcPr>
                <w:p w14:paraId="3F438B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密码算法实现</w:t>
                  </w:r>
                </w:p>
              </w:tc>
              <w:tc>
                <w:tcPr>
                  <w:tcW w:w="4154" w:type="dxa"/>
                  <w:vAlign w:val="center"/>
                </w:tcPr>
                <w:p w14:paraId="1D1E0A7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芯片应符合 GM/T 0008 的相关规定，或芯片密码模块应符合 GB/T37092 或 GM/T 0028 的相关规定</w:t>
                  </w:r>
                </w:p>
              </w:tc>
            </w:tr>
            <w:tr w14:paraId="4221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006391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28</w:t>
                  </w:r>
                </w:p>
              </w:tc>
              <w:tc>
                <w:tcPr>
                  <w:tcW w:w="1431" w:type="dxa"/>
                  <w:vMerge w:val="restart"/>
                  <w:vAlign w:val="center"/>
                </w:tcPr>
                <w:p w14:paraId="4A658D8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电源功能</w:t>
                  </w:r>
                </w:p>
              </w:tc>
              <w:tc>
                <w:tcPr>
                  <w:tcW w:w="1361" w:type="dxa"/>
                  <w:vAlign w:val="center"/>
                </w:tcPr>
                <w:p w14:paraId="4276AF5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电源热插拔</w:t>
                  </w:r>
                </w:p>
              </w:tc>
              <w:tc>
                <w:tcPr>
                  <w:tcW w:w="4154" w:type="dxa"/>
                  <w:vAlign w:val="center"/>
                </w:tcPr>
                <w:p w14:paraId="63FF31E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整机电源模块应具备热插拔功能</w:t>
                  </w:r>
                </w:p>
              </w:tc>
            </w:tr>
            <w:tr w14:paraId="6D1A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9C77CA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w:t>
                  </w:r>
                </w:p>
              </w:tc>
              <w:tc>
                <w:tcPr>
                  <w:tcW w:w="1431" w:type="dxa"/>
                  <w:vMerge w:val="continue"/>
                  <w:vAlign w:val="center"/>
                </w:tcPr>
                <w:p w14:paraId="378A4BA3">
                  <w:pPr>
                    <w:rPr>
                      <w:highlight w:val="none"/>
                    </w:rPr>
                  </w:pPr>
                </w:p>
              </w:tc>
              <w:tc>
                <w:tcPr>
                  <w:tcW w:w="1361" w:type="dxa"/>
                  <w:vAlign w:val="center"/>
                </w:tcPr>
                <w:p w14:paraId="2A3A616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电源过流保护</w:t>
                  </w:r>
                </w:p>
              </w:tc>
              <w:tc>
                <w:tcPr>
                  <w:tcW w:w="4154" w:type="dxa"/>
                  <w:vAlign w:val="center"/>
                </w:tcPr>
                <w:p w14:paraId="55A6CA2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支持过流及短路保护的功能</w:t>
                  </w:r>
                </w:p>
              </w:tc>
            </w:tr>
            <w:tr w14:paraId="1931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0CDB5C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30</w:t>
                  </w:r>
                </w:p>
              </w:tc>
              <w:tc>
                <w:tcPr>
                  <w:tcW w:w="1431" w:type="dxa"/>
                  <w:vAlign w:val="center"/>
                </w:tcPr>
                <w:p w14:paraId="4766A21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整机功能</w:t>
                  </w:r>
                </w:p>
              </w:tc>
              <w:tc>
                <w:tcPr>
                  <w:tcW w:w="1361" w:type="dxa"/>
                  <w:vAlign w:val="center"/>
                </w:tcPr>
                <w:p w14:paraId="719366E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散热方式</w:t>
                  </w:r>
                </w:p>
              </w:tc>
              <w:tc>
                <w:tcPr>
                  <w:tcW w:w="4154" w:type="dxa"/>
                  <w:vAlign w:val="center"/>
                </w:tcPr>
                <w:p w14:paraId="70DB8F7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支持风冷或液冷等散热方式</w:t>
                  </w:r>
                </w:p>
              </w:tc>
            </w:tr>
            <w:tr w14:paraId="4219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7EE60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31</w:t>
                  </w:r>
                </w:p>
              </w:tc>
              <w:tc>
                <w:tcPr>
                  <w:tcW w:w="1431" w:type="dxa"/>
                  <w:vMerge w:val="restart"/>
                  <w:vAlign w:val="center"/>
                </w:tcPr>
                <w:p w14:paraId="44A9E51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管理系统功能</w:t>
                  </w:r>
                </w:p>
              </w:tc>
              <w:tc>
                <w:tcPr>
                  <w:tcW w:w="1361" w:type="dxa"/>
                  <w:vAlign w:val="center"/>
                </w:tcPr>
                <w:p w14:paraId="724BEF4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BMC 固件基础功能</w:t>
                  </w:r>
                </w:p>
              </w:tc>
              <w:tc>
                <w:tcPr>
                  <w:tcW w:w="4154" w:type="dxa"/>
                  <w:vAlign w:val="center"/>
                </w:tcPr>
                <w:p w14:paraId="54CCB92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支持设备日志记录，包括但不限于登录日志、操作日志和报警日志等功能；</w:t>
                  </w:r>
                </w:p>
              </w:tc>
            </w:tr>
            <w:tr w14:paraId="3B5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7F3660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c>
                <w:tcPr>
                  <w:tcW w:w="1431" w:type="dxa"/>
                  <w:vMerge w:val="continue"/>
                  <w:vAlign w:val="center"/>
                </w:tcPr>
                <w:p w14:paraId="29250D23">
                  <w:pPr>
                    <w:rPr>
                      <w:highlight w:val="none"/>
                    </w:rPr>
                  </w:pPr>
                </w:p>
              </w:tc>
              <w:tc>
                <w:tcPr>
                  <w:tcW w:w="1361" w:type="dxa"/>
                  <w:vAlign w:val="center"/>
                </w:tcPr>
                <w:p w14:paraId="2888200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BIOS 固件基础功能</w:t>
                  </w:r>
                </w:p>
              </w:tc>
              <w:tc>
                <w:tcPr>
                  <w:tcW w:w="4154" w:type="dxa"/>
                  <w:vAlign w:val="center"/>
                </w:tcPr>
                <w:p w14:paraId="3CD224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支持查看固件版本、内存信息、主板信息、处理器信息和系统时间信息功能；</w:t>
                  </w:r>
                </w:p>
              </w:tc>
            </w:tr>
            <w:tr w14:paraId="293E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D05F6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33</w:t>
                  </w:r>
                </w:p>
              </w:tc>
              <w:tc>
                <w:tcPr>
                  <w:tcW w:w="1431" w:type="dxa"/>
                  <w:vMerge w:val="continue"/>
                  <w:vAlign w:val="center"/>
                </w:tcPr>
                <w:p w14:paraId="35ECC72E">
                  <w:pPr>
                    <w:rPr>
                      <w:highlight w:val="none"/>
                    </w:rPr>
                  </w:pPr>
                </w:p>
              </w:tc>
              <w:tc>
                <w:tcPr>
                  <w:tcW w:w="1361" w:type="dxa"/>
                  <w:vAlign w:val="center"/>
                </w:tcPr>
                <w:p w14:paraId="07B2C5F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远程控制</w:t>
                  </w:r>
                </w:p>
              </w:tc>
              <w:tc>
                <w:tcPr>
                  <w:tcW w:w="4154" w:type="dxa"/>
                  <w:vAlign w:val="center"/>
                </w:tcPr>
                <w:p w14:paraId="4BDA47E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支持远程关机和重新启动功能</w:t>
                  </w:r>
                  <w:r>
                    <w:rPr>
                      <w:rStyle w:val="90"/>
                      <w:highlight w:val="none"/>
                    </w:rPr>
                    <w:t>_x0007_</w:t>
                  </w:r>
                </w:p>
              </w:tc>
            </w:tr>
            <w:tr w14:paraId="40EB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F65C53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34</w:t>
                  </w:r>
                </w:p>
              </w:tc>
              <w:tc>
                <w:tcPr>
                  <w:tcW w:w="1431" w:type="dxa"/>
                  <w:vMerge w:val="restart"/>
                  <w:vAlign w:val="center"/>
                </w:tcPr>
                <w:p w14:paraId="3399879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操作系统及驱动功能</w:t>
                  </w:r>
                </w:p>
              </w:tc>
              <w:tc>
                <w:tcPr>
                  <w:tcW w:w="1361" w:type="dxa"/>
                  <w:vAlign w:val="center"/>
                </w:tcPr>
                <w:p w14:paraId="3A054A2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操作系统及驱动的升级</w:t>
                  </w:r>
                </w:p>
              </w:tc>
              <w:tc>
                <w:tcPr>
                  <w:tcW w:w="4154" w:type="dxa"/>
                  <w:vAlign w:val="center"/>
                </w:tcPr>
                <w:p w14:paraId="222A362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支持通过网络、闪存盘对操作系统、驱动进行升级</w:t>
                  </w:r>
                </w:p>
              </w:tc>
            </w:tr>
            <w:tr w14:paraId="6A70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6D6C51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35</w:t>
                  </w:r>
                </w:p>
              </w:tc>
              <w:tc>
                <w:tcPr>
                  <w:tcW w:w="1431" w:type="dxa"/>
                  <w:vMerge w:val="continue"/>
                  <w:vAlign w:val="center"/>
                </w:tcPr>
                <w:p w14:paraId="1178238A">
                  <w:pPr>
                    <w:rPr>
                      <w:highlight w:val="none"/>
                    </w:rPr>
                  </w:pPr>
                </w:p>
              </w:tc>
              <w:tc>
                <w:tcPr>
                  <w:tcW w:w="1361" w:type="dxa"/>
                  <w:vAlign w:val="center"/>
                </w:tcPr>
                <w:p w14:paraId="6C86766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操作系统功能</w:t>
                  </w:r>
                </w:p>
              </w:tc>
              <w:tc>
                <w:tcPr>
                  <w:tcW w:w="4154" w:type="dxa"/>
                  <w:vAlign w:val="center"/>
                </w:tcPr>
                <w:p w14:paraId="2F3076C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支持访问控制、安全审计、网络接入鉴别等功能；</w:t>
                  </w:r>
                </w:p>
              </w:tc>
            </w:tr>
            <w:tr w14:paraId="774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CFF8C0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36</w:t>
                  </w:r>
                </w:p>
              </w:tc>
              <w:tc>
                <w:tcPr>
                  <w:tcW w:w="1431" w:type="dxa"/>
                  <w:vAlign w:val="center"/>
                </w:tcPr>
                <w:p w14:paraId="4B73B32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中文信息处理功能</w:t>
                  </w:r>
                </w:p>
              </w:tc>
              <w:tc>
                <w:tcPr>
                  <w:tcW w:w="1361" w:type="dxa"/>
                  <w:vAlign w:val="center"/>
                </w:tcPr>
                <w:p w14:paraId="24DF026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中文信息处理</w:t>
                  </w:r>
                </w:p>
              </w:tc>
              <w:tc>
                <w:tcPr>
                  <w:tcW w:w="4154" w:type="dxa"/>
                  <w:vAlign w:val="center"/>
                </w:tcPr>
                <w:p w14:paraId="52F1174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 18030 的有关规定</w:t>
                  </w:r>
                </w:p>
              </w:tc>
            </w:tr>
            <w:tr w14:paraId="7EF8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3FFED5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37</w:t>
                  </w:r>
                </w:p>
              </w:tc>
              <w:tc>
                <w:tcPr>
                  <w:tcW w:w="1431" w:type="dxa"/>
                  <w:vAlign w:val="center"/>
                </w:tcPr>
                <w:p w14:paraId="420DB75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w:t>
                  </w:r>
                </w:p>
              </w:tc>
              <w:tc>
                <w:tcPr>
                  <w:tcW w:w="1361" w:type="dxa"/>
                  <w:vAlign w:val="center"/>
                </w:tcPr>
                <w:p w14:paraId="5049770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关键部件安全要求3</w:t>
                  </w:r>
                </w:p>
              </w:tc>
              <w:tc>
                <w:tcPr>
                  <w:tcW w:w="4154" w:type="dxa"/>
                  <w:vAlign w:val="center"/>
                </w:tcPr>
                <w:p w14:paraId="5BD8026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CPU 和操作系统等关键部件应当符合安全可靠测评要求</w:t>
                  </w:r>
                </w:p>
              </w:tc>
            </w:tr>
            <w:tr w14:paraId="6D42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7D1C59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38</w:t>
                  </w:r>
                </w:p>
              </w:tc>
              <w:tc>
                <w:tcPr>
                  <w:tcW w:w="1431" w:type="dxa"/>
                  <w:vAlign w:val="center"/>
                </w:tcPr>
                <w:p w14:paraId="2E63FE8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固件安全要求</w:t>
                  </w:r>
                </w:p>
              </w:tc>
              <w:tc>
                <w:tcPr>
                  <w:tcW w:w="1361" w:type="dxa"/>
                  <w:vAlign w:val="center"/>
                </w:tcPr>
                <w:p w14:paraId="147BDB7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故障检测</w:t>
                  </w:r>
                </w:p>
              </w:tc>
              <w:tc>
                <w:tcPr>
                  <w:tcW w:w="4154" w:type="dxa"/>
                  <w:vAlign w:val="center"/>
                </w:tcPr>
                <w:p w14:paraId="56E216A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支持故障检测功能，可以检测到具体的 FRU（内存、硬盘等）的故障并发出告警</w:t>
                  </w:r>
                </w:p>
              </w:tc>
            </w:tr>
            <w:tr w14:paraId="3815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C68DD3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39</w:t>
                  </w:r>
                </w:p>
              </w:tc>
              <w:tc>
                <w:tcPr>
                  <w:tcW w:w="1431" w:type="dxa"/>
                  <w:vMerge w:val="restart"/>
                  <w:vAlign w:val="center"/>
                </w:tcPr>
                <w:p w14:paraId="34DCF45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系统安全要求</w:t>
                  </w:r>
                </w:p>
              </w:tc>
              <w:tc>
                <w:tcPr>
                  <w:tcW w:w="1361" w:type="dxa"/>
                  <w:vAlign w:val="center"/>
                </w:tcPr>
                <w:p w14:paraId="0D6A527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弱口令字典检查</w:t>
                  </w:r>
                </w:p>
              </w:tc>
              <w:tc>
                <w:tcPr>
                  <w:tcW w:w="4154" w:type="dxa"/>
                  <w:vAlign w:val="center"/>
                </w:tcPr>
                <w:p w14:paraId="33EC52D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支持弱口令字典检查功能，出现在弱口令字典中的字符串不能被设置为用户口令</w:t>
                  </w:r>
                </w:p>
              </w:tc>
            </w:tr>
            <w:tr w14:paraId="1090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E5D6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40</w:t>
                  </w:r>
                </w:p>
              </w:tc>
              <w:tc>
                <w:tcPr>
                  <w:tcW w:w="1431" w:type="dxa"/>
                  <w:vMerge w:val="continue"/>
                  <w:vAlign w:val="center"/>
                </w:tcPr>
                <w:p w14:paraId="5C4A82EA">
                  <w:pPr>
                    <w:rPr>
                      <w:highlight w:val="none"/>
                    </w:rPr>
                  </w:pPr>
                </w:p>
              </w:tc>
              <w:tc>
                <w:tcPr>
                  <w:tcW w:w="1361" w:type="dxa"/>
                  <w:vAlign w:val="center"/>
                </w:tcPr>
                <w:p w14:paraId="06EAF95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白名单访问控制</w:t>
                  </w:r>
                </w:p>
              </w:tc>
              <w:tc>
                <w:tcPr>
                  <w:tcW w:w="4154" w:type="dxa"/>
                  <w:vAlign w:val="center"/>
                </w:tcPr>
                <w:p w14:paraId="264D945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支持基于时间、IP 或 MAC 白名单访问控制</w:t>
                  </w:r>
                </w:p>
              </w:tc>
            </w:tr>
            <w:tr w14:paraId="1BBF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1D91CD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41</w:t>
                  </w:r>
                </w:p>
              </w:tc>
              <w:tc>
                <w:tcPr>
                  <w:tcW w:w="1431" w:type="dxa"/>
                  <w:vMerge w:val="continue"/>
                  <w:vAlign w:val="center"/>
                </w:tcPr>
                <w:p w14:paraId="78A46C78">
                  <w:pPr>
                    <w:rPr>
                      <w:highlight w:val="none"/>
                    </w:rPr>
                  </w:pPr>
                </w:p>
              </w:tc>
              <w:tc>
                <w:tcPr>
                  <w:tcW w:w="1361" w:type="dxa"/>
                  <w:vAlign w:val="center"/>
                </w:tcPr>
                <w:p w14:paraId="5DB0E01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二次鉴别</w:t>
                  </w:r>
                </w:p>
              </w:tc>
              <w:tc>
                <w:tcPr>
                  <w:tcW w:w="4154" w:type="dxa"/>
                  <w:vAlign w:val="center"/>
                </w:tcPr>
                <w:p w14:paraId="14E0F1E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支持二次鉴别功能。对于用户配置、权限配置、公钥导入等重要的管理操作，已登录用户应通过二次鉴别后，才能执行操作</w:t>
                  </w:r>
                </w:p>
              </w:tc>
            </w:tr>
            <w:tr w14:paraId="7E21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6CD924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42</w:t>
                  </w:r>
                </w:p>
              </w:tc>
              <w:tc>
                <w:tcPr>
                  <w:tcW w:w="1431" w:type="dxa"/>
                  <w:vMerge w:val="continue"/>
                  <w:vAlign w:val="center"/>
                </w:tcPr>
                <w:p w14:paraId="7CCA0EA1">
                  <w:pPr>
                    <w:rPr>
                      <w:highlight w:val="none"/>
                    </w:rPr>
                  </w:pPr>
                </w:p>
              </w:tc>
              <w:tc>
                <w:tcPr>
                  <w:tcW w:w="1361" w:type="dxa"/>
                  <w:vAlign w:val="center"/>
                </w:tcPr>
                <w:p w14:paraId="7389812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密码证书安全加密存储</w:t>
                  </w:r>
                </w:p>
              </w:tc>
              <w:tc>
                <w:tcPr>
                  <w:tcW w:w="4154" w:type="dxa"/>
                  <w:vAlign w:val="center"/>
                </w:tcPr>
                <w:p w14:paraId="7FD6A62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支持对带外管理系统中的用户口令和证书等敏感信息进行加密存储，禁止使用私有的和业界已知不安全的密码算法</w:t>
                  </w:r>
                </w:p>
              </w:tc>
            </w:tr>
            <w:tr w14:paraId="34BE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ADFD6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43</w:t>
                  </w:r>
                </w:p>
              </w:tc>
              <w:tc>
                <w:tcPr>
                  <w:tcW w:w="1431" w:type="dxa"/>
                  <w:vMerge w:val="continue"/>
                  <w:vAlign w:val="center"/>
                </w:tcPr>
                <w:p w14:paraId="7A40383B">
                  <w:pPr>
                    <w:rPr>
                      <w:highlight w:val="none"/>
                    </w:rPr>
                  </w:pPr>
                </w:p>
              </w:tc>
              <w:tc>
                <w:tcPr>
                  <w:tcW w:w="1361" w:type="dxa"/>
                  <w:vAlign w:val="center"/>
                </w:tcPr>
                <w:p w14:paraId="10CBE7E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敏感信息安全加密传输</w:t>
                  </w:r>
                </w:p>
              </w:tc>
              <w:tc>
                <w:tcPr>
                  <w:tcW w:w="4154" w:type="dxa"/>
                  <w:vAlign w:val="center"/>
                </w:tcPr>
                <w:p w14:paraId="5823A5C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支持使用安全的传输加密协议（如SSH 或 HTTPS 等）传输用户的敏感信息</w:t>
                  </w:r>
                </w:p>
              </w:tc>
            </w:tr>
            <w:tr w14:paraId="5A5E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F2B67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44</w:t>
                  </w:r>
                </w:p>
              </w:tc>
              <w:tc>
                <w:tcPr>
                  <w:tcW w:w="1431" w:type="dxa"/>
                  <w:vAlign w:val="center"/>
                </w:tcPr>
                <w:p w14:paraId="514D0BA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信息安全要求</w:t>
                  </w:r>
                </w:p>
              </w:tc>
              <w:tc>
                <w:tcPr>
                  <w:tcW w:w="1361" w:type="dxa"/>
                  <w:vAlign w:val="center"/>
                </w:tcPr>
                <w:p w14:paraId="3B76022D">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研发过程安全</w:t>
                  </w:r>
                </w:p>
              </w:tc>
              <w:tc>
                <w:tcPr>
                  <w:tcW w:w="4154" w:type="dxa"/>
                  <w:vAlign w:val="center"/>
                </w:tcPr>
                <w:p w14:paraId="4964A0D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仿宋" w:cs="宋体"/>
                      <w:kern w:val="0"/>
                      <w:sz w:val="22"/>
                      <w:highlight w:val="none"/>
                    </w:rPr>
                    <w:br w:type="textWrapping"/>
                  </w:r>
                </w:p>
              </w:tc>
            </w:tr>
            <w:tr w14:paraId="4200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AF005A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45</w:t>
                  </w:r>
                </w:p>
              </w:tc>
              <w:tc>
                <w:tcPr>
                  <w:tcW w:w="1431" w:type="dxa"/>
                  <w:vAlign w:val="center"/>
                </w:tcPr>
                <w:p w14:paraId="66FE62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1361" w:type="dxa"/>
                  <w:vAlign w:val="center"/>
                </w:tcPr>
                <w:p w14:paraId="1D4521D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物理安全</w:t>
                  </w:r>
                </w:p>
              </w:tc>
              <w:tc>
                <w:tcPr>
                  <w:tcW w:w="4154" w:type="dxa"/>
                  <w:vAlign w:val="center"/>
                </w:tcPr>
                <w:p w14:paraId="452ECE4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安全要求应符合 GB 4943.1 的规定</w:t>
                  </w:r>
                </w:p>
              </w:tc>
            </w:tr>
            <w:tr w14:paraId="3A02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470476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46</w:t>
                  </w:r>
                </w:p>
              </w:tc>
              <w:tc>
                <w:tcPr>
                  <w:tcW w:w="1431" w:type="dxa"/>
                  <w:vAlign w:val="center"/>
                </w:tcPr>
                <w:p w14:paraId="29900D5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求</w:t>
                  </w:r>
                </w:p>
              </w:tc>
              <w:tc>
                <w:tcPr>
                  <w:tcW w:w="1361" w:type="dxa"/>
                  <w:vAlign w:val="center"/>
                </w:tcPr>
                <w:p w14:paraId="5DE50571">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限用物质的限量要求</w:t>
                  </w:r>
                </w:p>
              </w:tc>
              <w:tc>
                <w:tcPr>
                  <w:tcW w:w="4154" w:type="dxa"/>
                  <w:vAlign w:val="center"/>
                </w:tcPr>
                <w:p w14:paraId="78E8306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限用物质的限量应符合 GB/T 26572的要求</w:t>
                  </w:r>
                </w:p>
              </w:tc>
            </w:tr>
            <w:tr w14:paraId="240C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7E8D8F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47</w:t>
                  </w:r>
                </w:p>
              </w:tc>
              <w:tc>
                <w:tcPr>
                  <w:tcW w:w="1431" w:type="dxa"/>
                  <w:vMerge w:val="restart"/>
                  <w:vAlign w:val="center"/>
                </w:tcPr>
                <w:p w14:paraId="790EA25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CPU性能</w:t>
                  </w:r>
                </w:p>
              </w:tc>
              <w:tc>
                <w:tcPr>
                  <w:tcW w:w="1361" w:type="dxa"/>
                  <w:vAlign w:val="center"/>
                </w:tcPr>
                <w:p w14:paraId="2D387EF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CPU 主频</w:t>
                  </w:r>
                </w:p>
              </w:tc>
              <w:tc>
                <w:tcPr>
                  <w:tcW w:w="4154" w:type="dxa"/>
                  <w:vAlign w:val="center"/>
                </w:tcPr>
                <w:p w14:paraId="58D61C0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≥2.2GHz</w:t>
                  </w:r>
                </w:p>
              </w:tc>
            </w:tr>
            <w:tr w14:paraId="3B01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D7BEA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48</w:t>
                  </w:r>
                </w:p>
              </w:tc>
              <w:tc>
                <w:tcPr>
                  <w:tcW w:w="1431" w:type="dxa"/>
                  <w:vMerge w:val="continue"/>
                  <w:vAlign w:val="center"/>
                </w:tcPr>
                <w:p w14:paraId="1A59D284">
                  <w:pPr>
                    <w:rPr>
                      <w:highlight w:val="none"/>
                    </w:rPr>
                  </w:pPr>
                </w:p>
              </w:tc>
              <w:tc>
                <w:tcPr>
                  <w:tcW w:w="1361" w:type="dxa"/>
                  <w:vAlign w:val="center"/>
                </w:tcPr>
                <w:p w14:paraId="015127F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核数</w:t>
                  </w:r>
                </w:p>
              </w:tc>
              <w:tc>
                <w:tcPr>
                  <w:tcW w:w="4154" w:type="dxa"/>
                  <w:vAlign w:val="center"/>
                </w:tcPr>
                <w:p w14:paraId="6246C78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≥32</w:t>
                  </w:r>
                </w:p>
              </w:tc>
            </w:tr>
            <w:tr w14:paraId="44E7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A2C95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49</w:t>
                  </w:r>
                </w:p>
              </w:tc>
              <w:tc>
                <w:tcPr>
                  <w:tcW w:w="1431" w:type="dxa"/>
                  <w:vMerge w:val="continue"/>
                  <w:vAlign w:val="center"/>
                </w:tcPr>
                <w:p w14:paraId="0C1130BD">
                  <w:pPr>
                    <w:rPr>
                      <w:highlight w:val="none"/>
                    </w:rPr>
                  </w:pPr>
                </w:p>
              </w:tc>
              <w:tc>
                <w:tcPr>
                  <w:tcW w:w="1361" w:type="dxa"/>
                  <w:vAlign w:val="center"/>
                </w:tcPr>
                <w:p w14:paraId="5729ADA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单CPU 末级缓存容量</w:t>
                  </w:r>
                </w:p>
              </w:tc>
              <w:tc>
                <w:tcPr>
                  <w:tcW w:w="4154" w:type="dxa"/>
                  <w:vAlign w:val="center"/>
                </w:tcPr>
                <w:p w14:paraId="0B133C5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≥64MB</w:t>
                  </w:r>
                </w:p>
              </w:tc>
            </w:tr>
            <w:tr w14:paraId="33D6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59512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50</w:t>
                  </w:r>
                </w:p>
              </w:tc>
              <w:tc>
                <w:tcPr>
                  <w:tcW w:w="1431" w:type="dxa"/>
                  <w:vAlign w:val="center"/>
                </w:tcPr>
                <w:p w14:paraId="42935B6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内存性能</w:t>
                  </w:r>
                </w:p>
              </w:tc>
              <w:tc>
                <w:tcPr>
                  <w:tcW w:w="1361" w:type="dxa"/>
                  <w:vAlign w:val="center"/>
                </w:tcPr>
                <w:p w14:paraId="3CF37C4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内存速率</w:t>
                  </w:r>
                </w:p>
              </w:tc>
              <w:tc>
                <w:tcPr>
                  <w:tcW w:w="4154" w:type="dxa"/>
                  <w:vAlign w:val="center"/>
                </w:tcPr>
                <w:p w14:paraId="2814CBC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≥2933MT/s</w:t>
                  </w:r>
                </w:p>
              </w:tc>
            </w:tr>
            <w:tr w14:paraId="5C3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514797B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51</w:t>
                  </w:r>
                </w:p>
              </w:tc>
              <w:tc>
                <w:tcPr>
                  <w:tcW w:w="1431" w:type="dxa"/>
                  <w:vAlign w:val="center"/>
                </w:tcPr>
                <w:p w14:paraId="3BE6DFEA">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1361" w:type="dxa"/>
                  <w:vAlign w:val="center"/>
                </w:tcPr>
                <w:p w14:paraId="333D1E8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电源能耗</w:t>
                  </w:r>
                </w:p>
              </w:tc>
              <w:tc>
                <w:tcPr>
                  <w:tcW w:w="4154" w:type="dxa"/>
                  <w:vAlign w:val="center"/>
                </w:tcPr>
                <w:p w14:paraId="749DF94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的有关规定</w:t>
                  </w:r>
                </w:p>
              </w:tc>
            </w:tr>
            <w:tr w14:paraId="4781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A241F4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52</w:t>
                  </w:r>
                </w:p>
              </w:tc>
              <w:tc>
                <w:tcPr>
                  <w:tcW w:w="1431" w:type="dxa"/>
                  <w:vMerge w:val="restart"/>
                  <w:vAlign w:val="center"/>
                </w:tcPr>
                <w:p w14:paraId="4200EBC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部件兼容性要求</w:t>
                  </w:r>
                </w:p>
              </w:tc>
              <w:tc>
                <w:tcPr>
                  <w:tcW w:w="1361" w:type="dxa"/>
                  <w:vAlign w:val="center"/>
                </w:tcPr>
                <w:p w14:paraId="595930F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内存兼容性</w:t>
                  </w:r>
                </w:p>
              </w:tc>
              <w:tc>
                <w:tcPr>
                  <w:tcW w:w="4154" w:type="dxa"/>
                  <w:vAlign w:val="center"/>
                </w:tcPr>
                <w:p w14:paraId="7EA5372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种及以上厂商的内存产品，且均不低于产品支持的内存规格</w:t>
                  </w:r>
                </w:p>
              </w:tc>
            </w:tr>
            <w:tr w14:paraId="4CB8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2CAC7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53</w:t>
                  </w:r>
                </w:p>
              </w:tc>
              <w:tc>
                <w:tcPr>
                  <w:tcW w:w="1431" w:type="dxa"/>
                  <w:vMerge w:val="continue"/>
                  <w:vAlign w:val="center"/>
                </w:tcPr>
                <w:p w14:paraId="4222F680">
                  <w:pPr>
                    <w:rPr>
                      <w:highlight w:val="none"/>
                    </w:rPr>
                  </w:pPr>
                </w:p>
              </w:tc>
              <w:tc>
                <w:tcPr>
                  <w:tcW w:w="1361" w:type="dxa"/>
                  <w:vAlign w:val="center"/>
                </w:tcPr>
                <w:p w14:paraId="2880094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固态存储兼容性</w:t>
                  </w:r>
                </w:p>
              </w:tc>
              <w:tc>
                <w:tcPr>
                  <w:tcW w:w="4154" w:type="dxa"/>
                  <w:vAlign w:val="center"/>
                </w:tcPr>
                <w:p w14:paraId="1103981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适配 3 种或以上厂商的固态存储产品，且均不低于产品支持的固态存储设备规格</w:t>
                  </w:r>
                </w:p>
              </w:tc>
            </w:tr>
            <w:tr w14:paraId="34E5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DD9804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54</w:t>
                  </w:r>
                </w:p>
              </w:tc>
              <w:tc>
                <w:tcPr>
                  <w:tcW w:w="1431" w:type="dxa"/>
                  <w:vMerge w:val="continue"/>
                  <w:vAlign w:val="center"/>
                </w:tcPr>
                <w:p w14:paraId="7EE8B8C0">
                  <w:pPr>
                    <w:rPr>
                      <w:highlight w:val="none"/>
                    </w:rPr>
                  </w:pPr>
                </w:p>
              </w:tc>
              <w:tc>
                <w:tcPr>
                  <w:tcW w:w="1361" w:type="dxa"/>
                  <w:vAlign w:val="center"/>
                </w:tcPr>
                <w:p w14:paraId="7E0127C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网卡兼容性</w:t>
                  </w:r>
                </w:p>
              </w:tc>
              <w:tc>
                <w:tcPr>
                  <w:tcW w:w="4154" w:type="dxa"/>
                  <w:vAlign w:val="center"/>
                </w:tcPr>
                <w:p w14:paraId="439AB9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网卡应适配两种或以上厂商产品</w:t>
                  </w:r>
                </w:p>
              </w:tc>
            </w:tr>
            <w:tr w14:paraId="241D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3B5479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55</w:t>
                  </w:r>
                </w:p>
              </w:tc>
              <w:tc>
                <w:tcPr>
                  <w:tcW w:w="1431" w:type="dxa"/>
                  <w:vMerge w:val="continue"/>
                  <w:vAlign w:val="center"/>
                </w:tcPr>
                <w:p w14:paraId="5BF86563">
                  <w:pPr>
                    <w:rPr>
                      <w:highlight w:val="none"/>
                    </w:rPr>
                  </w:pPr>
                </w:p>
              </w:tc>
              <w:tc>
                <w:tcPr>
                  <w:tcW w:w="1361" w:type="dxa"/>
                  <w:vAlign w:val="center"/>
                </w:tcPr>
                <w:p w14:paraId="7476B79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功能卡兼容性</w:t>
                  </w:r>
                </w:p>
              </w:tc>
              <w:tc>
                <w:tcPr>
                  <w:tcW w:w="4154" w:type="dxa"/>
                  <w:vAlign w:val="center"/>
                </w:tcPr>
                <w:p w14:paraId="388EFA6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内置或适配符合 PCIe 的功能卡，如：网络功能卡、存储功能卡及图形显示功能卡</w:t>
                  </w:r>
                </w:p>
              </w:tc>
            </w:tr>
            <w:tr w14:paraId="1EA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80C0E0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56</w:t>
                  </w:r>
                </w:p>
              </w:tc>
              <w:tc>
                <w:tcPr>
                  <w:tcW w:w="1431" w:type="dxa"/>
                  <w:vAlign w:val="center"/>
                </w:tcPr>
                <w:p w14:paraId="448A5C2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1361" w:type="dxa"/>
                  <w:vAlign w:val="center"/>
                </w:tcPr>
                <w:p w14:paraId="40BC386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外设兼容性</w:t>
                  </w:r>
                </w:p>
              </w:tc>
              <w:tc>
                <w:tcPr>
                  <w:tcW w:w="4154" w:type="dxa"/>
                  <w:vAlign w:val="center"/>
                </w:tcPr>
                <w:p w14:paraId="2E3A27C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兼容多种主流生产商的外部设备，包括显示器、键盘、鼠标、闪存盘、移动硬盘、USB 光驱及 KVM 等，要求使用不同厂商的外部设备时，系统均能正常识别和安装驱动</w:t>
                  </w:r>
                </w:p>
              </w:tc>
            </w:tr>
            <w:tr w14:paraId="51B6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3C2F2D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57</w:t>
                  </w:r>
                </w:p>
              </w:tc>
              <w:tc>
                <w:tcPr>
                  <w:tcW w:w="1431" w:type="dxa"/>
                  <w:vMerge w:val="restart"/>
                  <w:vAlign w:val="center"/>
                </w:tcPr>
                <w:p w14:paraId="425A7DF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软件兼容性</w:t>
                  </w:r>
                </w:p>
              </w:tc>
              <w:tc>
                <w:tcPr>
                  <w:tcW w:w="1361" w:type="dxa"/>
                  <w:vAlign w:val="center"/>
                </w:tcPr>
                <w:p w14:paraId="5463670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数据库兼容</w:t>
                  </w:r>
                </w:p>
              </w:tc>
              <w:tc>
                <w:tcPr>
                  <w:tcW w:w="4154" w:type="dxa"/>
                  <w:vAlign w:val="center"/>
                </w:tcPr>
                <w:p w14:paraId="14AE375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兼容3个及以上厂商的数据库产品，投标机型须通过互认证。</w:t>
                  </w:r>
                </w:p>
              </w:tc>
            </w:tr>
            <w:tr w14:paraId="2F68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FB8ECF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58</w:t>
                  </w:r>
                </w:p>
              </w:tc>
              <w:tc>
                <w:tcPr>
                  <w:tcW w:w="1431" w:type="dxa"/>
                  <w:vMerge w:val="continue"/>
                  <w:vAlign w:val="center"/>
                </w:tcPr>
                <w:p w14:paraId="0B71BF93">
                  <w:pPr>
                    <w:rPr>
                      <w:highlight w:val="none"/>
                    </w:rPr>
                  </w:pPr>
                </w:p>
              </w:tc>
              <w:tc>
                <w:tcPr>
                  <w:tcW w:w="1361" w:type="dxa"/>
                  <w:vAlign w:val="center"/>
                </w:tcPr>
                <w:p w14:paraId="0658A64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中间件兼容</w:t>
                  </w:r>
                </w:p>
              </w:tc>
              <w:tc>
                <w:tcPr>
                  <w:tcW w:w="4154" w:type="dxa"/>
                  <w:vAlign w:val="center"/>
                </w:tcPr>
                <w:p w14:paraId="6D87C48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兼容3个及以上厂商的中间件产品，投标机型须通过互认证。</w:t>
                  </w:r>
                </w:p>
              </w:tc>
            </w:tr>
            <w:tr w14:paraId="781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180642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59</w:t>
                  </w:r>
                </w:p>
              </w:tc>
              <w:tc>
                <w:tcPr>
                  <w:tcW w:w="1431" w:type="dxa"/>
                  <w:vMerge w:val="continue"/>
                  <w:vAlign w:val="center"/>
                </w:tcPr>
                <w:p w14:paraId="711CE7BE">
                  <w:pPr>
                    <w:rPr>
                      <w:highlight w:val="none"/>
                    </w:rPr>
                  </w:pPr>
                </w:p>
              </w:tc>
              <w:tc>
                <w:tcPr>
                  <w:tcW w:w="1361" w:type="dxa"/>
                  <w:vAlign w:val="center"/>
                </w:tcPr>
                <w:p w14:paraId="075044D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平台软件兼容</w:t>
                  </w:r>
                </w:p>
              </w:tc>
              <w:tc>
                <w:tcPr>
                  <w:tcW w:w="4154" w:type="dxa"/>
                  <w:vAlign w:val="center"/>
                </w:tcPr>
                <w:p w14:paraId="28E609DA">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兼容3个及以上厂商的大数据平台，投标机型须通过互认证。</w:t>
                  </w:r>
                </w:p>
              </w:tc>
            </w:tr>
            <w:tr w14:paraId="2DB6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48F7C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60</w:t>
                  </w:r>
                </w:p>
              </w:tc>
              <w:tc>
                <w:tcPr>
                  <w:tcW w:w="1431" w:type="dxa"/>
                  <w:vMerge w:val="restart"/>
                  <w:vAlign w:val="center"/>
                </w:tcPr>
                <w:p w14:paraId="1C9F7BF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整机可靠性要求</w:t>
                  </w:r>
                </w:p>
              </w:tc>
              <w:tc>
                <w:tcPr>
                  <w:tcW w:w="1361" w:type="dxa"/>
                  <w:vAlign w:val="center"/>
                </w:tcPr>
                <w:p w14:paraId="2E98E25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整机可靠性</w:t>
                  </w:r>
                </w:p>
              </w:tc>
              <w:tc>
                <w:tcPr>
                  <w:tcW w:w="4154" w:type="dxa"/>
                  <w:vAlign w:val="center"/>
                </w:tcPr>
                <w:p w14:paraId="12A438C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m1 值（MTBF 的不可接受值）≥100000h，须通过MTBF认证。</w:t>
                  </w:r>
                </w:p>
              </w:tc>
            </w:tr>
            <w:tr w14:paraId="20E7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DCF295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61</w:t>
                  </w:r>
                </w:p>
              </w:tc>
              <w:tc>
                <w:tcPr>
                  <w:tcW w:w="1431" w:type="dxa"/>
                  <w:vMerge w:val="continue"/>
                  <w:vAlign w:val="center"/>
                </w:tcPr>
                <w:p w14:paraId="09581907">
                  <w:pPr>
                    <w:rPr>
                      <w:highlight w:val="none"/>
                    </w:rPr>
                  </w:pPr>
                </w:p>
              </w:tc>
              <w:tc>
                <w:tcPr>
                  <w:tcW w:w="1361" w:type="dxa"/>
                  <w:vAlign w:val="center"/>
                </w:tcPr>
                <w:p w14:paraId="6344E094">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风扇可靠性</w:t>
                  </w:r>
                </w:p>
              </w:tc>
              <w:tc>
                <w:tcPr>
                  <w:tcW w:w="4154" w:type="dxa"/>
                  <w:vAlign w:val="center"/>
                </w:tcPr>
                <w:p w14:paraId="61683E2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风扇寿命≥ 40000h</w:t>
                  </w:r>
                </w:p>
              </w:tc>
            </w:tr>
            <w:tr w14:paraId="7DA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51862B6">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62</w:t>
                  </w:r>
                </w:p>
              </w:tc>
              <w:tc>
                <w:tcPr>
                  <w:tcW w:w="1431" w:type="dxa"/>
                  <w:vMerge w:val="continue"/>
                  <w:vAlign w:val="center"/>
                </w:tcPr>
                <w:p w14:paraId="45807765">
                  <w:pPr>
                    <w:rPr>
                      <w:highlight w:val="none"/>
                    </w:rPr>
                  </w:pPr>
                </w:p>
              </w:tc>
              <w:tc>
                <w:tcPr>
                  <w:tcW w:w="1361" w:type="dxa"/>
                  <w:vAlign w:val="center"/>
                </w:tcPr>
                <w:p w14:paraId="790F86AE">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部件可靠性</w:t>
                  </w:r>
                </w:p>
              </w:tc>
              <w:tc>
                <w:tcPr>
                  <w:tcW w:w="4154" w:type="dxa"/>
                  <w:vAlign w:val="center"/>
                </w:tcPr>
                <w:p w14:paraId="390EC665">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支持硬盘、电源、风扇热插拔(内置风扇除外)</w:t>
                  </w:r>
                </w:p>
              </w:tc>
            </w:tr>
            <w:tr w14:paraId="22A7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6C2784F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63</w:t>
                  </w:r>
                </w:p>
              </w:tc>
              <w:tc>
                <w:tcPr>
                  <w:tcW w:w="1431" w:type="dxa"/>
                  <w:vAlign w:val="center"/>
                </w:tcPr>
                <w:p w14:paraId="4F3E037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包装及运输要求</w:t>
                  </w:r>
                </w:p>
              </w:tc>
              <w:tc>
                <w:tcPr>
                  <w:tcW w:w="1361" w:type="dxa"/>
                  <w:vAlign w:val="center"/>
                </w:tcPr>
                <w:p w14:paraId="50832EEC">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标志、包装、运输和贮存</w:t>
                  </w:r>
                </w:p>
              </w:tc>
              <w:tc>
                <w:tcPr>
                  <w:tcW w:w="4154" w:type="dxa"/>
                  <w:vAlign w:val="center"/>
                </w:tcPr>
                <w:p w14:paraId="0E0B861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符合 GB/T 9813.3 和商品包装政府采购需求标准的相关规定</w:t>
                  </w:r>
                </w:p>
              </w:tc>
            </w:tr>
            <w:tr w14:paraId="4DB6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0F295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64</w:t>
                  </w:r>
                </w:p>
              </w:tc>
              <w:tc>
                <w:tcPr>
                  <w:tcW w:w="1431" w:type="dxa"/>
                  <w:vMerge w:val="restart"/>
                  <w:vAlign w:val="center"/>
                </w:tcPr>
                <w:p w14:paraId="64212833">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1361" w:type="dxa"/>
                  <w:vAlign w:val="center"/>
                </w:tcPr>
                <w:p w14:paraId="3FDA0D48">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服务响应</w:t>
                  </w:r>
                </w:p>
              </w:tc>
              <w:tc>
                <w:tcPr>
                  <w:tcW w:w="4154" w:type="dxa"/>
                  <w:vAlign w:val="center"/>
                </w:tcPr>
                <w:p w14:paraId="59E7C6A1">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a) 提供电话、电子邮件、远程连接等多种形式服务；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b) 提供同城 4h、异地 12h 技术响应服务，2 个工作日解决问题，对于未能解决的问题和故障应提供可行的升级方案，并提供周转设备；</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c) 建立全国技术服务体系和服务团体，符合专业服务体系标准要求，提供中文服务；</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d) 服务周期内提供产品的维修、换件和升级服务</w:t>
                  </w:r>
                </w:p>
              </w:tc>
            </w:tr>
            <w:tr w14:paraId="01E4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48E93C33">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65</w:t>
                  </w:r>
                </w:p>
              </w:tc>
              <w:tc>
                <w:tcPr>
                  <w:tcW w:w="1431" w:type="dxa"/>
                  <w:vMerge w:val="continue"/>
                  <w:vAlign w:val="center"/>
                </w:tcPr>
                <w:p w14:paraId="43D327BF">
                  <w:pPr>
                    <w:rPr>
                      <w:highlight w:val="none"/>
                    </w:rPr>
                  </w:pPr>
                </w:p>
              </w:tc>
              <w:tc>
                <w:tcPr>
                  <w:tcW w:w="1361" w:type="dxa"/>
                  <w:vAlign w:val="center"/>
                </w:tcPr>
                <w:p w14:paraId="02F24145">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培训服务</w:t>
                  </w:r>
                </w:p>
              </w:tc>
              <w:tc>
                <w:tcPr>
                  <w:tcW w:w="4154" w:type="dxa"/>
                  <w:vAlign w:val="center"/>
                </w:tcPr>
                <w:p w14:paraId="05F766D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供应商提供培训材料、产品手册、培训视频等培训相关内容</w:t>
                  </w:r>
                </w:p>
              </w:tc>
            </w:tr>
            <w:tr w14:paraId="61A1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34EA0D27">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66</w:t>
                  </w:r>
                </w:p>
              </w:tc>
              <w:tc>
                <w:tcPr>
                  <w:tcW w:w="1431" w:type="dxa"/>
                  <w:vAlign w:val="center"/>
                </w:tcPr>
                <w:p w14:paraId="27B9230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1361" w:type="dxa"/>
                  <w:vAlign w:val="center"/>
                </w:tcPr>
                <w:p w14:paraId="69A5EAB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服务周期</w:t>
                  </w:r>
                </w:p>
              </w:tc>
              <w:tc>
                <w:tcPr>
                  <w:tcW w:w="4154" w:type="dxa"/>
                  <w:vAlign w:val="center"/>
                </w:tcPr>
                <w:p w14:paraId="1018A4F0">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（1）服务期内，提供换件和维修服务（费用包含在预算范围内）；</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（2）设备停产后继续提供质量保障服务（含备品备件），服务终止时间与最后一批设备交付时间间隔≥6年；</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（3）产品停止服务时间应提前1年告知客户；</w:t>
                  </w:r>
                  <w:r>
                    <w:rPr>
                      <w:rFonts w:hint="eastAsia" w:ascii="宋体" w:hAnsi="宋体" w:eastAsia="仿宋" w:cs="宋体"/>
                      <w:kern w:val="0"/>
                      <w:sz w:val="22"/>
                      <w:highlight w:val="none"/>
                    </w:rPr>
                    <w:br w:type="textWrapping"/>
                  </w:r>
                  <w:r>
                    <w:rPr>
                      <w:rFonts w:hint="eastAsia" w:ascii="宋体" w:hAnsi="宋体" w:eastAsia="仿宋" w:cs="宋体"/>
                      <w:kern w:val="0"/>
                      <w:sz w:val="22"/>
                      <w:highlight w:val="none"/>
                    </w:rPr>
                    <w:t>（4）产品发布日期需在随机文件中明确。</w:t>
                  </w:r>
                </w:p>
              </w:tc>
            </w:tr>
            <w:tr w14:paraId="10E7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20728C2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67</w:t>
                  </w:r>
                </w:p>
              </w:tc>
              <w:tc>
                <w:tcPr>
                  <w:tcW w:w="1431" w:type="dxa"/>
                  <w:vMerge w:val="restart"/>
                  <w:vAlign w:val="center"/>
                </w:tcPr>
                <w:p w14:paraId="6A64F429">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服务工具要求</w:t>
                  </w:r>
                </w:p>
              </w:tc>
              <w:tc>
                <w:tcPr>
                  <w:tcW w:w="1361" w:type="dxa"/>
                  <w:vAlign w:val="center"/>
                </w:tcPr>
                <w:p w14:paraId="5FD060A0">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工具要求</w:t>
                  </w:r>
                </w:p>
              </w:tc>
              <w:tc>
                <w:tcPr>
                  <w:tcW w:w="4154" w:type="dxa"/>
                  <w:vAlign w:val="center"/>
                </w:tcPr>
                <w:p w14:paraId="33BB1AB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提供设置服务器硬件、辅助操作系统安装等功能的辅助工具和管理软件。且随附软件应具有合法授权或版权</w:t>
                  </w:r>
                </w:p>
              </w:tc>
            </w:tr>
            <w:tr w14:paraId="58FF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0CA94B2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68</w:t>
                  </w:r>
                </w:p>
              </w:tc>
              <w:tc>
                <w:tcPr>
                  <w:tcW w:w="1431" w:type="dxa"/>
                  <w:vMerge w:val="continue"/>
                  <w:vAlign w:val="center"/>
                </w:tcPr>
                <w:p w14:paraId="731263CF">
                  <w:pPr>
                    <w:rPr>
                      <w:highlight w:val="none"/>
                    </w:rPr>
                  </w:pPr>
                </w:p>
              </w:tc>
              <w:tc>
                <w:tcPr>
                  <w:tcW w:w="1361" w:type="dxa"/>
                  <w:vAlign w:val="center"/>
                </w:tcPr>
                <w:p w14:paraId="24D82F97">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驱动安装升级指引</w:t>
                  </w:r>
                </w:p>
              </w:tc>
              <w:tc>
                <w:tcPr>
                  <w:tcW w:w="4154" w:type="dxa"/>
                  <w:vAlign w:val="center"/>
                </w:tcPr>
                <w:p w14:paraId="4E8AAA04">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提供出厂安装的配件所需的驱动程序，形式包括但不限于驱动光盘、驱动下载链接等。其他配件应提供指引</w:t>
                  </w:r>
                </w:p>
              </w:tc>
            </w:tr>
            <w:tr w14:paraId="4978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7C4848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69</w:t>
                  </w:r>
                </w:p>
              </w:tc>
              <w:tc>
                <w:tcPr>
                  <w:tcW w:w="1431" w:type="dxa"/>
                  <w:vMerge w:val="continue"/>
                  <w:vAlign w:val="center"/>
                </w:tcPr>
                <w:p w14:paraId="288BEBEB">
                  <w:pPr>
                    <w:rPr>
                      <w:highlight w:val="none"/>
                    </w:rPr>
                  </w:pPr>
                </w:p>
              </w:tc>
              <w:tc>
                <w:tcPr>
                  <w:tcW w:w="1361" w:type="dxa"/>
                  <w:vAlign w:val="center"/>
                </w:tcPr>
                <w:p w14:paraId="0E09959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管理软件</w:t>
                  </w:r>
                </w:p>
              </w:tc>
              <w:tc>
                <w:tcPr>
                  <w:tcW w:w="4154" w:type="dxa"/>
                  <w:vAlign w:val="center"/>
                </w:tcPr>
                <w:p w14:paraId="78E46ABF">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具备资源管理、系统管理、性能监控、健康监控、基于网络控制、报警设置功能</w:t>
                  </w:r>
                </w:p>
              </w:tc>
            </w:tr>
            <w:tr w14:paraId="5108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7235D83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70</w:t>
                  </w:r>
                </w:p>
              </w:tc>
              <w:tc>
                <w:tcPr>
                  <w:tcW w:w="1431" w:type="dxa"/>
                  <w:vMerge w:val="restart"/>
                  <w:vAlign w:val="center"/>
                </w:tcPr>
                <w:p w14:paraId="39183F5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增值服务</w:t>
                  </w:r>
                </w:p>
              </w:tc>
              <w:tc>
                <w:tcPr>
                  <w:tcW w:w="1361" w:type="dxa"/>
                  <w:vAlign w:val="center"/>
                </w:tcPr>
                <w:p w14:paraId="3B25D1EB">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厂家升级产品软件与扩容服务</w:t>
                  </w:r>
                </w:p>
              </w:tc>
              <w:tc>
                <w:tcPr>
                  <w:tcW w:w="4154" w:type="dxa"/>
                  <w:vAlign w:val="center"/>
                </w:tcPr>
                <w:p w14:paraId="6421934D">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提供原厂级的部件/软件产品升级和扩容能力</w:t>
                  </w:r>
                </w:p>
              </w:tc>
            </w:tr>
            <w:tr w14:paraId="5D87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F66998">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71</w:t>
                  </w:r>
                </w:p>
              </w:tc>
              <w:tc>
                <w:tcPr>
                  <w:tcW w:w="1431" w:type="dxa"/>
                  <w:vMerge w:val="continue"/>
                  <w:vAlign w:val="center"/>
                </w:tcPr>
                <w:p w14:paraId="78220CD5">
                  <w:pPr>
                    <w:rPr>
                      <w:highlight w:val="none"/>
                    </w:rPr>
                  </w:pPr>
                </w:p>
              </w:tc>
              <w:tc>
                <w:tcPr>
                  <w:tcW w:w="1361" w:type="dxa"/>
                  <w:vAlign w:val="center"/>
                </w:tcPr>
                <w:p w14:paraId="7539C0BF">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提供上门服务</w:t>
                  </w:r>
                </w:p>
              </w:tc>
              <w:tc>
                <w:tcPr>
                  <w:tcW w:w="4154" w:type="dxa"/>
                  <w:vAlign w:val="center"/>
                </w:tcPr>
                <w:p w14:paraId="164FB15E">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提供7*24小时上门服务</w:t>
                  </w:r>
                </w:p>
              </w:tc>
            </w:tr>
            <w:tr w14:paraId="1F9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EC0B1BB">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72</w:t>
                  </w:r>
                </w:p>
              </w:tc>
              <w:tc>
                <w:tcPr>
                  <w:tcW w:w="1431" w:type="dxa"/>
                  <w:vMerge w:val="restart"/>
                  <w:vAlign w:val="center"/>
                </w:tcPr>
                <w:p w14:paraId="529FE46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供应链质量</w:t>
                  </w:r>
                </w:p>
              </w:tc>
              <w:tc>
                <w:tcPr>
                  <w:tcW w:w="1361" w:type="dxa"/>
                  <w:vAlign w:val="center"/>
                </w:tcPr>
                <w:p w14:paraId="3DB1D066">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抗干扰性</w:t>
                  </w:r>
                </w:p>
              </w:tc>
              <w:tc>
                <w:tcPr>
                  <w:tcW w:w="4154" w:type="dxa"/>
                  <w:vAlign w:val="center"/>
                </w:tcPr>
                <w:p w14:paraId="4357BD72">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当产品部件出现供应风险时，应通知客户并提供风险应对方案确保产品的服务保障，必要时应停止相关受影响产品的销售</w:t>
                  </w:r>
                </w:p>
              </w:tc>
            </w:tr>
            <w:tr w14:paraId="7359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2" w:type="dxa"/>
                  <w:vAlign w:val="center"/>
                </w:tcPr>
                <w:p w14:paraId="1F8EB77C">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73</w:t>
                  </w:r>
                </w:p>
              </w:tc>
              <w:tc>
                <w:tcPr>
                  <w:tcW w:w="1431" w:type="dxa"/>
                  <w:vMerge w:val="continue"/>
                  <w:vAlign w:val="center"/>
                </w:tcPr>
                <w:p w14:paraId="7D0B2C77">
                  <w:pPr>
                    <w:rPr>
                      <w:highlight w:val="none"/>
                    </w:rPr>
                  </w:pPr>
                </w:p>
              </w:tc>
              <w:tc>
                <w:tcPr>
                  <w:tcW w:w="1361" w:type="dxa"/>
                  <w:vAlign w:val="center"/>
                </w:tcPr>
                <w:p w14:paraId="6C86CE42">
                  <w:pPr>
                    <w:widowControl/>
                    <w:jc w:val="center"/>
                    <w:rPr>
                      <w:rFonts w:ascii="宋体" w:hAnsi="宋体" w:eastAsia="仿宋" w:cs="宋体"/>
                      <w:kern w:val="0"/>
                      <w:sz w:val="22"/>
                      <w:highlight w:val="none"/>
                    </w:rPr>
                  </w:pPr>
                  <w:r>
                    <w:rPr>
                      <w:rFonts w:hint="eastAsia" w:ascii="宋体" w:hAnsi="宋体" w:eastAsia="仿宋" w:cs="宋体"/>
                      <w:kern w:val="0"/>
                      <w:sz w:val="24"/>
                      <w:highlight w:val="none"/>
                    </w:rPr>
                    <w:t>▲</w:t>
                  </w:r>
                  <w:r>
                    <w:rPr>
                      <w:rFonts w:hint="eastAsia" w:ascii="宋体" w:hAnsi="宋体" w:eastAsia="仿宋" w:cs="宋体"/>
                      <w:kern w:val="0"/>
                      <w:sz w:val="22"/>
                      <w:highlight w:val="none"/>
                    </w:rPr>
                    <w:t>供应能力证明</w:t>
                  </w:r>
                </w:p>
              </w:tc>
              <w:tc>
                <w:tcPr>
                  <w:tcW w:w="4154" w:type="dxa"/>
                  <w:vAlign w:val="center"/>
                </w:tcPr>
                <w:p w14:paraId="036A7CB9">
                  <w:pPr>
                    <w:widowControl/>
                    <w:jc w:val="center"/>
                    <w:rPr>
                      <w:rFonts w:ascii="宋体" w:hAnsi="宋体" w:eastAsia="仿宋" w:cs="宋体"/>
                      <w:kern w:val="0"/>
                      <w:sz w:val="22"/>
                      <w:highlight w:val="none"/>
                    </w:rPr>
                  </w:pPr>
                  <w:r>
                    <w:rPr>
                      <w:rFonts w:hint="eastAsia" w:ascii="宋体" w:hAnsi="宋体" w:eastAsia="仿宋" w:cs="宋体"/>
                      <w:kern w:val="0"/>
                      <w:sz w:val="22"/>
                      <w:highlight w:val="none"/>
                    </w:rPr>
                    <w:t>供应商需提供供应链稳定承诺书，确保产品的部件在产品服务周期内稳定供货</w:t>
                  </w:r>
                </w:p>
              </w:tc>
            </w:tr>
          </w:tbl>
          <w:p w14:paraId="5FB12FF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2、软件部分</w:t>
            </w:r>
          </w:p>
          <w:p w14:paraId="5C7EC04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2.1软件部分清单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476"/>
              <w:gridCol w:w="1265"/>
            </w:tblGrid>
            <w:tr w14:paraId="4B52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2C06D25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序号</w:t>
                  </w:r>
                </w:p>
              </w:tc>
              <w:tc>
                <w:tcPr>
                  <w:tcW w:w="4476" w:type="dxa"/>
                  <w:tcBorders>
                    <w:top w:val="single" w:color="auto" w:sz="4" w:space="0"/>
                    <w:left w:val="single" w:color="auto" w:sz="4" w:space="0"/>
                    <w:bottom w:val="single" w:color="auto" w:sz="4" w:space="0"/>
                    <w:right w:val="single" w:color="auto" w:sz="4" w:space="0"/>
                  </w:tcBorders>
                  <w:noWrap/>
                  <w:vAlign w:val="center"/>
                </w:tcPr>
                <w:p w14:paraId="4F82269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品项</w:t>
                  </w:r>
                </w:p>
              </w:tc>
              <w:tc>
                <w:tcPr>
                  <w:tcW w:w="1265" w:type="dxa"/>
                  <w:tcBorders>
                    <w:top w:val="single" w:color="auto" w:sz="4" w:space="0"/>
                    <w:left w:val="single" w:color="auto" w:sz="4" w:space="0"/>
                    <w:bottom w:val="single" w:color="auto" w:sz="4" w:space="0"/>
                    <w:right w:val="single" w:color="auto" w:sz="4" w:space="0"/>
                  </w:tcBorders>
                  <w:noWrap/>
                  <w:vAlign w:val="center"/>
                </w:tcPr>
                <w:p w14:paraId="3C3FCFA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数量</w:t>
                  </w:r>
                </w:p>
              </w:tc>
            </w:tr>
            <w:tr w14:paraId="6DE9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3591EB5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w:t>
                  </w:r>
                </w:p>
              </w:tc>
              <w:tc>
                <w:tcPr>
                  <w:tcW w:w="4476" w:type="dxa"/>
                  <w:tcBorders>
                    <w:top w:val="single" w:color="auto" w:sz="4" w:space="0"/>
                    <w:left w:val="single" w:color="auto" w:sz="4" w:space="0"/>
                    <w:bottom w:val="single" w:color="auto" w:sz="4" w:space="0"/>
                    <w:right w:val="single" w:color="auto" w:sz="4" w:space="0"/>
                  </w:tcBorders>
                  <w:noWrap/>
                  <w:vAlign w:val="center"/>
                </w:tcPr>
                <w:p w14:paraId="6103200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车辆特征智能识别及检索系统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7E373D3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r w14:paraId="5F9E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3A8BE6C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w:t>
                  </w:r>
                </w:p>
              </w:tc>
              <w:tc>
                <w:tcPr>
                  <w:tcW w:w="4476" w:type="dxa"/>
                  <w:tcBorders>
                    <w:top w:val="single" w:color="auto" w:sz="4" w:space="0"/>
                    <w:left w:val="single" w:color="auto" w:sz="4" w:space="0"/>
                    <w:bottom w:val="single" w:color="auto" w:sz="4" w:space="0"/>
                    <w:right w:val="single" w:color="auto" w:sz="4" w:space="0"/>
                  </w:tcBorders>
                  <w:noWrap/>
                  <w:vAlign w:val="center"/>
                </w:tcPr>
                <w:p w14:paraId="777CA53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卡口图片人脸智能识别预警系统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7413E5F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r w14:paraId="467A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46DF80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w:t>
                  </w:r>
                </w:p>
              </w:tc>
              <w:tc>
                <w:tcPr>
                  <w:tcW w:w="4476" w:type="dxa"/>
                  <w:tcBorders>
                    <w:top w:val="single" w:color="auto" w:sz="4" w:space="0"/>
                    <w:left w:val="single" w:color="auto" w:sz="4" w:space="0"/>
                    <w:bottom w:val="single" w:color="auto" w:sz="4" w:space="0"/>
                    <w:right w:val="single" w:color="auto" w:sz="4" w:space="0"/>
                  </w:tcBorders>
                  <w:noWrap/>
                  <w:vAlign w:val="center"/>
                </w:tcPr>
                <w:p w14:paraId="12205D6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图像二次识别软件</w:t>
                  </w:r>
                </w:p>
              </w:tc>
              <w:tc>
                <w:tcPr>
                  <w:tcW w:w="1265" w:type="dxa"/>
                  <w:tcBorders>
                    <w:top w:val="single" w:color="auto" w:sz="4" w:space="0"/>
                    <w:left w:val="single" w:color="auto" w:sz="4" w:space="0"/>
                    <w:bottom w:val="single" w:color="auto" w:sz="4" w:space="0"/>
                    <w:right w:val="single" w:color="auto" w:sz="4" w:space="0"/>
                  </w:tcBorders>
                  <w:noWrap/>
                  <w:vAlign w:val="center"/>
                </w:tcPr>
                <w:p w14:paraId="729E48D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r w14:paraId="1A87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608B361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w:t>
                  </w:r>
                </w:p>
              </w:tc>
              <w:tc>
                <w:tcPr>
                  <w:tcW w:w="4476" w:type="dxa"/>
                  <w:tcBorders>
                    <w:top w:val="single" w:color="auto" w:sz="4" w:space="0"/>
                    <w:left w:val="single" w:color="auto" w:sz="4" w:space="0"/>
                    <w:bottom w:val="single" w:color="auto" w:sz="4" w:space="0"/>
                    <w:right w:val="single" w:color="auto" w:sz="4" w:space="0"/>
                  </w:tcBorders>
                  <w:noWrap/>
                  <w:vAlign w:val="center"/>
                </w:tcPr>
                <w:p w14:paraId="0A6D6AE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公安交通集成指挥平台集成实施</w:t>
                  </w:r>
                </w:p>
              </w:tc>
              <w:tc>
                <w:tcPr>
                  <w:tcW w:w="1265" w:type="dxa"/>
                  <w:tcBorders>
                    <w:top w:val="single" w:color="auto" w:sz="4" w:space="0"/>
                    <w:left w:val="single" w:color="auto" w:sz="4" w:space="0"/>
                    <w:bottom w:val="single" w:color="auto" w:sz="4" w:space="0"/>
                    <w:right w:val="single" w:color="auto" w:sz="4" w:space="0"/>
                  </w:tcBorders>
                  <w:noWrap/>
                  <w:vAlign w:val="center"/>
                </w:tcPr>
                <w:p w14:paraId="7B4FB67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r w14:paraId="6BA5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1376B76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w:t>
                  </w:r>
                </w:p>
              </w:tc>
              <w:tc>
                <w:tcPr>
                  <w:tcW w:w="4476" w:type="dxa"/>
                  <w:tcBorders>
                    <w:top w:val="single" w:color="auto" w:sz="4" w:space="0"/>
                    <w:left w:val="single" w:color="auto" w:sz="4" w:space="0"/>
                    <w:bottom w:val="single" w:color="auto" w:sz="4" w:space="0"/>
                    <w:right w:val="single" w:color="auto" w:sz="4" w:space="0"/>
                  </w:tcBorders>
                  <w:noWrap/>
                  <w:vAlign w:val="center"/>
                </w:tcPr>
                <w:p w14:paraId="2FA7058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违法举报系统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349798D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r w14:paraId="1E80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4E7E95A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w:t>
                  </w:r>
                </w:p>
              </w:tc>
              <w:tc>
                <w:tcPr>
                  <w:tcW w:w="4476" w:type="dxa"/>
                  <w:tcBorders>
                    <w:top w:val="single" w:color="auto" w:sz="4" w:space="0"/>
                    <w:left w:val="single" w:color="auto" w:sz="4" w:space="0"/>
                    <w:bottom w:val="single" w:color="auto" w:sz="4" w:space="0"/>
                    <w:right w:val="single" w:color="auto" w:sz="4" w:space="0"/>
                  </w:tcBorders>
                  <w:noWrap/>
                  <w:vAlign w:val="center"/>
                </w:tcPr>
                <w:p w14:paraId="20E8018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道路交通信号“一见拍”系统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226EEA8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1套</w:t>
                  </w:r>
                </w:p>
              </w:tc>
            </w:tr>
          </w:tbl>
          <w:p w14:paraId="45EC4D49">
            <w:pPr>
              <w:spacing w:line="360" w:lineRule="auto"/>
              <w:jc w:val="left"/>
              <w:rPr>
                <w:rFonts w:ascii="宋体" w:hAnsi="宋体" w:eastAsia="仿宋" w:cs="宋体"/>
                <w:sz w:val="24"/>
                <w:highlight w:val="none"/>
              </w:rPr>
            </w:pPr>
            <w:r>
              <w:rPr>
                <w:rFonts w:hint="eastAsia" w:ascii="宋体" w:hAnsi="宋体" w:eastAsia="仿宋" w:cs="宋体"/>
                <w:sz w:val="24"/>
                <w:highlight w:val="none"/>
              </w:rPr>
              <w:t>2.2软件部分要求</w:t>
            </w:r>
          </w:p>
          <w:p w14:paraId="4F46C2FF">
            <w:pPr>
              <w:spacing w:line="360" w:lineRule="auto"/>
              <w:ind w:firstLine="482" w:firstLineChars="200"/>
              <w:jc w:val="left"/>
              <w:rPr>
                <w:rFonts w:ascii="宋体" w:hAnsi="宋体" w:eastAsia="仿宋" w:cs="宋体"/>
                <w:b/>
                <w:bCs/>
                <w:sz w:val="24"/>
                <w:highlight w:val="none"/>
              </w:rPr>
            </w:pPr>
            <w:bookmarkStart w:id="42" w:name="_Hlk188455588"/>
            <w:r>
              <w:rPr>
                <w:rFonts w:hint="eastAsia" w:ascii="宋体" w:hAnsi="宋体" w:eastAsia="仿宋" w:cs="宋体"/>
                <w:b/>
                <w:bCs/>
                <w:sz w:val="24"/>
                <w:highlight w:val="none"/>
              </w:rPr>
              <w:t>1、车辆特征智能识别及检索系统</w:t>
            </w:r>
          </w:p>
          <w:p w14:paraId="5B9C35D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能够识别卡口过车图片中车辆号牌、车辆类型、车身颜色、品牌型号、年检标识、摆件挂件位置等车辆外观属性，数字化描述车辆个性化特征，针对伪造变造号牌、挪用号牌、遮挡号牌等严重交通违法行为，应用以图搜车技术发现其未遮挡或者悬挂真实号牌的通行图片，通过系统识别、比对、预警，实现对涉牌类违法行为高效打击。支持自动提取主副驾驶不系安全带、开车使用手机等交通违法行为识别预警。服务期满后，处置权归采购人所有。</w:t>
            </w:r>
          </w:p>
          <w:p w14:paraId="6BEBC99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软件功能共分为4大模块：车辆识别与特征提取；驾驶行为分析；涉牌违法行为分析；以图搜车。</w:t>
            </w:r>
          </w:p>
          <w:p w14:paraId="5E21228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（1）车辆识别与特征提取</w:t>
            </w:r>
          </w:p>
          <w:p w14:paraId="2018541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1、过车图片实时识别</w:t>
            </w:r>
          </w:p>
          <w:p w14:paraId="105589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实现基础信息的结构化识别：识别位置（前、后）、有无号牌、号牌种类、号牌号码、车辆类型、车身颜色、车标、车辆子品牌、品牌可信度。</w:t>
            </w:r>
          </w:p>
          <w:p w14:paraId="5B978D6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2、过车图片特征识别</w:t>
            </w:r>
          </w:p>
          <w:p w14:paraId="6A57B56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实现驾驶人未系安全带、驾驶人拨打手机、主驾驶放下遮阳板、副驾驶放下遮阳板、粘贴临时号牌、是否粘贴年检等标志、是否有挂件、是否摆放摆件等行为或特征的识别。支持提取车辆特征码，车辆特征码存储分布式数据库上。</w:t>
            </w:r>
          </w:p>
          <w:p w14:paraId="2F04CD5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3、车辆特征轨迹分析</w:t>
            </w:r>
          </w:p>
          <w:p w14:paraId="2015C36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支持按照识别位置、有无号牌、号牌种类、号牌号码、车辆类型、车身颜色、车标、有无年检标志、有无挂件、有无摆件、主副驾驶是否放下遮阳板、驾驶人是否系安全带、驾驶人是否拨打手机等条件查询轨迹。</w:t>
            </w:r>
          </w:p>
          <w:p w14:paraId="645834E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（2）驾驶行为分析</w:t>
            </w:r>
          </w:p>
          <w:p w14:paraId="0A1008D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1、违法驾驶行为取证</w:t>
            </w:r>
          </w:p>
          <w:p w14:paraId="0DDE83C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支持驾驶人未按规定使用安全带、驾驶时拨打接听手持电话等违法行为的取证，摩托车骑乘人员未按规定佩戴安全头盔，支持使用自定义违法代码。</w:t>
            </w:r>
          </w:p>
          <w:p w14:paraId="73A1424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2、违法驾驶行为统计</w:t>
            </w:r>
          </w:p>
          <w:p w14:paraId="0F37B4B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按照管理部门、道路类型、道路代码等多个数据维度对违法驾驶行为进行统计分析，为打击违法驾驶行为提供数据分析。</w:t>
            </w:r>
          </w:p>
          <w:p w14:paraId="73E6AB1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（3）涉牌违法行为分析</w:t>
            </w:r>
          </w:p>
          <w:p w14:paraId="3D3A9D7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1、粘贴临时号牌车辆分析</w:t>
            </w:r>
          </w:p>
          <w:p w14:paraId="594ED6A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通过机动车号牌的识别以及粘贴临时号牌的识别，分析出按规定粘贴临时号牌的车辆。具备实时预警功能。</w:t>
            </w:r>
          </w:p>
          <w:p w14:paraId="48FA930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2、无牌车分析</w:t>
            </w:r>
          </w:p>
          <w:p w14:paraId="63E0C23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通过机动车号牌的识别以及粘贴临时号牌的识别，分析未粘贴或未按规定粘贴临时号牌的无牌车。具备实时预警功能。</w:t>
            </w:r>
          </w:p>
          <w:p w14:paraId="76F9572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3、嫌疑假牌车分析</w:t>
            </w:r>
          </w:p>
          <w:p w14:paraId="3E729F0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通过机动车号牌识别、品牌识别以及与机动车登记信息的碰撞比对，分析出嫌疑使用伪造、变造机动车号牌的车辆以及嫌疑办理注销、转移业务后继续使用应当收回的机动车号牌的车辆。具备实时预警与离线取证功能。</w:t>
            </w:r>
          </w:p>
          <w:p w14:paraId="6378892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4、嫌疑套牌车分析</w:t>
            </w:r>
          </w:p>
          <w:p w14:paraId="7E1CD0C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通过机动车号牌识别、品牌识别以及与机动车登记信息的碰撞比对，分析出嫌疑使用其他机动车号牌的车辆以及嫌疑使用伪造、变造机动车号牌的车辆。具备实时预警与离线取证功能。</w:t>
            </w:r>
          </w:p>
          <w:p w14:paraId="76A49EA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（4）以图搜车应用</w:t>
            </w:r>
          </w:p>
          <w:p w14:paraId="6EB60FF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以图搜车是指在车辆识别与特征提取的基础上，根据实际业务的需求，选定待搜索的车辆，查找与待搜索车辆高度相似的车辆，在此基础上，进行后续的业务操作。</w:t>
            </w:r>
          </w:p>
          <w:p w14:paraId="05D3D36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1、嫌疑车辆相似度分析（自动以图搜车）</w:t>
            </w:r>
          </w:p>
          <w:p w14:paraId="4A06CC4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首先，后台自动将每天产生的嫌疑使用伪造变造机动车号牌车辆、嫌疑使用其他机动车号牌车辆、嫌疑未悬挂机动车号牌车辆以及非现场人工筛选出来的涉牌违法车辆作为嫌疑车辆，对每一辆嫌疑车辆，通过与海量过车记录的相似度分析，找出与嫌疑车辆高度相似但号牌不同的车辆。其次，人工对后台分析的相似车辆进行确认，找出短期内频繁变换机动车号牌行为的涉牌违法车辆，提供过车轨迹查询、机动车登记信息查询、违法记录查询等查询的快捷功能，进一步分析查证涉牌违法车辆的真实号牌信息。最后，使用嫌疑车辆信息与相似车辆信息进行直接查处或采集非现场违法。</w:t>
            </w:r>
          </w:p>
          <w:p w14:paraId="7E5FD23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2、自定义以图搜车</w:t>
            </w:r>
          </w:p>
          <w:p w14:paraId="4883AB6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用户自选图片进行车辆基础信息识别、特征提取、相似度比对并返回相似度较高的记录作为相似车辆。以图搜车搜索条件可选车标品牌、车辆品牌型号、车辆类型、车身颜色、过车时间、行政区划、卡口。对于搜索出来的结果需要人工进行确认，人工确认时同样提供过车轨迹查询、机动车登记信息查询、违法记录查询等查询的快捷功能，具备对确认结果进行人工查处、采集非现场违法功能</w:t>
            </w:r>
            <w:r>
              <w:rPr>
                <w:rFonts w:ascii="宋体" w:hAnsi="宋体" w:eastAsia="仿宋" w:cs="宋体"/>
                <w:sz w:val="24"/>
                <w:highlight w:val="none"/>
              </w:rPr>
              <w:t>。</w:t>
            </w:r>
          </w:p>
          <w:p w14:paraId="499575A2">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2、卡口图片人脸智能识别预警系统</w:t>
            </w:r>
          </w:p>
          <w:p w14:paraId="259E545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能够按照公安交通集成指挥平台人脸识别服务软件接口要求提供接口服务。</w:t>
            </w:r>
          </w:p>
          <w:p w14:paraId="2B2C911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系统需提供卡口过车驾人员实时识别、驾驶证异常分析预警、重点人员比对预警、人脸特征智能分析等4大模块。</w:t>
            </w:r>
          </w:p>
          <w:p w14:paraId="47FACE7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卡口过车驾驶人实时识别：驾驶人实施检测。支持对接入的卡口过车图片实时自动检测驾驶人人脸。对于能够检测出驾驶人人脸的，一方面提取驾驶人人脸特征信息、生成特征值，另一方面对驾驶人人脸特征进行智能识别，识别出有无佩戴墨镜、有无佩戴口罩等，并以结构化形式持久化存储。</w:t>
            </w:r>
          </w:p>
          <w:p w14:paraId="3FC0268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2)驾驶证异常分析预警：</w:t>
            </w:r>
          </w:p>
          <w:p w14:paraId="4A62837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失驾人员分析预警：系统支持自动将检测出的驾驶人身份与六合一全国驾驶人信息库进行实时比对，分析出驾驶证处于超分、停止使用、扣留、扣押、暂扣、撤销、吊销、注销、注销可恢复、逾期未换证、逾期未审验等状态的嫌疑驾驶人，并通过集成指挥平台实时推送预警信息。</w:t>
            </w:r>
          </w:p>
          <w:p w14:paraId="411D7D8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无证驾驶人员分析预警：系统支持自动将比对出的驾驶人身份与六合一全国驾驶人信息库进行实时比对，分析出未取得机动车驾驶证的嫌疑驾驶人，通过集成指挥平台实时推送预警信息。</w:t>
            </w:r>
          </w:p>
          <w:p w14:paraId="37CB78A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3)重点人员比对预警</w:t>
            </w:r>
          </w:p>
          <w:p w14:paraId="374975A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系统支持用户上传人脸图片、设定预警阈值进行查处，人脸图片场景不限，包括身份证件照片、手机拍摄图片、卡口抓拍图片等。</w:t>
            </w:r>
          </w:p>
          <w:p w14:paraId="69ED860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4)人脸特征智能分析</w:t>
            </w:r>
          </w:p>
          <w:p w14:paraId="1FCC684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系统支持用户上传人脸图片，查找该人驾驶或乘坐的机动车行驶轨迹。对于检索分析出的目标人员或车辆，支持快速车牌查处与人脸查处。</w:t>
            </w:r>
          </w:p>
          <w:p w14:paraId="773F3796">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3、图像二次识别软件</w:t>
            </w:r>
          </w:p>
          <w:p w14:paraId="690842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提供车标、车牌、车辆型号、车身颜色识别，实现假牌、套牌等嫌疑车辆预警，与核心版软件集成发布应用</w:t>
            </w:r>
          </w:p>
          <w:p w14:paraId="5AB5137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1)车辆号牌识别</w:t>
            </w:r>
          </w:p>
          <w:p w14:paraId="6B1D74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系统可识别卡口抓拍图片中车辆号牌号码;</w:t>
            </w:r>
          </w:p>
          <w:p w14:paraId="5795760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2)车辆品牌型号识别</w:t>
            </w:r>
          </w:p>
          <w:p w14:paraId="2721614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车辆品牌型号3年内动态更新;</w:t>
            </w:r>
          </w:p>
          <w:p w14:paraId="44188E4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3)车型识别</w:t>
            </w:r>
          </w:p>
          <w:p w14:paraId="22F8E2D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能区分货车、大型客车、面包车、轿车、越野车等车型;</w:t>
            </w:r>
          </w:p>
          <w:p w14:paraId="29033B7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4)车身颜色识别</w:t>
            </w:r>
          </w:p>
          <w:p w14:paraId="6E9B72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系统能够精准识别 10 种常见车身颜色，包括黑、白、灰、红、绿、蓝、黄、粉、紫、棕等，车身颜色识别。</w:t>
            </w:r>
          </w:p>
          <w:p w14:paraId="4FD35B8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5)图像特征识别性能</w:t>
            </w:r>
          </w:p>
          <w:p w14:paraId="40749CC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系统具备对多张图片进行车辆号牌识别、车辆品牌型号识别、车身颜色识别、车型识别的功能。</w:t>
            </w:r>
          </w:p>
          <w:bookmarkEnd w:id="42"/>
          <w:p w14:paraId="7042B644">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4、公安交通集成指挥平台集成实施</w:t>
            </w:r>
          </w:p>
          <w:p w14:paraId="2EB30B1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1）基础环境安装部署</w:t>
            </w:r>
          </w:p>
          <w:p w14:paraId="4203B57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（1）超融合应用服务一体机等设备上架安装并检查安装完整性；</w:t>
            </w:r>
          </w:p>
          <w:p w14:paraId="154C93B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（2）基础运行环境搭建，包括操作系统安装、参数调整；</w:t>
            </w:r>
          </w:p>
          <w:p w14:paraId="5F81263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（3）超融合应用服务一体机等硬件设备资源规划，定制具体分配策略；</w:t>
            </w:r>
          </w:p>
          <w:p w14:paraId="5198A16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（4）数据处理一体机、数据库备份一体机配置；</w:t>
            </w:r>
          </w:p>
          <w:p w14:paraId="3382BD3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（5）基础软件安装调优；</w:t>
            </w:r>
          </w:p>
          <w:p w14:paraId="4DACDB9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（6）融合调度网关一体机部署实施；</w:t>
            </w:r>
          </w:p>
          <w:p w14:paraId="7BF4759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2）数据迁移</w:t>
            </w:r>
          </w:p>
          <w:p w14:paraId="4004176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服务期内完成相关迁移服务，具体内容如下：</w:t>
            </w:r>
          </w:p>
          <w:p w14:paraId="3C72FB4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（1）业务应用迁移服务，提供集成指挥平台系统功能、集成指挥平台接入服务，集成指挥平台APP等业务应用迁移服务；</w:t>
            </w:r>
          </w:p>
          <w:p w14:paraId="780FAA4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（2）集成指挥平台数据库数据迁移服务；</w:t>
            </w:r>
          </w:p>
          <w:p w14:paraId="7D76191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（3）集成指挥平台大数据平台数据迁移服务；</w:t>
            </w:r>
          </w:p>
          <w:p w14:paraId="2DF03DA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（4）检查数据迁移后数据的完整性、一致性；</w:t>
            </w:r>
          </w:p>
          <w:p w14:paraId="4ABE369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3）系统对接</w:t>
            </w:r>
          </w:p>
          <w:p w14:paraId="25FCEA7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（1）集成指挥平台应用与数据库、大数据平台对接；</w:t>
            </w:r>
          </w:p>
          <w:p w14:paraId="20CC040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（2）接入服务与数据库对接；</w:t>
            </w:r>
          </w:p>
          <w:p w14:paraId="28BA1E3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（3）与支队、县大队卡口数据对接；</w:t>
            </w:r>
          </w:p>
          <w:p w14:paraId="5481D08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（4）与支队非现场平台对接；</w:t>
            </w:r>
          </w:p>
          <w:p w14:paraId="700A39D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（5）与支队、县大队视频平台对接；</w:t>
            </w:r>
          </w:p>
          <w:p w14:paraId="3B062AE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（6）与总队、部局集成指挥平台对接；</w:t>
            </w:r>
          </w:p>
          <w:p w14:paraId="3265CD2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（7）与总队综合应用平台对接；</w:t>
            </w:r>
          </w:p>
          <w:p w14:paraId="33F3367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（8）与总队集成指挥平台APP对接；</w:t>
            </w:r>
          </w:p>
          <w:p w14:paraId="41F831E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（9）融合调度网关与核心版集成指挥平台对接集成；</w:t>
            </w:r>
          </w:p>
          <w:p w14:paraId="299D737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4）系统备案</w:t>
            </w:r>
          </w:p>
          <w:p w14:paraId="13AEC6F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（1）提供集成指挥平台数据库、应用服务、接入服务等设备备案；</w:t>
            </w:r>
          </w:p>
          <w:p w14:paraId="57AFFDA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（2）集成指挥平台应用服务、大数据服务申请总队分发库访问权限备案；</w:t>
            </w:r>
          </w:p>
          <w:p w14:paraId="38B45CB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5）系统测试</w:t>
            </w:r>
          </w:p>
          <w:p w14:paraId="434E3EF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（1）过车数据、非现场数据、视频平台数据接入测试；</w:t>
            </w:r>
          </w:p>
          <w:p w14:paraId="3B4B829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（2）集成指挥平台应用功能点测试；</w:t>
            </w:r>
          </w:p>
          <w:p w14:paraId="647699C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（3）与总队集成指挥平台、部局集成指挥平台数据流转测试验证；</w:t>
            </w:r>
          </w:p>
          <w:p w14:paraId="5558B2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（4）与总队综合应用平台、互联网交通安全综合服务管理平台数据交互测试验证；</w:t>
            </w:r>
          </w:p>
          <w:p w14:paraId="4BD1072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（5）与总队集成指挥平台APP对接测试；</w:t>
            </w:r>
          </w:p>
          <w:p w14:paraId="2977B02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（6）与车辆特征智能识别及检索系统、卡口图片人脸智能识别系统对接测试；</w:t>
            </w:r>
          </w:p>
          <w:p w14:paraId="4141FF9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（7）与融合调度网关一体机的对接集成测试；</w:t>
            </w:r>
          </w:p>
          <w:p w14:paraId="03D64ED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6）专网融合通信模块部署</w:t>
            </w:r>
          </w:p>
          <w:p w14:paraId="6092714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（1）专网指挥调度软件运行环境配置；</w:t>
            </w:r>
          </w:p>
          <w:p w14:paraId="713FD45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（2）专网指挥调度软件数据库配置；</w:t>
            </w:r>
          </w:p>
          <w:p w14:paraId="1A53B7E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（3）组件安装，应用程序安装发布；</w:t>
            </w:r>
          </w:p>
          <w:p w14:paraId="5E20984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（4）软件配置服务，包括融合通信网关配置、流媒体服务配置、代理服务配置、国标服务配置、下级国标平台对接；</w:t>
            </w:r>
          </w:p>
          <w:p w14:paraId="33B37AF9">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5、违法举报系统</w:t>
            </w:r>
          </w:p>
          <w:p w14:paraId="6C38DA1C">
            <w:pPr>
              <w:spacing w:line="360" w:lineRule="auto"/>
              <w:ind w:firstLine="480" w:firstLineChars="200"/>
              <w:jc w:val="left"/>
              <w:rPr>
                <w:rFonts w:ascii="宋体" w:hAnsi="宋体" w:eastAsia="仿宋" w:cs="宋体"/>
                <w:sz w:val="24"/>
                <w:highlight w:val="none"/>
              </w:rPr>
            </w:pPr>
            <w:bookmarkStart w:id="43" w:name="_Hlk174549074"/>
            <w:r>
              <w:rPr>
                <w:rFonts w:hint="eastAsia" w:ascii="宋体" w:hAnsi="宋体" w:eastAsia="仿宋" w:cs="宋体"/>
                <w:sz w:val="24"/>
                <w:highlight w:val="none"/>
              </w:rPr>
              <w:t>提供违法举报系统功能（互联网端）、违法举报后台审核管理系统、与警察叔叔系统对接等内容。服务期满后，处置权归建设单位所有。</w:t>
            </w:r>
          </w:p>
          <w:p w14:paraId="6918ECF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（1）违法举报系统功能（互联网端）</w:t>
            </w:r>
          </w:p>
          <w:p w14:paraId="64CAE7B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1）公告信息</w:t>
            </w:r>
          </w:p>
          <w:p w14:paraId="32325D5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当事人点击进入违法举报功能，查看公告信息内容。</w:t>
            </w:r>
          </w:p>
          <w:p w14:paraId="26A3DC9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2）用户信息获取</w:t>
            </w:r>
          </w:p>
          <w:p w14:paraId="1ACAC28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对接市局警察叔叔APP平台，获取当前登录用的信息账号，后续举报信息以该实名账号为举报人信息。</w:t>
            </w:r>
          </w:p>
          <w:p w14:paraId="32EAE3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手机端展示获取的当事人姓名、手机号码，手机号允许进行调整；</w:t>
            </w:r>
          </w:p>
          <w:p w14:paraId="163C53D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3）举报信息填写</w:t>
            </w:r>
          </w:p>
          <w:p w14:paraId="1510435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群众可填写必填内容：违法类型（下拉式）、违法地址</w:t>
            </w:r>
            <w:r>
              <w:rPr>
                <w:rFonts w:ascii="宋体" w:hAnsi="宋体" w:eastAsia="仿宋" w:cs="宋体"/>
                <w:sz w:val="24"/>
                <w:highlight w:val="none"/>
              </w:rPr>
              <w:t>(手工填写，其中行政区划为下拉式，增加填写示例，提示当事人根据示例填写规范，便于后期处理，具体示例由事故对策处提供）、违法时间（选择式）、违法详情描述（手工填写）、行政区划（下拉式），选填内容：号牌号码（选择式）等信息进行举报上传；</w:t>
            </w:r>
          </w:p>
          <w:p w14:paraId="4ECC2E2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 xml:space="preserve">行政区划默认杭州市，当事人选择区划信息，全市各市县都能举报。 </w:t>
            </w:r>
          </w:p>
          <w:p w14:paraId="25E1868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后台自动获取当事人定位信息在管理端审核页面进行展示；</w:t>
            </w:r>
          </w:p>
          <w:p w14:paraId="2A6AB8F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4）证据材料上传</w:t>
            </w:r>
          </w:p>
          <w:p w14:paraId="4C410F7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群众从相册中选择视频上传，对视频大小进行限定，同时手机端页面进行提示；视频大小限制最大40兆。</w:t>
            </w:r>
          </w:p>
          <w:p w14:paraId="6BDB54F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也直接通过摄像头拍摄照片，或者从相册中选择照片上传；</w:t>
            </w:r>
          </w:p>
          <w:p w14:paraId="5C30D3D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证据照片，视频非必选上传项；</w:t>
            </w:r>
          </w:p>
          <w:p w14:paraId="27C34C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允许当事人举报内容办结前进行证据补传。</w:t>
            </w:r>
          </w:p>
          <w:p w14:paraId="0B3BE82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举报信息提交成功后，页面留言，您的举报已受理，工作人员将在调查处理后与您联系，感谢对交通管理工作的关心和支持。</w:t>
            </w:r>
          </w:p>
          <w:p w14:paraId="0C6FA98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5）违法举报信息查询</w:t>
            </w:r>
          </w:p>
          <w:p w14:paraId="3B98DF7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用户可查看之前违法举报的内容，以列表形式展示以往的举报内容(举报时间、举报违法地点、审核结果等信息)；</w:t>
            </w:r>
          </w:p>
          <w:p w14:paraId="47BCAF4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用户可查看单条举报内容的处理进度。</w:t>
            </w:r>
          </w:p>
          <w:p w14:paraId="6AC8C44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6）违法数据自动分派</w:t>
            </w:r>
          </w:p>
          <w:p w14:paraId="56DE4BB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根据上报信息的行政区划自动分派至管辖大队进行处理。</w:t>
            </w:r>
          </w:p>
          <w:p w14:paraId="7DE1319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（2）违法举报后台审核管理系统</w:t>
            </w:r>
          </w:p>
          <w:p w14:paraId="323BA53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1）违法数据查看</w:t>
            </w:r>
          </w:p>
          <w:p w14:paraId="68EEE31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大队管理员根据举报人身份证、手机号、违法时间等条件查看上报的违法信息列表。</w:t>
            </w:r>
          </w:p>
          <w:p w14:paraId="62589CC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2）违法详情查看</w:t>
            </w:r>
          </w:p>
          <w:p w14:paraId="2862D99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管理员可查看违法基本信息、举报人信息及证据材料。</w:t>
            </w:r>
          </w:p>
          <w:p w14:paraId="76F795F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3）违法数据转派</w:t>
            </w:r>
          </w:p>
          <w:p w14:paraId="2C3C4EF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大队管理员在受理过程中，核查到该违法不属于自己辖区管辖，可转派至其他大队进行处理。</w:t>
            </w:r>
          </w:p>
          <w:p w14:paraId="122E1FB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4）转派审核</w:t>
            </w:r>
          </w:p>
          <w:p w14:paraId="3522C8B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支队管理员针对大队转派的业务需要进行核查，确认可转派至对应大队则审核通过；确认不可转派，说明原因退回至原大队处理。</w:t>
            </w:r>
          </w:p>
          <w:p w14:paraId="4E5BFF6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5）中队派单</w:t>
            </w:r>
          </w:p>
          <w:p w14:paraId="4552AD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大队管理员根据反馈内容可以派单至中队，由中队进行处理反馈。</w:t>
            </w:r>
          </w:p>
          <w:p w14:paraId="607CC5E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6）违法数据受理</w:t>
            </w:r>
          </w:p>
          <w:p w14:paraId="2432633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各级管理员根据群众上报的违法信息，线下进行核查，针对违法事实进行回复。</w:t>
            </w:r>
          </w:p>
          <w:p w14:paraId="1B2CF85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7）超期预警</w:t>
            </w:r>
          </w:p>
          <w:p w14:paraId="0847F44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根据举报处理时效性的要求，对于快要超期的举报内容进行一次弹窗提醒（可点击直接进入该条举报处理）后，对该举报信息进行标红显示（具体的时效性，由事故处提供规则）</w:t>
            </w:r>
          </w:p>
          <w:p w14:paraId="2801C83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8）系统管理</w:t>
            </w:r>
          </w:p>
          <w:p w14:paraId="60F7776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包括系统用户、角色管理、部门管理和功能模块。</w:t>
            </w:r>
          </w:p>
          <w:p w14:paraId="4F82D35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9）统计查询功能</w:t>
            </w:r>
          </w:p>
          <w:p w14:paraId="7C53D5C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各级管理员可对本级管辖的举报内容根据时间段进行统计，包括举报违法类型的统计（含举报数，有效数，无效数），举报人的统计（含举报数，有效数，无效数）。</w:t>
            </w:r>
          </w:p>
          <w:p w14:paraId="13B16A3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 xml:space="preserve">（3）与警察叔叔系统对接 </w:t>
            </w:r>
          </w:p>
          <w:p w14:paraId="2296426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实现与警察叔叔系统对接，获取APP的实名用户信息。</w:t>
            </w:r>
            <w:bookmarkEnd w:id="43"/>
          </w:p>
          <w:p w14:paraId="5C31C4C2">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6、道路交通信号“一见拍”系统</w:t>
            </w:r>
          </w:p>
          <w:p w14:paraId="4F038A6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在微信公众号设置交通信号社会反馈专栏功能，提供微信端道路交通信号安全问题上报功能。交警通过建设管理后台，将群众上报信息进行统一汇总，并根据用户上报区域实现上报信息的自动派送，支持大队群众上报的道路交通信号问题数据进行处置跟踪，并支持后台数据统计分析处理。服务期满后，处置权归建设单位所有。</w:t>
            </w:r>
          </w:p>
          <w:p w14:paraId="288B867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（1）道路交通信号“一见拍”群众端</w:t>
            </w:r>
          </w:p>
          <w:p w14:paraId="6F59052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1）群众端首页</w:t>
            </w:r>
          </w:p>
          <w:p w14:paraId="2EE5E9F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手机端界面个性化设计</w:t>
            </w:r>
          </w:p>
          <w:p w14:paraId="0BFB005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支持根据各地的部署平台的风格，对手机端上报界面首页进行适配设计。</w:t>
            </w:r>
          </w:p>
          <w:p w14:paraId="4F4AE37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2）信息采集</w:t>
            </w:r>
          </w:p>
          <w:p w14:paraId="23AB259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上报信息填写</w:t>
            </w:r>
          </w:p>
          <w:p w14:paraId="5E45491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针对群众发现的道路交通信号问题，支持群众手动填写问题信息。</w:t>
            </w:r>
          </w:p>
          <w:p w14:paraId="3F2864A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定位信息获取</w:t>
            </w:r>
          </w:p>
          <w:p w14:paraId="3432333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支持群众上报地点信息的自动获取，并记录获取的地点信息。</w:t>
            </w:r>
          </w:p>
          <w:p w14:paraId="284A6E2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问题照片采集</w:t>
            </w:r>
          </w:p>
          <w:p w14:paraId="2366F9E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支持用户对道路交通信号的问题隐患进行拍照上传。</w:t>
            </w:r>
          </w:p>
          <w:p w14:paraId="445B808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3）数据上报</w:t>
            </w:r>
          </w:p>
          <w:p w14:paraId="69DAEB5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针对群众填写的问题基础信息进行上报，并提交至该区域的管辖大队。</w:t>
            </w:r>
          </w:p>
          <w:p w14:paraId="171F483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4）上报记录管理</w:t>
            </w:r>
          </w:p>
          <w:p w14:paraId="5D1A9C8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上报记录查询</w:t>
            </w:r>
          </w:p>
          <w:p w14:paraId="4008DD2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针对群众上报的交通信号问题信息，支持根据上报手机号查询上报信息记录。</w:t>
            </w:r>
          </w:p>
          <w:p w14:paraId="3652FFC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处置进度回溯</w:t>
            </w:r>
          </w:p>
          <w:p w14:paraId="11E7C3F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系统对上报信息的处置进度进行回溯，支持群众在手机端进行查看跟踪。</w:t>
            </w:r>
          </w:p>
          <w:p w14:paraId="60A4F94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整改信息反馈</w:t>
            </w:r>
          </w:p>
          <w:p w14:paraId="2C95AF9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民警整改的信息记录会推送至相应的上报记录中，供群众查看。</w:t>
            </w:r>
          </w:p>
          <w:p w14:paraId="5481AE1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5）处置进度反馈</w:t>
            </w:r>
          </w:p>
          <w:p w14:paraId="3D67B0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消息推送</w:t>
            </w:r>
          </w:p>
          <w:p w14:paraId="35B3259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针对系统部署平台的消息推送，系统提供统一的接口规范，实现反馈信息的消息推送。</w:t>
            </w:r>
          </w:p>
          <w:p w14:paraId="5957699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（2）道路交通信号“一见拍”后台系统</w:t>
            </w:r>
          </w:p>
          <w:p w14:paraId="632F364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1）首页</w:t>
            </w:r>
          </w:p>
          <w:p w14:paraId="6F7D8C2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数据看板</w:t>
            </w:r>
          </w:p>
          <w:p w14:paraId="2F39CC9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针对系统汇聚的基础数据进行统计，并进行多样化的展示。</w:t>
            </w:r>
          </w:p>
          <w:p w14:paraId="52E6979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2）数据管理</w:t>
            </w:r>
          </w:p>
          <w:p w14:paraId="2D8FC89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上报信息查询</w:t>
            </w:r>
          </w:p>
          <w:p w14:paraId="05164A9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针对系统汇聚的上报信息，支持用户根据问题类别、问题隐患描述、上报人姓名、处理部门、上报时间、上报地点进行筛选查询。</w:t>
            </w:r>
          </w:p>
          <w:p w14:paraId="35721DB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上报记录详情查看</w:t>
            </w:r>
          </w:p>
          <w:p w14:paraId="6E9DA16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支持用户查看具体某项上报记录的上报详情。</w:t>
            </w:r>
          </w:p>
          <w:p w14:paraId="78BE7B7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3）上报信息处置</w:t>
            </w:r>
          </w:p>
          <w:p w14:paraId="7BFF6BA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上报信息自动派送</w:t>
            </w:r>
          </w:p>
          <w:p w14:paraId="7A7F641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系统根据用户上报地点的信息和对接的行政区划信息，实现上报信息的自动派送。</w:t>
            </w:r>
          </w:p>
          <w:p w14:paraId="0E18CCB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上报信息受理</w:t>
            </w:r>
          </w:p>
          <w:p w14:paraId="226E10C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针对由公安机关维护管理且确需整改的，支持用户对上报信息进行受理。</w:t>
            </w:r>
          </w:p>
          <w:p w14:paraId="5E9207E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上报信息解释反馈</w:t>
            </w:r>
          </w:p>
          <w:p w14:paraId="55D4830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针对经民警核查无需整改的上报信息，进行政策、技术规范解释说明情形。</w:t>
            </w:r>
          </w:p>
          <w:p w14:paraId="055BC41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上报信息流转</w:t>
            </w:r>
          </w:p>
          <w:p w14:paraId="540466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针对不属于由公安机关维护管理的，向反映者反馈举报线索去向。</w:t>
            </w:r>
          </w:p>
          <w:p w14:paraId="0718BF2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上报信息转派</w:t>
            </w:r>
          </w:p>
          <w:p w14:paraId="59453F6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支持支队用户对上报信息归属机构进行修改，指定相应的中队进行上报信息的受理、整改等。</w:t>
            </w:r>
          </w:p>
          <w:p w14:paraId="1596C07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4）整改信息反馈</w:t>
            </w:r>
          </w:p>
          <w:p w14:paraId="11D6E79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整改结果回复</w:t>
            </w:r>
          </w:p>
          <w:p w14:paraId="4534142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针对民警受理后的上报信息，提供整改结果回复的功能。</w:t>
            </w:r>
          </w:p>
          <w:p w14:paraId="391DD6D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整改照片上传</w:t>
            </w:r>
          </w:p>
          <w:p w14:paraId="68D6FF1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支持民警对整改后的照片进行上传，同时反馈至群众端，并将上报记录的状态进行更新。</w:t>
            </w:r>
          </w:p>
          <w:p w14:paraId="2915ABC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5）数据统计分析</w:t>
            </w:r>
          </w:p>
          <w:p w14:paraId="3A1BE51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隐患地点分析</w:t>
            </w:r>
          </w:p>
          <w:p w14:paraId="0AE3D57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针对系统汇聚的上报信息数据，支持以隐患地点为维度进行展开分析。</w:t>
            </w:r>
          </w:p>
          <w:p w14:paraId="2244BCF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问题类别分析</w:t>
            </w:r>
          </w:p>
          <w:p w14:paraId="472E9F3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针对系统汇聚的上报信息数据，支持以上报问题类别为维度进行展开分析。</w:t>
            </w:r>
          </w:p>
          <w:p w14:paraId="6529C33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问题描述分析</w:t>
            </w:r>
          </w:p>
          <w:p w14:paraId="1231D92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针对系统汇聚的上报信息数据，支持以上报问题描述为维度进行展开分析。</w:t>
            </w:r>
          </w:p>
          <w:p w14:paraId="21D08A4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处置类别分析</w:t>
            </w:r>
          </w:p>
          <w:p w14:paraId="6F4DFB0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针对系统汇聚的上报信息处置数据，支持以处置类别为维度进行展开分析。</w:t>
            </w:r>
          </w:p>
          <w:p w14:paraId="3BCA049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处理时效分析</w:t>
            </w:r>
          </w:p>
          <w:p w14:paraId="4B3CC04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针对系统汇聚的上报信息处置数据，支持以处理时效为维度进行展开分析。</w:t>
            </w:r>
          </w:p>
          <w:p w14:paraId="76063DE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6）上报信息选项自定义配置</w:t>
            </w:r>
          </w:p>
          <w:p w14:paraId="3368EA9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问题类别配置</w:t>
            </w:r>
          </w:p>
          <w:p w14:paraId="6604463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针对用户个性化的上报问题类别，支持用户进行自定义配置。</w:t>
            </w:r>
          </w:p>
          <w:p w14:paraId="0762AEE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问题描述配置</w:t>
            </w:r>
          </w:p>
          <w:p w14:paraId="2296A79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支持对问题描述进行配置，并提供给群众端进行选择。</w:t>
            </w:r>
          </w:p>
          <w:p w14:paraId="1322BF4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7）系统管理</w:t>
            </w:r>
          </w:p>
          <w:p w14:paraId="666B96C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用户管理：实现对系统管理员用户的信息管理；</w:t>
            </w:r>
          </w:p>
          <w:p w14:paraId="0DB17A6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角色管理：可根据实际需要创建角色，配置角色拥有的权限与功能点权限；</w:t>
            </w:r>
          </w:p>
          <w:p w14:paraId="3F16365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部门管理：实现与公安交通管理综合应用平台数据进行部门数据同步的功能，保持与综合应用平台的数据一致性；</w:t>
            </w:r>
          </w:p>
          <w:p w14:paraId="3139C6E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参数管理：支持对系统参数进行新增、修改、删除、查看；</w:t>
            </w:r>
          </w:p>
          <w:p w14:paraId="363635C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数据字典管理：支持对数据字典类别及数据字典进行新增、修改、删除、查看。</w:t>
            </w:r>
          </w:p>
          <w:p w14:paraId="58D2829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（3）系统对接及数据交互服务</w:t>
            </w:r>
          </w:p>
          <w:p w14:paraId="4B349F4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1）微信公众号对接</w:t>
            </w:r>
          </w:p>
          <w:p w14:paraId="26FBCE1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将系统部署应用于微信公众号上。</w:t>
            </w:r>
          </w:p>
          <w:p w14:paraId="536C9B0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2）第三方上报平台数据统一接入</w:t>
            </w:r>
          </w:p>
          <w:p w14:paraId="79F2F3E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提供统一的对接规范，将第三方上报平台数据进行接入，统一存储。</w:t>
            </w:r>
          </w:p>
          <w:p w14:paraId="77B9F475">
            <w:pPr>
              <w:spacing w:line="360" w:lineRule="auto"/>
              <w:ind w:firstLine="480" w:firstLineChars="200"/>
              <w:jc w:val="left"/>
              <w:rPr>
                <w:rFonts w:ascii="宋体" w:hAnsi="宋体" w:eastAsia="仿宋" w:cs="宋体"/>
                <w:sz w:val="24"/>
                <w:highlight w:val="none"/>
              </w:rPr>
            </w:pPr>
            <w:r>
              <w:rPr>
                <w:rFonts w:ascii="宋体" w:hAnsi="宋体" w:eastAsia="仿宋" w:cs="宋体"/>
                <w:sz w:val="24"/>
                <w:highlight w:val="none"/>
              </w:rPr>
              <w:t>3</w:t>
            </w:r>
            <w:r>
              <w:rPr>
                <w:rFonts w:hint="eastAsia" w:ascii="宋体" w:hAnsi="宋体" w:eastAsia="仿宋" w:cs="宋体"/>
                <w:sz w:val="24"/>
                <w:highlight w:val="none"/>
              </w:rPr>
              <w:t>）与短信平台的对接</w:t>
            </w:r>
          </w:p>
          <w:p w14:paraId="7894512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与短信平台对接集成，在上报信息处置完成时，可根据上报人信息列表推送短信记录至上报人。</w:t>
            </w:r>
          </w:p>
          <w:p w14:paraId="6542B9A5">
            <w:pPr>
              <w:spacing w:line="360" w:lineRule="auto"/>
              <w:ind w:firstLine="482" w:firstLineChars="200"/>
              <w:jc w:val="left"/>
              <w:rPr>
                <w:rFonts w:ascii="宋体" w:hAnsi="宋体" w:eastAsia="仿宋" w:cs="宋体"/>
                <w:b/>
                <w:bCs/>
                <w:sz w:val="24"/>
                <w:highlight w:val="none"/>
              </w:rPr>
            </w:pPr>
            <w:r>
              <w:rPr>
                <w:rFonts w:hint="eastAsia" w:ascii="宋体" w:hAnsi="宋体" w:eastAsia="仿宋" w:cs="宋体"/>
                <w:b/>
                <w:bCs/>
                <w:sz w:val="24"/>
                <w:highlight w:val="none"/>
              </w:rPr>
              <w:t>三、安全要求</w:t>
            </w:r>
          </w:p>
          <w:p w14:paraId="2C161B6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本项目需在服务期结束前通过第三方检测（软件部分）及网络安全等级保护三级；根据商用密码应用安全管理要求，在服务期结束后完成商用密码应用测评和信创测评，投标人需做好相关检测和测评的配合工作，如因投标人原因符合要求的，需负责整改到位。</w:t>
            </w:r>
          </w:p>
          <w:p w14:paraId="74D7AB06">
            <w:pPr>
              <w:spacing w:line="360" w:lineRule="auto"/>
              <w:ind w:firstLine="480" w:firstLineChars="200"/>
              <w:jc w:val="left"/>
              <w:rPr>
                <w:rFonts w:ascii="宋体" w:hAnsi="宋体" w:eastAsia="仿宋" w:cs="宋体"/>
                <w:sz w:val="24"/>
                <w:highlight w:val="none"/>
              </w:rPr>
            </w:pPr>
            <w:bookmarkStart w:id="44" w:name="_Hlk169083966"/>
            <w:r>
              <w:rPr>
                <w:rFonts w:hint="eastAsia" w:ascii="宋体" w:hAnsi="宋体" w:eastAsia="仿宋" w:cs="宋体"/>
                <w:sz w:val="24"/>
                <w:highlight w:val="none"/>
              </w:rPr>
              <w:t>对于本项目中的超融合应用服务一体机、大数据平台、视频服务网关、集成指挥平台升级服务一体机、负载均衡器1、负载均衡器2、融合调度网关一体机、数据处理一体机、数据库备份一体机、违法举报、道路交通信号“一见拍”系统，需根据信创要求，完成信创测评，如因投标人原因未符合要求的，需负责整改到位。</w:t>
            </w:r>
          </w:p>
          <w:bookmarkEnd w:id="44"/>
          <w:p w14:paraId="336C8F2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四、服务要求</w:t>
            </w:r>
          </w:p>
          <w:p w14:paraId="41BE81E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投标人应明确说明此次投标的服务策略，提供此次租赁的服务计划（服务内容、等级、相关服务指标、服务组织机构及人员安排情况及其联络信息）。</w:t>
            </w:r>
          </w:p>
          <w:p w14:paraId="732C3A1B">
            <w:pPr>
              <w:overflowPunct/>
              <w:autoSpaceDE/>
              <w:autoSpaceDN/>
              <w:adjustRightInd/>
              <w:spacing w:line="360" w:lineRule="auto"/>
              <w:ind w:firstLine="480" w:firstLineChars="200"/>
              <w:jc w:val="left"/>
              <w:textAlignment w:val="auto"/>
              <w:rPr>
                <w:rFonts w:ascii="宋体" w:hAnsi="宋体" w:eastAsia="仿宋" w:cs="宋体"/>
                <w:b/>
                <w:sz w:val="24"/>
                <w:highlight w:val="none"/>
                <w:lang w:val="en-GB"/>
              </w:rPr>
            </w:pPr>
            <w:r>
              <w:rPr>
                <w:rFonts w:hint="eastAsia" w:ascii="宋体" w:hAnsi="宋体" w:eastAsia="仿宋" w:cs="宋体"/>
                <w:sz w:val="24"/>
                <w:highlight w:val="none"/>
              </w:rPr>
              <w:t>（1）租赁产品必须是符合国家技术规范和质量标准的合格产品，投标人在租赁服务期内安装的任何产品，必须是其租赁产品制造厂商原产的。满足采购人的使用需求，并具有可靠的服务体系，质量可靠、使用安全。本项目服务期结束后，服务器存储硬盘内所存储数据需根据采购人要求做好迁移及清理工作。</w:t>
            </w:r>
          </w:p>
          <w:p w14:paraId="699C4BE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在租赁服务期内，公安交通集成指挥平台核心版系统软件的技术架构、逻辑架构、视频联网架构应遵循《公安交通集成指挥平台技术实施方案》、《深化公安交通集成指挥平台建设方案》。同时，如遇公安部交管局集指平台版本升级及软件补丁发布，应提供系统软件更新、补丁修复服务。投标人保证其提供的产品中所有预装和为本项目安装的软件均为具有合法版权或使用权的正版软件且无质量瑕疵。</w:t>
            </w:r>
          </w:p>
          <w:p w14:paraId="6066BF4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在租赁期内，提供7*24小时服务。对设备和软件系统故障在10分钟内响应，半小时内到达现场，2小时提出解决方案，4小时内排除故障并解决所提供的投标设备和软件系统的任何问题。逾期未排除故障，投标人应提供备用设备并承担由于故障所造成的全部损失。</w:t>
            </w:r>
          </w:p>
          <w:p w14:paraId="221398D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投标人的项目组人员对系统运行情况每周进行巡检，并建立巡检台账。根据招标文件或合同须在规定时间内提交的文档资料、采购人交办的工作、监理单位出具监理工程师通知单须供应商配合完成。维护记录表须填写完整，不弄虚作假。投标人每月租赁月报于次月15日前出具，服务期满后，15日内出具租赁总结报告。</w:t>
            </w:r>
          </w:p>
          <w:p w14:paraId="45938CF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205CEE2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发生因服务质量问题造成上级部门检查不合格，采购人无法正常工作，发生重大设备损坏导致现场无法及时处理，引起二次事故造成后果的，发生因服务质量问题引起媒体曝光，造成社会不良影响的投标人应及时处理。</w:t>
            </w:r>
          </w:p>
          <w:p w14:paraId="18538BE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投标人在合同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126AD84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（8）培训要求</w:t>
            </w:r>
          </w:p>
          <w:p w14:paraId="428B2CB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1、培训目的</w:t>
            </w:r>
          </w:p>
          <w:p w14:paraId="34DE962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根据项目的目标和现实情况，对采购人相关人员进行培训，使系统操作人员、管理人员、运维人员全面了解和掌握本次项目建设系统的基本架构、系统配置流程、操作应用方法以及简单的异常/故障排除方法，能独立进行管理、维护测试和故障处理等工作。</w:t>
            </w:r>
          </w:p>
          <w:p w14:paraId="1CA0300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1.培训对象：系统操作人员、系统管理人员、系统运维人员。培训人数根据采购人要求确定（不少于一人）。</w:t>
            </w:r>
          </w:p>
          <w:p w14:paraId="7F2973D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2.培训方式：</w:t>
            </w:r>
          </w:p>
          <w:p w14:paraId="307F48F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1）现场培训</w:t>
            </w:r>
          </w:p>
          <w:p w14:paraId="7837A31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在整个项目安装、调试进程中进行现场培训。</w:t>
            </w:r>
          </w:p>
          <w:p w14:paraId="058B086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2）课程培训</w:t>
            </w:r>
          </w:p>
          <w:p w14:paraId="5562222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提供专门的课程培训，包括理论教授，问题讨论和上机操作，具体包括：</w:t>
            </w:r>
          </w:p>
          <w:p w14:paraId="641AC2F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（1）对支队领导、管理员、运维人员、系统应用人员及其他相关人员进行集中培训。</w:t>
            </w:r>
          </w:p>
          <w:p w14:paraId="1527DD3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（2）培训采用电脑模拟真实环境对相关人员进行重点培训。</w:t>
            </w:r>
          </w:p>
          <w:p w14:paraId="73FE3FE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（3）培训时采用投影仪示范及教程讲解的方式，并让相关业务应用人员现场操作。</w:t>
            </w:r>
          </w:p>
          <w:p w14:paraId="409C818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3.培训地点：培训地点由投标人与采购人共同协商确定。</w:t>
            </w:r>
          </w:p>
          <w:p w14:paraId="32CB165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4.培训内容：培训内容包括系统架构及组成、系统功能模块及操作、系统日常管理、系统故障分析处理步骤、常见故障的排除及日常维护方法，所有培训以中文进行。</w:t>
            </w:r>
          </w:p>
          <w:p w14:paraId="1D53DCC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5.培训师资：由投标人的专业工程师提供培训服务。</w:t>
            </w:r>
          </w:p>
          <w:p w14:paraId="543361B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五、人员要求</w:t>
            </w:r>
          </w:p>
          <w:p w14:paraId="01A3D71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（1）人员配备数量</w:t>
            </w:r>
          </w:p>
          <w:p w14:paraId="0EE5E8C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服务团队：按照实际工作需要，安排1名项目负责人(负责项目管理与采购人对接)，提供至少2名技术人员（负责提供日常技术服务、问题咨询及系统故障处理）。</w:t>
            </w:r>
          </w:p>
          <w:p w14:paraId="6697A3E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服务人员工作时间：提供7*24小时在线服务，每周现场巡检服务。</w:t>
            </w:r>
          </w:p>
          <w:p w14:paraId="27098A5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服务地点：杭州市公安局交通警察支队（杭州市拱墅区文晖路336号）。</w:t>
            </w:r>
          </w:p>
          <w:p w14:paraId="593AECF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（2）人员配备标准及要求</w:t>
            </w:r>
          </w:p>
          <w:p w14:paraId="1043B08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服务团队人员年龄均在55周岁（含）以下（需提供身份证），且均具有大专及以上学历(提供学历证书)。项目负责人需具有信息化软硬件运维项目管理经验，具有计算机技术与软件专业技术资格（系统集成项目管理工程师证书）。项目服务团队人员（除项目负责人外的技术人员）均需具有计算机技术与软件专业技术资格（软件设计师证书）。服务团队人员均具有信息化软硬件运维项目经验（提供业绩合同，若业绩合同无法体现姓名，须提供业主证明）。</w:t>
            </w:r>
          </w:p>
          <w:p w14:paraId="4DC8F65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六、投标人网络安全责任和义务</w:t>
            </w:r>
          </w:p>
          <w:p w14:paraId="4FC0A26C">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（1）明确投标人法定代表人为合作事项网络安全第一责任人，具体承担合作事项的部门主要负责人为直接责任人。</w:t>
            </w:r>
          </w:p>
          <w:p w14:paraId="7372E3D9">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（2）不得转包合同任务，未经采购人书面同意不得分包合同任务。</w:t>
            </w:r>
          </w:p>
          <w:p w14:paraId="2125609C">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（3）投标人应制订与合作事项相关的网络安全保障方案和网络安全事件应急预案。</w:t>
            </w:r>
          </w:p>
          <w:p w14:paraId="089E1697">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（4）投标人发现网络安全漏洞、缺陷或者其他严重网络安全风险，应及时向采购人报告。</w:t>
            </w:r>
          </w:p>
          <w:p w14:paraId="31E0A56F">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（5）处理合作事项的信息平台应当优先采用符合安全可靠测评要求的硬件和软件产品。</w:t>
            </w:r>
          </w:p>
          <w:p w14:paraId="406C896B">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（6）发生可能影响合作事项的网络安全重大事项，包括负责人及重要工作人员变更、业务转型、合并重组和投资并购等，投标人应提前向采购人报告。</w:t>
            </w:r>
          </w:p>
          <w:p w14:paraId="1911639E">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14939E64">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（8）投标人应于2026年8月1日之前向采购人提交网络安全报告。</w:t>
            </w:r>
          </w:p>
          <w:p w14:paraId="77DFBD93">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p w14:paraId="33C123D2">
            <w:pPr>
              <w:spacing w:line="360" w:lineRule="auto"/>
              <w:ind w:firstLine="480" w:firstLineChars="200"/>
              <w:jc w:val="left"/>
              <w:rPr>
                <w:rFonts w:ascii="宋体" w:hAnsi="宋体" w:eastAsia="仿宋" w:cs="宋体"/>
                <w:sz w:val="24"/>
                <w:highlight w:val="none"/>
              </w:rPr>
            </w:pPr>
          </w:p>
          <w:p w14:paraId="1BE8B33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七、保密要求</w:t>
            </w:r>
          </w:p>
          <w:p w14:paraId="6D2630E4">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采购人对投标人及工作人员开展常态化安全保密教育，组织签订安全保密承诺书，履行具体安全管理内容、安全保密义务和责任；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6A0E51C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严格按照采购人规定使用、存储、处理文档资料和数据。合同终止时，应当交还全部资料和数据。</w:t>
            </w:r>
          </w:p>
          <w:p w14:paraId="4F8EE51B">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投标人需与采购人签署保密协议，投标人对在项目实施期间所获得的采购人的信息有保密义务（包括但不限于合同履约期内），泄漏秘密应承担的责任。如有违反，按合同的违约条款向采购人支付违约金，造成采购人损失的应予赔偿，涉嫌违法或犯罪的依法追究刑事责任。</w:t>
            </w:r>
          </w:p>
          <w:p w14:paraId="4CAE1A7C">
            <w:pPr>
              <w:spacing w:line="360" w:lineRule="auto"/>
              <w:ind w:firstLine="480" w:firstLineChars="200"/>
              <w:jc w:val="left"/>
              <w:rPr>
                <w:rFonts w:ascii="宋体" w:hAnsi="宋体" w:eastAsia="仿宋" w:cs="宋体"/>
                <w:sz w:val="24"/>
                <w:highlight w:val="none"/>
              </w:rPr>
            </w:pPr>
            <w:r>
              <w:rPr>
                <w:rFonts w:hint="eastAsia" w:ascii="仿宋" w:hAnsi="仿宋" w:eastAsia="仿宋" w:cs="仿宋"/>
                <w:bCs/>
                <w:sz w:val="24"/>
                <w:highlight w:val="none"/>
              </w:rPr>
              <w:t>若项目涉及分包的，投标人须按照以上保密要求，与分包供应商签订单位保密协议、个人保密承诺书、开展日常保密教育等措施，确保分包供应商严格落实各项保密规定，并与分包供应商承担连带责任。</w:t>
            </w:r>
          </w:p>
          <w:p w14:paraId="58994C3C">
            <w:pPr>
              <w:numPr>
                <w:ilvl w:val="0"/>
                <w:numId w:val="2"/>
              </w:num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安全责任</w:t>
            </w:r>
          </w:p>
          <w:p w14:paraId="734ABF1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因投标人所有人员的事故和因投标人或投标人派遣人员工作过错造成的安全管理事故，投标人自行负全部责任及相关费用。</w:t>
            </w:r>
          </w:p>
        </w:tc>
      </w:tr>
    </w:tbl>
    <w:p w14:paraId="466C0293">
      <w:pPr>
        <w:adjustRightInd/>
        <w:spacing w:line="360" w:lineRule="auto"/>
        <w:jc w:val="left"/>
        <w:rPr>
          <w:rFonts w:ascii="仿宋" w:hAnsi="仿宋" w:eastAsia="仿宋" w:cs="仿宋"/>
          <w:bCs/>
          <w:sz w:val="24"/>
          <w:highlight w:val="none"/>
        </w:rPr>
      </w:pPr>
    </w:p>
    <w:p w14:paraId="766A460C">
      <w:pPr>
        <w:adjustRightInd/>
        <w:spacing w:line="360" w:lineRule="auto"/>
        <w:jc w:val="left"/>
        <w:outlineLvl w:val="1"/>
        <w:rPr>
          <w:rFonts w:ascii="宋体" w:hAnsi="宋体" w:eastAsia="仿宋" w:cs="宋体"/>
          <w:b/>
          <w:sz w:val="24"/>
          <w:highlight w:val="none"/>
        </w:rPr>
      </w:pPr>
      <w:r>
        <w:rPr>
          <w:rFonts w:hint="eastAsia" w:ascii="宋体" w:hAnsi="宋体" w:eastAsia="仿宋" w:cs="宋体"/>
          <w:b/>
          <w:sz w:val="24"/>
          <w:highlight w:val="none"/>
        </w:rPr>
        <w:t>（六）拟采购标的的商务要求</w:t>
      </w:r>
    </w:p>
    <w:p w14:paraId="6AAC2231">
      <w:pPr>
        <w:pStyle w:val="180"/>
        <w:snapToGrid w:val="0"/>
        <w:ind w:firstLine="482"/>
        <w:rPr>
          <w:rFonts w:hint="eastAsia" w:ascii="仿宋" w:hAnsi="仿宋" w:eastAsia="仿宋" w:cs="仿宋"/>
          <w:szCs w:val="24"/>
          <w:highlight w:val="none"/>
        </w:rPr>
      </w:pPr>
      <w:r>
        <w:rPr>
          <w:rFonts w:hint="eastAsia" w:ascii="宋体" w:hAnsi="宋体" w:eastAsia="仿宋" w:cs="宋体"/>
          <w:b/>
          <w:sz w:val="24"/>
          <w:highlight w:val="none"/>
        </w:rPr>
        <w:t xml:space="preserve">1.交付（实施）的时间（期限）： </w:t>
      </w:r>
      <w:r>
        <w:rPr>
          <w:rFonts w:hint="eastAsia" w:ascii="宋体" w:hAnsi="宋体" w:eastAsia="仿宋" w:cs="宋体"/>
          <w:bCs/>
          <w:sz w:val="24"/>
          <w:highlight w:val="none"/>
        </w:rPr>
        <w:t>12个月（2025年8月1日-2026年7月31日）。</w:t>
      </w:r>
      <w:r>
        <w:rPr>
          <w:rFonts w:hint="eastAsia" w:ascii="仿宋" w:hAnsi="仿宋" w:eastAsia="仿宋" w:cs="仿宋"/>
          <w:szCs w:val="24"/>
          <w:highlight w:val="none"/>
        </w:rPr>
        <w:t>2025年8月1日至合同签订前由该项目原合同单位按照2025年需求继续提供履约，期间产生的费用由本次中标人按照实际履约时间及 2025 年合同单价与原合同单位按实结算,同时扣除考核违约金(交还采购人)。本次中标人需在合同签订之日起7日内完成各项工作的转换、衔接工作。</w:t>
      </w:r>
    </w:p>
    <w:p w14:paraId="65933F8E">
      <w:pPr>
        <w:adjustRightInd/>
        <w:snapToGrid w:val="0"/>
        <w:spacing w:line="360" w:lineRule="auto"/>
        <w:jc w:val="left"/>
        <w:rPr>
          <w:rFonts w:ascii="宋体" w:hAnsi="宋体" w:eastAsia="仿宋" w:cs="宋体"/>
          <w:bCs/>
          <w:sz w:val="24"/>
          <w:highlight w:val="none"/>
        </w:rPr>
      </w:pPr>
    </w:p>
    <w:p w14:paraId="513DBE77">
      <w:pPr>
        <w:adjustRightInd/>
        <w:snapToGrid w:val="0"/>
        <w:spacing w:line="360" w:lineRule="auto"/>
        <w:jc w:val="left"/>
        <w:rPr>
          <w:rFonts w:ascii="宋体" w:hAnsi="宋体" w:eastAsia="仿宋" w:cs="宋体"/>
          <w:sz w:val="24"/>
          <w:highlight w:val="none"/>
          <w:u w:val="single"/>
        </w:rPr>
      </w:pPr>
      <w:r>
        <w:rPr>
          <w:rFonts w:hint="eastAsia" w:ascii="宋体" w:hAnsi="宋体" w:eastAsia="仿宋" w:cs="宋体"/>
          <w:b/>
          <w:sz w:val="24"/>
          <w:highlight w:val="none"/>
        </w:rPr>
        <w:t>2.交付（实施）的地点（范围）：</w:t>
      </w:r>
      <w:r>
        <w:rPr>
          <w:rFonts w:hint="eastAsia" w:ascii="宋体" w:hAnsi="宋体" w:eastAsia="仿宋" w:cs="宋体"/>
          <w:sz w:val="24"/>
          <w:highlight w:val="none"/>
          <w:u w:val="single"/>
        </w:rPr>
        <w:t>杭州市公安局交通警察支队（杭州市拱墅区文晖路336号）。</w:t>
      </w:r>
    </w:p>
    <w:p w14:paraId="78D4CD87">
      <w:pPr>
        <w:spacing w:line="360" w:lineRule="auto"/>
        <w:rPr>
          <w:rFonts w:ascii="仿宋" w:hAnsi="仿宋" w:eastAsia="仿宋" w:cs="仿宋"/>
          <w:b/>
          <w:sz w:val="24"/>
          <w:highlight w:val="none"/>
        </w:rPr>
      </w:pPr>
      <w:r>
        <w:rPr>
          <w:rFonts w:hint="eastAsia" w:ascii="仿宋" w:hAnsi="仿宋" w:eastAsia="仿宋" w:cs="仿宋"/>
          <w:b/>
          <w:sz w:val="24"/>
          <w:highlight w:val="none"/>
        </w:rPr>
        <w:t>3.付款条件（进度和方式）：</w:t>
      </w:r>
    </w:p>
    <w:tbl>
      <w:tblPr>
        <w:tblStyle w:val="80"/>
        <w:tblW w:w="881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49"/>
        <w:gridCol w:w="6150"/>
        <w:gridCol w:w="1812"/>
      </w:tblGrid>
      <w:tr w14:paraId="5D27F6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49" w:type="dxa"/>
            <w:tcBorders>
              <w:top w:val="single" w:color="808080" w:sz="4" w:space="0"/>
              <w:left w:val="single" w:color="808080" w:sz="4" w:space="0"/>
              <w:bottom w:val="single" w:color="808080" w:sz="4" w:space="0"/>
              <w:right w:val="single" w:color="808080" w:sz="4" w:space="0"/>
            </w:tcBorders>
            <w:noWrap/>
            <w:vAlign w:val="center"/>
          </w:tcPr>
          <w:p w14:paraId="645BA0DB">
            <w:pPr>
              <w:spacing w:line="360" w:lineRule="auto"/>
              <w:jc w:val="center"/>
              <w:rPr>
                <w:rFonts w:ascii="宋体" w:hAnsi="宋体" w:eastAsia="仿宋" w:cs="宋体"/>
                <w:b/>
                <w:bCs/>
                <w:sz w:val="24"/>
                <w:highlight w:val="none"/>
              </w:rPr>
            </w:pPr>
            <w:r>
              <w:rPr>
                <w:rFonts w:hint="eastAsia" w:ascii="宋体" w:hAnsi="宋体" w:eastAsia="仿宋" w:cs="宋体"/>
                <w:b/>
                <w:bCs/>
                <w:sz w:val="24"/>
                <w:highlight w:val="none"/>
              </w:rPr>
              <w:t>序号</w:t>
            </w:r>
          </w:p>
        </w:tc>
        <w:tc>
          <w:tcPr>
            <w:tcW w:w="6150" w:type="dxa"/>
            <w:tcBorders>
              <w:top w:val="single" w:color="808080" w:sz="4" w:space="0"/>
              <w:left w:val="single" w:color="808080" w:sz="4" w:space="0"/>
              <w:bottom w:val="single" w:color="808080" w:sz="4" w:space="0"/>
              <w:right w:val="single" w:color="808080" w:sz="4" w:space="0"/>
            </w:tcBorders>
            <w:noWrap/>
            <w:vAlign w:val="center"/>
          </w:tcPr>
          <w:p w14:paraId="7E2EF562">
            <w:pPr>
              <w:spacing w:line="360" w:lineRule="auto"/>
              <w:jc w:val="center"/>
              <w:rPr>
                <w:rFonts w:ascii="宋体" w:hAnsi="宋体" w:eastAsia="仿宋" w:cs="宋体"/>
                <w:b/>
                <w:bCs/>
                <w:sz w:val="24"/>
                <w:highlight w:val="none"/>
              </w:rPr>
            </w:pPr>
            <w:r>
              <w:rPr>
                <w:rFonts w:hint="eastAsia" w:ascii="宋体" w:hAnsi="宋体" w:eastAsia="仿宋" w:cs="宋体"/>
                <w:b/>
                <w:bCs/>
                <w:sz w:val="24"/>
                <w:highlight w:val="none"/>
              </w:rPr>
              <w:t>付款比例（%）</w:t>
            </w:r>
          </w:p>
        </w:tc>
        <w:tc>
          <w:tcPr>
            <w:tcW w:w="1812" w:type="dxa"/>
            <w:tcBorders>
              <w:top w:val="single" w:color="808080" w:sz="4" w:space="0"/>
              <w:left w:val="single" w:color="808080" w:sz="4" w:space="0"/>
              <w:bottom w:val="single" w:color="808080" w:sz="4" w:space="0"/>
              <w:right w:val="single" w:color="808080" w:sz="4" w:space="0"/>
            </w:tcBorders>
            <w:noWrap/>
            <w:vAlign w:val="center"/>
          </w:tcPr>
          <w:p w14:paraId="5A640221">
            <w:pPr>
              <w:spacing w:line="360" w:lineRule="auto"/>
              <w:jc w:val="center"/>
              <w:rPr>
                <w:rFonts w:ascii="宋体" w:hAnsi="宋体" w:eastAsia="仿宋" w:cs="宋体"/>
                <w:b/>
                <w:bCs/>
                <w:sz w:val="24"/>
                <w:highlight w:val="none"/>
              </w:rPr>
            </w:pPr>
            <w:r>
              <w:rPr>
                <w:rFonts w:hint="eastAsia" w:ascii="宋体" w:hAnsi="宋体" w:eastAsia="仿宋" w:cs="宋体"/>
                <w:b/>
                <w:bCs/>
                <w:sz w:val="24"/>
                <w:highlight w:val="none"/>
              </w:rPr>
              <w:t>付款方式</w:t>
            </w:r>
          </w:p>
        </w:tc>
      </w:tr>
      <w:tr w14:paraId="6754685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6" w:hRule="atLeast"/>
          <w:jc w:val="center"/>
        </w:trPr>
        <w:tc>
          <w:tcPr>
            <w:tcW w:w="849" w:type="dxa"/>
            <w:tcBorders>
              <w:top w:val="single" w:color="808080" w:sz="4" w:space="0"/>
              <w:left w:val="single" w:color="808080" w:sz="4" w:space="0"/>
              <w:bottom w:val="single" w:color="808080" w:sz="4" w:space="0"/>
              <w:right w:val="single" w:color="808080" w:sz="4" w:space="0"/>
            </w:tcBorders>
            <w:noWrap/>
          </w:tcPr>
          <w:p w14:paraId="4DFAF7D5">
            <w:pPr>
              <w:spacing w:line="360" w:lineRule="auto"/>
              <w:jc w:val="center"/>
              <w:rPr>
                <w:rFonts w:ascii="宋体" w:hAnsi="宋体" w:eastAsia="仿宋" w:cs="宋体"/>
                <w:sz w:val="24"/>
                <w:highlight w:val="none"/>
              </w:rPr>
            </w:pPr>
            <w:r>
              <w:rPr>
                <w:rFonts w:hint="eastAsia" w:ascii="宋体" w:hAnsi="宋体" w:eastAsia="仿宋" w:cs="宋体"/>
                <w:sz w:val="24"/>
                <w:highlight w:val="none"/>
              </w:rPr>
              <w:t>1</w:t>
            </w:r>
          </w:p>
        </w:tc>
        <w:tc>
          <w:tcPr>
            <w:tcW w:w="6150" w:type="dxa"/>
            <w:tcBorders>
              <w:top w:val="single" w:color="808080" w:sz="4" w:space="0"/>
              <w:left w:val="single" w:color="808080" w:sz="4" w:space="0"/>
              <w:bottom w:val="single" w:color="808080" w:sz="4" w:space="0"/>
              <w:right w:val="single" w:color="808080" w:sz="4" w:space="0"/>
            </w:tcBorders>
            <w:noWrap/>
          </w:tcPr>
          <w:p w14:paraId="6AEC22E1">
            <w:pPr>
              <w:spacing w:line="360" w:lineRule="auto"/>
              <w:jc w:val="left"/>
              <w:rPr>
                <w:rFonts w:ascii="宋体" w:hAnsi="宋体" w:eastAsia="仿宋" w:cs="宋体"/>
                <w:sz w:val="24"/>
                <w:highlight w:val="none"/>
              </w:rPr>
            </w:pPr>
            <w:r>
              <w:rPr>
                <w:rFonts w:hint="eastAsia" w:ascii="宋体" w:hAnsi="宋体" w:eastAsia="仿宋" w:cs="宋体"/>
                <w:sz w:val="24"/>
                <w:highlight w:val="none"/>
              </w:rPr>
              <w:t>第一期付款：</w:t>
            </w:r>
            <w:r>
              <w:rPr>
                <w:rFonts w:hint="eastAsia" w:ascii="宋体" w:hAnsi="宋体" w:eastAsia="仿宋" w:cs="宋体"/>
                <w:sz w:val="24"/>
                <w:szCs w:val="22"/>
                <w:highlight w:val="none"/>
              </w:rPr>
              <w:t>签订合同5个工作日内，项目具备实施条件后，</w:t>
            </w:r>
            <w:r>
              <w:rPr>
                <w:rFonts w:hint="eastAsia" w:ascii="仿宋" w:hAnsi="仿宋" w:eastAsia="仿宋" w:cs="仿宋"/>
                <w:sz w:val="24"/>
                <w:szCs w:val="22"/>
                <w:highlight w:val="none"/>
                <w:lang w:val="zh-CN"/>
              </w:rPr>
              <w:t>采购人支付合同总价40％</w:t>
            </w:r>
            <w:r>
              <w:rPr>
                <w:rFonts w:hint="eastAsia" w:ascii="宋体" w:hAnsi="宋体" w:eastAsia="仿宋" w:cs="宋体"/>
                <w:sz w:val="24"/>
                <w:szCs w:val="22"/>
                <w:highlight w:val="none"/>
              </w:rPr>
              <w:t>，同时投标人缴纳合同总价1%的履约保证金(鼓励和支持投标人以银行、保险公司出具的保函形式提供履约保证金）；</w:t>
            </w:r>
          </w:p>
        </w:tc>
        <w:tc>
          <w:tcPr>
            <w:tcW w:w="1812" w:type="dxa"/>
            <w:tcBorders>
              <w:top w:val="single" w:color="808080" w:sz="4" w:space="0"/>
              <w:left w:val="single" w:color="808080" w:sz="4" w:space="0"/>
              <w:bottom w:val="single" w:color="808080" w:sz="4" w:space="0"/>
              <w:right w:val="single" w:color="808080" w:sz="4" w:space="0"/>
            </w:tcBorders>
            <w:noWrap/>
          </w:tcPr>
          <w:p w14:paraId="711FBC0C">
            <w:pPr>
              <w:spacing w:line="360" w:lineRule="auto"/>
              <w:jc w:val="center"/>
              <w:rPr>
                <w:rFonts w:ascii="宋体" w:hAnsi="宋体" w:eastAsia="仿宋" w:cs="宋体"/>
                <w:sz w:val="24"/>
                <w:highlight w:val="none"/>
              </w:rPr>
            </w:pPr>
            <w:r>
              <w:rPr>
                <w:rFonts w:hint="eastAsia" w:ascii="宋体" w:hAnsi="宋体" w:eastAsia="仿宋" w:cs="宋体"/>
                <w:sz w:val="24"/>
                <w:highlight w:val="none"/>
              </w:rPr>
              <w:t>国库转账支付</w:t>
            </w:r>
          </w:p>
        </w:tc>
      </w:tr>
      <w:tr w14:paraId="65094E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 w:hRule="atLeast"/>
          <w:jc w:val="center"/>
        </w:trPr>
        <w:tc>
          <w:tcPr>
            <w:tcW w:w="849" w:type="dxa"/>
            <w:tcBorders>
              <w:top w:val="single" w:color="808080" w:sz="4" w:space="0"/>
              <w:left w:val="single" w:color="808080" w:sz="4" w:space="0"/>
              <w:bottom w:val="single" w:color="808080" w:sz="4" w:space="0"/>
              <w:right w:val="single" w:color="808080" w:sz="4" w:space="0"/>
            </w:tcBorders>
            <w:noWrap/>
          </w:tcPr>
          <w:p w14:paraId="02E01DD7">
            <w:pPr>
              <w:tabs>
                <w:tab w:val="center" w:pos="376"/>
                <w:tab w:val="left" w:pos="562"/>
              </w:tabs>
              <w:spacing w:line="360" w:lineRule="auto"/>
              <w:jc w:val="left"/>
              <w:rPr>
                <w:rFonts w:ascii="宋体" w:hAnsi="宋体" w:eastAsia="仿宋" w:cs="宋体"/>
                <w:sz w:val="24"/>
                <w:highlight w:val="none"/>
              </w:rPr>
            </w:pPr>
            <w:r>
              <w:rPr>
                <w:rFonts w:hint="eastAsia" w:ascii="宋体" w:hAnsi="宋体" w:eastAsia="仿宋" w:cs="宋体"/>
                <w:sz w:val="24"/>
                <w:highlight w:val="none"/>
              </w:rPr>
              <w:tab/>
            </w:r>
            <w:r>
              <w:rPr>
                <w:rFonts w:hint="eastAsia" w:ascii="宋体" w:hAnsi="宋体" w:eastAsia="仿宋" w:cs="宋体"/>
                <w:sz w:val="24"/>
                <w:highlight w:val="none"/>
              </w:rPr>
              <w:t>2</w:t>
            </w:r>
          </w:p>
        </w:tc>
        <w:tc>
          <w:tcPr>
            <w:tcW w:w="6150" w:type="dxa"/>
            <w:tcBorders>
              <w:top w:val="single" w:color="808080" w:sz="4" w:space="0"/>
              <w:left w:val="single" w:color="808080" w:sz="4" w:space="0"/>
              <w:bottom w:val="single" w:color="808080" w:sz="4" w:space="0"/>
              <w:right w:val="single" w:color="808080" w:sz="4" w:space="0"/>
            </w:tcBorders>
            <w:noWrap/>
          </w:tcPr>
          <w:p w14:paraId="07CA237D">
            <w:pPr>
              <w:spacing w:line="360" w:lineRule="auto"/>
              <w:rPr>
                <w:rFonts w:ascii="宋体" w:hAnsi="宋体" w:eastAsia="仿宋" w:cs="宋体"/>
                <w:sz w:val="24"/>
                <w:highlight w:val="none"/>
              </w:rPr>
            </w:pPr>
            <w:r>
              <w:rPr>
                <w:rFonts w:hint="eastAsia" w:ascii="宋体" w:hAnsi="宋体" w:eastAsia="仿宋" w:cs="宋体"/>
                <w:sz w:val="24"/>
                <w:highlight w:val="none"/>
              </w:rPr>
              <w:t>第二期付款：服务至2025年11月30日，无任何服务问题，凭双方及监理签字盖章的验收意见、验收小组签字的验收报告、单位保密协议、日常保密教育资料、个人保密承诺书、租赁方案审批单、服务计划、每周巡检记录、故障维修记录、租赁月报、项目组人员清单、社保证明材料、人员证书、每月考核材料、培训记录、测试方案/计划、测试报告/用例、系统配置手册/操作手册/维护手册、第三方检测报告、等保测评报告、商用密码应用测评报告、网络安全保障方案、网络安全事件应急预案、网络安全风险书面报告（如有）、网络安全重大事项书面报告（如有）、验收报审表、《信息化建设项目变更审批表》（如果有）、监理报告等相关资料，</w:t>
            </w:r>
            <w:r>
              <w:rPr>
                <w:rFonts w:hint="eastAsia" w:ascii="仿宋" w:hAnsi="仿宋" w:eastAsia="仿宋" w:cs="仿宋"/>
                <w:bCs/>
                <w:sz w:val="24"/>
                <w:szCs w:val="22"/>
                <w:highlight w:val="none"/>
                <w:lang w:val="zh-CN"/>
              </w:rPr>
              <w:t>最多</w:t>
            </w:r>
            <w:r>
              <w:rPr>
                <w:rFonts w:hint="eastAsia" w:ascii="宋体" w:hAnsi="宋体" w:eastAsia="仿宋" w:cs="宋体"/>
                <w:sz w:val="24"/>
                <w:szCs w:val="22"/>
                <w:highlight w:val="none"/>
              </w:rPr>
              <w:t>支付至2025年安排183.77万元（183.77万元已包含采购人向供应商支付的第一期及第二期合同价款）</w:t>
            </w:r>
            <w:r>
              <w:rPr>
                <w:rFonts w:hint="eastAsia" w:ascii="仿宋" w:hAnsi="仿宋" w:eastAsia="仿宋" w:cs="仿宋"/>
                <w:bCs/>
                <w:sz w:val="24"/>
                <w:szCs w:val="22"/>
                <w:highlight w:val="none"/>
                <w:lang w:val="zh-CN"/>
              </w:rPr>
              <w:t>。</w:t>
            </w:r>
          </w:p>
        </w:tc>
        <w:tc>
          <w:tcPr>
            <w:tcW w:w="1812" w:type="dxa"/>
            <w:tcBorders>
              <w:top w:val="single" w:color="808080" w:sz="4" w:space="0"/>
              <w:left w:val="single" w:color="808080" w:sz="4" w:space="0"/>
              <w:bottom w:val="single" w:color="808080" w:sz="4" w:space="0"/>
              <w:right w:val="single" w:color="808080" w:sz="4" w:space="0"/>
            </w:tcBorders>
            <w:noWrap/>
          </w:tcPr>
          <w:p w14:paraId="18A0052E">
            <w:pPr>
              <w:spacing w:line="360" w:lineRule="auto"/>
              <w:jc w:val="center"/>
              <w:rPr>
                <w:rFonts w:ascii="宋体" w:hAnsi="宋体" w:eastAsia="仿宋" w:cs="宋体"/>
                <w:sz w:val="24"/>
                <w:highlight w:val="none"/>
              </w:rPr>
            </w:pPr>
          </w:p>
        </w:tc>
      </w:tr>
      <w:tr w14:paraId="02F069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49" w:type="dxa"/>
            <w:tcBorders>
              <w:top w:val="single" w:color="808080" w:sz="4" w:space="0"/>
              <w:left w:val="single" w:color="808080" w:sz="4" w:space="0"/>
              <w:bottom w:val="single" w:color="808080" w:sz="4" w:space="0"/>
              <w:right w:val="single" w:color="808080" w:sz="4" w:space="0"/>
            </w:tcBorders>
            <w:noWrap/>
          </w:tcPr>
          <w:p w14:paraId="7E30F3D2">
            <w:pPr>
              <w:tabs>
                <w:tab w:val="center" w:pos="376"/>
                <w:tab w:val="left" w:pos="562"/>
              </w:tabs>
              <w:spacing w:line="360" w:lineRule="auto"/>
              <w:jc w:val="left"/>
              <w:rPr>
                <w:rFonts w:ascii="宋体" w:hAnsi="宋体" w:eastAsia="仿宋" w:cs="宋体"/>
                <w:sz w:val="24"/>
                <w:highlight w:val="none"/>
              </w:rPr>
            </w:pPr>
            <w:r>
              <w:rPr>
                <w:rFonts w:hint="eastAsia" w:ascii="宋体" w:hAnsi="宋体" w:eastAsia="仿宋" w:cs="宋体"/>
                <w:sz w:val="24"/>
                <w:highlight w:val="none"/>
              </w:rPr>
              <w:tab/>
            </w:r>
            <w:r>
              <w:rPr>
                <w:rFonts w:hint="eastAsia" w:ascii="宋体" w:hAnsi="宋体" w:eastAsia="仿宋" w:cs="宋体"/>
                <w:sz w:val="24"/>
                <w:highlight w:val="none"/>
              </w:rPr>
              <w:t>3</w:t>
            </w:r>
          </w:p>
        </w:tc>
        <w:tc>
          <w:tcPr>
            <w:tcW w:w="6150" w:type="dxa"/>
            <w:tcBorders>
              <w:top w:val="single" w:color="808080" w:sz="4" w:space="0"/>
              <w:left w:val="single" w:color="808080" w:sz="4" w:space="0"/>
              <w:bottom w:val="single" w:color="808080" w:sz="4" w:space="0"/>
              <w:right w:val="single" w:color="808080" w:sz="4" w:space="0"/>
            </w:tcBorders>
            <w:noWrap/>
          </w:tcPr>
          <w:p w14:paraId="6B44F149">
            <w:pPr>
              <w:spacing w:line="360" w:lineRule="auto"/>
              <w:rPr>
                <w:rFonts w:ascii="宋体" w:hAnsi="宋体" w:eastAsia="仿宋" w:cs="宋体"/>
                <w:sz w:val="24"/>
                <w:highlight w:val="none"/>
              </w:rPr>
            </w:pPr>
            <w:r>
              <w:rPr>
                <w:rFonts w:hint="eastAsia" w:ascii="宋体" w:hAnsi="宋体" w:eastAsia="仿宋" w:cs="宋体"/>
                <w:sz w:val="24"/>
                <w:highlight w:val="none"/>
              </w:rPr>
              <w:t>第三期付款：服务期结束，无任何服务问题，凭双方及监理签字盖章的验收意见、验收小组签字的验收报告、单位保密协议、日常保密教育资料、个人保密承诺书、租赁方案审批单、服务计划、每周巡检记录、故障维修记录、租赁月报、租赁总结报告、项目组人员清单、社保证明材料、人员证书、每月考核材料、培训记录、测试方案/计划、测试报告/用例、系统配置手册/操作手册/维护手册、第三方检测报告、等保测评报告、商用密码应用测评报告、信创检测报告、网络安全保障方案、网络安全事件应急预案、网络安全风险书面报告（如有）、网络安全重大事项书面报告（如有）、网络安全报告、验收报审表、《信息化建设项目变更审批表》（如果有）、监理报告及验收公示截图等相关资料，经审计确认后（若有），根据合同单价和实际租用设备数量及服务内容、租赁服务天数按实结算剩余应付的合同款项，同时扣除投标人应向采购人支付的违约金。</w:t>
            </w:r>
          </w:p>
        </w:tc>
        <w:tc>
          <w:tcPr>
            <w:tcW w:w="1812" w:type="dxa"/>
            <w:tcBorders>
              <w:top w:val="single" w:color="808080" w:sz="4" w:space="0"/>
              <w:left w:val="single" w:color="808080" w:sz="4" w:space="0"/>
              <w:bottom w:val="single" w:color="808080" w:sz="4" w:space="0"/>
              <w:right w:val="single" w:color="808080" w:sz="4" w:space="0"/>
            </w:tcBorders>
            <w:noWrap/>
          </w:tcPr>
          <w:p w14:paraId="383D3C25">
            <w:pPr>
              <w:spacing w:line="360" w:lineRule="auto"/>
              <w:rPr>
                <w:rFonts w:ascii="宋体" w:hAnsi="宋体" w:eastAsia="仿宋" w:cs="宋体"/>
                <w:sz w:val="24"/>
                <w:highlight w:val="none"/>
              </w:rPr>
            </w:pPr>
            <w:r>
              <w:rPr>
                <w:rFonts w:hint="eastAsia" w:ascii="宋体" w:hAnsi="宋体" w:eastAsia="仿宋" w:cs="宋体"/>
                <w:sz w:val="24"/>
                <w:highlight w:val="none"/>
              </w:rPr>
              <w:t>国库转账支付</w:t>
            </w:r>
          </w:p>
        </w:tc>
      </w:tr>
      <w:tr w14:paraId="203EE1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811" w:type="dxa"/>
            <w:gridSpan w:val="3"/>
            <w:tcBorders>
              <w:top w:val="single" w:color="808080" w:sz="4" w:space="0"/>
              <w:left w:val="single" w:color="808080" w:sz="4" w:space="0"/>
              <w:bottom w:val="single" w:color="808080" w:sz="4" w:space="0"/>
              <w:right w:val="single" w:color="808080" w:sz="4" w:space="0"/>
            </w:tcBorders>
            <w:noWrap/>
          </w:tcPr>
          <w:p w14:paraId="328FAB74">
            <w:pPr>
              <w:spacing w:line="360" w:lineRule="auto"/>
              <w:rPr>
                <w:rFonts w:ascii="宋体" w:hAnsi="宋体" w:eastAsia="仿宋" w:cs="宋体"/>
                <w:sz w:val="24"/>
                <w:highlight w:val="none"/>
              </w:rPr>
            </w:pPr>
            <w:r>
              <w:rPr>
                <w:rFonts w:hint="eastAsia" w:ascii="宋体" w:hAnsi="宋体" w:eastAsia="仿宋" w:cs="宋体"/>
                <w:sz w:val="24"/>
                <w:highlight w:val="none"/>
              </w:rPr>
              <w:t>双方确认，采购人按前两款结算并向投标人支付的款项总额不超过合同总价。</w:t>
            </w:r>
          </w:p>
          <w:p w14:paraId="28193503">
            <w:pPr>
              <w:spacing w:line="360" w:lineRule="auto"/>
              <w:rPr>
                <w:rFonts w:ascii="宋体" w:hAnsi="宋体" w:eastAsia="仿宋" w:cs="宋体"/>
                <w:sz w:val="24"/>
                <w:highlight w:val="none"/>
              </w:rPr>
            </w:pPr>
            <w:r>
              <w:rPr>
                <w:rFonts w:hint="eastAsia" w:ascii="宋体" w:hAnsi="宋体" w:eastAsia="仿宋" w:cs="宋体"/>
                <w:sz w:val="24"/>
                <w:highlight w:val="none"/>
              </w:rPr>
              <w:t>前述采购人按投标人实际履行情况结算付款的方式不影响采购人向投标人再行收取因投标人未全面按照合同约定履行而产生的违约金。</w:t>
            </w:r>
          </w:p>
        </w:tc>
      </w:tr>
    </w:tbl>
    <w:p w14:paraId="328BD8E0">
      <w:pPr>
        <w:spacing w:line="360" w:lineRule="auto"/>
        <w:rPr>
          <w:rFonts w:ascii="仿宋" w:hAnsi="仿宋" w:eastAsia="仿宋" w:cs="仿宋"/>
          <w:b/>
          <w:sz w:val="24"/>
          <w:highlight w:val="none"/>
        </w:rPr>
      </w:pPr>
    </w:p>
    <w:p w14:paraId="1520C2A6">
      <w:pPr>
        <w:adjustRightInd/>
        <w:spacing w:line="360" w:lineRule="auto"/>
        <w:jc w:val="left"/>
        <w:rPr>
          <w:rFonts w:ascii="宋体" w:hAnsi="宋体" w:eastAsia="仿宋" w:cs="宋体"/>
          <w:sz w:val="24"/>
          <w:highlight w:val="none"/>
        </w:rPr>
      </w:pPr>
      <w:r>
        <w:rPr>
          <w:rFonts w:hint="eastAsia" w:ascii="宋体" w:hAnsi="宋体" w:eastAsia="仿宋" w:cs="宋体"/>
          <w:sz w:val="24"/>
          <w:highlight w:val="none"/>
        </w:rPr>
        <w:t xml:space="preserve">    4.售后服务要求：服务类，无售后服务。</w:t>
      </w:r>
    </w:p>
    <w:p w14:paraId="59738614">
      <w:pPr>
        <w:adjustRightInd/>
        <w:spacing w:line="360" w:lineRule="auto"/>
        <w:ind w:left="210" w:leftChars="100" w:firstLine="240" w:firstLineChars="100"/>
        <w:jc w:val="left"/>
        <w:rPr>
          <w:rFonts w:ascii="宋体" w:hAnsi="宋体" w:eastAsia="仿宋" w:cs="宋体"/>
          <w:sz w:val="24"/>
          <w:highlight w:val="none"/>
        </w:rPr>
      </w:pPr>
      <w:r>
        <w:rPr>
          <w:rFonts w:hint="eastAsia" w:ascii="宋体" w:hAnsi="宋体" w:eastAsia="仿宋" w:cs="宋体"/>
          <w:sz w:val="24"/>
          <w:highlight w:val="none"/>
        </w:rPr>
        <w:t>5.其他商务要求（包装和运输、保险等）</w:t>
      </w:r>
    </w:p>
    <w:p w14:paraId="0EF89539">
      <w:pPr>
        <w:spacing w:line="360" w:lineRule="auto"/>
        <w:ind w:firstLine="480" w:firstLineChars="200"/>
        <w:jc w:val="left"/>
        <w:rPr>
          <w:rFonts w:ascii="宋体" w:hAnsi="宋体" w:eastAsia="仿宋" w:cs="宋体"/>
          <w:bCs/>
          <w:sz w:val="24"/>
          <w:highlight w:val="none"/>
        </w:rPr>
      </w:pPr>
      <w:r>
        <w:rPr>
          <w:rFonts w:hint="eastAsia" w:ascii="宋体" w:hAnsi="宋体" w:eastAsia="仿宋" w:cs="宋体"/>
          <w:bCs/>
          <w:sz w:val="24"/>
          <w:highlight w:val="none"/>
        </w:rPr>
        <w:t>1）履约保证金退还：服务期结束，通过验收，采购人于收到投标人退还履约保证金申请之日起5个工作日内凭双方签字盖章的验收意见，无息退还投标人履约保证金。</w:t>
      </w:r>
    </w:p>
    <w:p w14:paraId="6FFDC6E8">
      <w:pPr>
        <w:spacing w:line="360" w:lineRule="auto"/>
        <w:ind w:firstLine="480" w:firstLineChars="200"/>
        <w:jc w:val="left"/>
        <w:rPr>
          <w:rFonts w:ascii="宋体" w:hAnsi="宋体" w:eastAsia="仿宋" w:cs="宋体"/>
          <w:bCs/>
          <w:sz w:val="24"/>
          <w:highlight w:val="none"/>
        </w:rPr>
      </w:pPr>
      <w:r>
        <w:rPr>
          <w:rFonts w:hint="eastAsia" w:ascii="宋体" w:hAnsi="宋体" w:eastAsia="仿宋" w:cs="宋体"/>
          <w:bCs/>
          <w:sz w:val="24"/>
          <w:highlight w:val="none"/>
        </w:rPr>
        <w:t>2）报价为综合单价包干费用，投标报价包含本项目实施所需的软硬件租赁、流量费、运行维护、技术支持和税金、人工费用（包括服务人员工资、加班费、《中华人民共和国劳动合同法》规定的社保费、办公费、交通费、食宿等）等所涉及的一切费用均计入。</w:t>
      </w:r>
    </w:p>
    <w:p w14:paraId="608358F0">
      <w:pPr>
        <w:spacing w:line="360" w:lineRule="auto"/>
        <w:ind w:firstLine="480" w:firstLineChars="200"/>
        <w:jc w:val="left"/>
        <w:rPr>
          <w:rFonts w:ascii="宋体" w:hAnsi="宋体" w:eastAsia="仿宋" w:cs="宋体"/>
          <w:sz w:val="24"/>
          <w:highlight w:val="none"/>
        </w:rPr>
      </w:pPr>
      <w:r>
        <w:rPr>
          <w:rFonts w:hint="eastAsia" w:ascii="宋体" w:hAnsi="宋体" w:eastAsia="仿宋" w:cs="宋体"/>
          <w:bCs/>
          <w:sz w:val="24"/>
          <w:highlight w:val="none"/>
        </w:rPr>
        <w:t>3)</w:t>
      </w:r>
      <w:r>
        <w:rPr>
          <w:rFonts w:hint="eastAsia" w:ascii="宋体" w:hAnsi="宋体" w:eastAsia="仿宋" w:cs="宋体"/>
          <w:sz w:val="24"/>
          <w:highlight w:val="none"/>
        </w:rPr>
        <w:t>集成指挥平台核心版系统功能</w:t>
      </w:r>
    </w:p>
    <w:p w14:paraId="0A438DF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部署安装公安部交管局统一下发的公安交管集成指挥平台核心版软件，主要包括以下应用功能：</w:t>
      </w:r>
    </w:p>
    <w:p w14:paraId="5C790240">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1）道路交通基础信息管理。分类采集交警队、交警执法站、道路及隧道桥梁、道路交通安全设施、危险路段、道路交通技术监控设备、应急救援资源等基础信息及相关地理位置信息，实现信息的逐级汇总和可视化展示，为其他业务管理模块提供基础信息。</w:t>
      </w:r>
    </w:p>
    <w:p w14:paraId="492B25BD">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2）交通监控视频联网。整合本地交通监控等各类视频资源，接入公路交通部门道路监控视频，通过集成指挥平台实现本地监控视频的汇聚，并实现与大公安视频图像联网平台的联网运行。集成指挥平台联网接入的视频资源包括：交警自建的城市道路及公路监控视频、车管所大厅、交通违法、事故处理等场所以及驾驶人考试、车辆检测等场所的监控视频、其他警种建设的道路监控视频、交通运输部门及公路经营管理单位建设的道路视频监控等。</w:t>
      </w:r>
    </w:p>
    <w:p w14:paraId="17F47DE8">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3）非现场交通违法管理。交通违法取证设备通过统一的信息接口将采集的违法信息实时上传至集成指挥平台，再通过违法查处功能，实现交通违法车辆的现场拦截处理。路面警力拦截车辆后，可直接开具现场处罚文书或在集成指挥平台中对违法信息进行人工审核确认，并交换至综合应用平台进行违法处理。</w:t>
      </w:r>
    </w:p>
    <w:p w14:paraId="0051C1DC">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4）交通状态监测管理。采集本辖区道路施工及交通管制、突发道路交通事件、各类道路交通研判分析结果等信息，实现信息的逐级汇总、可视化展示、预警管理，实现影响区域的信息自动分发签收。突发道路交通事件信息包括：道路交通事故、恶劣天气、自然灾害、路面损毁、交通拥堵等。</w:t>
      </w:r>
    </w:p>
    <w:p w14:paraId="07753F66">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5）机动车违法查处。各类目标车辆的信息预警、违法处置管理、车辆轨迹分析等。</w:t>
      </w:r>
    </w:p>
    <w:p w14:paraId="1FA1D01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6）交警执法站管理。根据《全国主干公路交通安全防控体系建设三年规划》要求“合理布设交警执法站，配置相关科技信息化设备”，通过使用集成指挥平台软件开展相关信息采集录入工作。</w:t>
      </w:r>
    </w:p>
    <w:p w14:paraId="7C664F3F">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7）应急指挥调度。按照公安部《高速公路交通应急管理程序规定》总体要求，基于交通监测信息，进行分级响应，启动应急预案并进行应急处置和协作指挥。</w:t>
      </w:r>
    </w:p>
    <w:p w14:paraId="7DB8D5D0">
      <w:pPr>
        <w:spacing w:line="360" w:lineRule="auto"/>
        <w:ind w:firstLine="480" w:firstLineChars="200"/>
        <w:jc w:val="left"/>
        <w:rPr>
          <w:rFonts w:ascii="宋体" w:hAnsi="宋体" w:cs="宋体"/>
          <w:sz w:val="24"/>
          <w:highlight w:val="none"/>
        </w:rPr>
      </w:pPr>
      <w:r>
        <w:rPr>
          <w:rFonts w:hint="eastAsia" w:ascii="宋体" w:hAnsi="宋体" w:eastAsia="仿宋" w:cs="宋体"/>
          <w:sz w:val="24"/>
          <w:highlight w:val="none"/>
        </w:rPr>
        <w:t>8）勤务管理及监督考核。采集录入本地警力勤务安排，实现网上警力资源的调度、监管等。</w:t>
      </w:r>
    </w:p>
    <w:p w14:paraId="5D0B520E">
      <w:pPr>
        <w:snapToGrid w:val="0"/>
        <w:spacing w:line="360" w:lineRule="auto"/>
        <w:jc w:val="left"/>
        <w:rPr>
          <w:rFonts w:ascii="宋体" w:hAnsi="宋体" w:eastAsia="仿宋" w:cs="宋体"/>
          <w:b/>
          <w:sz w:val="24"/>
          <w:highlight w:val="none"/>
        </w:rPr>
      </w:pPr>
    </w:p>
    <w:p w14:paraId="00856C45">
      <w:pPr>
        <w:spacing w:line="360" w:lineRule="auto"/>
        <w:jc w:val="left"/>
        <w:rPr>
          <w:rFonts w:ascii="仿宋" w:hAnsi="仿宋" w:eastAsia="仿宋" w:cs="仿宋"/>
          <w:b/>
          <w:bCs/>
          <w:sz w:val="24"/>
          <w:highlight w:val="none"/>
        </w:rPr>
      </w:pPr>
      <w:r>
        <w:rPr>
          <w:rFonts w:hint="eastAsia" w:ascii="仿宋" w:hAnsi="仿宋" w:eastAsia="仿宋" w:cs="仿宋"/>
          <w:b/>
          <w:sz w:val="24"/>
          <w:highlight w:val="none"/>
        </w:rPr>
        <w:t>（七）</w:t>
      </w:r>
      <w:r>
        <w:rPr>
          <w:rFonts w:hint="eastAsia" w:ascii="仿宋" w:hAnsi="仿宋" w:eastAsia="仿宋" w:cs="仿宋"/>
          <w:b/>
          <w:bCs/>
          <w:sz w:val="24"/>
          <w:highlight w:val="none"/>
          <w:lang w:val="zh-CN"/>
        </w:rPr>
        <w:t>考核要求</w:t>
      </w:r>
    </w:p>
    <w:p w14:paraId="46F1583A">
      <w:pPr>
        <w:adjustRightInd/>
        <w:snapToGrid w:val="0"/>
        <w:spacing w:line="360" w:lineRule="auto"/>
        <w:ind w:firstLine="482" w:firstLineChars="200"/>
        <w:jc w:val="left"/>
        <w:rPr>
          <w:rFonts w:ascii="宋体" w:hAnsi="宋体" w:eastAsia="仿宋" w:cs="宋体"/>
          <w:b/>
          <w:sz w:val="24"/>
          <w:highlight w:val="none"/>
        </w:rPr>
      </w:pPr>
      <w:r>
        <w:rPr>
          <w:rFonts w:hint="eastAsia" w:ascii="宋体" w:hAnsi="宋体" w:eastAsia="仿宋" w:cs="宋体"/>
          <w:b/>
          <w:sz w:val="24"/>
          <w:highlight w:val="none"/>
        </w:rPr>
        <w:t>1、考核：</w:t>
      </w:r>
    </w:p>
    <w:p w14:paraId="2746A2AB">
      <w:pPr>
        <w:adjustRightInd/>
        <w:snapToGrid w:val="0"/>
        <w:spacing w:line="360" w:lineRule="auto"/>
        <w:ind w:firstLine="480" w:firstLineChars="200"/>
        <w:jc w:val="left"/>
        <w:rPr>
          <w:rFonts w:ascii="宋体" w:hAnsi="宋体" w:eastAsia="仿宋" w:cs="宋体"/>
          <w:sz w:val="24"/>
          <w:highlight w:val="none"/>
          <w:u w:val="single"/>
          <w:lang w:val="zh-CN"/>
        </w:rPr>
      </w:pPr>
      <w:r>
        <w:rPr>
          <w:rFonts w:hint="eastAsia" w:ascii="宋体" w:hAnsi="宋体" w:eastAsia="仿宋" w:cs="宋体"/>
          <w:sz w:val="24"/>
          <w:highlight w:val="none"/>
          <w:u w:val="single"/>
          <w:lang w:val="zh-CN"/>
        </w:rPr>
        <w:t>采购人负责对本项目的管理指导、验收考核等职责，督促投标人履行合同。采购人委托监理单位对投标人服务工作进行考核，考核结果由采购人经办人、审核人、监理单位、投标人签字盖章，如考核周期内重复出现相同扣分情形，累计计算扣除分值。</w:t>
      </w:r>
    </w:p>
    <w:p w14:paraId="33E3AA30">
      <w:pPr>
        <w:adjustRightInd/>
        <w:snapToGrid w:val="0"/>
        <w:spacing w:line="360" w:lineRule="auto"/>
        <w:ind w:firstLine="480" w:firstLineChars="200"/>
        <w:rPr>
          <w:rFonts w:ascii="宋体" w:hAnsi="宋体" w:eastAsia="仿宋" w:cs="宋体"/>
          <w:sz w:val="24"/>
          <w:highlight w:val="none"/>
          <w:u w:val="single"/>
          <w:lang w:val="zh-CN"/>
        </w:rPr>
      </w:pPr>
      <w:r>
        <w:rPr>
          <w:rFonts w:hint="eastAsia" w:ascii="宋体" w:hAnsi="宋体" w:eastAsia="仿宋" w:cs="宋体"/>
          <w:sz w:val="24"/>
          <w:highlight w:val="none"/>
          <w:u w:val="single"/>
          <w:lang w:val="zh-CN"/>
        </w:rPr>
        <w:t>本考核对投标人服务工作以月为考核周期，采用百分制计分方式，每月1日初始计分为100分，采购人委托监理单位根据逐条考核事项及对应扣分对投标人进行计分。投标人每被扣1分，处以违约金1000元。违约金在结算合同尾款时一次性扣除。当月考核结果低于80分的，应递交书面整改报告。投标人当月考核结果低于60分、或连续二个月考核结果低于70分、或连续三个月考核结果低于80分，</w:t>
      </w:r>
      <w:r>
        <w:rPr>
          <w:rFonts w:hint="eastAsia" w:ascii="宋体" w:hAnsi="宋体" w:eastAsia="仿宋" w:cs="宋体"/>
          <w:sz w:val="24"/>
          <w:highlight w:val="none"/>
          <w:u w:val="single"/>
        </w:rPr>
        <w:t>采购人有权没收投标人全部履约保证金，并且采购人有权无条件解除合同，如给采购人造成损失的有权向投标人提出索赔。</w:t>
      </w:r>
    </w:p>
    <w:p w14:paraId="0E870790">
      <w:pPr>
        <w:spacing w:before="120" w:beforeLines="50" w:line="360" w:lineRule="auto"/>
        <w:jc w:val="center"/>
        <w:rPr>
          <w:rFonts w:ascii="宋体" w:hAnsi="宋体" w:eastAsia="仿宋" w:cs="宋体"/>
          <w:sz w:val="24"/>
          <w:highlight w:val="none"/>
          <w:u w:val="single"/>
          <w:lang w:val="zh-CN"/>
        </w:rPr>
      </w:pPr>
      <w:r>
        <w:rPr>
          <w:rFonts w:hint="eastAsia" w:ascii="宋体" w:hAnsi="宋体" w:eastAsia="仿宋" w:cs="宋体"/>
          <w:sz w:val="24"/>
          <w:highlight w:val="none"/>
          <w:u w:val="single"/>
          <w:lang w:val="zh-CN"/>
        </w:rPr>
        <w:t>考核内容具体如下：</w:t>
      </w:r>
    </w:p>
    <w:p w14:paraId="7BF3136F">
      <w:pPr>
        <w:spacing w:before="120" w:beforeLines="50" w:line="360" w:lineRule="auto"/>
        <w:jc w:val="center"/>
        <w:rPr>
          <w:rFonts w:ascii="宋体" w:hAnsi="宋体" w:eastAsia="仿宋" w:cs="宋体"/>
          <w:sz w:val="24"/>
          <w:highlight w:val="none"/>
        </w:rPr>
      </w:pPr>
      <w:r>
        <w:rPr>
          <w:rFonts w:hint="eastAsia" w:ascii="宋体" w:hAnsi="宋体" w:eastAsia="仿宋" w:cs="宋体"/>
          <w:sz w:val="24"/>
          <w:highlight w:val="none"/>
        </w:rPr>
        <w:t>每月考核表（    年  月）</w:t>
      </w:r>
    </w:p>
    <w:tbl>
      <w:tblPr>
        <w:tblStyle w:val="80"/>
        <w:tblW w:w="9287"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17"/>
        <w:gridCol w:w="2925"/>
        <w:gridCol w:w="2066"/>
        <w:gridCol w:w="1111"/>
        <w:gridCol w:w="882"/>
      </w:tblGrid>
      <w:tr w14:paraId="1987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gridSpan w:val="3"/>
            <w:noWrap/>
          </w:tcPr>
          <w:p w14:paraId="4EE80405">
            <w:pPr>
              <w:spacing w:line="360" w:lineRule="auto"/>
              <w:rPr>
                <w:rFonts w:ascii="宋体" w:hAnsi="宋体" w:eastAsia="仿宋" w:cs="宋体"/>
                <w:sz w:val="24"/>
                <w:highlight w:val="none"/>
              </w:rPr>
            </w:pPr>
            <w:r>
              <w:rPr>
                <w:rFonts w:hint="eastAsia" w:ascii="宋体" w:hAnsi="宋体" w:eastAsia="仿宋" w:cs="宋体"/>
                <w:bCs/>
                <w:sz w:val="24"/>
                <w:highlight w:val="none"/>
              </w:rPr>
              <w:t>投标人：</w:t>
            </w:r>
          </w:p>
        </w:tc>
        <w:tc>
          <w:tcPr>
            <w:tcW w:w="4059" w:type="dxa"/>
            <w:gridSpan w:val="3"/>
          </w:tcPr>
          <w:p w14:paraId="41A95528">
            <w:pPr>
              <w:spacing w:line="360" w:lineRule="auto"/>
              <w:rPr>
                <w:rFonts w:ascii="宋体" w:hAnsi="宋体" w:eastAsia="仿宋" w:cs="宋体"/>
                <w:sz w:val="24"/>
                <w:highlight w:val="none"/>
              </w:rPr>
            </w:pPr>
            <w:r>
              <w:rPr>
                <w:rFonts w:hint="eastAsia" w:ascii="宋体" w:hAnsi="宋体" w:eastAsia="仿宋" w:cs="宋体"/>
                <w:kern w:val="0"/>
                <w:sz w:val="24"/>
                <w:highlight w:val="none"/>
              </w:rPr>
              <w:t>填表日期：      年   月   日</w:t>
            </w:r>
          </w:p>
        </w:tc>
      </w:tr>
      <w:tr w14:paraId="3D31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tcPr>
          <w:p w14:paraId="31BAAA93">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序号</w:t>
            </w:r>
          </w:p>
        </w:tc>
        <w:tc>
          <w:tcPr>
            <w:tcW w:w="1417" w:type="dxa"/>
            <w:noWrap/>
          </w:tcPr>
          <w:p w14:paraId="72F8C2C5">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考核项目</w:t>
            </w:r>
          </w:p>
        </w:tc>
        <w:tc>
          <w:tcPr>
            <w:tcW w:w="4991" w:type="dxa"/>
            <w:gridSpan w:val="2"/>
            <w:noWrap/>
          </w:tcPr>
          <w:p w14:paraId="25E0FA4E">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考核内容</w:t>
            </w:r>
          </w:p>
        </w:tc>
        <w:tc>
          <w:tcPr>
            <w:tcW w:w="1111" w:type="dxa"/>
            <w:noWrap/>
          </w:tcPr>
          <w:p w14:paraId="2C58E110">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当月考核扣分</w:t>
            </w:r>
          </w:p>
        </w:tc>
        <w:tc>
          <w:tcPr>
            <w:tcW w:w="882" w:type="dxa"/>
            <w:noWrap/>
          </w:tcPr>
          <w:p w14:paraId="30264FB6">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备注</w:t>
            </w:r>
          </w:p>
        </w:tc>
      </w:tr>
      <w:tr w14:paraId="16AE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tcPr>
          <w:p w14:paraId="4A99E83B">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1</w:t>
            </w:r>
          </w:p>
        </w:tc>
        <w:tc>
          <w:tcPr>
            <w:tcW w:w="1417" w:type="dxa"/>
            <w:vMerge w:val="restart"/>
            <w:noWrap/>
          </w:tcPr>
          <w:p w14:paraId="6015F4ED">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租赁设备</w:t>
            </w:r>
          </w:p>
        </w:tc>
        <w:tc>
          <w:tcPr>
            <w:tcW w:w="4991" w:type="dxa"/>
            <w:gridSpan w:val="2"/>
            <w:vMerge w:val="restart"/>
            <w:noWrap/>
          </w:tcPr>
          <w:p w14:paraId="5C7843EC">
            <w:pPr>
              <w:spacing w:line="360" w:lineRule="auto"/>
              <w:rPr>
                <w:rFonts w:ascii="宋体" w:hAnsi="宋体" w:eastAsia="仿宋" w:cs="宋体"/>
                <w:sz w:val="24"/>
                <w:highlight w:val="none"/>
              </w:rPr>
            </w:pPr>
            <w:r>
              <w:rPr>
                <w:rFonts w:hint="eastAsia" w:ascii="宋体" w:hAnsi="宋体" w:eastAsia="仿宋" w:cs="宋体"/>
                <w:bCs/>
                <w:sz w:val="24"/>
                <w:highlight w:val="none"/>
                <w:lang w:val="zh-CN"/>
              </w:rPr>
              <w:t>发现在租赁服务期内，提供设备数量、品牌、型号与合同不符合的。每出现一次扣1分/台。</w:t>
            </w:r>
          </w:p>
        </w:tc>
        <w:tc>
          <w:tcPr>
            <w:tcW w:w="1111" w:type="dxa"/>
            <w:noWrap/>
          </w:tcPr>
          <w:p w14:paraId="70F8D16D">
            <w:pPr>
              <w:spacing w:line="360" w:lineRule="auto"/>
              <w:rPr>
                <w:rFonts w:ascii="宋体" w:hAnsi="宋体" w:eastAsia="仿宋" w:cs="宋体"/>
                <w:sz w:val="24"/>
                <w:highlight w:val="none"/>
              </w:rPr>
            </w:pPr>
          </w:p>
        </w:tc>
        <w:tc>
          <w:tcPr>
            <w:tcW w:w="882" w:type="dxa"/>
            <w:noWrap/>
          </w:tcPr>
          <w:p w14:paraId="4A06D542">
            <w:pPr>
              <w:spacing w:line="360" w:lineRule="auto"/>
              <w:rPr>
                <w:rFonts w:ascii="宋体" w:hAnsi="宋体" w:eastAsia="仿宋" w:cs="宋体"/>
                <w:sz w:val="24"/>
                <w:highlight w:val="none"/>
              </w:rPr>
            </w:pPr>
          </w:p>
        </w:tc>
      </w:tr>
      <w:tr w14:paraId="2296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tcPr>
          <w:p w14:paraId="0D0D6EF1">
            <w:pPr>
              <w:rPr>
                <w:highlight w:val="none"/>
              </w:rPr>
            </w:pPr>
          </w:p>
        </w:tc>
        <w:tc>
          <w:tcPr>
            <w:tcW w:w="1417" w:type="dxa"/>
            <w:vMerge w:val="continue"/>
            <w:noWrap/>
          </w:tcPr>
          <w:p w14:paraId="7D2C6B1E">
            <w:pPr>
              <w:rPr>
                <w:highlight w:val="none"/>
              </w:rPr>
            </w:pPr>
          </w:p>
        </w:tc>
        <w:tc>
          <w:tcPr>
            <w:tcW w:w="4991" w:type="dxa"/>
            <w:gridSpan w:val="2"/>
            <w:vMerge w:val="continue"/>
            <w:noWrap/>
          </w:tcPr>
          <w:p w14:paraId="4AE94735">
            <w:pPr>
              <w:spacing w:line="360" w:lineRule="auto"/>
              <w:rPr>
                <w:rFonts w:ascii="宋体" w:hAnsi="宋体" w:eastAsia="仿宋" w:cs="宋体"/>
                <w:sz w:val="24"/>
                <w:highlight w:val="none"/>
              </w:rPr>
            </w:pPr>
          </w:p>
        </w:tc>
        <w:tc>
          <w:tcPr>
            <w:tcW w:w="1111" w:type="dxa"/>
            <w:noWrap/>
          </w:tcPr>
          <w:p w14:paraId="374181DC">
            <w:pPr>
              <w:spacing w:line="360" w:lineRule="auto"/>
              <w:rPr>
                <w:rFonts w:ascii="宋体" w:hAnsi="宋体" w:eastAsia="仿宋" w:cs="宋体"/>
                <w:sz w:val="24"/>
                <w:highlight w:val="none"/>
              </w:rPr>
            </w:pPr>
          </w:p>
        </w:tc>
        <w:tc>
          <w:tcPr>
            <w:tcW w:w="882" w:type="dxa"/>
            <w:noWrap/>
          </w:tcPr>
          <w:p w14:paraId="7AAC7CF5">
            <w:pPr>
              <w:spacing w:line="360" w:lineRule="auto"/>
              <w:rPr>
                <w:rFonts w:ascii="宋体" w:hAnsi="宋体" w:eastAsia="仿宋" w:cs="宋体"/>
                <w:sz w:val="24"/>
                <w:highlight w:val="none"/>
              </w:rPr>
            </w:pPr>
          </w:p>
        </w:tc>
      </w:tr>
      <w:tr w14:paraId="5163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tcPr>
          <w:p w14:paraId="40E38679">
            <w:pPr>
              <w:spacing w:line="360" w:lineRule="auto"/>
              <w:rPr>
                <w:rFonts w:ascii="宋体" w:hAnsi="宋体" w:eastAsia="仿宋" w:cs="宋体"/>
                <w:sz w:val="24"/>
                <w:highlight w:val="none"/>
              </w:rPr>
            </w:pPr>
            <w:r>
              <w:rPr>
                <w:rFonts w:hint="eastAsia" w:ascii="宋体" w:hAnsi="宋体" w:eastAsia="仿宋" w:cs="宋体"/>
                <w:sz w:val="24"/>
                <w:highlight w:val="none"/>
              </w:rPr>
              <w:t>2</w:t>
            </w:r>
          </w:p>
        </w:tc>
        <w:tc>
          <w:tcPr>
            <w:tcW w:w="1417" w:type="dxa"/>
            <w:vMerge w:val="restart"/>
            <w:noWrap/>
          </w:tcPr>
          <w:p w14:paraId="6C6F7DCD">
            <w:pPr>
              <w:spacing w:line="360" w:lineRule="auto"/>
              <w:rPr>
                <w:rFonts w:ascii="宋体" w:hAnsi="宋体" w:eastAsia="仿宋" w:cs="宋体"/>
                <w:sz w:val="24"/>
                <w:highlight w:val="none"/>
              </w:rPr>
            </w:pPr>
            <w:r>
              <w:rPr>
                <w:rFonts w:hint="eastAsia" w:ascii="宋体" w:hAnsi="宋体" w:eastAsia="仿宋" w:cs="宋体"/>
                <w:sz w:val="24"/>
                <w:highlight w:val="none"/>
              </w:rPr>
              <w:t>软件服务</w:t>
            </w:r>
          </w:p>
        </w:tc>
        <w:tc>
          <w:tcPr>
            <w:tcW w:w="4991" w:type="dxa"/>
            <w:gridSpan w:val="2"/>
            <w:noWrap/>
          </w:tcPr>
          <w:p w14:paraId="0937FEC3">
            <w:pPr>
              <w:spacing w:line="360" w:lineRule="auto"/>
              <w:rPr>
                <w:rFonts w:ascii="宋体" w:hAnsi="宋体" w:eastAsia="仿宋" w:cs="宋体"/>
                <w:sz w:val="24"/>
                <w:highlight w:val="none"/>
              </w:rPr>
            </w:pPr>
            <w:r>
              <w:rPr>
                <w:rFonts w:hint="eastAsia" w:ascii="宋体" w:hAnsi="宋体" w:eastAsia="仿宋" w:cs="宋体"/>
                <w:sz w:val="24"/>
                <w:highlight w:val="none"/>
              </w:rPr>
              <w:t>在租赁服务期内，如遇公安部交管局集指平台版本升级及软件补丁发布，未提供系统软件更新、补丁修复服务。每出现一次扣4分。</w:t>
            </w:r>
          </w:p>
        </w:tc>
        <w:tc>
          <w:tcPr>
            <w:tcW w:w="1111" w:type="dxa"/>
            <w:noWrap/>
          </w:tcPr>
          <w:p w14:paraId="628CAE0C">
            <w:pPr>
              <w:spacing w:line="360" w:lineRule="auto"/>
              <w:rPr>
                <w:rFonts w:ascii="宋体" w:hAnsi="宋体" w:eastAsia="仿宋" w:cs="宋体"/>
                <w:sz w:val="24"/>
                <w:highlight w:val="none"/>
              </w:rPr>
            </w:pPr>
          </w:p>
        </w:tc>
        <w:tc>
          <w:tcPr>
            <w:tcW w:w="882" w:type="dxa"/>
            <w:noWrap/>
          </w:tcPr>
          <w:p w14:paraId="652003E9">
            <w:pPr>
              <w:spacing w:line="360" w:lineRule="auto"/>
              <w:rPr>
                <w:rFonts w:ascii="宋体" w:hAnsi="宋体" w:eastAsia="仿宋" w:cs="宋体"/>
                <w:sz w:val="24"/>
                <w:highlight w:val="none"/>
              </w:rPr>
            </w:pPr>
          </w:p>
        </w:tc>
      </w:tr>
      <w:tr w14:paraId="5F57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tcPr>
          <w:p w14:paraId="3F971DEE">
            <w:pPr>
              <w:rPr>
                <w:highlight w:val="none"/>
              </w:rPr>
            </w:pPr>
          </w:p>
        </w:tc>
        <w:tc>
          <w:tcPr>
            <w:tcW w:w="1417" w:type="dxa"/>
            <w:vMerge w:val="continue"/>
            <w:noWrap/>
          </w:tcPr>
          <w:p w14:paraId="12F00402">
            <w:pPr>
              <w:rPr>
                <w:highlight w:val="none"/>
              </w:rPr>
            </w:pPr>
          </w:p>
        </w:tc>
        <w:tc>
          <w:tcPr>
            <w:tcW w:w="4991" w:type="dxa"/>
            <w:gridSpan w:val="2"/>
            <w:noWrap/>
            <w:vAlign w:val="center"/>
          </w:tcPr>
          <w:p w14:paraId="78A3474B">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在租赁服务期内，投标人提供的产品中所有预装和为本项目安装的软件不具有合法版权或使用权的，使用了非正版的软件，每出现一次扣4分。</w:t>
            </w:r>
          </w:p>
        </w:tc>
        <w:tc>
          <w:tcPr>
            <w:tcW w:w="1111" w:type="dxa"/>
            <w:noWrap/>
          </w:tcPr>
          <w:p w14:paraId="6F9DA7A6">
            <w:pPr>
              <w:spacing w:line="360" w:lineRule="auto"/>
              <w:rPr>
                <w:rFonts w:ascii="宋体" w:hAnsi="宋体" w:eastAsia="仿宋" w:cs="宋体"/>
                <w:sz w:val="24"/>
                <w:highlight w:val="none"/>
              </w:rPr>
            </w:pPr>
          </w:p>
        </w:tc>
        <w:tc>
          <w:tcPr>
            <w:tcW w:w="882" w:type="dxa"/>
            <w:noWrap/>
          </w:tcPr>
          <w:p w14:paraId="58F2082F">
            <w:pPr>
              <w:spacing w:line="360" w:lineRule="auto"/>
              <w:rPr>
                <w:rFonts w:ascii="宋体" w:hAnsi="宋体" w:eastAsia="仿宋" w:cs="宋体"/>
                <w:sz w:val="24"/>
                <w:highlight w:val="none"/>
              </w:rPr>
            </w:pPr>
          </w:p>
        </w:tc>
      </w:tr>
      <w:tr w14:paraId="0692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74533991">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3</w:t>
            </w:r>
          </w:p>
        </w:tc>
        <w:tc>
          <w:tcPr>
            <w:tcW w:w="1417" w:type="dxa"/>
            <w:noWrap/>
            <w:vAlign w:val="center"/>
          </w:tcPr>
          <w:p w14:paraId="4C621D28">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服务计划</w:t>
            </w:r>
          </w:p>
        </w:tc>
        <w:tc>
          <w:tcPr>
            <w:tcW w:w="4991" w:type="dxa"/>
            <w:gridSpan w:val="2"/>
            <w:noWrap/>
            <w:vAlign w:val="center"/>
          </w:tcPr>
          <w:p w14:paraId="117AC159">
            <w:pPr>
              <w:spacing w:line="360" w:lineRule="auto"/>
              <w:rPr>
                <w:rFonts w:ascii="宋体" w:hAnsi="宋体" w:eastAsia="仿宋" w:cs="宋体"/>
                <w:sz w:val="24"/>
                <w:highlight w:val="none"/>
              </w:rPr>
            </w:pPr>
            <w:r>
              <w:rPr>
                <w:rFonts w:hint="eastAsia" w:ascii="宋体" w:hAnsi="宋体" w:eastAsia="仿宋" w:cs="宋体"/>
                <w:sz w:val="24"/>
                <w:highlight w:val="none"/>
              </w:rPr>
              <w:t>投标人不按招标时的服务策略提供租赁的服务计划（服务内容、等级、相关服务指标、服务组织机构。</w:t>
            </w:r>
            <w:r>
              <w:rPr>
                <w:rFonts w:hint="eastAsia" w:ascii="宋体" w:hAnsi="宋体" w:eastAsia="仿宋" w:cs="宋体"/>
                <w:snapToGrid w:val="0"/>
                <w:kern w:val="28"/>
                <w:sz w:val="24"/>
                <w:highlight w:val="none"/>
                <w:lang w:val="zh-CN"/>
              </w:rPr>
              <w:t>每出现一次扣1分。</w:t>
            </w:r>
          </w:p>
        </w:tc>
        <w:tc>
          <w:tcPr>
            <w:tcW w:w="1111" w:type="dxa"/>
            <w:noWrap/>
          </w:tcPr>
          <w:p w14:paraId="435BB8C0">
            <w:pPr>
              <w:spacing w:line="360" w:lineRule="auto"/>
              <w:rPr>
                <w:rFonts w:ascii="宋体" w:hAnsi="宋体" w:eastAsia="仿宋" w:cs="宋体"/>
                <w:sz w:val="24"/>
                <w:highlight w:val="none"/>
              </w:rPr>
            </w:pPr>
          </w:p>
        </w:tc>
        <w:tc>
          <w:tcPr>
            <w:tcW w:w="882" w:type="dxa"/>
            <w:noWrap/>
          </w:tcPr>
          <w:p w14:paraId="1390F6D2">
            <w:pPr>
              <w:spacing w:line="360" w:lineRule="auto"/>
              <w:rPr>
                <w:rFonts w:ascii="宋体" w:hAnsi="宋体" w:eastAsia="仿宋" w:cs="宋体"/>
                <w:sz w:val="24"/>
                <w:highlight w:val="none"/>
              </w:rPr>
            </w:pPr>
          </w:p>
        </w:tc>
      </w:tr>
      <w:tr w14:paraId="03C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E2E04FC">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4</w:t>
            </w:r>
          </w:p>
        </w:tc>
        <w:tc>
          <w:tcPr>
            <w:tcW w:w="1417" w:type="dxa"/>
            <w:noWrap/>
            <w:vAlign w:val="center"/>
          </w:tcPr>
          <w:p w14:paraId="440707AD">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实施要求</w:t>
            </w:r>
          </w:p>
        </w:tc>
        <w:tc>
          <w:tcPr>
            <w:tcW w:w="4991" w:type="dxa"/>
            <w:gridSpan w:val="2"/>
            <w:noWrap/>
            <w:vAlign w:val="center"/>
          </w:tcPr>
          <w:p w14:paraId="56E5C870">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技术架构、软件逻辑架构、视频联网架构不遵循《公安交通集成指挥平台建设指导意见》、《深化公安交通集成指挥平台建设方案》要求的</w:t>
            </w:r>
            <w:r>
              <w:rPr>
                <w:rFonts w:hint="eastAsia" w:ascii="宋体" w:hAnsi="宋体" w:eastAsia="仿宋" w:cs="宋体"/>
                <w:snapToGrid w:val="0"/>
                <w:kern w:val="28"/>
                <w:sz w:val="24"/>
                <w:highlight w:val="none"/>
                <w:lang w:val="zh-CN"/>
              </w:rPr>
              <w:t>，扣</w:t>
            </w:r>
            <w:r>
              <w:rPr>
                <w:rFonts w:hint="eastAsia" w:ascii="宋体" w:hAnsi="宋体" w:eastAsia="仿宋" w:cs="宋体"/>
                <w:snapToGrid w:val="0"/>
                <w:kern w:val="28"/>
                <w:sz w:val="24"/>
                <w:highlight w:val="none"/>
              </w:rPr>
              <w:t>10</w:t>
            </w:r>
            <w:r>
              <w:rPr>
                <w:rFonts w:hint="eastAsia" w:ascii="宋体" w:hAnsi="宋体" w:eastAsia="仿宋" w:cs="宋体"/>
                <w:snapToGrid w:val="0"/>
                <w:kern w:val="28"/>
                <w:sz w:val="24"/>
                <w:highlight w:val="none"/>
                <w:lang w:val="zh-CN"/>
              </w:rPr>
              <w:t>分。</w:t>
            </w:r>
          </w:p>
        </w:tc>
        <w:tc>
          <w:tcPr>
            <w:tcW w:w="1111" w:type="dxa"/>
            <w:noWrap/>
          </w:tcPr>
          <w:p w14:paraId="6295BE4F">
            <w:pPr>
              <w:spacing w:line="360" w:lineRule="auto"/>
              <w:rPr>
                <w:rFonts w:ascii="宋体" w:hAnsi="宋体" w:eastAsia="仿宋" w:cs="宋体"/>
                <w:sz w:val="24"/>
                <w:highlight w:val="none"/>
              </w:rPr>
            </w:pPr>
          </w:p>
        </w:tc>
        <w:tc>
          <w:tcPr>
            <w:tcW w:w="882" w:type="dxa"/>
            <w:noWrap/>
          </w:tcPr>
          <w:p w14:paraId="2BE69304">
            <w:pPr>
              <w:spacing w:line="360" w:lineRule="auto"/>
              <w:rPr>
                <w:rFonts w:ascii="宋体" w:hAnsi="宋体" w:eastAsia="仿宋" w:cs="宋体"/>
                <w:sz w:val="24"/>
                <w:highlight w:val="none"/>
              </w:rPr>
            </w:pPr>
          </w:p>
        </w:tc>
      </w:tr>
      <w:tr w14:paraId="323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697DD124">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5</w:t>
            </w:r>
          </w:p>
        </w:tc>
        <w:tc>
          <w:tcPr>
            <w:tcW w:w="1417" w:type="dxa"/>
            <w:noWrap/>
            <w:vAlign w:val="center"/>
          </w:tcPr>
          <w:p w14:paraId="2AFBBC23">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服务响应</w:t>
            </w:r>
          </w:p>
        </w:tc>
        <w:tc>
          <w:tcPr>
            <w:tcW w:w="4991" w:type="dxa"/>
            <w:gridSpan w:val="2"/>
            <w:noWrap/>
            <w:vAlign w:val="center"/>
          </w:tcPr>
          <w:p w14:paraId="3F9B9B47">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fldChar w:fldCharType="begin"/>
            </w:r>
            <w:r>
              <w:rPr>
                <w:rFonts w:hint="eastAsia" w:ascii="宋体" w:hAnsi="宋体" w:eastAsia="仿宋" w:cs="宋体"/>
                <w:snapToGrid w:val="0"/>
                <w:kern w:val="28"/>
                <w:sz w:val="24"/>
                <w:highlight w:val="none"/>
                <w:lang w:val="zh-CN"/>
              </w:rPr>
              <w:instrText xml:space="preserve"> = 1 \* GB3 \* MERGEFORMAT </w:instrText>
            </w:r>
            <w:r>
              <w:rPr>
                <w:rFonts w:hint="eastAsia" w:ascii="宋体" w:hAnsi="宋体" w:eastAsia="仿宋" w:cs="宋体"/>
                <w:snapToGrid w:val="0"/>
                <w:kern w:val="28"/>
                <w:sz w:val="24"/>
                <w:highlight w:val="none"/>
                <w:lang w:val="zh-CN"/>
              </w:rPr>
              <w:fldChar w:fldCharType="separate"/>
            </w:r>
            <w:r>
              <w:rPr>
                <w:rFonts w:hint="eastAsia" w:ascii="宋体" w:hAnsi="宋体" w:eastAsia="仿宋" w:cs="宋体"/>
                <w:snapToGrid w:val="0"/>
                <w:kern w:val="28"/>
                <w:sz w:val="24"/>
                <w:highlight w:val="none"/>
                <w:lang w:val="zh-CN"/>
              </w:rPr>
              <w:t>①</w:t>
            </w:r>
            <w:r>
              <w:rPr>
                <w:rFonts w:hint="eastAsia" w:ascii="宋体" w:hAnsi="宋体" w:eastAsia="仿宋" w:cs="宋体"/>
                <w:snapToGrid w:val="0"/>
                <w:kern w:val="28"/>
                <w:sz w:val="24"/>
                <w:highlight w:val="none"/>
                <w:lang w:val="zh-CN"/>
              </w:rPr>
              <w:fldChar w:fldCharType="end"/>
            </w:r>
            <w:r>
              <w:rPr>
                <w:rFonts w:hint="eastAsia" w:ascii="宋体" w:hAnsi="宋体" w:eastAsia="仿宋" w:cs="宋体"/>
                <w:sz w:val="24"/>
                <w:highlight w:val="none"/>
              </w:rPr>
              <w:t>设备和软件系统故障未在10分钟内响应或未在半小时内到达现场或未在2小时提出解决方案</w:t>
            </w:r>
          </w:p>
          <w:p w14:paraId="6566BED5">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fldChar w:fldCharType="begin"/>
            </w:r>
            <w:r>
              <w:rPr>
                <w:rFonts w:hint="eastAsia" w:ascii="宋体" w:hAnsi="宋体" w:eastAsia="仿宋" w:cs="宋体"/>
                <w:snapToGrid w:val="0"/>
                <w:kern w:val="28"/>
                <w:sz w:val="24"/>
                <w:highlight w:val="none"/>
                <w:lang w:val="zh-CN"/>
              </w:rPr>
              <w:instrText xml:space="preserve"> = 2 \* GB3 \* MERGEFORMAT </w:instrText>
            </w:r>
            <w:r>
              <w:rPr>
                <w:rFonts w:hint="eastAsia" w:ascii="宋体" w:hAnsi="宋体" w:eastAsia="仿宋" w:cs="宋体"/>
                <w:snapToGrid w:val="0"/>
                <w:kern w:val="28"/>
                <w:sz w:val="24"/>
                <w:highlight w:val="none"/>
                <w:lang w:val="zh-CN"/>
              </w:rPr>
              <w:fldChar w:fldCharType="separate"/>
            </w:r>
            <w:r>
              <w:rPr>
                <w:rFonts w:hint="eastAsia" w:ascii="宋体" w:hAnsi="宋体" w:eastAsia="仿宋" w:cs="宋体"/>
                <w:snapToGrid w:val="0"/>
                <w:kern w:val="28"/>
                <w:sz w:val="24"/>
                <w:highlight w:val="none"/>
                <w:lang w:val="zh-CN"/>
              </w:rPr>
              <w:t>②</w:t>
            </w:r>
            <w:r>
              <w:rPr>
                <w:rFonts w:hint="eastAsia" w:ascii="宋体" w:hAnsi="宋体" w:eastAsia="仿宋" w:cs="宋体"/>
                <w:snapToGrid w:val="0"/>
                <w:kern w:val="28"/>
                <w:sz w:val="24"/>
                <w:highlight w:val="none"/>
                <w:lang w:val="zh-CN"/>
              </w:rPr>
              <w:fldChar w:fldCharType="end"/>
            </w:r>
            <w:r>
              <w:rPr>
                <w:rFonts w:hint="eastAsia" w:ascii="宋体" w:hAnsi="宋体" w:eastAsia="仿宋" w:cs="宋体"/>
                <w:sz w:val="24"/>
                <w:highlight w:val="none"/>
              </w:rPr>
              <w:t>4小时内未排除故障。逾期未排除故障，投标人未提供备用设备。</w:t>
            </w:r>
            <w:r>
              <w:rPr>
                <w:rFonts w:hint="eastAsia" w:ascii="宋体" w:hAnsi="宋体" w:eastAsia="仿宋" w:cs="宋体"/>
                <w:snapToGrid w:val="0"/>
                <w:kern w:val="28"/>
                <w:sz w:val="24"/>
                <w:highlight w:val="none"/>
                <w:lang w:val="zh-CN"/>
              </w:rPr>
              <w:t>每出现一次扣2分。</w:t>
            </w:r>
          </w:p>
        </w:tc>
        <w:tc>
          <w:tcPr>
            <w:tcW w:w="1111" w:type="dxa"/>
            <w:noWrap/>
          </w:tcPr>
          <w:p w14:paraId="531DE693">
            <w:pPr>
              <w:spacing w:line="360" w:lineRule="auto"/>
              <w:rPr>
                <w:rFonts w:ascii="宋体" w:hAnsi="宋体" w:eastAsia="仿宋" w:cs="宋体"/>
                <w:sz w:val="24"/>
                <w:highlight w:val="none"/>
              </w:rPr>
            </w:pPr>
          </w:p>
        </w:tc>
        <w:tc>
          <w:tcPr>
            <w:tcW w:w="882" w:type="dxa"/>
            <w:noWrap/>
          </w:tcPr>
          <w:p w14:paraId="3335EE01">
            <w:pPr>
              <w:spacing w:line="360" w:lineRule="auto"/>
              <w:rPr>
                <w:rFonts w:ascii="宋体" w:hAnsi="宋体" w:eastAsia="仿宋" w:cs="宋体"/>
                <w:sz w:val="24"/>
                <w:highlight w:val="none"/>
              </w:rPr>
            </w:pPr>
          </w:p>
        </w:tc>
      </w:tr>
      <w:tr w14:paraId="0B36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07BD3F4">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6</w:t>
            </w:r>
          </w:p>
        </w:tc>
        <w:tc>
          <w:tcPr>
            <w:tcW w:w="1417" w:type="dxa"/>
            <w:noWrap/>
            <w:vAlign w:val="center"/>
          </w:tcPr>
          <w:p w14:paraId="3A20E73E">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维护质量</w:t>
            </w:r>
          </w:p>
        </w:tc>
        <w:tc>
          <w:tcPr>
            <w:tcW w:w="4991" w:type="dxa"/>
            <w:gridSpan w:val="2"/>
            <w:noWrap/>
            <w:vAlign w:val="center"/>
          </w:tcPr>
          <w:p w14:paraId="3E0E1CCB">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由于维护质量问题造成上级部门检查不合格的，采购人无法正常使用，严重影响工作的，每发现一次扣2分。</w:t>
            </w:r>
          </w:p>
        </w:tc>
        <w:tc>
          <w:tcPr>
            <w:tcW w:w="1111" w:type="dxa"/>
            <w:noWrap/>
          </w:tcPr>
          <w:p w14:paraId="6FB5699D">
            <w:pPr>
              <w:spacing w:line="360" w:lineRule="auto"/>
              <w:rPr>
                <w:rFonts w:ascii="宋体" w:hAnsi="宋体" w:eastAsia="仿宋" w:cs="宋体"/>
                <w:sz w:val="24"/>
                <w:highlight w:val="none"/>
              </w:rPr>
            </w:pPr>
          </w:p>
        </w:tc>
        <w:tc>
          <w:tcPr>
            <w:tcW w:w="882" w:type="dxa"/>
            <w:noWrap/>
          </w:tcPr>
          <w:p w14:paraId="48355889">
            <w:pPr>
              <w:spacing w:line="360" w:lineRule="auto"/>
              <w:rPr>
                <w:rFonts w:ascii="宋体" w:hAnsi="宋体" w:eastAsia="仿宋" w:cs="宋体"/>
                <w:sz w:val="24"/>
                <w:highlight w:val="none"/>
              </w:rPr>
            </w:pPr>
          </w:p>
        </w:tc>
      </w:tr>
      <w:tr w14:paraId="17A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12D7B290">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7</w:t>
            </w:r>
          </w:p>
        </w:tc>
        <w:tc>
          <w:tcPr>
            <w:tcW w:w="1417" w:type="dxa"/>
            <w:noWrap/>
            <w:vAlign w:val="center"/>
          </w:tcPr>
          <w:p w14:paraId="3A9EFB3E">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资料信息</w:t>
            </w:r>
          </w:p>
        </w:tc>
        <w:tc>
          <w:tcPr>
            <w:tcW w:w="4991" w:type="dxa"/>
            <w:gridSpan w:val="2"/>
            <w:noWrap/>
            <w:vAlign w:val="center"/>
          </w:tcPr>
          <w:p w14:paraId="51B4C62B">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lang w:val="zh-CN"/>
              </w:rPr>
              <w:t>出现未在规定时间内提交文档资料、提供虚假材料、维护记录表填写不完整、未按监理通知单配合工作等情况的，每出现一次扣15分。</w:t>
            </w:r>
          </w:p>
        </w:tc>
        <w:tc>
          <w:tcPr>
            <w:tcW w:w="1111" w:type="dxa"/>
            <w:noWrap/>
          </w:tcPr>
          <w:p w14:paraId="499A367D">
            <w:pPr>
              <w:spacing w:line="360" w:lineRule="auto"/>
              <w:rPr>
                <w:rFonts w:ascii="宋体" w:hAnsi="宋体" w:eastAsia="仿宋" w:cs="宋体"/>
                <w:sz w:val="24"/>
                <w:highlight w:val="none"/>
              </w:rPr>
            </w:pPr>
          </w:p>
        </w:tc>
        <w:tc>
          <w:tcPr>
            <w:tcW w:w="882" w:type="dxa"/>
            <w:noWrap/>
          </w:tcPr>
          <w:p w14:paraId="466D10B9">
            <w:pPr>
              <w:spacing w:line="360" w:lineRule="auto"/>
              <w:rPr>
                <w:rFonts w:ascii="宋体" w:hAnsi="宋体" w:eastAsia="仿宋" w:cs="宋体"/>
                <w:sz w:val="24"/>
                <w:highlight w:val="none"/>
              </w:rPr>
            </w:pPr>
          </w:p>
        </w:tc>
      </w:tr>
      <w:tr w14:paraId="5AF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vAlign w:val="center"/>
          </w:tcPr>
          <w:p w14:paraId="432B9F1B">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8</w:t>
            </w:r>
          </w:p>
        </w:tc>
        <w:tc>
          <w:tcPr>
            <w:tcW w:w="1417" w:type="dxa"/>
            <w:vMerge w:val="restart"/>
            <w:noWrap/>
            <w:vAlign w:val="center"/>
          </w:tcPr>
          <w:p w14:paraId="7BCC3261">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lang w:val="zh-CN"/>
              </w:rPr>
              <w:t>人员要求</w:t>
            </w:r>
          </w:p>
        </w:tc>
        <w:tc>
          <w:tcPr>
            <w:tcW w:w="4991" w:type="dxa"/>
            <w:gridSpan w:val="2"/>
            <w:noWrap/>
            <w:vAlign w:val="center"/>
          </w:tcPr>
          <w:p w14:paraId="3B24D333">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lang w:val="zh-CN"/>
              </w:rPr>
              <w:t>未按</w:t>
            </w:r>
            <w:r>
              <w:rPr>
                <w:rFonts w:hint="eastAsia" w:ascii="宋体" w:hAnsi="宋体" w:eastAsia="仿宋" w:cs="宋体"/>
                <w:snapToGrid w:val="0"/>
                <w:kern w:val="28"/>
                <w:sz w:val="24"/>
                <w:highlight w:val="none"/>
              </w:rPr>
              <w:t>合同</w:t>
            </w:r>
            <w:r>
              <w:rPr>
                <w:rFonts w:hint="eastAsia" w:ascii="宋体" w:hAnsi="宋体" w:eastAsia="仿宋" w:cs="宋体"/>
                <w:snapToGrid w:val="0"/>
                <w:kern w:val="28"/>
                <w:sz w:val="24"/>
                <w:highlight w:val="none"/>
                <w:lang w:val="zh-CN"/>
              </w:rPr>
              <w:t>提供项目组人员，年龄、数量或资质不符合要求的，每出现一次扣2分。</w:t>
            </w:r>
          </w:p>
        </w:tc>
        <w:tc>
          <w:tcPr>
            <w:tcW w:w="1111" w:type="dxa"/>
            <w:noWrap/>
          </w:tcPr>
          <w:p w14:paraId="3F9F623E">
            <w:pPr>
              <w:spacing w:line="360" w:lineRule="auto"/>
              <w:rPr>
                <w:rFonts w:ascii="宋体" w:hAnsi="宋体" w:eastAsia="仿宋" w:cs="宋体"/>
                <w:sz w:val="24"/>
                <w:highlight w:val="none"/>
              </w:rPr>
            </w:pPr>
          </w:p>
        </w:tc>
        <w:tc>
          <w:tcPr>
            <w:tcW w:w="882" w:type="dxa"/>
            <w:noWrap/>
          </w:tcPr>
          <w:p w14:paraId="395D0AB6">
            <w:pPr>
              <w:spacing w:line="360" w:lineRule="auto"/>
              <w:rPr>
                <w:rFonts w:ascii="宋体" w:hAnsi="宋体" w:eastAsia="仿宋" w:cs="宋体"/>
                <w:sz w:val="24"/>
                <w:highlight w:val="none"/>
              </w:rPr>
            </w:pPr>
          </w:p>
        </w:tc>
      </w:tr>
      <w:tr w14:paraId="1AB0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vAlign w:val="center"/>
          </w:tcPr>
          <w:p w14:paraId="747F24CA">
            <w:pPr>
              <w:rPr>
                <w:highlight w:val="none"/>
              </w:rPr>
            </w:pPr>
          </w:p>
        </w:tc>
        <w:tc>
          <w:tcPr>
            <w:tcW w:w="1417" w:type="dxa"/>
            <w:vMerge w:val="continue"/>
            <w:noWrap/>
            <w:vAlign w:val="center"/>
          </w:tcPr>
          <w:p w14:paraId="075268F1">
            <w:pPr>
              <w:rPr>
                <w:highlight w:val="none"/>
              </w:rPr>
            </w:pPr>
          </w:p>
        </w:tc>
        <w:tc>
          <w:tcPr>
            <w:tcW w:w="4991" w:type="dxa"/>
            <w:gridSpan w:val="2"/>
            <w:noWrap/>
            <w:vAlign w:val="center"/>
          </w:tcPr>
          <w:p w14:paraId="1D18BD68">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lang w:val="zh-CN"/>
              </w:rPr>
              <w:t>投标人未每</w:t>
            </w:r>
            <w:r>
              <w:rPr>
                <w:rFonts w:hint="eastAsia" w:ascii="宋体" w:hAnsi="宋体" w:eastAsia="仿宋" w:cs="宋体"/>
                <w:snapToGrid w:val="0"/>
                <w:kern w:val="28"/>
                <w:sz w:val="24"/>
                <w:highlight w:val="none"/>
              </w:rPr>
              <w:t>周</w:t>
            </w:r>
            <w:r>
              <w:rPr>
                <w:rFonts w:hint="eastAsia" w:ascii="宋体" w:hAnsi="宋体" w:eastAsia="仿宋" w:cs="宋体"/>
                <w:snapToGrid w:val="0"/>
                <w:kern w:val="28"/>
                <w:sz w:val="24"/>
                <w:highlight w:val="none"/>
                <w:lang w:val="zh-CN"/>
              </w:rPr>
              <w:t>进行巡检的扣2分，巡检内容不符合要求的，每出现一次扣1分。</w:t>
            </w:r>
          </w:p>
        </w:tc>
        <w:tc>
          <w:tcPr>
            <w:tcW w:w="1111" w:type="dxa"/>
            <w:noWrap/>
          </w:tcPr>
          <w:p w14:paraId="686EE4B4">
            <w:pPr>
              <w:spacing w:line="360" w:lineRule="auto"/>
              <w:rPr>
                <w:rFonts w:ascii="宋体" w:hAnsi="宋体" w:eastAsia="仿宋" w:cs="宋体"/>
                <w:sz w:val="24"/>
                <w:highlight w:val="none"/>
              </w:rPr>
            </w:pPr>
          </w:p>
        </w:tc>
        <w:tc>
          <w:tcPr>
            <w:tcW w:w="882" w:type="dxa"/>
            <w:noWrap/>
          </w:tcPr>
          <w:p w14:paraId="356DBCA7">
            <w:pPr>
              <w:spacing w:line="360" w:lineRule="auto"/>
              <w:rPr>
                <w:rFonts w:ascii="宋体" w:hAnsi="宋体" w:eastAsia="仿宋" w:cs="宋体"/>
                <w:sz w:val="24"/>
                <w:highlight w:val="none"/>
              </w:rPr>
            </w:pPr>
          </w:p>
        </w:tc>
      </w:tr>
      <w:tr w14:paraId="6ABE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vAlign w:val="center"/>
          </w:tcPr>
          <w:p w14:paraId="12F91746">
            <w:pPr>
              <w:rPr>
                <w:highlight w:val="none"/>
              </w:rPr>
            </w:pPr>
          </w:p>
        </w:tc>
        <w:tc>
          <w:tcPr>
            <w:tcW w:w="1417" w:type="dxa"/>
            <w:vMerge w:val="continue"/>
            <w:noWrap/>
            <w:vAlign w:val="center"/>
          </w:tcPr>
          <w:p w14:paraId="71062BCD">
            <w:pPr>
              <w:rPr>
                <w:highlight w:val="none"/>
              </w:rPr>
            </w:pPr>
          </w:p>
        </w:tc>
        <w:tc>
          <w:tcPr>
            <w:tcW w:w="4991" w:type="dxa"/>
            <w:gridSpan w:val="2"/>
            <w:noWrap/>
            <w:vAlign w:val="center"/>
          </w:tcPr>
          <w:p w14:paraId="2DB57D0E">
            <w:pPr>
              <w:spacing w:line="360" w:lineRule="auto"/>
              <w:rPr>
                <w:rFonts w:ascii="宋体" w:hAnsi="宋体" w:eastAsia="仿宋" w:cs="宋体"/>
                <w:snapToGrid w:val="0"/>
                <w:kern w:val="28"/>
                <w:sz w:val="24"/>
                <w:highlight w:val="none"/>
                <w:lang w:val="zh-CN"/>
              </w:rPr>
            </w:pPr>
            <w:r>
              <w:rPr>
                <w:rFonts w:hint="eastAsia" w:ascii="宋体" w:hAnsi="宋体" w:eastAsia="仿宋" w:cs="宋体"/>
                <w:bCs/>
                <w:sz w:val="24"/>
                <w:highlight w:val="none"/>
              </w:rPr>
              <w:t>服务人员工作时间、地点不满足采购要求的，</w:t>
            </w:r>
            <w:r>
              <w:rPr>
                <w:rFonts w:hint="eastAsia" w:ascii="宋体" w:hAnsi="宋体" w:eastAsia="仿宋" w:cs="宋体"/>
                <w:snapToGrid w:val="0"/>
                <w:kern w:val="28"/>
                <w:sz w:val="24"/>
                <w:highlight w:val="none"/>
                <w:lang w:val="zh-CN"/>
              </w:rPr>
              <w:t>每出现一次扣1分</w:t>
            </w:r>
            <w:r>
              <w:rPr>
                <w:rFonts w:hint="eastAsia" w:ascii="宋体" w:hAnsi="宋体" w:eastAsia="仿宋" w:cs="宋体"/>
                <w:bCs/>
                <w:sz w:val="24"/>
                <w:highlight w:val="none"/>
              </w:rPr>
              <w:t>。</w:t>
            </w:r>
          </w:p>
        </w:tc>
        <w:tc>
          <w:tcPr>
            <w:tcW w:w="1111" w:type="dxa"/>
            <w:noWrap/>
          </w:tcPr>
          <w:p w14:paraId="05B3FEEF">
            <w:pPr>
              <w:spacing w:line="360" w:lineRule="auto"/>
              <w:rPr>
                <w:rFonts w:ascii="宋体" w:hAnsi="宋体" w:eastAsia="仿宋" w:cs="宋体"/>
                <w:sz w:val="24"/>
                <w:highlight w:val="none"/>
              </w:rPr>
            </w:pPr>
          </w:p>
        </w:tc>
        <w:tc>
          <w:tcPr>
            <w:tcW w:w="882" w:type="dxa"/>
            <w:noWrap/>
          </w:tcPr>
          <w:p w14:paraId="582BFBEC">
            <w:pPr>
              <w:spacing w:line="360" w:lineRule="auto"/>
              <w:rPr>
                <w:rFonts w:ascii="宋体" w:hAnsi="宋体" w:eastAsia="仿宋" w:cs="宋体"/>
                <w:sz w:val="24"/>
                <w:highlight w:val="none"/>
              </w:rPr>
            </w:pPr>
          </w:p>
        </w:tc>
      </w:tr>
      <w:tr w14:paraId="6AB2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69016E36">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9</w:t>
            </w:r>
          </w:p>
        </w:tc>
        <w:tc>
          <w:tcPr>
            <w:tcW w:w="1417" w:type="dxa"/>
            <w:noWrap/>
            <w:vAlign w:val="center"/>
          </w:tcPr>
          <w:p w14:paraId="3BBB96B0">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lang w:val="zh-CN"/>
              </w:rPr>
              <w:t>培训</w:t>
            </w:r>
          </w:p>
        </w:tc>
        <w:tc>
          <w:tcPr>
            <w:tcW w:w="4991" w:type="dxa"/>
            <w:gridSpan w:val="2"/>
            <w:noWrap/>
            <w:vAlign w:val="center"/>
          </w:tcPr>
          <w:p w14:paraId="3B42B35F">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rPr>
              <w:t>未按采购需求</w:t>
            </w:r>
            <w:r>
              <w:rPr>
                <w:rFonts w:hint="eastAsia" w:ascii="宋体" w:hAnsi="宋体" w:eastAsia="仿宋" w:cs="宋体"/>
                <w:snapToGrid w:val="0"/>
                <w:kern w:val="28"/>
                <w:sz w:val="24"/>
                <w:highlight w:val="none"/>
                <w:lang w:val="zh-CN"/>
              </w:rPr>
              <w:t>开展业务培训的扣3分。</w:t>
            </w:r>
          </w:p>
        </w:tc>
        <w:tc>
          <w:tcPr>
            <w:tcW w:w="1111" w:type="dxa"/>
            <w:noWrap/>
          </w:tcPr>
          <w:p w14:paraId="3E007C70">
            <w:pPr>
              <w:spacing w:line="360" w:lineRule="auto"/>
              <w:rPr>
                <w:rFonts w:ascii="宋体" w:hAnsi="宋体" w:eastAsia="仿宋" w:cs="宋体"/>
                <w:sz w:val="24"/>
                <w:highlight w:val="none"/>
              </w:rPr>
            </w:pPr>
          </w:p>
        </w:tc>
        <w:tc>
          <w:tcPr>
            <w:tcW w:w="882" w:type="dxa"/>
            <w:noWrap/>
          </w:tcPr>
          <w:p w14:paraId="60F1A4E3">
            <w:pPr>
              <w:spacing w:line="360" w:lineRule="auto"/>
              <w:rPr>
                <w:rFonts w:ascii="宋体" w:hAnsi="宋体" w:eastAsia="仿宋" w:cs="宋体"/>
                <w:sz w:val="24"/>
                <w:highlight w:val="none"/>
              </w:rPr>
            </w:pPr>
          </w:p>
        </w:tc>
      </w:tr>
      <w:tr w14:paraId="2A85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BA2D2D0">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10</w:t>
            </w:r>
          </w:p>
        </w:tc>
        <w:tc>
          <w:tcPr>
            <w:tcW w:w="1417" w:type="dxa"/>
            <w:noWrap/>
            <w:vAlign w:val="center"/>
          </w:tcPr>
          <w:p w14:paraId="0A9B2505">
            <w:pPr>
              <w:spacing w:line="360" w:lineRule="auto"/>
              <w:rPr>
                <w:rFonts w:ascii="宋体" w:hAnsi="宋体" w:eastAsia="仿宋" w:cs="宋体"/>
                <w:snapToGrid w:val="0"/>
                <w:kern w:val="28"/>
                <w:sz w:val="24"/>
                <w:highlight w:val="none"/>
                <w:lang w:val="zh-CN"/>
              </w:rPr>
            </w:pPr>
            <w:r>
              <w:rPr>
                <w:rFonts w:hint="eastAsia" w:ascii="宋体" w:hAnsi="宋体" w:eastAsia="仿宋" w:cs="宋体"/>
                <w:bCs/>
                <w:snapToGrid w:val="0"/>
                <w:kern w:val="28"/>
                <w:sz w:val="24"/>
                <w:highlight w:val="none"/>
              </w:rPr>
              <w:t>网络安全</w:t>
            </w:r>
          </w:p>
        </w:tc>
        <w:tc>
          <w:tcPr>
            <w:tcW w:w="4991" w:type="dxa"/>
            <w:gridSpan w:val="2"/>
            <w:noWrap/>
            <w:vAlign w:val="center"/>
          </w:tcPr>
          <w:p w14:paraId="7BD9C367">
            <w:pPr>
              <w:spacing w:line="360" w:lineRule="auto"/>
              <w:rPr>
                <w:rFonts w:ascii="宋体" w:hAnsi="宋体" w:eastAsia="仿宋" w:cs="宋体"/>
                <w:snapToGrid w:val="0"/>
                <w:kern w:val="28"/>
                <w:sz w:val="24"/>
                <w:highlight w:val="none"/>
                <w:lang w:val="zh-CN"/>
              </w:rPr>
            </w:pPr>
            <w:r>
              <w:rPr>
                <w:rFonts w:hint="eastAsia" w:ascii="宋体" w:hAnsi="宋体" w:eastAsia="仿宋" w:cs="宋体"/>
                <w:bCs/>
                <w:snapToGrid w:val="0"/>
                <w:kern w:val="28"/>
                <w:sz w:val="24"/>
                <w:highlight w:val="none"/>
              </w:rPr>
              <w:t>投标人未按网络安全履行责任和义务的，每发生一次扣除违约金10000元。</w:t>
            </w:r>
          </w:p>
        </w:tc>
        <w:tc>
          <w:tcPr>
            <w:tcW w:w="1111" w:type="dxa"/>
            <w:noWrap/>
          </w:tcPr>
          <w:p w14:paraId="74921793">
            <w:pPr>
              <w:spacing w:line="360" w:lineRule="auto"/>
              <w:rPr>
                <w:rFonts w:ascii="宋体" w:hAnsi="宋体" w:eastAsia="仿宋" w:cs="宋体"/>
                <w:sz w:val="24"/>
                <w:highlight w:val="none"/>
              </w:rPr>
            </w:pPr>
          </w:p>
        </w:tc>
        <w:tc>
          <w:tcPr>
            <w:tcW w:w="882" w:type="dxa"/>
            <w:noWrap/>
          </w:tcPr>
          <w:p w14:paraId="79337118">
            <w:pPr>
              <w:spacing w:line="360" w:lineRule="auto"/>
              <w:rPr>
                <w:rFonts w:ascii="宋体" w:hAnsi="宋体" w:eastAsia="仿宋" w:cs="宋体"/>
                <w:sz w:val="24"/>
                <w:highlight w:val="none"/>
              </w:rPr>
            </w:pPr>
          </w:p>
        </w:tc>
      </w:tr>
      <w:tr w14:paraId="3738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866E2E8">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11</w:t>
            </w:r>
          </w:p>
        </w:tc>
        <w:tc>
          <w:tcPr>
            <w:tcW w:w="1417" w:type="dxa"/>
            <w:noWrap/>
            <w:vAlign w:val="center"/>
          </w:tcPr>
          <w:p w14:paraId="002CD671">
            <w:pPr>
              <w:spacing w:line="360" w:lineRule="auto"/>
              <w:rPr>
                <w:rFonts w:ascii="宋体" w:hAnsi="宋体" w:eastAsia="仿宋" w:cs="宋体"/>
                <w:snapToGrid w:val="0"/>
                <w:kern w:val="28"/>
                <w:sz w:val="24"/>
                <w:highlight w:val="none"/>
                <w:lang w:val="zh-CN"/>
              </w:rPr>
            </w:pPr>
            <w:r>
              <w:rPr>
                <w:rFonts w:hint="eastAsia" w:ascii="宋体" w:hAnsi="宋体" w:eastAsia="仿宋" w:cs="宋体"/>
                <w:bCs/>
                <w:sz w:val="24"/>
                <w:highlight w:val="none"/>
                <w:lang w:val="zh-CN"/>
              </w:rPr>
              <w:t>保密</w:t>
            </w:r>
          </w:p>
        </w:tc>
        <w:tc>
          <w:tcPr>
            <w:tcW w:w="4991" w:type="dxa"/>
            <w:gridSpan w:val="2"/>
            <w:noWrap/>
            <w:vAlign w:val="center"/>
          </w:tcPr>
          <w:p w14:paraId="5474508E">
            <w:pPr>
              <w:spacing w:line="360" w:lineRule="auto"/>
              <w:rPr>
                <w:rFonts w:ascii="宋体" w:hAnsi="宋体" w:eastAsia="仿宋" w:cs="宋体"/>
                <w:snapToGrid w:val="0"/>
                <w:kern w:val="28"/>
                <w:sz w:val="24"/>
                <w:highlight w:val="none"/>
                <w:lang w:val="zh-CN"/>
              </w:rPr>
            </w:pPr>
            <w:r>
              <w:rPr>
                <w:rFonts w:hint="eastAsia" w:ascii="宋体" w:hAnsi="宋体" w:eastAsia="仿宋" w:cs="宋体"/>
                <w:sz w:val="24"/>
                <w:highlight w:val="none"/>
              </w:rPr>
              <w:t>未按保密管理条款规定执行的，每发现一次处违约金10000元，如发生泄密事件，除赔偿采购人损失外，还应承担全部法律责任。</w:t>
            </w:r>
          </w:p>
        </w:tc>
        <w:tc>
          <w:tcPr>
            <w:tcW w:w="1111" w:type="dxa"/>
            <w:noWrap/>
          </w:tcPr>
          <w:p w14:paraId="75A93C3F">
            <w:pPr>
              <w:spacing w:line="360" w:lineRule="auto"/>
              <w:rPr>
                <w:rFonts w:ascii="宋体" w:hAnsi="宋体" w:eastAsia="仿宋" w:cs="宋体"/>
                <w:sz w:val="24"/>
                <w:highlight w:val="none"/>
              </w:rPr>
            </w:pPr>
          </w:p>
        </w:tc>
        <w:tc>
          <w:tcPr>
            <w:tcW w:w="882" w:type="dxa"/>
            <w:noWrap/>
          </w:tcPr>
          <w:p w14:paraId="54358BC1">
            <w:pPr>
              <w:spacing w:line="360" w:lineRule="auto"/>
              <w:rPr>
                <w:rFonts w:ascii="宋体" w:hAnsi="宋体" w:eastAsia="仿宋" w:cs="宋体"/>
                <w:sz w:val="24"/>
                <w:highlight w:val="none"/>
              </w:rPr>
            </w:pPr>
          </w:p>
        </w:tc>
      </w:tr>
      <w:tr w14:paraId="36A6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02D098E">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12</w:t>
            </w:r>
          </w:p>
        </w:tc>
        <w:tc>
          <w:tcPr>
            <w:tcW w:w="1417" w:type="dxa"/>
            <w:noWrap/>
            <w:vAlign w:val="center"/>
          </w:tcPr>
          <w:p w14:paraId="67CC69CA">
            <w:pPr>
              <w:spacing w:line="360" w:lineRule="auto"/>
              <w:rPr>
                <w:rFonts w:ascii="宋体" w:hAnsi="宋体" w:eastAsia="仿宋" w:cs="宋体"/>
                <w:sz w:val="24"/>
                <w:highlight w:val="none"/>
              </w:rPr>
            </w:pPr>
            <w:r>
              <w:rPr>
                <w:rFonts w:hint="eastAsia" w:ascii="宋体" w:hAnsi="宋体" w:eastAsia="仿宋" w:cs="宋体"/>
                <w:sz w:val="24"/>
                <w:highlight w:val="none"/>
              </w:rPr>
              <w:t>小微企业佐证</w:t>
            </w:r>
          </w:p>
        </w:tc>
        <w:tc>
          <w:tcPr>
            <w:tcW w:w="4991" w:type="dxa"/>
            <w:gridSpan w:val="2"/>
            <w:noWrap/>
          </w:tcPr>
          <w:p w14:paraId="46ADDC65">
            <w:pPr>
              <w:spacing w:line="360" w:lineRule="auto"/>
              <w:rPr>
                <w:rFonts w:ascii="宋体" w:hAnsi="宋体" w:eastAsia="仿宋" w:cs="宋体"/>
                <w:sz w:val="24"/>
                <w:highlight w:val="none"/>
              </w:rPr>
            </w:pPr>
            <w:r>
              <w:rPr>
                <w:rFonts w:hint="eastAsia" w:ascii="宋体" w:hAnsi="宋体" w:eastAsia="仿宋" w:cs="宋体"/>
                <w:sz w:val="24"/>
                <w:highlight w:val="none"/>
                <w:u w:val="none"/>
              </w:rPr>
              <w:t>本项目履约过程中，投标人承诺预留小微企业的比例应达到合同总价的【</w:t>
            </w:r>
            <w:r>
              <w:rPr>
                <w:rFonts w:ascii="宋体" w:hAnsi="宋体" w:eastAsia="仿宋" w:cs="宋体"/>
                <w:sz w:val="24"/>
                <w:highlight w:val="none"/>
                <w:u w:val="none"/>
              </w:rPr>
              <w:t>100</w:t>
            </w:r>
            <w:r>
              <w:rPr>
                <w:rFonts w:hint="eastAsia" w:ascii="宋体" w:hAnsi="宋体" w:eastAsia="仿宋" w:cs="宋体"/>
                <w:sz w:val="24"/>
                <w:highlight w:val="none"/>
                <w:u w:val="none"/>
              </w:rPr>
              <w:t>】</w:t>
            </w:r>
            <w:r>
              <w:rPr>
                <w:rFonts w:ascii="宋体" w:hAnsi="宋体" w:eastAsia="仿宋" w:cs="宋体"/>
                <w:sz w:val="24"/>
                <w:highlight w:val="none"/>
                <w:u w:val="none"/>
              </w:rPr>
              <w:t>%</w:t>
            </w:r>
            <w:r>
              <w:rPr>
                <w:rFonts w:hint="eastAsia" w:ascii="宋体" w:hAnsi="宋体" w:eastAsia="仿宋" w:cs="宋体"/>
                <w:sz w:val="24"/>
                <w:highlight w:val="none"/>
                <w:u w:val="none"/>
              </w:rPr>
              <w:t>，若未达到此要求，采购人有权没收全部履约保证金，报送相关采购监管部门，提前列入失信行为记录名单，追究相关责任，且投标人应向采购人支付合同总价</w:t>
            </w:r>
            <w:r>
              <w:rPr>
                <w:rFonts w:ascii="宋体" w:hAnsi="宋体" w:eastAsia="仿宋" w:cs="宋体"/>
                <w:sz w:val="24"/>
                <w:highlight w:val="none"/>
                <w:u w:val="none"/>
              </w:rPr>
              <w:t>30%</w:t>
            </w:r>
            <w:r>
              <w:rPr>
                <w:rFonts w:hint="eastAsia" w:ascii="宋体" w:hAnsi="宋体" w:eastAsia="仿宋" w:cs="宋体"/>
                <w:sz w:val="24"/>
                <w:highlight w:val="none"/>
                <w:u w:val="none"/>
              </w:rPr>
              <w:t>的违约金。</w:t>
            </w:r>
          </w:p>
        </w:tc>
        <w:tc>
          <w:tcPr>
            <w:tcW w:w="1111" w:type="dxa"/>
            <w:noWrap/>
          </w:tcPr>
          <w:p w14:paraId="48CDD919">
            <w:pPr>
              <w:spacing w:line="360" w:lineRule="auto"/>
              <w:rPr>
                <w:rFonts w:ascii="宋体" w:hAnsi="宋体" w:eastAsia="仿宋" w:cs="宋体"/>
                <w:sz w:val="24"/>
                <w:highlight w:val="none"/>
              </w:rPr>
            </w:pPr>
          </w:p>
        </w:tc>
        <w:tc>
          <w:tcPr>
            <w:tcW w:w="882" w:type="dxa"/>
            <w:noWrap/>
          </w:tcPr>
          <w:p w14:paraId="616AAA39">
            <w:pPr>
              <w:spacing w:line="360" w:lineRule="auto"/>
              <w:rPr>
                <w:rFonts w:ascii="宋体" w:hAnsi="宋体" w:eastAsia="仿宋" w:cs="宋体"/>
                <w:sz w:val="24"/>
                <w:highlight w:val="none"/>
              </w:rPr>
            </w:pPr>
          </w:p>
        </w:tc>
      </w:tr>
      <w:tr w14:paraId="32EA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6885FD22">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13</w:t>
            </w:r>
          </w:p>
        </w:tc>
        <w:tc>
          <w:tcPr>
            <w:tcW w:w="1417" w:type="dxa"/>
            <w:noWrap/>
            <w:vAlign w:val="center"/>
          </w:tcPr>
          <w:p w14:paraId="1AE5EC58">
            <w:pPr>
              <w:spacing w:line="360" w:lineRule="auto"/>
              <w:rPr>
                <w:rFonts w:ascii="宋体" w:hAnsi="宋体" w:eastAsia="仿宋" w:cs="宋体"/>
                <w:snapToGrid w:val="0"/>
                <w:kern w:val="28"/>
                <w:sz w:val="24"/>
                <w:highlight w:val="none"/>
              </w:rPr>
            </w:pPr>
            <w:r>
              <w:rPr>
                <w:rFonts w:hint="eastAsia" w:ascii="宋体" w:hAnsi="宋体" w:eastAsia="仿宋" w:cs="宋体"/>
                <w:snapToGrid w:val="0"/>
                <w:kern w:val="28"/>
                <w:sz w:val="24"/>
                <w:highlight w:val="none"/>
              </w:rPr>
              <w:t>其他服务</w:t>
            </w:r>
          </w:p>
        </w:tc>
        <w:tc>
          <w:tcPr>
            <w:tcW w:w="4991" w:type="dxa"/>
            <w:gridSpan w:val="2"/>
            <w:noWrap/>
            <w:vAlign w:val="center"/>
          </w:tcPr>
          <w:p w14:paraId="09E38F7A">
            <w:pPr>
              <w:spacing w:line="360" w:lineRule="auto"/>
              <w:rPr>
                <w:rFonts w:ascii="宋体" w:hAnsi="宋体" w:eastAsia="仿宋" w:cs="宋体"/>
                <w:snapToGrid w:val="0"/>
                <w:kern w:val="28"/>
                <w:sz w:val="24"/>
                <w:highlight w:val="none"/>
                <w:lang w:val="zh-CN"/>
              </w:rPr>
            </w:pPr>
            <w:r>
              <w:rPr>
                <w:rFonts w:hint="eastAsia" w:ascii="宋体" w:hAnsi="宋体" w:eastAsia="仿宋" w:cs="宋体"/>
                <w:snapToGrid w:val="0"/>
                <w:kern w:val="28"/>
                <w:sz w:val="24"/>
                <w:highlight w:val="none"/>
                <w:lang w:val="zh-CN"/>
              </w:rPr>
              <w:t>存在其他未按采购需求提供服务情况的，</w:t>
            </w:r>
            <w:r>
              <w:rPr>
                <w:rFonts w:hint="eastAsia" w:ascii="宋体" w:hAnsi="宋体" w:eastAsia="仿宋" w:cs="宋体"/>
                <w:snapToGrid w:val="0"/>
                <w:kern w:val="28"/>
                <w:sz w:val="24"/>
                <w:highlight w:val="none"/>
              </w:rPr>
              <w:t>每出现一次扣2分。</w:t>
            </w:r>
          </w:p>
        </w:tc>
        <w:tc>
          <w:tcPr>
            <w:tcW w:w="1111" w:type="dxa"/>
            <w:noWrap/>
          </w:tcPr>
          <w:p w14:paraId="28F98630">
            <w:pPr>
              <w:spacing w:line="360" w:lineRule="auto"/>
              <w:rPr>
                <w:rFonts w:ascii="宋体" w:hAnsi="宋体" w:eastAsia="仿宋" w:cs="宋体"/>
                <w:sz w:val="24"/>
                <w:highlight w:val="none"/>
              </w:rPr>
            </w:pPr>
          </w:p>
        </w:tc>
        <w:tc>
          <w:tcPr>
            <w:tcW w:w="882" w:type="dxa"/>
            <w:noWrap/>
          </w:tcPr>
          <w:p w14:paraId="7EB51ED3">
            <w:pPr>
              <w:spacing w:line="360" w:lineRule="auto"/>
              <w:rPr>
                <w:rFonts w:ascii="宋体" w:hAnsi="宋体" w:eastAsia="仿宋" w:cs="宋体"/>
                <w:sz w:val="24"/>
                <w:highlight w:val="none"/>
              </w:rPr>
            </w:pPr>
          </w:p>
        </w:tc>
      </w:tr>
      <w:tr w14:paraId="7370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6"/>
            <w:noWrap/>
            <w:vAlign w:val="center"/>
          </w:tcPr>
          <w:p w14:paraId="7F39D961">
            <w:pPr>
              <w:spacing w:line="360" w:lineRule="auto"/>
              <w:rPr>
                <w:rFonts w:ascii="宋体" w:hAnsi="宋体" w:eastAsia="仿宋" w:cs="宋体"/>
                <w:sz w:val="24"/>
                <w:highlight w:val="none"/>
              </w:rPr>
            </w:pPr>
            <w:r>
              <w:rPr>
                <w:rFonts w:hint="eastAsia" w:ascii="宋体" w:hAnsi="宋体" w:eastAsia="仿宋" w:cs="宋体"/>
                <w:snapToGrid w:val="0"/>
                <w:kern w:val="28"/>
                <w:sz w:val="24"/>
                <w:highlight w:val="none"/>
              </w:rPr>
              <w:t>当月考核得分小计：</w:t>
            </w:r>
          </w:p>
        </w:tc>
      </w:tr>
      <w:tr w14:paraId="1506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6"/>
            <w:noWrap/>
            <w:vAlign w:val="center"/>
          </w:tcPr>
          <w:p w14:paraId="2DE08CAE">
            <w:pPr>
              <w:snapToGrid w:val="0"/>
              <w:spacing w:line="360" w:lineRule="auto"/>
              <w:jc w:val="left"/>
              <w:rPr>
                <w:rFonts w:ascii="宋体" w:hAnsi="宋体" w:eastAsia="仿宋" w:cs="宋体"/>
                <w:b/>
                <w:bCs/>
                <w:snapToGrid w:val="0"/>
                <w:kern w:val="28"/>
                <w:sz w:val="24"/>
                <w:highlight w:val="none"/>
                <w:lang w:val="zh-CN"/>
              </w:rPr>
            </w:pPr>
            <w:r>
              <w:rPr>
                <w:rFonts w:hint="eastAsia" w:ascii="宋体" w:hAnsi="宋体" w:eastAsia="仿宋" w:cs="宋体"/>
                <w:b/>
                <w:bCs/>
                <w:snapToGrid w:val="0"/>
                <w:kern w:val="28"/>
                <w:sz w:val="24"/>
                <w:highlight w:val="none"/>
                <w:lang w:val="zh-CN"/>
              </w:rPr>
              <w:t xml:space="preserve">投标人签字（盖章）：                        监理单位签字（盖章）：          </w:t>
            </w:r>
          </w:p>
          <w:p w14:paraId="246C8F73">
            <w:pPr>
              <w:autoSpaceDE w:val="0"/>
              <w:autoSpaceDN w:val="0"/>
              <w:spacing w:line="360" w:lineRule="auto"/>
              <w:rPr>
                <w:rFonts w:ascii="宋体" w:hAnsi="宋体" w:eastAsia="仿宋" w:cs="宋体"/>
                <w:snapToGrid w:val="0"/>
                <w:sz w:val="24"/>
                <w:highlight w:val="none"/>
              </w:rPr>
            </w:pPr>
          </w:p>
          <w:p w14:paraId="2F653D39">
            <w:pPr>
              <w:spacing w:line="360" w:lineRule="auto"/>
              <w:rPr>
                <w:rFonts w:ascii="宋体" w:hAnsi="宋体" w:eastAsia="仿宋" w:cs="宋体"/>
                <w:sz w:val="24"/>
                <w:highlight w:val="none"/>
              </w:rPr>
            </w:pPr>
            <w:r>
              <w:rPr>
                <w:rFonts w:hint="eastAsia" w:ascii="宋体" w:hAnsi="宋体" w:eastAsia="仿宋" w:cs="宋体"/>
                <w:b/>
                <w:bCs/>
                <w:snapToGrid w:val="0"/>
                <w:kern w:val="28"/>
                <w:sz w:val="24"/>
                <w:highlight w:val="none"/>
                <w:lang w:val="zh-CN"/>
              </w:rPr>
              <w:t>采购人经办人、 审核人签字（盖章）：</w:t>
            </w:r>
          </w:p>
        </w:tc>
      </w:tr>
    </w:tbl>
    <w:p w14:paraId="4D3EA70A">
      <w:pPr>
        <w:adjustRightInd/>
        <w:snapToGrid w:val="0"/>
        <w:spacing w:line="360" w:lineRule="auto"/>
        <w:jc w:val="left"/>
        <w:rPr>
          <w:rFonts w:ascii="宋体" w:hAnsi="宋体" w:eastAsia="仿宋" w:cs="宋体"/>
          <w:b/>
          <w:sz w:val="24"/>
          <w:highlight w:val="none"/>
        </w:rPr>
      </w:pPr>
    </w:p>
    <w:p w14:paraId="159A7877">
      <w:pPr>
        <w:adjustRightInd/>
        <w:spacing w:before="120" w:beforeLines="50" w:line="360" w:lineRule="auto"/>
        <w:jc w:val="left"/>
        <w:rPr>
          <w:rFonts w:ascii="仿宋" w:hAnsi="仿宋" w:eastAsia="仿宋" w:cs="仿宋"/>
          <w:b/>
          <w:bCs/>
          <w:sz w:val="24"/>
          <w:highlight w:val="none"/>
        </w:rPr>
      </w:pPr>
      <w:r>
        <w:rPr>
          <w:rFonts w:hint="eastAsia" w:ascii="仿宋" w:hAnsi="仿宋" w:eastAsia="仿宋" w:cs="仿宋"/>
          <w:b/>
          <w:bCs/>
          <w:sz w:val="24"/>
          <w:highlight w:val="none"/>
          <w:lang w:val="zh-CN"/>
        </w:rPr>
        <w:t>（八）</w:t>
      </w:r>
      <w:bookmarkEnd w:id="39"/>
      <w:r>
        <w:rPr>
          <w:rFonts w:hint="eastAsia" w:ascii="仿宋" w:hAnsi="仿宋" w:eastAsia="仿宋" w:cs="仿宋"/>
          <w:b/>
          <w:bCs/>
          <w:sz w:val="24"/>
          <w:highlight w:val="none"/>
        </w:rPr>
        <w:t>履约验收方案</w:t>
      </w:r>
    </w:p>
    <w:p w14:paraId="4394F737">
      <w:pPr>
        <w:adjustRightInd/>
        <w:spacing w:line="360" w:lineRule="auto"/>
        <w:jc w:val="left"/>
        <w:rPr>
          <w:rFonts w:ascii="宋体" w:hAnsi="宋体" w:eastAsia="仿宋" w:cs="宋体"/>
          <w:b/>
          <w:sz w:val="24"/>
          <w:highlight w:val="none"/>
        </w:rPr>
      </w:pPr>
      <w:r>
        <w:rPr>
          <w:rFonts w:hint="eastAsia" w:ascii="宋体" w:hAnsi="宋体" w:eastAsia="仿宋" w:cs="宋体"/>
          <w:b/>
          <w:sz w:val="24"/>
          <w:highlight w:val="none"/>
        </w:rPr>
        <w:t>一）履约验收主体</w:t>
      </w:r>
    </w:p>
    <w:p w14:paraId="1C657440">
      <w:pPr>
        <w:adjustRightInd/>
        <w:spacing w:line="360" w:lineRule="auto"/>
        <w:ind w:left="420" w:leftChars="200"/>
        <w:jc w:val="left"/>
        <w:rPr>
          <w:rFonts w:ascii="宋体" w:hAnsi="宋体" w:eastAsia="仿宋" w:cs="宋体"/>
          <w:sz w:val="24"/>
          <w:highlight w:val="none"/>
          <w:u w:val="single"/>
        </w:rPr>
      </w:pPr>
      <w:r>
        <w:rPr>
          <w:rFonts w:hint="eastAsia" w:ascii="宋体" w:hAnsi="宋体" w:eastAsia="仿宋" w:cs="宋体"/>
          <w:b/>
          <w:sz w:val="24"/>
          <w:highlight w:val="none"/>
        </w:rPr>
        <w:t>1.采购单位：</w:t>
      </w:r>
      <w:r>
        <w:rPr>
          <w:rFonts w:hint="eastAsia" w:ascii="宋体" w:hAnsi="宋体" w:eastAsia="仿宋" w:cs="宋体"/>
          <w:sz w:val="24"/>
          <w:highlight w:val="none"/>
          <w:u w:val="single"/>
        </w:rPr>
        <w:t>杭州市公安局交通警察支队</w:t>
      </w:r>
    </w:p>
    <w:p w14:paraId="61A615AB">
      <w:pPr>
        <w:adjustRightInd/>
        <w:spacing w:line="360" w:lineRule="auto"/>
        <w:ind w:left="420" w:leftChars="200"/>
        <w:jc w:val="left"/>
        <w:rPr>
          <w:rFonts w:ascii="宋体" w:hAnsi="宋体" w:eastAsia="仿宋" w:cs="宋体"/>
          <w:sz w:val="24"/>
          <w:highlight w:val="none"/>
          <w:u w:val="single"/>
        </w:rPr>
      </w:pPr>
      <w:r>
        <w:rPr>
          <w:rFonts w:hint="eastAsia" w:ascii="宋体" w:hAnsi="宋体" w:eastAsia="仿宋" w:cs="宋体"/>
          <w:b/>
          <w:sz w:val="24"/>
          <w:highlight w:val="none"/>
        </w:rPr>
        <w:t>2.是否选择代理机构：</w:t>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是</w:t>
      </w:r>
      <w:r>
        <w:rPr>
          <w:rFonts w:hint="eastAsia" w:ascii="宋体" w:hAnsi="宋体" w:eastAsia="仿宋" w:cs="宋体"/>
          <w:sz w:val="24"/>
          <w:highlight w:val="none"/>
        </w:rPr>
        <w:tab/>
      </w:r>
      <w:r>
        <w:rPr>
          <w:rFonts w:ascii="宋体" w:hAnsi="宋体" w:eastAsia="仿宋" w:cs="宋体"/>
          <w:sz w:val="24"/>
          <w:highlight w:val="none"/>
        </w:rPr>
        <w:sym w:font="Wingdings 2" w:char="00A3"/>
      </w:r>
      <w:r>
        <w:rPr>
          <w:rFonts w:hint="eastAsia" w:ascii="宋体" w:hAnsi="宋体" w:eastAsia="仿宋" w:cs="宋体"/>
          <w:sz w:val="24"/>
          <w:highlight w:val="none"/>
        </w:rPr>
        <w:t>否</w:t>
      </w:r>
    </w:p>
    <w:p w14:paraId="681B3BB4">
      <w:pPr>
        <w:adjustRightInd/>
        <w:spacing w:line="360" w:lineRule="auto"/>
        <w:ind w:left="420" w:leftChars="200"/>
        <w:jc w:val="left"/>
        <w:rPr>
          <w:rFonts w:ascii="宋体" w:hAnsi="宋体" w:eastAsia="仿宋" w:cs="宋体"/>
          <w:sz w:val="24"/>
          <w:highlight w:val="none"/>
          <w:u w:val="single"/>
        </w:rPr>
      </w:pPr>
      <w:r>
        <w:rPr>
          <w:rFonts w:hint="eastAsia" w:ascii="宋体" w:hAnsi="宋体" w:eastAsia="仿宋" w:cs="宋体"/>
          <w:b/>
          <w:sz w:val="24"/>
          <w:highlight w:val="none"/>
        </w:rPr>
        <w:t>3.是否邀请本项目的其他供应商：</w:t>
      </w:r>
      <w:r>
        <w:rPr>
          <w:rFonts w:hint="eastAsia" w:ascii="宋体" w:hAnsi="宋体" w:eastAsia="仿宋" w:cs="宋体"/>
          <w:sz w:val="24"/>
          <w:highlight w:val="none"/>
        </w:rPr>
        <w:tab/>
      </w:r>
      <w:r>
        <w:rPr>
          <w:rFonts w:ascii="宋体" w:hAnsi="宋体" w:eastAsia="仿宋" w:cs="宋体"/>
          <w:sz w:val="24"/>
          <w:highlight w:val="none"/>
        </w:rPr>
        <w:sym w:font="Wingdings 2" w:char="00A3"/>
      </w:r>
      <w:r>
        <w:rPr>
          <w:rFonts w:hint="eastAsia" w:ascii="宋体" w:hAnsi="宋体" w:eastAsia="仿宋" w:cs="宋体"/>
          <w:sz w:val="24"/>
          <w:highlight w:val="none"/>
        </w:rPr>
        <w:t>是</w:t>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否</w:t>
      </w:r>
    </w:p>
    <w:p w14:paraId="5323867F">
      <w:pPr>
        <w:adjustRightInd/>
        <w:spacing w:line="360" w:lineRule="auto"/>
        <w:ind w:left="420" w:leftChars="200"/>
        <w:jc w:val="left"/>
        <w:rPr>
          <w:rFonts w:ascii="宋体" w:hAnsi="宋体" w:eastAsia="仿宋" w:cs="宋体"/>
          <w:sz w:val="24"/>
          <w:highlight w:val="none"/>
        </w:rPr>
      </w:pPr>
      <w:r>
        <w:rPr>
          <w:rFonts w:hint="eastAsia" w:ascii="宋体" w:hAnsi="宋体" w:eastAsia="仿宋" w:cs="宋体"/>
          <w:b/>
          <w:sz w:val="24"/>
          <w:highlight w:val="none"/>
        </w:rPr>
        <w:t>4.是否邀请专家：</w:t>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是</w:t>
      </w:r>
      <w:r>
        <w:rPr>
          <w:rFonts w:hint="eastAsia" w:ascii="宋体" w:hAnsi="宋体" w:eastAsia="仿宋" w:cs="宋体"/>
          <w:sz w:val="24"/>
          <w:highlight w:val="none"/>
        </w:rPr>
        <w:tab/>
      </w:r>
      <w:r>
        <w:rPr>
          <w:rFonts w:ascii="宋体" w:hAnsi="宋体" w:eastAsia="仿宋" w:cs="宋体"/>
          <w:sz w:val="24"/>
          <w:highlight w:val="none"/>
        </w:rPr>
        <w:sym w:font="Wingdings 2" w:char="00A3"/>
      </w:r>
      <w:r>
        <w:rPr>
          <w:rFonts w:hint="eastAsia" w:ascii="宋体" w:hAnsi="宋体" w:eastAsia="仿宋" w:cs="宋体"/>
          <w:sz w:val="24"/>
          <w:highlight w:val="none"/>
        </w:rPr>
        <w:t>否</w:t>
      </w:r>
    </w:p>
    <w:p w14:paraId="35ABEF2B">
      <w:pPr>
        <w:adjustRightInd/>
        <w:spacing w:line="360" w:lineRule="auto"/>
        <w:ind w:left="420" w:leftChars="200"/>
        <w:jc w:val="left"/>
        <w:rPr>
          <w:rFonts w:ascii="宋体" w:hAnsi="宋体" w:eastAsia="仿宋" w:cs="宋体"/>
          <w:sz w:val="24"/>
          <w:highlight w:val="none"/>
        </w:rPr>
      </w:pPr>
      <w:r>
        <w:rPr>
          <w:rFonts w:hint="eastAsia" w:ascii="宋体" w:hAnsi="宋体" w:eastAsia="仿宋" w:cs="宋体"/>
          <w:b/>
          <w:sz w:val="24"/>
          <w:highlight w:val="none"/>
        </w:rPr>
        <w:t>5.是否邀请服务对象：</w:t>
      </w:r>
      <w:r>
        <w:rPr>
          <w:rFonts w:ascii="宋体" w:hAnsi="宋体" w:eastAsia="仿宋" w:cs="宋体"/>
          <w:sz w:val="24"/>
          <w:highlight w:val="none"/>
        </w:rPr>
        <w:sym w:font="Wingdings 2" w:char="00A3"/>
      </w:r>
      <w:r>
        <w:rPr>
          <w:rFonts w:hint="eastAsia" w:ascii="宋体" w:hAnsi="宋体" w:eastAsia="仿宋" w:cs="宋体"/>
          <w:sz w:val="24"/>
          <w:highlight w:val="none"/>
        </w:rPr>
        <w:t>是</w:t>
      </w:r>
      <w:r>
        <w:rPr>
          <w:rFonts w:hint="eastAsia" w:ascii="宋体" w:hAnsi="宋体" w:eastAsia="仿宋" w:cs="宋体"/>
          <w:sz w:val="24"/>
          <w:highlight w:val="none"/>
        </w:rPr>
        <w:tab/>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否</w:t>
      </w:r>
    </w:p>
    <w:p w14:paraId="3B48D9C1">
      <w:pPr>
        <w:widowControl/>
        <w:adjustRightInd/>
        <w:spacing w:line="360" w:lineRule="auto"/>
        <w:ind w:firstLine="424" w:firstLineChars="176"/>
        <w:rPr>
          <w:rFonts w:ascii="宋体" w:hAnsi="宋体" w:eastAsia="仿宋" w:cs="宋体"/>
          <w:sz w:val="24"/>
          <w:highlight w:val="none"/>
          <w:u w:val="single"/>
        </w:rPr>
      </w:pPr>
      <w:r>
        <w:rPr>
          <w:rFonts w:hint="eastAsia" w:ascii="宋体" w:hAnsi="宋体" w:eastAsia="仿宋" w:cs="宋体"/>
          <w:b/>
          <w:sz w:val="24"/>
          <w:highlight w:val="none"/>
        </w:rPr>
        <w:t>6.其他：</w:t>
      </w:r>
      <w:r>
        <w:rPr>
          <w:rFonts w:hint="eastAsia" w:ascii="宋体" w:hAnsi="宋体" w:eastAsia="仿宋" w:cs="宋体"/>
          <w:sz w:val="24"/>
          <w:highlight w:val="none"/>
          <w:u w:val="single"/>
        </w:rPr>
        <w:t>无</w:t>
      </w:r>
    </w:p>
    <w:p w14:paraId="70C227A5">
      <w:pPr>
        <w:spacing w:line="360" w:lineRule="auto"/>
        <w:jc w:val="left"/>
        <w:rPr>
          <w:rFonts w:ascii="宋体" w:hAnsi="宋体" w:eastAsia="仿宋" w:cs="宋体"/>
          <w:sz w:val="24"/>
          <w:highlight w:val="none"/>
          <w:u w:val="single"/>
        </w:rPr>
      </w:pPr>
      <w:r>
        <w:rPr>
          <w:rFonts w:hint="eastAsia" w:ascii="宋体" w:hAnsi="宋体" w:eastAsia="仿宋" w:cs="宋体"/>
          <w:b/>
          <w:sz w:val="24"/>
          <w:highlight w:val="none"/>
        </w:rPr>
        <w:t>二）履约验收时间：</w:t>
      </w:r>
      <w:r>
        <w:rPr>
          <w:rFonts w:hint="eastAsia" w:ascii="仿宋" w:hAnsi="仿宋" w:eastAsia="仿宋" w:cs="仿宋"/>
          <w:sz w:val="24"/>
          <w:highlight w:val="none"/>
          <w:u w:val="single"/>
        </w:rPr>
        <w:t>第一次验收2025年11月30日以后，第二次验收 2026年7月31日服务结束后，具体时间以采购人通知为准。</w:t>
      </w:r>
    </w:p>
    <w:p w14:paraId="1192333A">
      <w:pPr>
        <w:adjustRightInd/>
        <w:spacing w:line="360" w:lineRule="auto"/>
        <w:jc w:val="left"/>
        <w:rPr>
          <w:rFonts w:ascii="宋体" w:hAnsi="宋体" w:eastAsia="仿宋" w:cs="宋体"/>
          <w:sz w:val="24"/>
          <w:highlight w:val="none"/>
        </w:rPr>
      </w:pPr>
      <w:r>
        <w:rPr>
          <w:rFonts w:hint="eastAsia" w:ascii="宋体" w:hAnsi="宋体" w:eastAsia="仿宋" w:cs="宋体"/>
          <w:b/>
          <w:sz w:val="24"/>
          <w:highlight w:val="none"/>
        </w:rPr>
        <w:t>三）履约验收方式：</w:t>
      </w:r>
      <w:r>
        <w:rPr>
          <w:rFonts w:hint="eastAsia" w:ascii="宋体" w:hAnsi="宋体" w:eastAsia="仿宋" w:cs="宋体"/>
          <w:sz w:val="24"/>
          <w:highlight w:val="none"/>
        </w:rPr>
        <w:tab/>
      </w:r>
      <w:r>
        <w:rPr>
          <w:rFonts w:ascii="宋体" w:hAnsi="宋体" w:eastAsia="仿宋" w:cs="宋体"/>
          <w:sz w:val="24"/>
          <w:highlight w:val="none"/>
        </w:rPr>
        <w:sym w:font="Wingdings 2" w:char="00A3"/>
      </w:r>
      <w:r>
        <w:rPr>
          <w:rFonts w:hint="eastAsia" w:ascii="宋体" w:hAnsi="宋体" w:eastAsia="仿宋" w:cs="宋体"/>
          <w:sz w:val="24"/>
          <w:highlight w:val="none"/>
        </w:rPr>
        <w:t>简易程序</w:t>
      </w:r>
      <w:r>
        <w:rPr>
          <w:rFonts w:hint="eastAsia" w:ascii="宋体" w:hAnsi="宋体" w:eastAsia="仿宋" w:cs="宋体"/>
          <w:sz w:val="24"/>
          <w:highlight w:val="none"/>
        </w:rPr>
        <w:tab/>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一般程序</w:t>
      </w:r>
    </w:p>
    <w:p w14:paraId="218302AE">
      <w:pPr>
        <w:adjustRightInd/>
        <w:spacing w:line="360" w:lineRule="auto"/>
        <w:jc w:val="left"/>
        <w:rPr>
          <w:rFonts w:ascii="宋体" w:hAnsi="宋体" w:eastAsia="仿宋" w:cs="宋体"/>
          <w:sz w:val="24"/>
          <w:highlight w:val="none"/>
        </w:rPr>
      </w:pPr>
      <w:r>
        <w:rPr>
          <w:rFonts w:hint="eastAsia" w:ascii="宋体" w:hAnsi="宋体" w:eastAsia="仿宋" w:cs="宋体"/>
          <w:b/>
          <w:sz w:val="24"/>
          <w:highlight w:val="none"/>
        </w:rPr>
        <w:t>四）履约验收程序：</w:t>
      </w:r>
      <w:r>
        <w:rPr>
          <w:rFonts w:hint="eastAsia" w:ascii="宋体" w:hAnsi="宋体" w:eastAsia="仿宋" w:cs="宋体"/>
          <w:sz w:val="24"/>
          <w:highlight w:val="none"/>
        </w:rPr>
        <w:t xml:space="preserve"> </w:t>
      </w:r>
      <w:r>
        <w:rPr>
          <w:rFonts w:ascii="宋体" w:hAnsi="宋体" w:eastAsia="仿宋" w:cs="宋体"/>
          <w:sz w:val="24"/>
          <w:highlight w:val="none"/>
        </w:rPr>
        <w:sym w:font="Wingdings 2" w:char="00A3"/>
      </w:r>
      <w:r>
        <w:rPr>
          <w:rFonts w:hint="eastAsia" w:ascii="宋体" w:hAnsi="宋体" w:eastAsia="仿宋" w:cs="宋体"/>
          <w:sz w:val="24"/>
          <w:highlight w:val="none"/>
        </w:rPr>
        <w:t>一次性验收</w:t>
      </w:r>
      <w:r>
        <w:rPr>
          <w:rFonts w:hint="eastAsia" w:ascii="宋体" w:hAnsi="宋体" w:eastAsia="仿宋" w:cs="宋体"/>
          <w:sz w:val="24"/>
          <w:highlight w:val="none"/>
        </w:rPr>
        <w:tab/>
      </w:r>
      <w:r>
        <w:rPr>
          <w:rFonts w:ascii="宋体" w:hAnsi="宋体" w:eastAsia="仿宋" w:cs="宋体"/>
          <w:sz w:val="24"/>
          <w:highlight w:val="none"/>
        </w:rPr>
        <w:sym w:font="Wingdings 2" w:char="00A3"/>
      </w:r>
      <w:r>
        <w:rPr>
          <w:rFonts w:hint="eastAsia" w:ascii="宋体" w:hAnsi="宋体" w:eastAsia="仿宋" w:cs="宋体"/>
          <w:sz w:val="24"/>
          <w:highlight w:val="none"/>
        </w:rPr>
        <w:t>分段验收</w:t>
      </w:r>
      <w:r>
        <w:rPr>
          <w:rFonts w:hint="eastAsia" w:ascii="宋体" w:hAnsi="宋体" w:eastAsia="仿宋" w:cs="宋体"/>
          <w:sz w:val="24"/>
          <w:highlight w:val="none"/>
        </w:rPr>
        <w:tab/>
      </w:r>
      <w:r>
        <w:rPr>
          <w:rFonts w:hint="eastAsia" w:ascii="宋体" w:hAnsi="宋体" w:eastAsia="仿宋" w:cs="宋体"/>
          <w:sz w:val="24"/>
          <w:highlight w:val="none"/>
        </w:rPr>
        <w:tab/>
      </w:r>
      <w:r>
        <w:rPr>
          <w:rFonts w:ascii="宋体" w:hAnsi="宋体" w:eastAsia="仿宋" w:cs="宋体"/>
          <w:sz w:val="24"/>
          <w:highlight w:val="none"/>
        </w:rPr>
        <w:sym w:font="Wingdings 2" w:char="0052"/>
      </w:r>
      <w:r>
        <w:rPr>
          <w:rFonts w:hint="eastAsia" w:ascii="宋体" w:hAnsi="宋体" w:eastAsia="仿宋" w:cs="宋体"/>
          <w:sz w:val="24"/>
          <w:highlight w:val="none"/>
        </w:rPr>
        <w:t>分期验收</w:t>
      </w:r>
    </w:p>
    <w:p w14:paraId="2A70BE9D">
      <w:pPr>
        <w:adjustRightInd/>
        <w:spacing w:line="360" w:lineRule="auto"/>
        <w:jc w:val="left"/>
        <w:rPr>
          <w:rFonts w:ascii="宋体" w:hAnsi="宋体" w:eastAsia="仿宋" w:cs="宋体"/>
          <w:b/>
          <w:sz w:val="24"/>
          <w:highlight w:val="none"/>
        </w:rPr>
      </w:pPr>
      <w:r>
        <w:rPr>
          <w:rFonts w:hint="eastAsia" w:ascii="宋体" w:hAnsi="宋体" w:eastAsia="仿宋" w:cs="宋体"/>
          <w:b/>
          <w:sz w:val="24"/>
          <w:highlight w:val="none"/>
        </w:rPr>
        <w:t>五）履约验收内容</w:t>
      </w:r>
    </w:p>
    <w:p w14:paraId="6096B703">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261C8791">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本项目为信息化项目，根据采购人内控要求规定,信息化项目服务期满后,项目单位应向市公安局科信局提交《信息化建设项目验收表》及验收所需相应材料,由市公安局科信局按照市政府履约验收相关管理办法的程序,结合市局相关内控制度组织开展终验。</w:t>
      </w:r>
    </w:p>
    <w:p w14:paraId="1CE301FE">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严格按照采购合同开展履约验收。采购人委托第三方机构组织验收，成立验收小组（验收小组由5人组成：其中采购人1名，专家4名（第三方机构从乐采云专家库相关专业随机抽取），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6DDE3DA2">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1B97F527">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验收产生的费用首次验收费用由采购人承担，如首次验收不合格，后续验收费用由投标人支付。</w:t>
      </w:r>
    </w:p>
    <w:p w14:paraId="40A5E13A">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验收内容及资料要求：</w:t>
      </w:r>
    </w:p>
    <w:p w14:paraId="118F1999">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根据采购文件确定的技术指标或者服务要求确定验收指标和标准。未进行相应约定的，应当符合国家强制性规定、政策要求、安全标准、行业或企业有关标准等。</w:t>
      </w:r>
    </w:p>
    <w:p w14:paraId="7DA08597">
      <w:pPr>
        <w:adjustRightInd/>
        <w:spacing w:line="360" w:lineRule="auto"/>
        <w:ind w:firstLine="480" w:firstLineChars="200"/>
        <w:rPr>
          <w:rFonts w:ascii="宋体" w:hAnsi="宋体" w:eastAsia="仿宋" w:cs="宋体"/>
          <w:sz w:val="24"/>
          <w:highlight w:val="none"/>
        </w:rPr>
      </w:pPr>
      <w:r>
        <w:rPr>
          <w:rFonts w:hint="eastAsia" w:ascii="宋体" w:hAnsi="宋体" w:eastAsia="仿宋" w:cs="宋体"/>
          <w:sz w:val="24"/>
          <w:highlight w:val="none"/>
        </w:rPr>
        <w:t>1、验收内容</w:t>
      </w:r>
    </w:p>
    <w:tbl>
      <w:tblPr>
        <w:tblStyle w:val="80"/>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76"/>
        <w:gridCol w:w="7089"/>
      </w:tblGrid>
      <w:tr w14:paraId="2770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7FC9221C">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序号</w:t>
            </w:r>
          </w:p>
        </w:tc>
        <w:tc>
          <w:tcPr>
            <w:tcW w:w="1576" w:type="dxa"/>
            <w:tcBorders>
              <w:top w:val="single" w:color="auto" w:sz="4" w:space="0"/>
              <w:left w:val="single" w:color="auto" w:sz="4" w:space="0"/>
              <w:bottom w:val="single" w:color="auto" w:sz="4" w:space="0"/>
              <w:right w:val="single" w:color="auto" w:sz="4" w:space="0"/>
            </w:tcBorders>
            <w:noWrap/>
            <w:vAlign w:val="center"/>
          </w:tcPr>
          <w:p w14:paraId="06647A32">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验收内容</w:t>
            </w:r>
          </w:p>
        </w:tc>
        <w:tc>
          <w:tcPr>
            <w:tcW w:w="7089" w:type="dxa"/>
            <w:tcBorders>
              <w:top w:val="single" w:color="auto" w:sz="4" w:space="0"/>
              <w:left w:val="single" w:color="auto" w:sz="4" w:space="0"/>
              <w:bottom w:val="single" w:color="auto" w:sz="4" w:space="0"/>
              <w:right w:val="single" w:color="auto" w:sz="4" w:space="0"/>
            </w:tcBorders>
            <w:noWrap/>
            <w:vAlign w:val="center"/>
          </w:tcPr>
          <w:p w14:paraId="34F0D321">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验收标准</w:t>
            </w:r>
          </w:p>
        </w:tc>
      </w:tr>
      <w:tr w14:paraId="3C8A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14:paraId="45D5675B">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1</w:t>
            </w:r>
          </w:p>
        </w:tc>
        <w:tc>
          <w:tcPr>
            <w:tcW w:w="1576" w:type="dxa"/>
            <w:vMerge w:val="restart"/>
            <w:tcBorders>
              <w:top w:val="single" w:color="auto" w:sz="4" w:space="0"/>
              <w:left w:val="single" w:color="auto" w:sz="4" w:space="0"/>
              <w:bottom w:val="single" w:color="auto" w:sz="4" w:space="0"/>
              <w:right w:val="single" w:color="auto" w:sz="4" w:space="0"/>
            </w:tcBorders>
            <w:noWrap/>
            <w:vAlign w:val="center"/>
          </w:tcPr>
          <w:p w14:paraId="679AB174">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质量</w:t>
            </w:r>
          </w:p>
        </w:tc>
        <w:tc>
          <w:tcPr>
            <w:tcW w:w="7089" w:type="dxa"/>
            <w:tcBorders>
              <w:top w:val="single" w:color="auto" w:sz="4" w:space="0"/>
              <w:left w:val="single" w:color="auto" w:sz="4" w:space="0"/>
              <w:bottom w:val="single" w:color="auto" w:sz="4" w:space="0"/>
              <w:right w:val="single" w:color="auto" w:sz="4" w:space="0"/>
            </w:tcBorders>
            <w:noWrap/>
            <w:vAlign w:val="center"/>
          </w:tcPr>
          <w:p w14:paraId="289DEBB3">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核对租赁产品品牌、型号、数量等与合同相符，系统设备运行稳定，设备质量符合国家标准，投标人在租赁服务期内安装的任何产品，必须是其租赁产品制造厂商原产的。满足采购人的使用需求，并具有可靠的服务体系，质量可靠、使用安全。</w:t>
            </w:r>
          </w:p>
        </w:tc>
      </w:tr>
      <w:tr w14:paraId="605A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45C25A34">
            <w:pPr>
              <w:rPr>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14:paraId="43B9B25E">
            <w:pPr>
              <w:rPr>
                <w:highlight w:val="none"/>
              </w:rPr>
            </w:pPr>
          </w:p>
        </w:tc>
        <w:tc>
          <w:tcPr>
            <w:tcW w:w="7089" w:type="dxa"/>
            <w:tcBorders>
              <w:top w:val="single" w:color="auto" w:sz="4" w:space="0"/>
              <w:left w:val="single" w:color="auto" w:sz="4" w:space="0"/>
              <w:bottom w:val="single" w:color="auto" w:sz="4" w:space="0"/>
              <w:right w:val="single" w:color="auto" w:sz="4" w:space="0"/>
            </w:tcBorders>
            <w:noWrap/>
            <w:vAlign w:val="center"/>
          </w:tcPr>
          <w:p w14:paraId="785E1400">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投标人保证其提供的租赁产品中所有预装和为本项目安装的软件均为具有合法版权或使用权的正版软件且无质量瑕疵。</w:t>
            </w:r>
          </w:p>
        </w:tc>
      </w:tr>
      <w:tr w14:paraId="0315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32769D4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2</w:t>
            </w:r>
          </w:p>
        </w:tc>
        <w:tc>
          <w:tcPr>
            <w:tcW w:w="1576" w:type="dxa"/>
            <w:tcBorders>
              <w:top w:val="single" w:color="auto" w:sz="4" w:space="0"/>
              <w:left w:val="single" w:color="auto" w:sz="4" w:space="0"/>
              <w:bottom w:val="single" w:color="auto" w:sz="4" w:space="0"/>
              <w:right w:val="single" w:color="auto" w:sz="4" w:space="0"/>
            </w:tcBorders>
            <w:noWrap/>
            <w:vAlign w:val="center"/>
          </w:tcPr>
          <w:p w14:paraId="1F308739">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进度</w:t>
            </w:r>
          </w:p>
        </w:tc>
        <w:tc>
          <w:tcPr>
            <w:tcW w:w="7089" w:type="dxa"/>
            <w:tcBorders>
              <w:top w:val="single" w:color="auto" w:sz="4" w:space="0"/>
              <w:left w:val="single" w:color="auto" w:sz="4" w:space="0"/>
              <w:bottom w:val="single" w:color="auto" w:sz="4" w:space="0"/>
              <w:right w:val="single" w:color="auto" w:sz="4" w:space="0"/>
            </w:tcBorders>
            <w:noWrap/>
            <w:vAlign w:val="center"/>
          </w:tcPr>
          <w:p w14:paraId="45D447E5">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项目按合同要求服务时间、故障响应的时间等按响应文件落实到位。</w:t>
            </w:r>
          </w:p>
        </w:tc>
      </w:tr>
      <w:tr w14:paraId="2822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1B777A34">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3</w:t>
            </w:r>
          </w:p>
        </w:tc>
        <w:tc>
          <w:tcPr>
            <w:tcW w:w="1576" w:type="dxa"/>
            <w:tcBorders>
              <w:top w:val="single" w:color="auto" w:sz="4" w:space="0"/>
              <w:left w:val="single" w:color="auto" w:sz="4" w:space="0"/>
              <w:bottom w:val="single" w:color="auto" w:sz="4" w:space="0"/>
              <w:right w:val="single" w:color="auto" w:sz="4" w:space="0"/>
            </w:tcBorders>
            <w:noWrap/>
            <w:vAlign w:val="center"/>
          </w:tcPr>
          <w:p w14:paraId="45109A9C">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保密</w:t>
            </w:r>
          </w:p>
        </w:tc>
        <w:tc>
          <w:tcPr>
            <w:tcW w:w="7089" w:type="dxa"/>
            <w:tcBorders>
              <w:top w:val="single" w:color="auto" w:sz="4" w:space="0"/>
              <w:left w:val="single" w:color="auto" w:sz="4" w:space="0"/>
              <w:bottom w:val="single" w:color="auto" w:sz="4" w:space="0"/>
              <w:right w:val="single" w:color="auto" w:sz="4" w:space="0"/>
            </w:tcBorders>
            <w:noWrap/>
            <w:vAlign w:val="center"/>
          </w:tcPr>
          <w:p w14:paraId="4A0AEB3F">
            <w:pPr>
              <w:snapToGrid w:val="0"/>
              <w:spacing w:line="360" w:lineRule="auto"/>
              <w:rPr>
                <w:rFonts w:ascii="宋体" w:hAnsi="宋体" w:eastAsia="仿宋" w:cs="宋体"/>
                <w:bCs/>
                <w:sz w:val="24"/>
                <w:highlight w:val="none"/>
              </w:rPr>
            </w:pPr>
            <w:r>
              <w:rPr>
                <w:rFonts w:hint="eastAsia" w:ascii="仿宋" w:hAnsi="仿宋" w:eastAsia="仿宋" w:cs="仿宋"/>
                <w:sz w:val="24"/>
                <w:highlight w:val="none"/>
              </w:rPr>
              <w:t>满足采购人的保密规定实施，签订单位保密协议。按要求签订安全保密承诺书，履行具体安全管理内容、安全保密义务和责任。投标人及工作人员无违反安全管理要求的情况，未出现各类涉及业务的资料等外流泄密的情况。</w:t>
            </w:r>
          </w:p>
        </w:tc>
      </w:tr>
      <w:tr w14:paraId="6926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9BD809D">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4</w:t>
            </w:r>
          </w:p>
        </w:tc>
        <w:tc>
          <w:tcPr>
            <w:tcW w:w="1576" w:type="dxa"/>
            <w:tcBorders>
              <w:top w:val="single" w:color="auto" w:sz="4" w:space="0"/>
              <w:left w:val="single" w:color="auto" w:sz="4" w:space="0"/>
              <w:bottom w:val="single" w:color="auto" w:sz="4" w:space="0"/>
              <w:right w:val="single" w:color="auto" w:sz="4" w:space="0"/>
            </w:tcBorders>
            <w:noWrap/>
            <w:vAlign w:val="center"/>
          </w:tcPr>
          <w:p w14:paraId="5A30658F">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安全</w:t>
            </w:r>
          </w:p>
        </w:tc>
        <w:tc>
          <w:tcPr>
            <w:tcW w:w="7089" w:type="dxa"/>
            <w:tcBorders>
              <w:top w:val="single" w:color="auto" w:sz="4" w:space="0"/>
              <w:left w:val="single" w:color="auto" w:sz="4" w:space="0"/>
              <w:bottom w:val="single" w:color="auto" w:sz="4" w:space="0"/>
              <w:right w:val="single" w:color="auto" w:sz="4" w:space="0"/>
            </w:tcBorders>
            <w:noWrap/>
            <w:vAlign w:val="center"/>
          </w:tcPr>
          <w:p w14:paraId="28CF72F5">
            <w:pPr>
              <w:spacing w:line="360" w:lineRule="auto"/>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本项目需在服务期结束前通过第三方检测（软件部分）及网络安全等级保护三级；根据商用密码应用安全管理要求，在服务期结束后完成商用密码应用测评和信创测评，投标人需做好相关检测和测评的配合工作，如因投标人原因符合要求的，需负责整改到位。</w:t>
            </w:r>
          </w:p>
          <w:p w14:paraId="5C26B4AD">
            <w:pPr>
              <w:snapToGrid/>
              <w:spacing w:line="360" w:lineRule="auto"/>
              <w:ind w:firstLine="480" w:firstLineChars="200"/>
              <w:jc w:val="left"/>
              <w:rPr>
                <w:rFonts w:ascii="仿宋" w:hAnsi="仿宋" w:eastAsia="仿宋" w:cs="仿宋"/>
                <w:sz w:val="24"/>
                <w:highlight w:val="none"/>
              </w:rPr>
            </w:pPr>
            <w:r>
              <w:rPr>
                <w:rFonts w:hint="eastAsia" w:ascii="宋体" w:hAnsi="宋体" w:eastAsia="仿宋" w:cs="宋体"/>
                <w:sz w:val="24"/>
                <w:highlight w:val="none"/>
              </w:rPr>
              <w:t>对于本项目中的超融合应用服务一体机、大数据平台、视频服务网关、集成指挥平台升级服务一体机、负载均衡器1、负载均衡器2、融合调度网关一体机、数据处理一体机、数据库备份一体机、违法举报、道路交通信号“一见拍”系统，需根据信创要求，完成信创测评，如因投标人原因未符合要求的，需负责整改到位。</w:t>
            </w:r>
          </w:p>
        </w:tc>
      </w:tr>
      <w:tr w14:paraId="7940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1D0E6BD">
            <w:pPr>
              <w:widowControl/>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5</w:t>
            </w:r>
          </w:p>
        </w:tc>
        <w:tc>
          <w:tcPr>
            <w:tcW w:w="1576" w:type="dxa"/>
            <w:tcBorders>
              <w:top w:val="single" w:color="auto" w:sz="4" w:space="0"/>
              <w:left w:val="single" w:color="auto" w:sz="4" w:space="0"/>
              <w:bottom w:val="single" w:color="auto" w:sz="4" w:space="0"/>
              <w:right w:val="single" w:color="auto" w:sz="4" w:space="0"/>
            </w:tcBorders>
            <w:noWrap/>
            <w:vAlign w:val="center"/>
          </w:tcPr>
          <w:p w14:paraId="3A821D09">
            <w:pPr>
              <w:widowControl/>
              <w:spacing w:line="360" w:lineRule="auto"/>
              <w:jc w:val="left"/>
              <w:rPr>
                <w:rFonts w:ascii="宋体" w:hAnsi="宋体" w:eastAsia="仿宋" w:cs="宋体"/>
                <w:bCs/>
                <w:sz w:val="24"/>
                <w:highlight w:val="none"/>
              </w:rPr>
            </w:pPr>
            <w:r>
              <w:rPr>
                <w:rFonts w:hint="eastAsia" w:ascii="宋体" w:hAnsi="宋体" w:eastAsia="仿宋" w:cs="宋体"/>
                <w:bCs/>
                <w:kern w:val="0"/>
                <w:sz w:val="24"/>
                <w:highlight w:val="none"/>
              </w:rPr>
              <w:t>网络安全与责任管理</w:t>
            </w:r>
          </w:p>
        </w:tc>
        <w:tc>
          <w:tcPr>
            <w:tcW w:w="7089" w:type="dxa"/>
            <w:tcBorders>
              <w:top w:val="single" w:color="auto" w:sz="4" w:space="0"/>
              <w:left w:val="single" w:color="auto" w:sz="4" w:space="0"/>
              <w:bottom w:val="single" w:color="auto" w:sz="4" w:space="0"/>
              <w:right w:val="single" w:color="auto" w:sz="4" w:space="0"/>
            </w:tcBorders>
            <w:noWrap/>
            <w:vAlign w:val="center"/>
          </w:tcPr>
          <w:p w14:paraId="69673B00">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（1）明确投标人法定代表人为合作事项网络安全第一责任人，具体承担合作事项的部门主要负责人为直接责任人。</w:t>
            </w:r>
          </w:p>
          <w:p w14:paraId="7F8F98CC">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（2）不得转包合同任务，未经采购人书面同意不得分包合同任务。</w:t>
            </w:r>
          </w:p>
          <w:p w14:paraId="41839A54">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（3）投标人应制订与合作事项相关的网络安全保障方案和网络安全事件应急预案。</w:t>
            </w:r>
          </w:p>
          <w:p w14:paraId="41A53291">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（4）投标人发现网络安全漏洞、缺陷或者其他严重网络安全风险，应及时向采购人报告。</w:t>
            </w:r>
          </w:p>
          <w:p w14:paraId="46784A55">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（5）处理合作事项的信息平台应当优先采用符合安全可靠测评要求的硬件和软件产品。</w:t>
            </w:r>
          </w:p>
          <w:p w14:paraId="315F20A1">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（6）发生可能影响合作事项的网络安全重大事项，包括负责人及重要工作人员变更、业务转型、合并重组和投资并购等，投标人应提前向采购人报告。</w:t>
            </w:r>
          </w:p>
          <w:p w14:paraId="259F5A65">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5D089E8E">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（8）投标人应于2026年8月1日之前向采购人提交网络安全报告。</w:t>
            </w:r>
          </w:p>
          <w:p w14:paraId="033248AE">
            <w:pPr>
              <w:adjustRightInd/>
              <w:spacing w:line="360" w:lineRule="auto"/>
              <w:ind w:left="0" w:leftChars="0" w:firstLine="480" w:firstLineChars="200"/>
              <w:jc w:val="left"/>
              <w:rPr>
                <w:rFonts w:ascii="宋体" w:hAnsi="宋体" w:eastAsia="仿宋" w:cs="宋体"/>
                <w:kern w:val="0"/>
                <w:sz w:val="24"/>
                <w:highlight w:val="none"/>
              </w:rPr>
            </w:pPr>
            <w:r>
              <w:rPr>
                <w:rFonts w:hint="eastAsia" w:ascii="仿宋" w:hAnsi="仿宋" w:eastAsia="仿宋" w:cs="仿宋"/>
                <w:bCs/>
                <w:sz w:val="24"/>
                <w:highlight w:val="none"/>
              </w:rPr>
              <w:t>（9）其他应当落实的网络安全责任和义务。</w:t>
            </w:r>
          </w:p>
        </w:tc>
      </w:tr>
      <w:tr w14:paraId="7D0D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14:paraId="12EC04F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6</w:t>
            </w:r>
          </w:p>
        </w:tc>
        <w:tc>
          <w:tcPr>
            <w:tcW w:w="1576" w:type="dxa"/>
            <w:vMerge w:val="restart"/>
            <w:tcBorders>
              <w:top w:val="single" w:color="auto" w:sz="4" w:space="0"/>
              <w:left w:val="single" w:color="auto" w:sz="4" w:space="0"/>
              <w:bottom w:val="single" w:color="auto" w:sz="4" w:space="0"/>
              <w:right w:val="single" w:color="auto" w:sz="4" w:space="0"/>
            </w:tcBorders>
            <w:noWrap/>
            <w:vAlign w:val="center"/>
          </w:tcPr>
          <w:p w14:paraId="40E2DB60">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服务</w:t>
            </w:r>
          </w:p>
        </w:tc>
        <w:tc>
          <w:tcPr>
            <w:tcW w:w="7089" w:type="dxa"/>
            <w:tcBorders>
              <w:top w:val="single" w:color="auto" w:sz="4" w:space="0"/>
              <w:left w:val="single" w:color="auto" w:sz="4" w:space="0"/>
              <w:bottom w:val="single" w:color="auto" w:sz="4" w:space="0"/>
              <w:right w:val="single" w:color="auto" w:sz="4" w:space="0"/>
            </w:tcBorders>
            <w:noWrap/>
            <w:vAlign w:val="center"/>
          </w:tcPr>
          <w:p w14:paraId="0DDDE183">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在服务期间，建立完善的运行维护机制，有效的落实各项运维工作。</w:t>
            </w:r>
          </w:p>
        </w:tc>
      </w:tr>
      <w:tr w14:paraId="0851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57E7F397">
            <w:pPr>
              <w:rPr>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14:paraId="1CAC0A43">
            <w:pPr>
              <w:rPr>
                <w:highlight w:val="none"/>
              </w:rPr>
            </w:pPr>
          </w:p>
        </w:tc>
        <w:tc>
          <w:tcPr>
            <w:tcW w:w="7089" w:type="dxa"/>
            <w:tcBorders>
              <w:top w:val="single" w:color="auto" w:sz="4" w:space="0"/>
              <w:left w:val="single" w:color="auto" w:sz="4" w:space="0"/>
              <w:bottom w:val="single" w:color="auto" w:sz="4" w:space="0"/>
              <w:right w:val="single" w:color="auto" w:sz="4" w:space="0"/>
            </w:tcBorders>
            <w:noWrap/>
            <w:vAlign w:val="center"/>
          </w:tcPr>
          <w:p w14:paraId="3D9889C9">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在服务期间，系统各项系统指标达到合同和考核要求，保障系统正常运行。</w:t>
            </w:r>
          </w:p>
        </w:tc>
      </w:tr>
      <w:tr w14:paraId="24E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3C5776A1">
            <w:pPr>
              <w:rPr>
                <w:highlight w:val="none"/>
              </w:rPr>
            </w:pPr>
          </w:p>
        </w:tc>
        <w:tc>
          <w:tcPr>
            <w:tcW w:w="1576" w:type="dxa"/>
            <w:vMerge w:val="continue"/>
            <w:tcBorders>
              <w:top w:val="single" w:color="auto" w:sz="4" w:space="0"/>
              <w:left w:val="single" w:color="auto" w:sz="4" w:space="0"/>
              <w:bottom w:val="single" w:color="auto" w:sz="4" w:space="0"/>
              <w:right w:val="single" w:color="auto" w:sz="4" w:space="0"/>
            </w:tcBorders>
            <w:noWrap/>
            <w:vAlign w:val="center"/>
          </w:tcPr>
          <w:p w14:paraId="131A94E9">
            <w:pPr>
              <w:rPr>
                <w:highlight w:val="none"/>
              </w:rPr>
            </w:pPr>
          </w:p>
        </w:tc>
        <w:tc>
          <w:tcPr>
            <w:tcW w:w="7089" w:type="dxa"/>
            <w:tcBorders>
              <w:top w:val="single" w:color="auto" w:sz="4" w:space="0"/>
              <w:left w:val="single" w:color="auto" w:sz="4" w:space="0"/>
              <w:bottom w:val="single" w:color="auto" w:sz="4" w:space="0"/>
              <w:right w:val="single" w:color="auto" w:sz="4" w:space="0"/>
            </w:tcBorders>
            <w:noWrap/>
            <w:vAlign w:val="center"/>
          </w:tcPr>
          <w:p w14:paraId="442F8EEF">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在服务期间，投标人的项目组人员对系统运行情况每周进行巡检，并建立巡检台账。</w:t>
            </w:r>
          </w:p>
        </w:tc>
      </w:tr>
      <w:tr w14:paraId="4286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6E6CC00D">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7</w:t>
            </w:r>
          </w:p>
        </w:tc>
        <w:tc>
          <w:tcPr>
            <w:tcW w:w="1576" w:type="dxa"/>
            <w:tcBorders>
              <w:top w:val="single" w:color="auto" w:sz="4" w:space="0"/>
              <w:left w:val="single" w:color="auto" w:sz="4" w:space="0"/>
              <w:bottom w:val="single" w:color="auto" w:sz="4" w:space="0"/>
              <w:right w:val="single" w:color="auto" w:sz="4" w:space="0"/>
            </w:tcBorders>
            <w:noWrap/>
            <w:vAlign w:val="center"/>
          </w:tcPr>
          <w:p w14:paraId="24BC920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人员管理</w:t>
            </w:r>
          </w:p>
        </w:tc>
        <w:tc>
          <w:tcPr>
            <w:tcW w:w="7089" w:type="dxa"/>
            <w:tcBorders>
              <w:top w:val="single" w:color="auto" w:sz="4" w:space="0"/>
              <w:left w:val="single" w:color="auto" w:sz="4" w:space="0"/>
              <w:bottom w:val="single" w:color="auto" w:sz="4" w:space="0"/>
              <w:right w:val="single" w:color="auto" w:sz="4" w:space="0"/>
            </w:tcBorders>
            <w:noWrap/>
            <w:vAlign w:val="center"/>
          </w:tcPr>
          <w:p w14:paraId="3429B042">
            <w:pPr>
              <w:snapToGrid w:val="0"/>
              <w:spacing w:line="360" w:lineRule="auto"/>
              <w:rPr>
                <w:rFonts w:ascii="宋体" w:hAnsi="宋体" w:eastAsia="仿宋" w:cs="宋体"/>
                <w:sz w:val="24"/>
                <w:highlight w:val="none"/>
              </w:rPr>
            </w:pPr>
            <w:r>
              <w:rPr>
                <w:rFonts w:hint="eastAsia" w:ascii="宋体" w:hAnsi="宋体" w:eastAsia="仿宋" w:cs="宋体"/>
                <w:bCs/>
                <w:sz w:val="24"/>
                <w:highlight w:val="none"/>
              </w:rPr>
              <w:t>在服务期间，按合同和投标文件投入相应资质的项目管理和技术人员。提供至少3名服务人员（包含1名项目负责人）服务人员工作时间、地点满足采购要求。</w:t>
            </w:r>
          </w:p>
        </w:tc>
      </w:tr>
      <w:tr w14:paraId="6E68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5E0CD7FB">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8</w:t>
            </w:r>
          </w:p>
        </w:tc>
        <w:tc>
          <w:tcPr>
            <w:tcW w:w="1576" w:type="dxa"/>
            <w:tcBorders>
              <w:top w:val="single" w:color="auto" w:sz="4" w:space="0"/>
              <w:left w:val="single" w:color="auto" w:sz="4" w:space="0"/>
              <w:bottom w:val="single" w:color="auto" w:sz="4" w:space="0"/>
              <w:right w:val="single" w:color="auto" w:sz="4" w:space="0"/>
            </w:tcBorders>
            <w:noWrap/>
            <w:vAlign w:val="center"/>
          </w:tcPr>
          <w:p w14:paraId="7EE6034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培训</w:t>
            </w:r>
          </w:p>
        </w:tc>
        <w:tc>
          <w:tcPr>
            <w:tcW w:w="7089" w:type="dxa"/>
            <w:tcBorders>
              <w:top w:val="single" w:color="auto" w:sz="4" w:space="0"/>
              <w:left w:val="single" w:color="auto" w:sz="4" w:space="0"/>
              <w:bottom w:val="single" w:color="auto" w:sz="4" w:space="0"/>
              <w:right w:val="single" w:color="auto" w:sz="4" w:space="0"/>
            </w:tcBorders>
            <w:noWrap/>
            <w:vAlign w:val="center"/>
          </w:tcPr>
          <w:p w14:paraId="6B72C52E">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按合同要求对采购人系统操作人员、系统管理人员、系统运维人员进行培训，形成相应培训记录。</w:t>
            </w:r>
          </w:p>
        </w:tc>
      </w:tr>
      <w:tr w14:paraId="68D3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4865978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9</w:t>
            </w:r>
          </w:p>
        </w:tc>
        <w:tc>
          <w:tcPr>
            <w:tcW w:w="1576" w:type="dxa"/>
            <w:tcBorders>
              <w:top w:val="single" w:color="auto" w:sz="4" w:space="0"/>
              <w:left w:val="single" w:color="auto" w:sz="4" w:space="0"/>
              <w:bottom w:val="single" w:color="auto" w:sz="4" w:space="0"/>
              <w:right w:val="single" w:color="auto" w:sz="4" w:space="0"/>
            </w:tcBorders>
            <w:noWrap/>
            <w:vAlign w:val="center"/>
          </w:tcPr>
          <w:p w14:paraId="1A77CC9C">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验收小组现场演示</w:t>
            </w:r>
          </w:p>
        </w:tc>
        <w:tc>
          <w:tcPr>
            <w:tcW w:w="7089" w:type="dxa"/>
            <w:tcBorders>
              <w:top w:val="single" w:color="auto" w:sz="4" w:space="0"/>
              <w:left w:val="single" w:color="auto" w:sz="4" w:space="0"/>
              <w:bottom w:val="single" w:color="auto" w:sz="4" w:space="0"/>
              <w:right w:val="single" w:color="auto" w:sz="4" w:space="0"/>
            </w:tcBorders>
            <w:noWrap/>
            <w:vAlign w:val="center"/>
          </w:tcPr>
          <w:p w14:paraId="32DD9304">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验收时，验收小组现场组织对集成指挥平台设备清点及系统演示。</w:t>
            </w:r>
          </w:p>
        </w:tc>
      </w:tr>
      <w:tr w14:paraId="1F6C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DE95B1A">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10</w:t>
            </w:r>
          </w:p>
        </w:tc>
        <w:tc>
          <w:tcPr>
            <w:tcW w:w="1576" w:type="dxa"/>
            <w:tcBorders>
              <w:top w:val="single" w:color="auto" w:sz="4" w:space="0"/>
              <w:left w:val="single" w:color="auto" w:sz="4" w:space="0"/>
              <w:bottom w:val="single" w:color="auto" w:sz="4" w:space="0"/>
              <w:right w:val="single" w:color="auto" w:sz="4" w:space="0"/>
            </w:tcBorders>
            <w:noWrap/>
            <w:vAlign w:val="center"/>
          </w:tcPr>
          <w:p w14:paraId="36C3369E">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台帐</w:t>
            </w:r>
          </w:p>
        </w:tc>
        <w:tc>
          <w:tcPr>
            <w:tcW w:w="7089" w:type="dxa"/>
            <w:tcBorders>
              <w:top w:val="single" w:color="auto" w:sz="4" w:space="0"/>
              <w:left w:val="single" w:color="auto" w:sz="4" w:space="0"/>
              <w:bottom w:val="single" w:color="auto" w:sz="4" w:space="0"/>
              <w:right w:val="single" w:color="auto" w:sz="4" w:space="0"/>
            </w:tcBorders>
            <w:noWrap/>
            <w:vAlign w:val="center"/>
          </w:tcPr>
          <w:p w14:paraId="2FD96142">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要做好日常的台帐记录，做到记录及时、完整。每周巡检记录、租赁月报、租赁总结报告。</w:t>
            </w:r>
          </w:p>
        </w:tc>
      </w:tr>
      <w:tr w14:paraId="748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3F3CEAFB">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11</w:t>
            </w:r>
          </w:p>
        </w:tc>
        <w:tc>
          <w:tcPr>
            <w:tcW w:w="1576" w:type="dxa"/>
            <w:tcBorders>
              <w:top w:val="single" w:color="auto" w:sz="4" w:space="0"/>
              <w:left w:val="single" w:color="auto" w:sz="4" w:space="0"/>
              <w:bottom w:val="single" w:color="auto" w:sz="4" w:space="0"/>
              <w:right w:val="single" w:color="auto" w:sz="4" w:space="0"/>
            </w:tcBorders>
            <w:noWrap/>
            <w:vAlign w:val="center"/>
          </w:tcPr>
          <w:p w14:paraId="6ABC9FC5">
            <w:pPr>
              <w:snapToGrid w:val="0"/>
              <w:spacing w:line="360" w:lineRule="auto"/>
              <w:jc w:val="center"/>
              <w:rPr>
                <w:rFonts w:ascii="宋体" w:hAnsi="宋体" w:eastAsia="仿宋" w:cs="宋体"/>
                <w:bCs/>
                <w:sz w:val="24"/>
                <w:highlight w:val="none"/>
              </w:rPr>
            </w:pPr>
            <w:r>
              <w:rPr>
                <w:rFonts w:hint="eastAsia" w:ascii="宋体" w:hAnsi="宋体" w:eastAsia="仿宋" w:cs="宋体"/>
                <w:sz w:val="24"/>
                <w:highlight w:val="none"/>
              </w:rPr>
              <w:t>中小企业比例</w:t>
            </w:r>
          </w:p>
        </w:tc>
        <w:tc>
          <w:tcPr>
            <w:tcW w:w="7089" w:type="dxa"/>
            <w:tcBorders>
              <w:top w:val="single" w:color="auto" w:sz="4" w:space="0"/>
              <w:left w:val="single" w:color="auto" w:sz="4" w:space="0"/>
              <w:bottom w:val="single" w:color="auto" w:sz="4" w:space="0"/>
              <w:right w:val="single" w:color="auto" w:sz="4" w:space="0"/>
            </w:tcBorders>
            <w:noWrap/>
            <w:vAlign w:val="center"/>
          </w:tcPr>
          <w:p w14:paraId="76D7D781">
            <w:pPr>
              <w:snapToGrid w:val="0"/>
              <w:spacing w:line="360" w:lineRule="auto"/>
              <w:rPr>
                <w:rFonts w:ascii="宋体" w:hAnsi="宋体" w:eastAsia="仿宋" w:cs="宋体"/>
                <w:bCs/>
                <w:sz w:val="24"/>
                <w:highlight w:val="none"/>
              </w:rPr>
            </w:pPr>
            <w:r>
              <w:rPr>
                <w:rFonts w:hint="eastAsia" w:ascii="宋体" w:hAnsi="宋体" w:eastAsia="仿宋" w:cs="宋体"/>
                <w:sz w:val="24"/>
                <w:highlight w:val="none"/>
              </w:rPr>
              <w:t>本项目履约过程中，不存在转包行为，且确保服务内容100%面向小微企业。</w:t>
            </w:r>
          </w:p>
        </w:tc>
      </w:tr>
      <w:tr w14:paraId="16DE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38398190">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12</w:t>
            </w:r>
          </w:p>
        </w:tc>
        <w:tc>
          <w:tcPr>
            <w:tcW w:w="1576" w:type="dxa"/>
            <w:tcBorders>
              <w:top w:val="single" w:color="auto" w:sz="4" w:space="0"/>
              <w:left w:val="single" w:color="auto" w:sz="4" w:space="0"/>
              <w:bottom w:val="single" w:color="auto" w:sz="4" w:space="0"/>
              <w:right w:val="single" w:color="auto" w:sz="4" w:space="0"/>
            </w:tcBorders>
            <w:noWrap/>
            <w:vAlign w:val="center"/>
          </w:tcPr>
          <w:p w14:paraId="71FF3C32">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其他工作</w:t>
            </w:r>
          </w:p>
        </w:tc>
        <w:tc>
          <w:tcPr>
            <w:tcW w:w="7089" w:type="dxa"/>
            <w:tcBorders>
              <w:top w:val="single" w:color="auto" w:sz="4" w:space="0"/>
              <w:left w:val="single" w:color="auto" w:sz="4" w:space="0"/>
              <w:bottom w:val="single" w:color="auto" w:sz="4" w:space="0"/>
              <w:right w:val="single" w:color="auto" w:sz="4" w:space="0"/>
            </w:tcBorders>
            <w:noWrap/>
            <w:vAlign w:val="center"/>
          </w:tcPr>
          <w:p w14:paraId="14F1ABC5">
            <w:pPr>
              <w:snapToGrid w:val="0"/>
              <w:spacing w:line="360" w:lineRule="auto"/>
              <w:rPr>
                <w:rFonts w:ascii="宋体" w:hAnsi="宋体" w:eastAsia="仿宋" w:cs="宋体"/>
                <w:bCs/>
                <w:sz w:val="24"/>
                <w:highlight w:val="none"/>
              </w:rPr>
            </w:pPr>
            <w:r>
              <w:rPr>
                <w:rFonts w:hint="eastAsia" w:ascii="宋体" w:hAnsi="宋体" w:eastAsia="仿宋" w:cs="宋体"/>
                <w:bCs/>
                <w:sz w:val="24"/>
                <w:highlight w:val="none"/>
              </w:rPr>
              <w:t>履行项目采购文件、投标文件、合同条款中涉及的其他承诺的情况。</w:t>
            </w:r>
          </w:p>
        </w:tc>
      </w:tr>
    </w:tbl>
    <w:p w14:paraId="67EC8FF9">
      <w:pPr>
        <w:adjustRightInd/>
        <w:spacing w:line="360" w:lineRule="auto"/>
        <w:rPr>
          <w:rFonts w:ascii="宋体" w:hAnsi="宋体" w:eastAsia="仿宋" w:cs="宋体"/>
          <w:sz w:val="24"/>
          <w:highlight w:val="none"/>
        </w:rPr>
      </w:pPr>
    </w:p>
    <w:p w14:paraId="70926BD4">
      <w:pPr>
        <w:adjustRightInd/>
        <w:spacing w:line="360" w:lineRule="auto"/>
        <w:ind w:firstLine="480" w:firstLineChars="200"/>
        <w:rPr>
          <w:rFonts w:ascii="宋体" w:hAnsi="宋体" w:eastAsia="仿宋" w:cs="宋体"/>
          <w:sz w:val="24"/>
          <w:highlight w:val="none"/>
        </w:rPr>
      </w:pPr>
      <w:r>
        <w:rPr>
          <w:rFonts w:hint="eastAsia" w:ascii="宋体" w:hAnsi="宋体" w:eastAsia="仿宋" w:cs="宋体"/>
          <w:sz w:val="24"/>
          <w:highlight w:val="none"/>
        </w:rPr>
        <w:t>2、验收资料：</w:t>
      </w:r>
    </w:p>
    <w:p w14:paraId="274B1497">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1）招标文件；</w:t>
      </w:r>
    </w:p>
    <w:p w14:paraId="51A6861C">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2）投标文件；</w:t>
      </w:r>
    </w:p>
    <w:p w14:paraId="000148CD">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3）项目合同；</w:t>
      </w:r>
    </w:p>
    <w:p w14:paraId="2B3BA9D5">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4）单位保密协议、日常保密教育资料、个人保密承诺书；</w:t>
      </w:r>
    </w:p>
    <w:p w14:paraId="03AFC0E9">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5）租赁方案审批单：投标人提出申请经服务监理单位及采购人审批；</w:t>
      </w:r>
    </w:p>
    <w:p w14:paraId="5BC67460">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6）每周巡检记录：需采购人经办人、投标人、监理单位签字并盖章；</w:t>
      </w:r>
    </w:p>
    <w:p w14:paraId="0E867AA5">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7）故障维修记录：需采购人经办人、投标人、监理单位签字并盖章；</w:t>
      </w:r>
    </w:p>
    <w:p w14:paraId="130AE328">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8）服务计划、租赁月报、租赁总结报告；</w:t>
      </w:r>
    </w:p>
    <w:p w14:paraId="5372EDD6">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9）项目组人员清单、社保证明材料、人员证书；</w:t>
      </w:r>
    </w:p>
    <w:p w14:paraId="2BE00996">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10）每月考核材料：需采购人经办人及审批人、投标人、监理单位签字并盖章；</w:t>
      </w:r>
    </w:p>
    <w:p w14:paraId="2AF27AA1">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11）培训记录：由培训参与人员签字；</w:t>
      </w:r>
    </w:p>
    <w:p w14:paraId="102EF0B2">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12）等保测评报告、</w:t>
      </w:r>
      <w:r>
        <w:rPr>
          <w:rFonts w:hint="eastAsia" w:ascii="宋体" w:hAnsi="宋体" w:eastAsia="仿宋" w:cs="宋体"/>
          <w:sz w:val="24"/>
          <w:highlight w:val="none"/>
        </w:rPr>
        <w:t>商用密码应用测评报告、信创检测报告</w:t>
      </w:r>
      <w:r>
        <w:rPr>
          <w:rFonts w:hint="eastAsia" w:ascii="宋体" w:hAnsi="宋体" w:eastAsia="仿宋" w:cs="宋体"/>
          <w:kern w:val="0"/>
          <w:sz w:val="24"/>
          <w:highlight w:val="none"/>
        </w:rPr>
        <w:t>；</w:t>
      </w:r>
    </w:p>
    <w:p w14:paraId="5E5B3D60">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13）网络安全保障方案、网络安全事件应急预案、网络安全风险书面报告（如有）、网络安全重大事项书面报告（如有）、网络安全报告；</w:t>
      </w:r>
    </w:p>
    <w:p w14:paraId="3818CDDB">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14）验收报审表：由租赁提供单位提交，经监理单位及采购人审批；</w:t>
      </w:r>
    </w:p>
    <w:p w14:paraId="48F758F2">
      <w:pPr>
        <w:widowControl/>
        <w:adjustRightInd/>
        <w:snapToGrid w:val="0"/>
        <w:spacing w:line="360" w:lineRule="auto"/>
        <w:ind w:firstLine="480" w:firstLineChars="200"/>
        <w:outlineLvl w:val="2"/>
        <w:rPr>
          <w:rFonts w:ascii="宋体" w:hAnsi="宋体" w:eastAsia="仿宋" w:cs="宋体"/>
          <w:kern w:val="0"/>
          <w:sz w:val="24"/>
          <w:highlight w:val="none"/>
        </w:rPr>
      </w:pPr>
      <w:bookmarkStart w:id="45" w:name="_Hlk127269793"/>
      <w:r>
        <w:rPr>
          <w:rFonts w:hint="eastAsia" w:ascii="宋体" w:hAnsi="宋体" w:eastAsia="仿宋" w:cs="宋体"/>
          <w:kern w:val="0"/>
          <w:sz w:val="24"/>
          <w:highlight w:val="none"/>
        </w:rPr>
        <w:t>15）《信息化建设项目变更审批表》（如果有）；</w:t>
      </w:r>
    </w:p>
    <w:p w14:paraId="3CA49D97">
      <w:pPr>
        <w:widowControl/>
        <w:adjustRightInd/>
        <w:snapToGrid w:val="0"/>
        <w:spacing w:line="360" w:lineRule="auto"/>
        <w:ind w:firstLine="480" w:firstLineChars="200"/>
        <w:outlineLvl w:val="2"/>
        <w:rPr>
          <w:rFonts w:ascii="宋体" w:hAnsi="宋体" w:eastAsia="仿宋" w:cs="宋体"/>
          <w:kern w:val="0"/>
          <w:sz w:val="24"/>
          <w:highlight w:val="none"/>
        </w:rPr>
      </w:pPr>
      <w:r>
        <w:rPr>
          <w:rFonts w:hint="eastAsia" w:ascii="宋体" w:hAnsi="宋体" w:eastAsia="仿宋" w:cs="宋体"/>
          <w:kern w:val="0"/>
          <w:sz w:val="24"/>
          <w:highlight w:val="none"/>
        </w:rPr>
        <w:t>16）监理报告；</w:t>
      </w:r>
    </w:p>
    <w:p w14:paraId="4E330822">
      <w:pPr>
        <w:widowControl/>
        <w:adjustRightInd/>
        <w:snapToGrid w:val="0"/>
        <w:spacing w:line="360" w:lineRule="auto"/>
        <w:ind w:firstLine="480" w:firstLineChars="200"/>
        <w:jc w:val="left"/>
        <w:outlineLvl w:val="2"/>
        <w:rPr>
          <w:rFonts w:ascii="宋体" w:hAnsi="宋体" w:eastAsia="仿宋" w:cs="宋体"/>
          <w:kern w:val="0"/>
          <w:sz w:val="24"/>
          <w:highlight w:val="none"/>
        </w:rPr>
      </w:pPr>
      <w:r>
        <w:rPr>
          <w:rFonts w:hint="eastAsia" w:ascii="宋体" w:hAnsi="宋体" w:eastAsia="仿宋" w:cs="宋体"/>
          <w:kern w:val="0"/>
          <w:sz w:val="24"/>
          <w:highlight w:val="none"/>
        </w:rPr>
        <w:t>17）小微企业证明材料；</w:t>
      </w:r>
    </w:p>
    <w:p w14:paraId="0230E957">
      <w:pPr>
        <w:tabs>
          <w:tab w:val="left" w:pos="904"/>
        </w:tabs>
        <w:adjustRightInd/>
        <w:snapToGrid w:val="0"/>
        <w:spacing w:line="360" w:lineRule="auto"/>
        <w:ind w:left="480"/>
        <w:jc w:val="left"/>
        <w:rPr>
          <w:rFonts w:ascii="宋体" w:hAnsi="宋体" w:eastAsia="仿宋" w:cs="宋体"/>
          <w:kern w:val="0"/>
          <w:sz w:val="24"/>
          <w:highlight w:val="none"/>
        </w:rPr>
      </w:pPr>
      <w:r>
        <w:rPr>
          <w:rFonts w:hint="eastAsia" w:ascii="宋体" w:hAnsi="宋体" w:eastAsia="仿宋" w:cs="宋体"/>
          <w:kern w:val="0"/>
          <w:sz w:val="24"/>
          <w:highlight w:val="none"/>
        </w:rPr>
        <w:t>18）</w:t>
      </w:r>
      <w:r>
        <w:rPr>
          <w:rFonts w:hint="eastAsia" w:ascii="宋体" w:hAnsi="宋体" w:eastAsia="仿宋" w:cs="宋体"/>
          <w:sz w:val="24"/>
          <w:highlight w:val="none"/>
        </w:rPr>
        <w:t>第三方检测报告</w:t>
      </w:r>
    </w:p>
    <w:p w14:paraId="44B60CD9">
      <w:pPr>
        <w:tabs>
          <w:tab w:val="left" w:pos="904"/>
        </w:tabs>
        <w:adjustRightInd/>
        <w:snapToGrid w:val="0"/>
        <w:spacing w:line="360" w:lineRule="auto"/>
        <w:ind w:left="480"/>
        <w:jc w:val="left"/>
        <w:rPr>
          <w:rFonts w:ascii="宋体" w:hAnsi="宋体" w:eastAsia="仿宋" w:cs="宋体"/>
          <w:kern w:val="0"/>
          <w:sz w:val="24"/>
          <w:highlight w:val="none"/>
        </w:rPr>
      </w:pPr>
      <w:r>
        <w:rPr>
          <w:rFonts w:hint="eastAsia" w:ascii="宋体" w:hAnsi="宋体" w:eastAsia="仿宋" w:cs="宋体"/>
          <w:kern w:val="0"/>
          <w:sz w:val="24"/>
          <w:highlight w:val="none"/>
        </w:rPr>
        <w:t>19）测试方案/计划、测试报告/用例；</w:t>
      </w:r>
    </w:p>
    <w:p w14:paraId="188CFBBA">
      <w:pPr>
        <w:tabs>
          <w:tab w:val="left" w:pos="904"/>
        </w:tabs>
        <w:adjustRightInd/>
        <w:snapToGrid w:val="0"/>
        <w:spacing w:line="360" w:lineRule="auto"/>
        <w:ind w:left="480"/>
        <w:jc w:val="left"/>
        <w:rPr>
          <w:rFonts w:ascii="宋体" w:hAnsi="宋体" w:eastAsia="仿宋" w:cs="宋体"/>
          <w:kern w:val="0"/>
          <w:sz w:val="24"/>
          <w:highlight w:val="none"/>
        </w:rPr>
      </w:pPr>
      <w:r>
        <w:rPr>
          <w:rFonts w:hint="eastAsia" w:ascii="宋体" w:hAnsi="宋体" w:eastAsia="仿宋" w:cs="宋体"/>
          <w:kern w:val="0"/>
          <w:sz w:val="24"/>
          <w:highlight w:val="none"/>
        </w:rPr>
        <w:t>20）系统配置手册、操作手册/维护手册；</w:t>
      </w:r>
    </w:p>
    <w:p w14:paraId="07803566">
      <w:pPr>
        <w:adjustRightInd/>
        <w:spacing w:line="360" w:lineRule="auto"/>
        <w:ind w:firstLine="480" w:firstLineChars="200"/>
        <w:jc w:val="left"/>
        <w:rPr>
          <w:rFonts w:ascii="仿宋" w:hAnsi="仿宋" w:eastAsia="仿宋" w:cs="仿宋"/>
          <w:sz w:val="24"/>
          <w:highlight w:val="none"/>
        </w:rPr>
      </w:pPr>
      <w:r>
        <w:rPr>
          <w:rFonts w:hint="eastAsia" w:ascii="宋体" w:hAnsi="宋体" w:eastAsia="仿宋" w:cs="宋体"/>
          <w:kern w:val="0"/>
          <w:sz w:val="24"/>
          <w:highlight w:val="none"/>
        </w:rPr>
        <w:t>21）其他需提供的相关材料。</w:t>
      </w:r>
      <w:bookmarkEnd w:id="45"/>
    </w:p>
    <w:p w14:paraId="41A472CD">
      <w:pPr>
        <w:adjustRightInd/>
        <w:spacing w:line="360" w:lineRule="auto"/>
        <w:outlineLvl w:val="0"/>
        <w:rPr>
          <w:rFonts w:ascii="仿宋" w:hAnsi="仿宋" w:eastAsia="仿宋" w:cs="仿宋"/>
          <w:b/>
          <w:sz w:val="36"/>
          <w:szCs w:val="20"/>
          <w:highlight w:val="none"/>
        </w:rPr>
      </w:pPr>
    </w:p>
    <w:p w14:paraId="08957A03">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第四部分  评标办法</w:t>
      </w:r>
    </w:p>
    <w:p w14:paraId="287E8079">
      <w:pPr>
        <w:snapToGrid w:val="0"/>
        <w:spacing w:line="360" w:lineRule="auto"/>
        <w:jc w:val="center"/>
        <w:outlineLvl w:val="1"/>
        <w:rPr>
          <w:rFonts w:ascii="仿宋" w:hAnsi="仿宋" w:eastAsia="仿宋" w:cs="仿宋"/>
          <w:b/>
          <w:sz w:val="24"/>
          <w:highlight w:val="none"/>
        </w:rPr>
      </w:pPr>
      <w:r>
        <w:rPr>
          <w:rFonts w:hint="eastAsia" w:ascii="仿宋" w:hAnsi="仿宋" w:eastAsia="仿宋" w:cs="仿宋"/>
          <w:b/>
          <w:sz w:val="24"/>
          <w:highlight w:val="none"/>
        </w:rPr>
        <w:t>评标办法前附表</w:t>
      </w:r>
    </w:p>
    <w:tbl>
      <w:tblPr>
        <w:tblStyle w:val="8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275"/>
        <w:gridCol w:w="567"/>
        <w:gridCol w:w="851"/>
        <w:gridCol w:w="1626"/>
      </w:tblGrid>
      <w:tr w14:paraId="0DA1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1DA6003D">
            <w:pPr>
              <w:snapToGrid w:val="0"/>
              <w:spacing w:line="360" w:lineRule="auto"/>
              <w:jc w:val="center"/>
              <w:rPr>
                <w:rFonts w:ascii="仿宋" w:hAnsi="仿宋" w:eastAsia="仿宋" w:cs="仿宋"/>
                <w:sz w:val="24"/>
                <w:highlight w:val="none"/>
              </w:rPr>
            </w:pPr>
            <w:bookmarkStart w:id="46" w:name="_Hlk127269896" w:colFirst="0" w:colLast="5"/>
            <w:r>
              <w:rPr>
                <w:rFonts w:hint="eastAsia" w:ascii="仿宋" w:hAnsi="仿宋" w:eastAsia="仿宋" w:cs="仿宋"/>
                <w:sz w:val="24"/>
                <w:highlight w:val="none"/>
              </w:rPr>
              <w:t>序号</w:t>
            </w:r>
          </w:p>
        </w:tc>
        <w:tc>
          <w:tcPr>
            <w:tcW w:w="6275" w:type="dxa"/>
            <w:tcBorders>
              <w:top w:val="single" w:color="auto" w:sz="4" w:space="0"/>
              <w:left w:val="single" w:color="auto" w:sz="4" w:space="0"/>
              <w:bottom w:val="single" w:color="auto" w:sz="4" w:space="0"/>
              <w:right w:val="single" w:color="auto" w:sz="4" w:space="0"/>
            </w:tcBorders>
            <w:vAlign w:val="center"/>
          </w:tcPr>
          <w:p w14:paraId="32676AA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评标标准</w:t>
            </w:r>
          </w:p>
        </w:tc>
        <w:tc>
          <w:tcPr>
            <w:tcW w:w="567" w:type="dxa"/>
            <w:tcBorders>
              <w:top w:val="single" w:color="auto" w:sz="4" w:space="0"/>
              <w:left w:val="single" w:color="auto" w:sz="4" w:space="0"/>
              <w:bottom w:val="single" w:color="auto" w:sz="4" w:space="0"/>
              <w:right w:val="single" w:color="auto" w:sz="4" w:space="0"/>
            </w:tcBorders>
            <w:vAlign w:val="center"/>
          </w:tcPr>
          <w:p w14:paraId="162C850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权重</w:t>
            </w:r>
          </w:p>
        </w:tc>
        <w:tc>
          <w:tcPr>
            <w:tcW w:w="851" w:type="dxa"/>
            <w:tcBorders>
              <w:top w:val="single" w:color="auto" w:sz="4" w:space="0"/>
              <w:left w:val="single" w:color="auto" w:sz="4" w:space="0"/>
              <w:bottom w:val="single" w:color="auto" w:sz="4" w:space="0"/>
              <w:right w:val="single" w:color="auto" w:sz="4" w:space="0"/>
            </w:tcBorders>
            <w:vAlign w:val="center"/>
          </w:tcPr>
          <w:p w14:paraId="4D7CF97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主观分/客观分属性</w:t>
            </w:r>
          </w:p>
        </w:tc>
        <w:tc>
          <w:tcPr>
            <w:tcW w:w="1626" w:type="dxa"/>
            <w:tcBorders>
              <w:top w:val="single" w:color="auto" w:sz="4" w:space="0"/>
              <w:left w:val="single" w:color="auto" w:sz="4" w:space="0"/>
              <w:bottom w:val="single" w:color="auto" w:sz="4" w:space="0"/>
              <w:right w:val="single" w:color="auto" w:sz="4" w:space="0"/>
            </w:tcBorders>
          </w:tcPr>
          <w:p w14:paraId="763B90C9">
            <w:pPr>
              <w:snapToGrid w:val="0"/>
              <w:spacing w:line="360" w:lineRule="auto"/>
              <w:jc w:val="center"/>
              <w:rPr>
                <w:rFonts w:ascii="仿宋" w:hAnsi="仿宋" w:eastAsia="仿宋" w:cs="仿宋"/>
                <w:sz w:val="24"/>
                <w:highlight w:val="none"/>
              </w:rPr>
            </w:pPr>
            <w:r>
              <w:rPr>
                <w:rFonts w:hint="eastAsia" w:ascii="仿宋" w:hAnsi="仿宋" w:eastAsia="仿宋" w:cs="仿宋"/>
                <w:bCs/>
                <w:sz w:val="24"/>
                <w:highlight w:val="none"/>
              </w:rPr>
              <w:t>投标文件中评标标准相应的商务技术资料目录*</w:t>
            </w:r>
          </w:p>
        </w:tc>
      </w:tr>
      <w:tr w14:paraId="3CE2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14:paraId="481DEFFF">
            <w:pPr>
              <w:snapToGrid w:val="0"/>
              <w:spacing w:line="360" w:lineRule="auto"/>
              <w:jc w:val="center"/>
              <w:rPr>
                <w:rFonts w:ascii="仿宋" w:hAnsi="仿宋" w:eastAsia="仿宋" w:cs="仿宋"/>
                <w:sz w:val="24"/>
                <w:highlight w:val="none"/>
              </w:rPr>
            </w:pPr>
            <w:r>
              <w:rPr>
                <w:rFonts w:hint="eastAsia" w:ascii="仿宋" w:hAnsi="仿宋" w:eastAsia="仿宋" w:cs="仿宋"/>
                <w:b/>
                <w:sz w:val="24"/>
                <w:highlight w:val="none"/>
              </w:rPr>
              <w:t>一</w:t>
            </w:r>
          </w:p>
        </w:tc>
        <w:tc>
          <w:tcPr>
            <w:tcW w:w="6275" w:type="dxa"/>
            <w:tcBorders>
              <w:top w:val="single" w:color="auto" w:sz="4" w:space="0"/>
              <w:left w:val="single" w:color="auto" w:sz="4" w:space="0"/>
              <w:bottom w:val="single" w:color="auto" w:sz="4" w:space="0"/>
              <w:right w:val="single" w:color="auto" w:sz="4" w:space="0"/>
            </w:tcBorders>
            <w:vAlign w:val="center"/>
          </w:tcPr>
          <w:p w14:paraId="128A436C">
            <w:pPr>
              <w:snapToGrid w:val="0"/>
              <w:spacing w:line="360" w:lineRule="auto"/>
              <w:rPr>
                <w:rFonts w:ascii="仿宋" w:hAnsi="仿宋" w:eastAsia="仿宋" w:cs="仿宋"/>
                <w:sz w:val="24"/>
                <w:highlight w:val="none"/>
              </w:rPr>
            </w:pPr>
            <w:r>
              <w:rPr>
                <w:rFonts w:hint="eastAsia" w:ascii="仿宋" w:hAnsi="仿宋" w:eastAsia="仿宋" w:cs="仿宋"/>
                <w:b/>
                <w:sz w:val="24"/>
                <w:highlight w:val="none"/>
              </w:rPr>
              <w:t>技术和服务方案：</w:t>
            </w:r>
          </w:p>
        </w:tc>
        <w:tc>
          <w:tcPr>
            <w:tcW w:w="567" w:type="dxa"/>
            <w:tcBorders>
              <w:top w:val="single" w:color="auto" w:sz="4" w:space="0"/>
              <w:left w:val="single" w:color="auto" w:sz="4" w:space="0"/>
              <w:bottom w:val="single" w:color="auto" w:sz="4" w:space="0"/>
              <w:right w:val="single" w:color="auto" w:sz="4" w:space="0"/>
            </w:tcBorders>
            <w:vAlign w:val="center"/>
          </w:tcPr>
          <w:p w14:paraId="03EC33F1">
            <w:pPr>
              <w:snapToGrid w:val="0"/>
              <w:spacing w:line="360" w:lineRule="auto"/>
              <w:jc w:val="center"/>
              <w:rPr>
                <w:rFonts w:ascii="仿宋" w:hAnsi="仿宋" w:eastAsia="仿宋" w:cs="仿宋"/>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44EBCD1">
            <w:pPr>
              <w:snapToGrid w:val="0"/>
              <w:spacing w:line="360" w:lineRule="auto"/>
              <w:jc w:val="center"/>
              <w:rPr>
                <w:rFonts w:ascii="仿宋" w:hAnsi="仿宋" w:eastAsia="仿宋" w:cs="仿宋"/>
                <w:bCs/>
                <w:sz w:val="24"/>
                <w:highlight w:val="none"/>
              </w:rPr>
            </w:pPr>
          </w:p>
        </w:tc>
        <w:tc>
          <w:tcPr>
            <w:tcW w:w="1626" w:type="dxa"/>
            <w:tcBorders>
              <w:top w:val="single" w:color="auto" w:sz="4" w:space="0"/>
              <w:left w:val="single" w:color="auto" w:sz="4" w:space="0"/>
              <w:bottom w:val="single" w:color="auto" w:sz="4" w:space="0"/>
              <w:right w:val="single" w:color="auto" w:sz="4" w:space="0"/>
            </w:tcBorders>
          </w:tcPr>
          <w:p w14:paraId="5CEE874C">
            <w:pPr>
              <w:snapToGrid w:val="0"/>
              <w:spacing w:line="360" w:lineRule="auto"/>
              <w:jc w:val="center"/>
              <w:rPr>
                <w:rFonts w:ascii="仿宋" w:hAnsi="仿宋" w:eastAsia="仿宋" w:cs="仿宋"/>
                <w:bCs/>
                <w:sz w:val="24"/>
                <w:highlight w:val="none"/>
              </w:rPr>
            </w:pPr>
          </w:p>
        </w:tc>
      </w:tr>
      <w:bookmarkEnd w:id="46"/>
      <w:tr w14:paraId="0CFA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14:paraId="629E5D5C">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6275" w:type="dxa"/>
            <w:tcBorders>
              <w:top w:val="single" w:color="auto" w:sz="4" w:space="0"/>
              <w:left w:val="single" w:color="auto" w:sz="4" w:space="0"/>
              <w:bottom w:val="single" w:color="auto" w:sz="4" w:space="0"/>
              <w:right w:val="single" w:color="auto" w:sz="4" w:space="0"/>
            </w:tcBorders>
            <w:vAlign w:val="center"/>
          </w:tcPr>
          <w:p w14:paraId="35DA9D74">
            <w:pPr>
              <w:spacing w:line="360" w:lineRule="auto"/>
              <w:rPr>
                <w:rFonts w:ascii="仿宋" w:hAnsi="仿宋" w:eastAsia="仿宋" w:cs="仿宋"/>
                <w:sz w:val="24"/>
                <w:highlight w:val="none"/>
              </w:rPr>
            </w:pPr>
            <w:r>
              <w:rPr>
                <w:rFonts w:hint="eastAsia" w:ascii="仿宋" w:hAnsi="仿宋" w:eastAsia="仿宋" w:cs="仿宋"/>
                <w:sz w:val="24"/>
                <w:highlight w:val="none"/>
              </w:rPr>
              <w:t>●投标</w:t>
            </w:r>
            <w:r>
              <w:rPr>
                <w:rFonts w:hint="eastAsia" w:ascii="仿宋" w:hAnsi="仿宋" w:eastAsia="仿宋" w:cs="仿宋"/>
                <w:snapToGrid w:val="0"/>
                <w:sz w:val="24"/>
                <w:highlight w:val="none"/>
                <w:lang w:val="zh-CN"/>
              </w:rPr>
              <w:t>人针对本项目</w:t>
            </w:r>
            <w:r>
              <w:rPr>
                <w:rFonts w:hint="eastAsia" w:ascii="仿宋" w:hAnsi="仿宋" w:eastAsia="仿宋" w:cs="仿宋"/>
                <w:sz w:val="24"/>
                <w:highlight w:val="none"/>
              </w:rPr>
              <w:t>的服务策略情况，提供此次租赁的服务计划：包括</w:t>
            </w:r>
            <w:r>
              <w:rPr>
                <w:rFonts w:hint="eastAsia" w:ascii="仿宋" w:hAnsi="仿宋" w:eastAsia="仿宋" w:cs="仿宋"/>
                <w:snapToGrid w:val="0"/>
                <w:sz w:val="24"/>
                <w:highlight w:val="none"/>
                <w:lang w:val="zh-CN"/>
              </w:rPr>
              <w:t>①</w:t>
            </w:r>
            <w:r>
              <w:rPr>
                <w:rFonts w:hint="eastAsia" w:ascii="仿宋" w:hAnsi="仿宋" w:eastAsia="仿宋" w:cs="仿宋"/>
                <w:sz w:val="24"/>
                <w:highlight w:val="none"/>
              </w:rPr>
              <w:t>服务内容、</w:t>
            </w:r>
            <w:r>
              <w:rPr>
                <w:rFonts w:hint="eastAsia" w:ascii="仿宋" w:hAnsi="仿宋" w:eastAsia="仿宋" w:cs="仿宋"/>
                <w:snapToGrid w:val="0"/>
                <w:sz w:val="24"/>
                <w:highlight w:val="none"/>
                <w:lang w:val="zh-CN"/>
              </w:rPr>
              <w:t>②</w:t>
            </w:r>
            <w:r>
              <w:rPr>
                <w:rFonts w:hint="eastAsia" w:ascii="仿宋" w:hAnsi="仿宋" w:eastAsia="仿宋" w:cs="仿宋"/>
                <w:sz w:val="24"/>
                <w:highlight w:val="none"/>
              </w:rPr>
              <w:t>等级、</w:t>
            </w:r>
            <w:r>
              <w:rPr>
                <w:rFonts w:hint="eastAsia" w:ascii="仿宋" w:hAnsi="仿宋" w:eastAsia="仿宋" w:cs="仿宋"/>
                <w:snapToGrid w:val="0"/>
                <w:sz w:val="24"/>
                <w:highlight w:val="none"/>
                <w:lang w:val="zh-CN"/>
              </w:rPr>
              <w:t>③</w:t>
            </w:r>
            <w:r>
              <w:rPr>
                <w:rFonts w:hint="eastAsia" w:ascii="仿宋" w:hAnsi="仿宋" w:eastAsia="仿宋" w:cs="仿宋"/>
                <w:sz w:val="24"/>
                <w:highlight w:val="none"/>
              </w:rPr>
              <w:t>相关服务指标、</w:t>
            </w:r>
            <w:r>
              <w:rPr>
                <w:rFonts w:hint="eastAsia" w:ascii="仿宋" w:hAnsi="仿宋" w:eastAsia="仿宋" w:cs="仿宋"/>
                <w:snapToGrid w:val="0"/>
                <w:sz w:val="24"/>
                <w:highlight w:val="none"/>
                <w:lang w:val="zh-CN"/>
              </w:rPr>
              <w:t>④</w:t>
            </w:r>
            <w:r>
              <w:rPr>
                <w:rFonts w:hint="eastAsia" w:ascii="仿宋" w:hAnsi="仿宋" w:eastAsia="仿宋" w:cs="仿宋"/>
                <w:sz w:val="24"/>
                <w:highlight w:val="none"/>
              </w:rPr>
              <w:t>服务组织机构及人员安排情况及其联络信息；根据提供的计划内容进行评分，计划内容完整且合理、可行、满足需求，每一项满足的得3分，不满足不得分，最高得12分。</w:t>
            </w:r>
          </w:p>
        </w:tc>
        <w:tc>
          <w:tcPr>
            <w:tcW w:w="567" w:type="dxa"/>
            <w:tcBorders>
              <w:top w:val="single" w:color="auto" w:sz="4" w:space="0"/>
              <w:left w:val="single" w:color="auto" w:sz="4" w:space="0"/>
              <w:bottom w:val="single" w:color="auto" w:sz="4" w:space="0"/>
              <w:right w:val="single" w:color="auto" w:sz="4" w:space="0"/>
            </w:tcBorders>
            <w:vAlign w:val="center"/>
          </w:tcPr>
          <w:p w14:paraId="6AB367C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12</w:t>
            </w:r>
          </w:p>
        </w:tc>
        <w:tc>
          <w:tcPr>
            <w:tcW w:w="851" w:type="dxa"/>
            <w:tcBorders>
              <w:top w:val="single" w:color="auto" w:sz="4" w:space="0"/>
              <w:left w:val="single" w:color="auto" w:sz="4" w:space="0"/>
              <w:bottom w:val="single" w:color="auto" w:sz="4" w:space="0"/>
              <w:right w:val="single" w:color="auto" w:sz="4" w:space="0"/>
            </w:tcBorders>
            <w:vAlign w:val="center"/>
          </w:tcPr>
          <w:p w14:paraId="6713AD3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主观分</w:t>
            </w:r>
          </w:p>
        </w:tc>
        <w:tc>
          <w:tcPr>
            <w:tcW w:w="1626" w:type="dxa"/>
            <w:tcBorders>
              <w:top w:val="single" w:color="auto" w:sz="4" w:space="0"/>
              <w:left w:val="single" w:color="auto" w:sz="4" w:space="0"/>
              <w:bottom w:val="single" w:color="auto" w:sz="4" w:space="0"/>
              <w:right w:val="single" w:color="auto" w:sz="4" w:space="0"/>
            </w:tcBorders>
            <w:vAlign w:val="center"/>
          </w:tcPr>
          <w:p w14:paraId="10E805D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一、技术解决和实施方案</w:t>
            </w:r>
          </w:p>
        </w:tc>
      </w:tr>
      <w:tr w14:paraId="051B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14:paraId="0047CBC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6275" w:type="dxa"/>
            <w:tcBorders>
              <w:top w:val="single" w:color="auto" w:sz="4" w:space="0"/>
              <w:left w:val="single" w:color="auto" w:sz="4" w:space="0"/>
              <w:bottom w:val="single" w:color="auto" w:sz="4" w:space="0"/>
              <w:right w:val="single" w:color="auto" w:sz="4" w:space="0"/>
            </w:tcBorders>
            <w:vAlign w:val="center"/>
          </w:tcPr>
          <w:p w14:paraId="44422AA3">
            <w:pPr>
              <w:widowControl/>
              <w:spacing w:line="360" w:lineRule="auto"/>
              <w:jc w:val="left"/>
              <w:rPr>
                <w:rFonts w:ascii="仿宋" w:hAnsi="仿宋" w:eastAsia="仿宋" w:cs="仿宋"/>
                <w:b/>
                <w:sz w:val="24"/>
                <w:highlight w:val="none"/>
              </w:rPr>
            </w:pPr>
            <w:r>
              <w:rPr>
                <w:rFonts w:hint="eastAsia" w:ascii="仿宋" w:hAnsi="仿宋" w:eastAsia="仿宋" w:cs="仿宋"/>
                <w:b/>
                <w:bCs/>
                <w:snapToGrid w:val="0"/>
                <w:sz w:val="24"/>
                <w:highlight w:val="none"/>
                <w:lang w:val="zh-CN"/>
              </w:rPr>
              <w:t>租赁产品的性能与需求的吻合程度：</w:t>
            </w:r>
            <w:r>
              <w:rPr>
                <w:rFonts w:hint="eastAsia" w:ascii="仿宋" w:hAnsi="仿宋" w:eastAsia="仿宋" w:cs="仿宋"/>
                <w:b/>
                <w:sz w:val="24"/>
                <w:highlight w:val="none"/>
              </w:rPr>
              <w:t>投标人须在《商务技术偏离表》中明确是否偏离。</w:t>
            </w:r>
          </w:p>
          <w:p w14:paraId="6C063248">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大数据平台：</w:t>
            </w:r>
          </w:p>
          <w:p w14:paraId="73AA29D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实时流处理引擎软件：</w:t>
            </w:r>
            <w:r>
              <w:rPr>
                <w:rFonts w:hint="eastAsia" w:ascii="仿宋" w:hAnsi="仿宋" w:eastAsia="仿宋" w:cs="仿宋"/>
                <w:sz w:val="24"/>
                <w:highlight w:val="none"/>
              </w:rPr>
              <w:t>★</w:t>
            </w:r>
            <w:r>
              <w:rPr>
                <w:rFonts w:hint="eastAsia" w:ascii="宋体" w:hAnsi="宋体" w:eastAsia="仿宋" w:cs="宋体"/>
                <w:sz w:val="24"/>
                <w:highlight w:val="none"/>
              </w:rPr>
              <w:t>(1)</w:t>
            </w:r>
            <w:r>
              <w:rPr>
                <w:rFonts w:ascii="宋体" w:hAnsi="宋体" w:eastAsia="仿宋" w:cs="宋体"/>
                <w:sz w:val="24"/>
                <w:highlight w:val="none"/>
              </w:rPr>
              <w:t>所投产品代码自主率</w:t>
            </w:r>
            <w:r>
              <w:rPr>
                <w:rFonts w:hint="eastAsia" w:ascii="宋体" w:hAnsi="宋体" w:eastAsia="仿宋" w:cs="宋体"/>
                <w:sz w:val="24"/>
                <w:highlight w:val="none"/>
              </w:rPr>
              <w:t>（行数）</w:t>
            </w:r>
            <w:r>
              <w:rPr>
                <w:rFonts w:ascii="宋体" w:hAnsi="宋体" w:eastAsia="仿宋" w:cs="宋体"/>
                <w:sz w:val="24"/>
                <w:highlight w:val="none"/>
              </w:rPr>
              <w:t>大于</w:t>
            </w:r>
            <w:r>
              <w:rPr>
                <w:rFonts w:hint="eastAsia" w:ascii="宋体" w:hAnsi="宋体" w:eastAsia="仿宋" w:cs="宋体"/>
                <w:sz w:val="24"/>
                <w:highlight w:val="none"/>
              </w:rPr>
              <w:t>7</w:t>
            </w:r>
            <w:r>
              <w:rPr>
                <w:rFonts w:ascii="宋体" w:hAnsi="宋体" w:eastAsia="仿宋" w:cs="宋体"/>
                <w:sz w:val="24"/>
                <w:highlight w:val="none"/>
              </w:rPr>
              <w:t>0%</w:t>
            </w:r>
            <w:r>
              <w:rPr>
                <w:rFonts w:hint="eastAsia" w:ascii="宋体" w:hAnsi="宋体" w:eastAsia="仿宋" w:cs="宋体"/>
                <w:sz w:val="24"/>
                <w:highlight w:val="none"/>
              </w:rPr>
              <w:t>。</w:t>
            </w:r>
            <w:r>
              <w:rPr>
                <w:rFonts w:ascii="宋体" w:hAnsi="宋体" w:eastAsia="仿宋" w:cs="宋体"/>
                <w:sz w:val="24"/>
                <w:highlight w:val="none"/>
              </w:rPr>
              <w:t>（</w:t>
            </w:r>
            <w:r>
              <w:rPr>
                <w:rStyle w:val="90"/>
                <w:rFonts w:ascii="宋体" w:hAnsi="宋体" w:eastAsia="仿宋" w:cs="宋体"/>
                <w:sz w:val="24"/>
                <w:highlight w:val="none"/>
              </w:rPr>
              <w:t>提供具有CMA资质的</w:t>
            </w:r>
            <w:r>
              <w:rPr>
                <w:rStyle w:val="90"/>
                <w:rFonts w:hint="eastAsia" w:ascii="宋体" w:hAnsi="宋体" w:eastAsia="仿宋" w:cs="宋体"/>
                <w:sz w:val="24"/>
                <w:highlight w:val="none"/>
              </w:rPr>
              <w:t>第三方检测机构</w:t>
            </w:r>
            <w:r>
              <w:rPr>
                <w:rStyle w:val="90"/>
                <w:rFonts w:ascii="宋体" w:hAnsi="宋体" w:eastAsia="仿宋" w:cs="宋体"/>
                <w:sz w:val="24"/>
                <w:highlight w:val="none"/>
              </w:rPr>
              <w:t>或</w:t>
            </w:r>
            <w:r>
              <w:rPr>
                <w:rStyle w:val="90"/>
                <w:rFonts w:hint="eastAsia" w:ascii="宋体" w:hAnsi="宋体" w:eastAsia="仿宋" w:cs="宋体"/>
                <w:sz w:val="24"/>
                <w:highlight w:val="none"/>
              </w:rPr>
              <w:t>国家认可的检测机构</w:t>
            </w:r>
            <w:r>
              <w:rPr>
                <w:rStyle w:val="90"/>
                <w:rFonts w:ascii="宋体" w:hAnsi="宋体" w:eastAsia="仿宋" w:cs="宋体"/>
                <w:sz w:val="24"/>
                <w:highlight w:val="none"/>
              </w:rPr>
              <w:t>出具的检测报告证明</w:t>
            </w:r>
            <w:r>
              <w:rPr>
                <w:rFonts w:ascii="宋体" w:hAnsi="宋体" w:eastAsia="仿宋" w:cs="宋体"/>
                <w:sz w:val="24"/>
                <w:highlight w:val="none"/>
              </w:rPr>
              <w:t>)</w:t>
            </w:r>
          </w:p>
          <w:p w14:paraId="5ECA8000">
            <w:pPr>
              <w:rPr>
                <w:highlight w:val="none"/>
              </w:rPr>
            </w:pPr>
          </w:p>
          <w:p w14:paraId="58A7CD16">
            <w:pPr>
              <w:widowControl/>
              <w:spacing w:line="360" w:lineRule="auto"/>
              <w:jc w:val="left"/>
              <w:rPr>
                <w:rFonts w:ascii="仿宋" w:hAnsi="仿宋" w:eastAsia="仿宋" w:cs="仿宋"/>
                <w:bCs/>
                <w:sz w:val="24"/>
                <w:highlight w:val="none"/>
              </w:rPr>
            </w:pPr>
            <w:r>
              <w:rPr>
                <w:rFonts w:hint="eastAsia" w:ascii="宋体" w:hAnsi="宋体" w:eastAsia="仿宋" w:cs="宋体"/>
                <w:sz w:val="24"/>
                <w:highlight w:val="none"/>
              </w:rPr>
              <w:t>实时数据管理软件:</w:t>
            </w:r>
            <w:r>
              <w:rPr>
                <w:rFonts w:hint="eastAsia" w:ascii="仿宋" w:hAnsi="仿宋" w:eastAsia="仿宋" w:cs="仿宋"/>
                <w:sz w:val="24"/>
                <w:highlight w:val="none"/>
              </w:rPr>
              <w:t>★</w:t>
            </w:r>
            <w:r>
              <w:rPr>
                <w:rFonts w:hint="eastAsia" w:ascii="宋体" w:hAnsi="宋体" w:eastAsia="仿宋" w:cs="宋体"/>
                <w:sz w:val="24"/>
                <w:highlight w:val="none"/>
              </w:rPr>
              <w:t>（1）投标产品须兼容国产化服务器与国产化操作系统。（要求提供投标产品兼容现有主流国产操作系统承诺函）</w:t>
            </w:r>
          </w:p>
          <w:p w14:paraId="668EC60C">
            <w:pPr>
              <w:widowControl/>
              <w:spacing w:line="360" w:lineRule="auto"/>
              <w:jc w:val="left"/>
              <w:rPr>
                <w:rFonts w:ascii="宋体" w:hAnsi="宋体" w:eastAsia="仿宋" w:cs="宋体"/>
                <w:sz w:val="24"/>
                <w:highlight w:val="none"/>
              </w:rPr>
            </w:pPr>
            <w:r>
              <w:rPr>
                <w:rFonts w:hint="eastAsia" w:ascii="宋体" w:hAnsi="宋体" w:eastAsia="仿宋" w:cs="宋体"/>
                <w:sz w:val="24"/>
                <w:highlight w:val="none"/>
              </w:rPr>
              <w:t>实时数据管理软件</w:t>
            </w:r>
          </w:p>
          <w:p w14:paraId="5298D812">
            <w:pPr>
              <w:widowControl/>
              <w:spacing w:line="360" w:lineRule="auto"/>
              <w:jc w:val="left"/>
              <w:rPr>
                <w:rFonts w:ascii="宋体" w:hAnsi="宋体" w:eastAsia="仿宋" w:cs="宋体"/>
                <w:sz w:val="24"/>
                <w:highlight w:val="none"/>
              </w:rPr>
            </w:pPr>
            <w:r>
              <w:rPr>
                <w:rFonts w:hint="eastAsia" w:ascii="仿宋" w:hAnsi="仿宋" w:eastAsia="仿宋" w:cs="仿宋"/>
                <w:sz w:val="24"/>
                <w:highlight w:val="none"/>
              </w:rPr>
              <w:t>★</w:t>
            </w:r>
            <w:r>
              <w:rPr>
                <w:rFonts w:hint="eastAsia" w:ascii="宋体" w:hAnsi="宋体" w:eastAsia="仿宋" w:cs="宋体"/>
                <w:sz w:val="24"/>
                <w:highlight w:val="none"/>
              </w:rPr>
              <w:t>（2）</w:t>
            </w:r>
            <w:r>
              <w:rPr>
                <w:rFonts w:ascii="宋体" w:hAnsi="宋体" w:eastAsia="仿宋" w:cs="宋体"/>
                <w:sz w:val="24"/>
                <w:highlight w:val="none"/>
              </w:rPr>
              <w:t>所投产品代码自主率</w:t>
            </w:r>
            <w:r>
              <w:rPr>
                <w:rFonts w:hint="eastAsia" w:ascii="宋体" w:hAnsi="宋体" w:eastAsia="仿宋" w:cs="宋体"/>
                <w:sz w:val="24"/>
                <w:highlight w:val="none"/>
              </w:rPr>
              <w:t>（行数）</w:t>
            </w:r>
            <w:r>
              <w:rPr>
                <w:rFonts w:ascii="宋体" w:hAnsi="宋体" w:eastAsia="仿宋" w:cs="宋体"/>
                <w:sz w:val="24"/>
                <w:highlight w:val="none"/>
              </w:rPr>
              <w:t>大于</w:t>
            </w:r>
            <w:r>
              <w:rPr>
                <w:rFonts w:hint="eastAsia" w:ascii="宋体" w:hAnsi="宋体" w:eastAsia="仿宋" w:cs="宋体"/>
                <w:sz w:val="24"/>
                <w:highlight w:val="none"/>
              </w:rPr>
              <w:t>7</w:t>
            </w:r>
            <w:r>
              <w:rPr>
                <w:rFonts w:ascii="宋体" w:hAnsi="宋体" w:eastAsia="仿宋" w:cs="宋体"/>
                <w:sz w:val="24"/>
                <w:highlight w:val="none"/>
              </w:rPr>
              <w:t>0%</w:t>
            </w:r>
            <w:r>
              <w:rPr>
                <w:rFonts w:hint="eastAsia" w:ascii="宋体" w:hAnsi="宋体" w:eastAsia="仿宋" w:cs="宋体"/>
                <w:sz w:val="24"/>
                <w:highlight w:val="none"/>
              </w:rPr>
              <w:t>。（提供具有CMA资质的第三方检测机构或国家认可的检测机构出具的检测报告证明)</w:t>
            </w:r>
          </w:p>
          <w:p w14:paraId="031AE903">
            <w:pPr>
              <w:widowControl/>
              <w:spacing w:line="360" w:lineRule="auto"/>
              <w:jc w:val="left"/>
              <w:rPr>
                <w:rFonts w:ascii="宋体" w:hAnsi="宋体" w:eastAsia="仿宋" w:cs="宋体"/>
                <w:sz w:val="24"/>
                <w:highlight w:val="none"/>
              </w:rPr>
            </w:pPr>
            <w:r>
              <w:rPr>
                <w:rFonts w:hint="eastAsia" w:ascii="仿宋" w:hAnsi="仿宋" w:eastAsia="仿宋" w:cs="仿宋"/>
                <w:sz w:val="24"/>
                <w:highlight w:val="none"/>
              </w:rPr>
              <w:t>上述“★”</w:t>
            </w:r>
            <w:r>
              <w:rPr>
                <w:rFonts w:hint="eastAsia" w:ascii="仿宋" w:hAnsi="仿宋" w:eastAsia="仿宋" w:cs="仿宋"/>
                <w:bCs/>
                <w:sz w:val="24"/>
                <w:highlight w:val="none"/>
              </w:rPr>
              <w:t>为本项目关键技术指标。每有1项未提供证明资料或证明资料不能体现满足采购需求的扣3分，最多扣9分。</w:t>
            </w:r>
          </w:p>
          <w:p w14:paraId="083C89AD">
            <w:pPr>
              <w:spacing w:line="360" w:lineRule="auto"/>
              <w:rPr>
                <w:rFonts w:ascii="仿宋" w:hAnsi="仿宋" w:eastAsia="仿宋" w:cs="仿宋"/>
                <w:sz w:val="24"/>
                <w:highlight w:val="none"/>
              </w:rPr>
            </w:pPr>
            <w:r>
              <w:rPr>
                <w:rFonts w:hint="eastAsia" w:ascii="仿宋" w:hAnsi="仿宋" w:eastAsia="仿宋" w:cs="仿宋"/>
                <w:sz w:val="24"/>
                <w:highlight w:val="none"/>
              </w:rPr>
              <w:t>除“★”以外的</w:t>
            </w:r>
            <w:r>
              <w:rPr>
                <w:rFonts w:hint="eastAsia" w:ascii="仿宋" w:hAnsi="仿宋" w:eastAsia="仿宋" w:cs="仿宋"/>
                <w:bCs/>
                <w:sz w:val="24"/>
                <w:highlight w:val="none"/>
              </w:rPr>
              <w:t>本项目</w:t>
            </w:r>
            <w:r>
              <w:rPr>
                <w:rFonts w:hint="eastAsia" w:ascii="仿宋" w:hAnsi="仿宋" w:eastAsia="仿宋" w:cs="仿宋"/>
                <w:sz w:val="24"/>
                <w:highlight w:val="none"/>
              </w:rPr>
              <w:t>其他</w:t>
            </w:r>
            <w:r>
              <w:rPr>
                <w:rFonts w:hint="eastAsia" w:ascii="仿宋" w:hAnsi="仿宋" w:eastAsia="仿宋" w:cs="仿宋"/>
                <w:sz w:val="24"/>
                <w:highlight w:val="none"/>
                <w:shd w:val="clear" w:color="auto" w:fill="FFFFFF"/>
              </w:rPr>
              <w:t>技术参数以提供的产品样本彩页或官网技术参数或提供具有CMA资质的第三方检测机构</w:t>
            </w:r>
            <w:r>
              <w:rPr>
                <w:rFonts w:hint="eastAsia" w:ascii="宋体" w:hAnsi="宋体" w:eastAsia="仿宋" w:cs="宋体"/>
                <w:sz w:val="24"/>
                <w:highlight w:val="none"/>
              </w:rPr>
              <w:t>或国家认可的检测机构出具</w:t>
            </w:r>
            <w:r>
              <w:rPr>
                <w:rFonts w:hint="eastAsia" w:ascii="仿宋" w:hAnsi="仿宋" w:eastAsia="仿宋" w:cs="仿宋"/>
                <w:sz w:val="24"/>
                <w:highlight w:val="none"/>
                <w:shd w:val="clear" w:color="auto" w:fill="FFFFFF"/>
              </w:rPr>
              <w:t>的检测报告为依据</w:t>
            </w:r>
            <w:r>
              <w:rPr>
                <w:rFonts w:hint="eastAsia" w:ascii="仿宋" w:hAnsi="仿宋" w:eastAsia="仿宋" w:cs="仿宋"/>
                <w:sz w:val="24"/>
                <w:highlight w:val="none"/>
                <w:shd w:val="clear" w:color="auto" w:fill="FFFFFF"/>
                <w:lang w:val="zh-CN" w:bidi="zh-CN"/>
              </w:rPr>
              <w:t>证明其与需求</w:t>
            </w:r>
            <w:r>
              <w:rPr>
                <w:rFonts w:hint="eastAsia" w:ascii="仿宋" w:hAnsi="仿宋" w:eastAsia="仿宋" w:cs="仿宋"/>
                <w:sz w:val="24"/>
                <w:highlight w:val="none"/>
                <w:shd w:val="clear" w:color="auto" w:fill="FFFFFF"/>
                <w:lang w:eastAsia="zh-Hans" w:bidi="zh-CN"/>
              </w:rPr>
              <w:t>技术参数</w:t>
            </w:r>
            <w:r>
              <w:rPr>
                <w:rFonts w:hint="eastAsia" w:ascii="仿宋" w:hAnsi="仿宋" w:eastAsia="仿宋" w:cs="仿宋"/>
                <w:sz w:val="24"/>
                <w:highlight w:val="none"/>
                <w:shd w:val="clear" w:color="auto" w:fill="FFFFFF"/>
                <w:lang w:val="zh-CN" w:bidi="zh-CN"/>
              </w:rPr>
              <w:t>相符</w:t>
            </w:r>
            <w:r>
              <w:rPr>
                <w:rFonts w:hint="eastAsia" w:ascii="仿宋" w:hAnsi="仿宋" w:eastAsia="仿宋" w:cs="仿宋"/>
                <w:snapToGrid w:val="0"/>
                <w:sz w:val="24"/>
                <w:highlight w:val="none"/>
                <w:lang w:val="zh-CN"/>
              </w:rPr>
              <w:t>，</w:t>
            </w:r>
            <w:r>
              <w:rPr>
                <w:rFonts w:hint="eastAsia" w:ascii="仿宋" w:hAnsi="仿宋" w:eastAsia="仿宋" w:cs="仿宋"/>
                <w:bCs/>
                <w:sz w:val="24"/>
                <w:highlight w:val="none"/>
              </w:rPr>
              <w:t>每有1项未提供证明资料或证明资料不能体现满足采购需求的扣1分，36分扣完为止。</w:t>
            </w:r>
          </w:p>
        </w:tc>
        <w:tc>
          <w:tcPr>
            <w:tcW w:w="567" w:type="dxa"/>
            <w:tcBorders>
              <w:top w:val="single" w:color="auto" w:sz="4" w:space="0"/>
              <w:left w:val="single" w:color="auto" w:sz="4" w:space="0"/>
              <w:bottom w:val="single" w:color="auto" w:sz="4" w:space="0"/>
              <w:right w:val="single" w:color="auto" w:sz="4" w:space="0"/>
            </w:tcBorders>
            <w:vAlign w:val="center"/>
          </w:tcPr>
          <w:p w14:paraId="01F6A3FA">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36</w:t>
            </w:r>
          </w:p>
        </w:tc>
        <w:tc>
          <w:tcPr>
            <w:tcW w:w="851" w:type="dxa"/>
            <w:tcBorders>
              <w:top w:val="single" w:color="auto" w:sz="4" w:space="0"/>
              <w:left w:val="single" w:color="auto" w:sz="4" w:space="0"/>
              <w:bottom w:val="single" w:color="auto" w:sz="4" w:space="0"/>
              <w:right w:val="single" w:color="auto" w:sz="4" w:space="0"/>
            </w:tcBorders>
            <w:vAlign w:val="center"/>
          </w:tcPr>
          <w:p w14:paraId="569316F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52199D2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二、</w:t>
            </w:r>
            <w:r>
              <w:rPr>
                <w:rFonts w:hint="eastAsia" w:ascii="仿宋" w:hAnsi="仿宋" w:eastAsia="仿宋" w:cs="仿宋"/>
                <w:b/>
                <w:bCs/>
                <w:snapToGrid w:val="0"/>
                <w:sz w:val="24"/>
                <w:highlight w:val="none"/>
                <w:lang w:val="zh-CN"/>
              </w:rPr>
              <w:t>租赁产品的性能与需求的吻合程度</w:t>
            </w:r>
          </w:p>
        </w:tc>
      </w:tr>
      <w:tr w14:paraId="170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4024CF7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6275" w:type="dxa"/>
            <w:tcBorders>
              <w:top w:val="single" w:color="auto" w:sz="4" w:space="0"/>
              <w:left w:val="single" w:color="auto" w:sz="4" w:space="0"/>
              <w:bottom w:val="single" w:color="auto" w:sz="4" w:space="0"/>
              <w:right w:val="single" w:color="auto" w:sz="4" w:space="0"/>
            </w:tcBorders>
            <w:vAlign w:val="center"/>
          </w:tcPr>
          <w:p w14:paraId="4FC0D0F2">
            <w:pPr>
              <w:spacing w:line="360" w:lineRule="auto"/>
              <w:ind w:right="119" w:firstLine="84" w:firstLineChars="35"/>
              <w:rPr>
                <w:rFonts w:ascii="仿宋" w:hAnsi="仿宋" w:eastAsia="仿宋" w:cs="仿宋"/>
                <w:sz w:val="24"/>
                <w:highlight w:val="none"/>
              </w:rPr>
            </w:pPr>
            <w:r>
              <w:rPr>
                <w:rFonts w:hint="eastAsia" w:ascii="仿宋" w:hAnsi="仿宋" w:eastAsia="仿宋" w:cs="仿宋"/>
                <w:snapToGrid w:val="0"/>
                <w:sz w:val="24"/>
                <w:highlight w:val="none"/>
                <w:lang w:val="zh-CN"/>
              </w:rPr>
              <w:t>投标人</w:t>
            </w:r>
            <w:r>
              <w:rPr>
                <w:rFonts w:hint="eastAsia" w:ascii="仿宋" w:hAnsi="仿宋" w:eastAsia="仿宋" w:cs="仿宋"/>
                <w:sz w:val="24"/>
                <w:highlight w:val="none"/>
              </w:rPr>
              <w:t>针对本项目的培训情况，</w:t>
            </w:r>
            <w:r>
              <w:rPr>
                <w:rFonts w:hint="eastAsia" w:ascii="仿宋" w:hAnsi="仿宋" w:eastAsia="仿宋" w:cs="仿宋"/>
                <w:snapToGrid w:val="0"/>
                <w:sz w:val="24"/>
                <w:highlight w:val="none"/>
                <w:lang w:val="zh-CN"/>
              </w:rPr>
              <w:t>投标人</w:t>
            </w:r>
            <w:r>
              <w:rPr>
                <w:rFonts w:hint="eastAsia" w:ascii="仿宋" w:hAnsi="仿宋" w:eastAsia="仿宋" w:cs="仿宋"/>
                <w:sz w:val="24"/>
                <w:highlight w:val="none"/>
              </w:rPr>
              <w:t>承诺：</w:t>
            </w:r>
          </w:p>
          <w:p w14:paraId="3A5CE483">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①培训对象：系统操作人员、系统管理人员、系统运维人员。培训人数根据采购人要求确定（不少于一人）。</w:t>
            </w:r>
          </w:p>
          <w:p w14:paraId="2D13DB4C">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②培训方式：包括现场培训、课程培训；培训地点：培训地点由投标人与采购人共同协商确定。</w:t>
            </w:r>
          </w:p>
          <w:p w14:paraId="3E57E864">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③培训内容：培训内容包括系统架构及组成、系统功能模块及操作、系统日常管理、系统故障分析处理步骤、常见故障的排除及日常维护方法，所有培训以中文进行。</w:t>
            </w:r>
          </w:p>
          <w:p w14:paraId="6B25B0B3">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④培训师资：由投标人的专业工程师提供培训服务。</w:t>
            </w:r>
          </w:p>
          <w:p w14:paraId="169AE27C">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投标人提供承诺并符合要求的每一项得1分，不满足不得分，</w:t>
            </w:r>
            <w:r>
              <w:rPr>
                <w:rFonts w:hint="eastAsia" w:ascii="仿宋" w:hAnsi="仿宋" w:eastAsia="仿宋" w:cs="仿宋"/>
                <w:bCs/>
                <w:sz w:val="24"/>
                <w:highlight w:val="none"/>
              </w:rPr>
              <w:t>最高得4分。</w:t>
            </w:r>
          </w:p>
        </w:tc>
        <w:tc>
          <w:tcPr>
            <w:tcW w:w="567" w:type="dxa"/>
            <w:tcBorders>
              <w:top w:val="single" w:color="auto" w:sz="4" w:space="0"/>
              <w:left w:val="single" w:color="auto" w:sz="4" w:space="0"/>
              <w:bottom w:val="single" w:color="auto" w:sz="4" w:space="0"/>
              <w:right w:val="single" w:color="auto" w:sz="4" w:space="0"/>
            </w:tcBorders>
            <w:vAlign w:val="center"/>
          </w:tcPr>
          <w:p w14:paraId="1914E7F3">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14:paraId="3307EAD5">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7AE1E113">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三、培训方案</w:t>
            </w:r>
          </w:p>
        </w:tc>
      </w:tr>
      <w:tr w14:paraId="4C80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75A54D7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6275" w:type="dxa"/>
            <w:tcBorders>
              <w:top w:val="single" w:color="auto" w:sz="4" w:space="0"/>
              <w:left w:val="single" w:color="auto" w:sz="4" w:space="0"/>
              <w:bottom w:val="single" w:color="auto" w:sz="4" w:space="0"/>
              <w:right w:val="single" w:color="auto" w:sz="4" w:space="0"/>
            </w:tcBorders>
            <w:vAlign w:val="center"/>
          </w:tcPr>
          <w:p w14:paraId="7726342B">
            <w:pPr>
              <w:spacing w:line="360" w:lineRule="auto"/>
              <w:ind w:right="119" w:firstLine="235" w:firstLineChars="98"/>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投标人针对本项目的服务承诺情况，投标人承诺：</w:t>
            </w:r>
          </w:p>
          <w:p w14:paraId="0B571AA4">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①投标人在租赁服务期内安装的任何产品，必须是其租赁产品制造厂商原产的。满足采购人的使用需求，并具有可靠的服务体系，质量可靠、使用安全。</w:t>
            </w:r>
            <w:r>
              <w:rPr>
                <w:rFonts w:hint="eastAsia" w:ascii="宋体" w:hAnsi="宋体" w:eastAsia="仿宋" w:cs="宋体"/>
                <w:sz w:val="24"/>
                <w:highlight w:val="none"/>
              </w:rPr>
              <w:t>本项目服务期结束后，服务器存储硬盘内所存储数据需根据采购人要求做好迁移及清理工作。</w:t>
            </w:r>
          </w:p>
          <w:p w14:paraId="00D12961">
            <w:pPr>
              <w:spacing w:line="360" w:lineRule="auto"/>
              <w:ind w:right="119" w:firstLine="235" w:firstLineChars="98"/>
              <w:jc w:val="left"/>
              <w:rPr>
                <w:rFonts w:ascii="宋体" w:hAnsi="宋体" w:eastAsia="仿宋" w:cs="宋体"/>
                <w:sz w:val="24"/>
                <w:highlight w:val="none"/>
              </w:rPr>
            </w:pPr>
            <w:r>
              <w:rPr>
                <w:rFonts w:hint="eastAsia" w:ascii="仿宋" w:hAnsi="仿宋" w:eastAsia="仿宋" w:cs="仿宋"/>
                <w:sz w:val="24"/>
                <w:highlight w:val="none"/>
              </w:rPr>
              <w:t>②</w:t>
            </w:r>
            <w:r>
              <w:rPr>
                <w:rFonts w:hint="eastAsia" w:ascii="宋体" w:hAnsi="宋体" w:eastAsia="仿宋" w:cs="宋体"/>
                <w:sz w:val="24"/>
                <w:highlight w:val="none"/>
              </w:rPr>
              <w:t>在租赁服务期内，公安交通集成指挥平台核心版系统软件的技术架构、逻辑架构、视频联网架构应遵循《公安交通集成指挥平台技术实施方案》、《深化公安交通集成指挥平台建设方案》。同时，如遇公安部交管局集指平台版本升级及软件补丁发布，应提供系统软件更新、补丁修复服务。投标人保证其提供的产品中所有预装和为本项目安装的软件均为具有合法版权或使用权的正版软件且无质量瑕疵。</w:t>
            </w:r>
          </w:p>
          <w:p w14:paraId="08A768ED">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③</w:t>
            </w:r>
            <w:r>
              <w:rPr>
                <w:rFonts w:hint="eastAsia" w:ascii="宋体" w:hAnsi="宋体" w:eastAsia="仿宋" w:cs="宋体"/>
                <w:sz w:val="24"/>
                <w:highlight w:val="none"/>
              </w:rPr>
              <w:t>在租赁期内，提供7*24小时服务。对设备和软件系统故障在10分钟内响应，半小时内到达现场，2小时提出解决方案，4小时内排除故障并解决所提供的投标设备和软件系统的任何问题。逾期未排除故障，投标人应提供备用设备并承担由于故障所造成的全部损失。</w:t>
            </w:r>
          </w:p>
          <w:p w14:paraId="49206AD5">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t>④</w:t>
            </w:r>
            <w:r>
              <w:rPr>
                <w:rFonts w:hint="eastAsia" w:ascii="宋体" w:hAnsi="宋体" w:eastAsia="仿宋" w:cs="宋体"/>
                <w:sz w:val="24"/>
                <w:highlight w:val="none"/>
              </w:rPr>
              <w:t>投标人的项目组人员对系统运行情况每周进行巡检，并建立巡检台账。根据招标文件或合同须在规定时间内提交的文档资料、采购人交办的工作、监理单位出具监理工程师通知单须供应商配合完成。维护记录表须填写完整，不弄虚作假。投标人每月租赁月报于次月15日前出具，服务期满后，15日内出具租赁总结报告。</w:t>
            </w:r>
          </w:p>
          <w:p w14:paraId="1206AA6D">
            <w:pPr>
              <w:spacing w:line="360" w:lineRule="auto"/>
              <w:ind w:right="119" w:firstLine="235" w:firstLineChars="98"/>
              <w:rPr>
                <w:rFonts w:ascii="宋体" w:hAnsi="宋体" w:eastAsia="仿宋" w:cs="宋体"/>
                <w:sz w:val="24"/>
                <w:highlight w:val="none"/>
              </w:rPr>
            </w:pPr>
            <w:r>
              <w:rPr>
                <w:rFonts w:hint="eastAsia" w:ascii="仿宋" w:hAnsi="仿宋" w:eastAsia="仿宋" w:cs="仿宋"/>
                <w:sz w:val="24"/>
                <w:highlight w:val="none"/>
              </w:rPr>
              <w:t>⑤承诺</w:t>
            </w:r>
            <w:r>
              <w:rPr>
                <w:rFonts w:hint="eastAsia" w:ascii="宋体" w:hAnsi="宋体" w:eastAsia="仿宋" w:cs="宋体"/>
                <w:sz w:val="24"/>
                <w:highlight w:val="none"/>
              </w:rPr>
              <w:t>发生因服务质量问题造成上级部门检查不合格，采购人无法正常工作，发生重大设备损坏导致现场无法及时处理，引起二次事故造成后果的，发生因服务质量问题引起媒体曝光，造成社会不良影响的投标人应及时处理。</w:t>
            </w:r>
          </w:p>
          <w:p w14:paraId="6137226F">
            <w:pPr>
              <w:spacing w:line="360" w:lineRule="auto"/>
              <w:ind w:right="119" w:firstLine="235" w:firstLineChars="98"/>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6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⑥</w:t>
            </w:r>
            <w:r>
              <w:rPr>
                <w:rFonts w:hint="eastAsia" w:ascii="仿宋" w:hAnsi="仿宋" w:eastAsia="仿宋" w:cs="仿宋"/>
                <w:sz w:val="24"/>
                <w:highlight w:val="none"/>
              </w:rPr>
              <w:fldChar w:fldCharType="end"/>
            </w:r>
            <w:r>
              <w:rPr>
                <w:rFonts w:hint="eastAsia" w:ascii="仿宋" w:hAnsi="仿宋" w:eastAsia="仿宋" w:cs="仿宋"/>
                <w:sz w:val="24"/>
                <w:highlight w:val="none"/>
              </w:rPr>
              <w:t>承诺</w:t>
            </w:r>
            <w:r>
              <w:rPr>
                <w:rFonts w:hint="eastAsia" w:ascii="宋体" w:hAnsi="宋体" w:eastAsia="仿宋" w:cs="宋体"/>
                <w:sz w:val="24"/>
                <w:highlight w:val="none"/>
              </w:rPr>
              <w:t>投标人在合同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19ADC50C">
            <w:pPr>
              <w:spacing w:line="360" w:lineRule="auto"/>
              <w:ind w:right="119" w:firstLine="235" w:firstLineChars="98"/>
              <w:rPr>
                <w:rFonts w:ascii="仿宋" w:hAnsi="仿宋" w:eastAsia="仿宋" w:cs="仿宋"/>
                <w:color w:val="0000FF"/>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7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⑦</w:t>
            </w:r>
            <w:r>
              <w:rPr>
                <w:rFonts w:hint="eastAsia" w:ascii="仿宋" w:hAnsi="仿宋" w:eastAsia="仿宋" w:cs="仿宋"/>
                <w:sz w:val="24"/>
                <w:highlight w:val="none"/>
              </w:rPr>
              <w:fldChar w:fldCharType="end"/>
            </w:r>
            <w:r>
              <w:rPr>
                <w:rFonts w:hint="eastAsia" w:ascii="仿宋" w:hAnsi="仿宋" w:eastAsia="仿宋" w:cs="仿宋"/>
                <w:sz w:val="24"/>
                <w:highlight w:val="none"/>
              </w:rPr>
              <w:t>承诺</w:t>
            </w:r>
            <w:r>
              <w:rPr>
                <w:rFonts w:hint="eastAsia" w:ascii="宋体" w:hAnsi="宋体" w:eastAsia="仿宋" w:cs="宋体"/>
                <w:sz w:val="24"/>
                <w:highlight w:val="none"/>
              </w:rPr>
              <w:t>本项目需在服务期结束前通过第三方检测（软件部分）及网络安全等级保护三级；根据商用密码应用安全管理要求，在服务期结束后完成商用密码应用测评和信创测评，投标人需做好相关检测和测评的配合工作，如因投标人原因符合要求的，需负责整改到位。</w:t>
            </w:r>
          </w:p>
          <w:p w14:paraId="175765E9">
            <w:pPr>
              <w:spacing w:line="360" w:lineRule="auto"/>
              <w:ind w:right="119" w:firstLine="235" w:firstLineChars="98"/>
              <w:rPr>
                <w:rFonts w:ascii="仿宋" w:hAnsi="仿宋" w:eastAsia="仿宋" w:cs="仿宋"/>
                <w:sz w:val="24"/>
                <w:highlight w:val="none"/>
              </w:rPr>
            </w:pPr>
            <w:r>
              <w:rPr>
                <w:rFonts w:hint="eastAsia" w:ascii="宋体" w:hAnsi="宋体" w:eastAsia="仿宋" w:cs="仿宋"/>
                <w:sz w:val="24"/>
                <w:highlight w:val="none"/>
              </w:rPr>
              <w:t>⑧</w:t>
            </w:r>
            <w:r>
              <w:rPr>
                <w:rFonts w:hint="eastAsia" w:ascii="仿宋" w:hAnsi="仿宋" w:eastAsia="仿宋" w:cs="仿宋"/>
                <w:sz w:val="24"/>
                <w:highlight w:val="none"/>
              </w:rPr>
              <w:t>承诺</w:t>
            </w:r>
            <w:r>
              <w:rPr>
                <w:rFonts w:hint="eastAsia" w:ascii="宋体" w:hAnsi="宋体" w:eastAsia="仿宋" w:cs="宋体"/>
                <w:bCs/>
                <w:sz w:val="24"/>
                <w:highlight w:val="none"/>
              </w:rPr>
              <w:t>对于本项目中的超融合应用服务一体机、大数据平台、视频服务网关、集成指挥平台升级服务一体机、负载均衡器1、负载均衡器2、融合调度网关一体机、数据处理一体机、数据库备份一体机、违法举报、道路交通信号“一见拍”系统，需根据信创要求，完成信创测评，如因投标人原因未符合要求的，需负责整改到位</w:t>
            </w:r>
            <w:r>
              <w:rPr>
                <w:rFonts w:hint="eastAsia" w:ascii="仿宋" w:hAnsi="仿宋" w:eastAsia="仿宋" w:cs="仿宋"/>
                <w:sz w:val="24"/>
                <w:highlight w:val="none"/>
              </w:rPr>
              <w:t>。投标人提供承诺并符合要求的每一项得3分，未提供或不符合的不得分，最高得24分。</w:t>
            </w:r>
          </w:p>
        </w:tc>
        <w:tc>
          <w:tcPr>
            <w:tcW w:w="567" w:type="dxa"/>
            <w:tcBorders>
              <w:top w:val="single" w:color="auto" w:sz="4" w:space="0"/>
              <w:left w:val="single" w:color="auto" w:sz="4" w:space="0"/>
              <w:bottom w:val="single" w:color="auto" w:sz="4" w:space="0"/>
              <w:right w:val="single" w:color="auto" w:sz="4" w:space="0"/>
            </w:tcBorders>
            <w:vAlign w:val="center"/>
          </w:tcPr>
          <w:p w14:paraId="3EB1B839">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24</w:t>
            </w:r>
          </w:p>
        </w:tc>
        <w:tc>
          <w:tcPr>
            <w:tcW w:w="851" w:type="dxa"/>
            <w:tcBorders>
              <w:top w:val="single" w:color="auto" w:sz="4" w:space="0"/>
              <w:left w:val="single" w:color="auto" w:sz="4" w:space="0"/>
              <w:bottom w:val="single" w:color="auto" w:sz="4" w:space="0"/>
              <w:right w:val="single" w:color="auto" w:sz="4" w:space="0"/>
            </w:tcBorders>
            <w:vAlign w:val="center"/>
          </w:tcPr>
          <w:p w14:paraId="49E2A083">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1B86D38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四、服务承诺</w:t>
            </w:r>
          </w:p>
        </w:tc>
      </w:tr>
      <w:tr w14:paraId="340F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11D6259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6275" w:type="dxa"/>
            <w:tcBorders>
              <w:top w:val="single" w:color="auto" w:sz="4" w:space="0"/>
              <w:left w:val="single" w:color="auto" w:sz="4" w:space="0"/>
              <w:bottom w:val="single" w:color="auto" w:sz="4" w:space="0"/>
              <w:right w:val="single" w:color="auto" w:sz="4" w:space="0"/>
            </w:tcBorders>
            <w:vAlign w:val="center"/>
          </w:tcPr>
          <w:p w14:paraId="43C9F1DF">
            <w:pPr>
              <w:autoSpaceDE w:val="0"/>
              <w:autoSpaceDN w:val="0"/>
              <w:spacing w:line="360" w:lineRule="auto"/>
              <w:rPr>
                <w:rFonts w:ascii="仿宋" w:hAnsi="仿宋" w:eastAsia="仿宋" w:cs="仿宋"/>
                <w:snapToGrid w:val="0"/>
                <w:sz w:val="24"/>
                <w:highlight w:val="none"/>
                <w:lang w:bidi="ar"/>
              </w:rPr>
            </w:pPr>
            <w:r>
              <w:rPr>
                <w:rFonts w:hint="eastAsia" w:ascii="仿宋" w:hAnsi="仿宋" w:eastAsia="仿宋" w:cs="仿宋"/>
                <w:snapToGrid w:val="0"/>
                <w:sz w:val="24"/>
                <w:highlight w:val="none"/>
                <w:lang w:val="zh-CN"/>
              </w:rPr>
              <w:t>本项目拟派</w:t>
            </w:r>
            <w:r>
              <w:rPr>
                <w:rFonts w:hint="eastAsia" w:ascii="仿宋" w:hAnsi="仿宋" w:eastAsia="仿宋" w:cs="仿宋"/>
                <w:b/>
                <w:snapToGrid w:val="0"/>
                <w:sz w:val="24"/>
                <w:highlight w:val="none"/>
                <w:lang w:val="zh-CN" w:bidi="ar"/>
              </w:rPr>
              <w:t>项目组人员情况：</w:t>
            </w:r>
          </w:p>
          <w:p w14:paraId="693E6C6F">
            <w:pPr>
              <w:spacing w:line="360" w:lineRule="auto"/>
              <w:ind w:firstLine="158" w:firstLineChars="66"/>
              <w:rPr>
                <w:rFonts w:ascii="仿宋" w:hAnsi="仿宋" w:eastAsia="仿宋" w:cs="仿宋"/>
                <w:sz w:val="24"/>
                <w:highlight w:val="none"/>
                <w:lang w:bidi="ar"/>
              </w:rPr>
            </w:pPr>
            <w:r>
              <w:rPr>
                <w:rFonts w:hint="eastAsia" w:ascii="仿宋" w:hAnsi="仿宋" w:eastAsia="仿宋" w:cs="仿宋"/>
                <w:sz w:val="24"/>
                <w:highlight w:val="none"/>
                <w:lang w:bidi="ar"/>
              </w:rPr>
              <w:fldChar w:fldCharType="begin"/>
            </w:r>
            <w:r>
              <w:rPr>
                <w:rFonts w:hint="eastAsia" w:ascii="仿宋" w:hAnsi="仿宋" w:eastAsia="仿宋" w:cs="仿宋"/>
                <w:sz w:val="24"/>
                <w:highlight w:val="none"/>
                <w:lang w:bidi="ar"/>
              </w:rPr>
              <w:instrText xml:space="preserve"> = 1 \* GB3 </w:instrText>
            </w:r>
            <w:r>
              <w:rPr>
                <w:rFonts w:hint="eastAsia" w:ascii="仿宋" w:hAnsi="仿宋" w:eastAsia="仿宋" w:cs="仿宋"/>
                <w:sz w:val="24"/>
                <w:highlight w:val="none"/>
                <w:lang w:bidi="ar"/>
              </w:rPr>
              <w:fldChar w:fldCharType="separate"/>
            </w:r>
            <w:r>
              <w:rPr>
                <w:rFonts w:hint="eastAsia" w:ascii="仿宋" w:hAnsi="仿宋" w:eastAsia="仿宋" w:cs="仿宋"/>
                <w:sz w:val="24"/>
                <w:highlight w:val="none"/>
                <w:lang w:bidi="ar"/>
              </w:rPr>
              <w:t>①</w:t>
            </w:r>
            <w:r>
              <w:rPr>
                <w:rFonts w:hint="eastAsia" w:ascii="仿宋" w:hAnsi="仿宋" w:eastAsia="仿宋" w:cs="仿宋"/>
                <w:sz w:val="24"/>
                <w:highlight w:val="none"/>
                <w:lang w:bidi="ar"/>
              </w:rPr>
              <w:fldChar w:fldCharType="end"/>
            </w:r>
            <w:r>
              <w:rPr>
                <w:rFonts w:hint="eastAsia" w:ascii="仿宋" w:hAnsi="仿宋" w:eastAsia="仿宋" w:cs="仿宋"/>
                <w:sz w:val="24"/>
                <w:highlight w:val="none"/>
                <w:lang w:bidi="ar"/>
              </w:rPr>
              <w:t>项目服务团队提供3名服务人员（包含1名项目负责人），得2分；</w:t>
            </w:r>
          </w:p>
          <w:p w14:paraId="2F4519EC">
            <w:pPr>
              <w:spacing w:line="360" w:lineRule="auto"/>
              <w:ind w:firstLine="158" w:firstLineChars="66"/>
              <w:rPr>
                <w:rFonts w:ascii="仿宋" w:hAnsi="仿宋" w:eastAsia="仿宋" w:cs="仿宋"/>
                <w:kern w:val="0"/>
                <w:sz w:val="24"/>
                <w:highlight w:val="none"/>
              </w:rPr>
            </w:pPr>
            <w:r>
              <w:rPr>
                <w:rFonts w:hint="eastAsia" w:ascii="仿宋" w:hAnsi="仿宋" w:eastAsia="仿宋" w:cs="仿宋"/>
                <w:sz w:val="24"/>
                <w:highlight w:val="none"/>
                <w:lang w:bidi="ar"/>
              </w:rPr>
              <w:t>②项目服务团队</w:t>
            </w:r>
            <w:r>
              <w:rPr>
                <w:rFonts w:hint="eastAsia" w:ascii="仿宋" w:hAnsi="仿宋" w:eastAsia="仿宋" w:cs="仿宋"/>
                <w:kern w:val="0"/>
                <w:sz w:val="24"/>
                <w:highlight w:val="none"/>
              </w:rPr>
              <w:t>人员年龄均在55周岁（含）以下（提供身份证），且均具有大专及以上学历(提供学历证明)的，得2分；</w:t>
            </w:r>
          </w:p>
          <w:p w14:paraId="61CCE5DD">
            <w:pPr>
              <w:spacing w:line="360" w:lineRule="auto"/>
              <w:ind w:firstLine="158" w:firstLineChars="66"/>
              <w:rPr>
                <w:rFonts w:ascii="仿宋" w:hAnsi="仿宋" w:eastAsia="仿宋" w:cs="仿宋"/>
                <w:sz w:val="24"/>
                <w:highlight w:val="none"/>
                <w:lang w:bidi="ar"/>
              </w:rPr>
            </w:pPr>
            <w:r>
              <w:rPr>
                <w:rFonts w:hint="eastAsia" w:ascii="仿宋" w:hAnsi="仿宋" w:eastAsia="仿宋" w:cs="仿宋"/>
                <w:sz w:val="24"/>
                <w:highlight w:val="none"/>
                <w:lang w:bidi="ar"/>
              </w:rPr>
              <w:t>③项目服务团队人员均具有信息化软硬件运维项目经验的</w:t>
            </w:r>
            <w:r>
              <w:rPr>
                <w:rFonts w:hint="eastAsia" w:ascii="仿宋" w:hAnsi="仿宋" w:eastAsia="仿宋" w:cs="仿宋"/>
                <w:bCs/>
                <w:sz w:val="24"/>
                <w:highlight w:val="none"/>
              </w:rPr>
              <w:t>（提供业绩合同，若业绩合同无法体现姓名，须提供业主证明），</w:t>
            </w:r>
            <w:r>
              <w:rPr>
                <w:rFonts w:hint="eastAsia" w:ascii="仿宋" w:hAnsi="仿宋" w:eastAsia="仿宋" w:cs="仿宋"/>
                <w:sz w:val="24"/>
                <w:highlight w:val="none"/>
                <w:lang w:bidi="ar"/>
              </w:rPr>
              <w:t>得2分；</w:t>
            </w:r>
          </w:p>
          <w:p w14:paraId="59569B1D">
            <w:pPr>
              <w:spacing w:line="360" w:lineRule="auto"/>
              <w:ind w:firstLine="158" w:firstLineChars="66"/>
              <w:rPr>
                <w:rFonts w:ascii="仿宋" w:hAnsi="仿宋" w:eastAsia="仿宋" w:cs="仿宋"/>
                <w:sz w:val="24"/>
                <w:highlight w:val="none"/>
                <w:lang w:bidi="ar"/>
              </w:rPr>
            </w:pPr>
            <w:r>
              <w:rPr>
                <w:rFonts w:hint="eastAsia" w:ascii="仿宋" w:hAnsi="仿宋" w:eastAsia="仿宋" w:cs="仿宋"/>
                <w:sz w:val="24"/>
                <w:highlight w:val="none"/>
              </w:rPr>
              <w:fldChar w:fldCharType="begin"/>
            </w:r>
            <w:r>
              <w:rPr>
                <w:rFonts w:hint="eastAsia" w:ascii="仿宋" w:hAnsi="仿宋" w:eastAsia="仿宋" w:cs="仿宋"/>
                <w:sz w:val="24"/>
                <w:highlight w:val="none"/>
                <w:lang w:bidi="ar"/>
              </w:rPr>
              <w:instrText xml:space="preserve"> = 4 \* GB3 \* MERGEFORMAT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④</w:t>
            </w:r>
            <w:r>
              <w:rPr>
                <w:rFonts w:hint="eastAsia" w:ascii="仿宋" w:hAnsi="仿宋" w:eastAsia="仿宋" w:cs="仿宋"/>
                <w:sz w:val="24"/>
                <w:highlight w:val="none"/>
              </w:rPr>
              <w:fldChar w:fldCharType="end"/>
            </w:r>
            <w:r>
              <w:rPr>
                <w:rFonts w:hint="eastAsia" w:ascii="仿宋" w:hAnsi="仿宋" w:eastAsia="仿宋" w:cs="仿宋"/>
                <w:sz w:val="24"/>
                <w:highlight w:val="none"/>
                <w:lang w:bidi="ar"/>
              </w:rPr>
              <w:t>项目负责人具有计算机技术与软件专业技术资格（系统集成项目管理工程师证书）证书的，得1分；</w:t>
            </w:r>
          </w:p>
          <w:p w14:paraId="63A89827">
            <w:pPr>
              <w:spacing w:line="360" w:lineRule="auto"/>
              <w:rPr>
                <w:rFonts w:ascii="仿宋" w:hAnsi="仿宋" w:eastAsia="仿宋" w:cs="仿宋"/>
                <w:sz w:val="24"/>
                <w:highlight w:val="none"/>
                <w:lang w:bidi="ar"/>
              </w:rPr>
            </w:pPr>
            <w:r>
              <w:rPr>
                <w:rFonts w:hint="eastAsia" w:ascii="仿宋" w:hAnsi="仿宋" w:eastAsia="仿宋" w:cs="仿宋"/>
                <w:sz w:val="24"/>
                <w:highlight w:val="none"/>
              </w:rPr>
              <w:fldChar w:fldCharType="begin"/>
            </w:r>
            <w:r>
              <w:rPr>
                <w:rFonts w:hint="eastAsia" w:ascii="仿宋" w:hAnsi="仿宋" w:eastAsia="仿宋" w:cs="仿宋"/>
                <w:sz w:val="24"/>
                <w:highlight w:val="none"/>
                <w:lang w:bidi="ar"/>
              </w:rPr>
              <w:instrText xml:space="preserve"> = 5 \* GB3 \* MERGEFORMAT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⑤</w:t>
            </w:r>
            <w:r>
              <w:rPr>
                <w:rFonts w:hint="eastAsia" w:ascii="仿宋" w:hAnsi="仿宋" w:eastAsia="仿宋" w:cs="仿宋"/>
                <w:sz w:val="24"/>
                <w:highlight w:val="none"/>
              </w:rPr>
              <w:fldChar w:fldCharType="end"/>
            </w:r>
            <w:r>
              <w:rPr>
                <w:rFonts w:hint="eastAsia" w:ascii="仿宋" w:hAnsi="仿宋" w:eastAsia="仿宋" w:cs="仿宋"/>
                <w:sz w:val="24"/>
                <w:highlight w:val="none"/>
              </w:rPr>
              <w:t>项目服务团队中</w:t>
            </w:r>
            <w:r>
              <w:rPr>
                <w:rFonts w:hint="eastAsia" w:ascii="仿宋" w:hAnsi="仿宋" w:eastAsia="仿宋" w:cs="仿宋"/>
                <w:sz w:val="24"/>
                <w:highlight w:val="none"/>
                <w:lang w:bidi="ar"/>
              </w:rPr>
              <w:t>技术人员</w:t>
            </w:r>
            <w:r>
              <w:rPr>
                <w:rFonts w:hint="eastAsia" w:ascii="仿宋" w:hAnsi="仿宋" w:eastAsia="仿宋" w:cs="仿宋"/>
                <w:sz w:val="24"/>
                <w:highlight w:val="none"/>
              </w:rPr>
              <w:t>（除项目负责人）</w:t>
            </w:r>
            <w:r>
              <w:rPr>
                <w:rFonts w:hint="eastAsia" w:ascii="仿宋" w:hAnsi="仿宋" w:eastAsia="仿宋" w:cs="仿宋"/>
                <w:sz w:val="24"/>
                <w:highlight w:val="none"/>
                <w:lang w:bidi="ar"/>
              </w:rPr>
              <w:t>均具有计算机技术与软件专业技术资格（软件设计师证书）的，每1人得1分，最高得2分；</w:t>
            </w:r>
          </w:p>
          <w:p w14:paraId="61B3DA95">
            <w:pPr>
              <w:spacing w:line="360" w:lineRule="auto"/>
              <w:ind w:firstLine="159" w:firstLineChars="66"/>
              <w:rPr>
                <w:rFonts w:ascii="仿宋" w:hAnsi="仿宋" w:eastAsia="仿宋" w:cs="仿宋"/>
                <w:sz w:val="24"/>
                <w:highlight w:val="none"/>
              </w:rPr>
            </w:pPr>
            <w:r>
              <w:rPr>
                <w:rFonts w:hint="eastAsia" w:ascii="仿宋" w:hAnsi="仿宋" w:eastAsia="仿宋" w:cs="仿宋"/>
                <w:b/>
                <w:bCs/>
                <w:sz w:val="24"/>
                <w:highlight w:val="none"/>
              </w:rPr>
              <w:t>本项最高得9分。</w:t>
            </w:r>
            <w:r>
              <w:rPr>
                <w:rFonts w:hint="eastAsia" w:ascii="仿宋" w:hAnsi="仿宋" w:eastAsia="仿宋" w:cs="仿宋"/>
                <w:sz w:val="24"/>
                <w:highlight w:val="none"/>
                <w:lang w:val="zh-CN"/>
              </w:rPr>
              <w:t>（</w:t>
            </w:r>
            <w:r>
              <w:rPr>
                <w:rFonts w:hint="eastAsia" w:ascii="仿宋" w:hAnsi="仿宋" w:eastAsia="仿宋" w:cs="仿宋"/>
                <w:sz w:val="24"/>
                <w:highlight w:val="none"/>
              </w:rPr>
              <w:t>上述人员须</w:t>
            </w:r>
            <w:r>
              <w:rPr>
                <w:rFonts w:hint="eastAsia" w:ascii="仿宋" w:hAnsi="仿宋" w:eastAsia="仿宋" w:cs="仿宋"/>
                <w:sz w:val="24"/>
                <w:highlight w:val="none"/>
                <w:lang w:val="zh-CN"/>
              </w:rPr>
              <w:t>提供社保缴纳证明材料，不提供不得分）</w:t>
            </w:r>
          </w:p>
        </w:tc>
        <w:tc>
          <w:tcPr>
            <w:tcW w:w="567" w:type="dxa"/>
            <w:tcBorders>
              <w:top w:val="single" w:color="auto" w:sz="4" w:space="0"/>
              <w:left w:val="single" w:color="auto" w:sz="4" w:space="0"/>
              <w:bottom w:val="single" w:color="auto" w:sz="4" w:space="0"/>
              <w:right w:val="single" w:color="auto" w:sz="4" w:space="0"/>
            </w:tcBorders>
            <w:vAlign w:val="center"/>
          </w:tcPr>
          <w:p w14:paraId="391386B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9</w:t>
            </w:r>
          </w:p>
        </w:tc>
        <w:tc>
          <w:tcPr>
            <w:tcW w:w="851" w:type="dxa"/>
            <w:tcBorders>
              <w:top w:val="single" w:color="auto" w:sz="4" w:space="0"/>
              <w:left w:val="single" w:color="auto" w:sz="4" w:space="0"/>
              <w:bottom w:val="single" w:color="auto" w:sz="4" w:space="0"/>
              <w:right w:val="single" w:color="auto" w:sz="4" w:space="0"/>
            </w:tcBorders>
            <w:vAlign w:val="center"/>
          </w:tcPr>
          <w:p w14:paraId="3584656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122552BD">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五、项目组人员情况</w:t>
            </w:r>
          </w:p>
        </w:tc>
      </w:tr>
      <w:tr w14:paraId="544F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66ABCD8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6275" w:type="dxa"/>
            <w:tcBorders>
              <w:top w:val="single" w:color="auto" w:sz="4" w:space="0"/>
              <w:left w:val="single" w:color="auto" w:sz="4" w:space="0"/>
              <w:bottom w:val="single" w:color="auto" w:sz="4" w:space="0"/>
              <w:right w:val="single" w:color="auto" w:sz="4" w:space="0"/>
            </w:tcBorders>
            <w:vAlign w:val="center"/>
          </w:tcPr>
          <w:p w14:paraId="3C4EB77E">
            <w:pPr>
              <w:spacing w:line="360"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投标人承诺：</w:t>
            </w:r>
          </w:p>
          <w:p w14:paraId="0210B796">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（1）明确投标人法定代表人为合作事项网络安全第一责任人，具体承担合作事项的部门主要负责人为直接责任人。</w:t>
            </w:r>
          </w:p>
          <w:p w14:paraId="5B5C9723">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（2）未经采购人书面同意不得分包合同任务。</w:t>
            </w:r>
          </w:p>
          <w:p w14:paraId="334CFE2E">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（3）投标人应制订与合作事项相关的网络安全保障方案和网络安全事件应急预案。</w:t>
            </w:r>
          </w:p>
          <w:p w14:paraId="261BE061">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（4）投标人发现网络安全漏洞、缺陷或者其他严重网络安全风险，应及时向采购人报告。</w:t>
            </w:r>
          </w:p>
          <w:p w14:paraId="5A2381EC">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（5）处理合作事项的信息平台应当优先采用符合安全可靠测评要求的硬件和软件产品。</w:t>
            </w:r>
          </w:p>
          <w:p w14:paraId="0536FEC3">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（6）发生可能影响合作事项的网络安全重大事项，包括负责人及重要工作人员变更、业务转型、合并重组和投资并购等，投标人应提前向采购人报告。</w:t>
            </w:r>
          </w:p>
          <w:p w14:paraId="0766B6A2">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5BC9C826">
            <w:pPr>
              <w:spacing w:line="360" w:lineRule="auto"/>
              <w:ind w:right="119" w:firstLine="84" w:firstLineChars="35"/>
              <w:rPr>
                <w:rFonts w:ascii="仿宋" w:hAnsi="仿宋" w:eastAsia="仿宋" w:cs="仿宋"/>
                <w:bCs/>
                <w:sz w:val="24"/>
                <w:highlight w:val="none"/>
              </w:rPr>
            </w:pPr>
            <w:r>
              <w:rPr>
                <w:rFonts w:hint="eastAsia" w:ascii="仿宋" w:hAnsi="仿宋" w:eastAsia="仿宋" w:cs="仿宋"/>
                <w:bCs/>
                <w:sz w:val="24"/>
                <w:highlight w:val="none"/>
              </w:rPr>
              <w:t>（8）投标人应于2026年8月1日之前向采购人提交网络安全报告。</w:t>
            </w:r>
          </w:p>
          <w:p w14:paraId="444A6C94">
            <w:pPr>
              <w:spacing w:line="360" w:lineRule="auto"/>
              <w:ind w:right="119" w:firstLine="84" w:firstLineChars="35"/>
              <w:rPr>
                <w:rFonts w:ascii="仿宋" w:hAnsi="仿宋" w:eastAsia="仿宋" w:cs="仿宋"/>
                <w:sz w:val="24"/>
                <w:highlight w:val="none"/>
              </w:rPr>
            </w:pPr>
            <w:r>
              <w:rPr>
                <w:rFonts w:hint="eastAsia" w:ascii="仿宋" w:hAnsi="仿宋" w:eastAsia="仿宋" w:cs="仿宋"/>
                <w:bCs/>
                <w:sz w:val="24"/>
                <w:highlight w:val="none"/>
              </w:rPr>
              <w:t>（9）其他应当落实的网络安全责任和义务。</w:t>
            </w:r>
          </w:p>
          <w:p w14:paraId="2305364F">
            <w:pPr>
              <w:spacing w:line="360"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napToGrid w:val="0"/>
                <w:sz w:val="24"/>
                <w:highlight w:val="none"/>
                <w:lang w:val="zh-CN"/>
              </w:rPr>
              <w:t>投标人提供承诺并全部满足的得2分，不满足不得分</w:t>
            </w:r>
            <w:r>
              <w:rPr>
                <w:rFonts w:hint="eastAsia" w:ascii="仿宋" w:hAnsi="仿宋" w:eastAsia="仿宋" w:cs="仿宋"/>
                <w:b/>
                <w:bCs/>
                <w:snapToGrid w:val="0"/>
                <w:sz w:val="24"/>
                <w:highlight w:val="none"/>
                <w:lang w:val="zh-CN"/>
              </w:rPr>
              <w:t>。</w:t>
            </w:r>
          </w:p>
        </w:tc>
        <w:tc>
          <w:tcPr>
            <w:tcW w:w="567" w:type="dxa"/>
            <w:tcBorders>
              <w:top w:val="single" w:color="auto" w:sz="4" w:space="0"/>
              <w:left w:val="single" w:color="auto" w:sz="4" w:space="0"/>
              <w:bottom w:val="single" w:color="auto" w:sz="4" w:space="0"/>
              <w:right w:val="single" w:color="auto" w:sz="4" w:space="0"/>
            </w:tcBorders>
            <w:vAlign w:val="center"/>
          </w:tcPr>
          <w:p w14:paraId="73F80FDC">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140D47FC">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1F0309AA">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六、网络安全责任与义务承诺</w:t>
            </w:r>
          </w:p>
        </w:tc>
      </w:tr>
      <w:tr w14:paraId="7E82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00E6CC7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6275" w:type="dxa"/>
            <w:tcBorders>
              <w:top w:val="single" w:color="auto" w:sz="4" w:space="0"/>
              <w:left w:val="single" w:color="auto" w:sz="4" w:space="0"/>
              <w:bottom w:val="single" w:color="auto" w:sz="4" w:space="0"/>
              <w:right w:val="single" w:color="auto" w:sz="4" w:space="0"/>
            </w:tcBorders>
            <w:vAlign w:val="center"/>
          </w:tcPr>
          <w:p w14:paraId="6527D545">
            <w:pPr>
              <w:spacing w:line="360" w:lineRule="auto"/>
              <w:ind w:right="119" w:firstLine="84" w:firstLineChars="35"/>
              <w:rPr>
                <w:rFonts w:ascii="仿宋" w:hAnsi="仿宋" w:eastAsia="仿宋" w:cs="仿宋"/>
                <w:snapToGrid w:val="0"/>
                <w:sz w:val="24"/>
                <w:highlight w:val="none"/>
                <w:lang w:val="zh-CN"/>
              </w:rPr>
            </w:pPr>
            <w:r>
              <w:rPr>
                <w:rFonts w:hint="eastAsia" w:ascii="仿宋" w:hAnsi="仿宋" w:eastAsia="仿宋" w:cs="仿宋"/>
                <w:sz w:val="24"/>
                <w:highlight w:val="none"/>
              </w:rPr>
              <w:t>投标人针对本项目的保密情况，投标人承诺保密按照采购需求实施，对工作人员开展常态化安全保密教育，组织签订保密协议、安全保密承诺书，履行具体安全管理内容、安全保密义务和责任等。满足的得2分，不满足不得分，最高得2分。</w:t>
            </w:r>
          </w:p>
        </w:tc>
        <w:tc>
          <w:tcPr>
            <w:tcW w:w="567" w:type="dxa"/>
            <w:tcBorders>
              <w:top w:val="single" w:color="auto" w:sz="4" w:space="0"/>
              <w:left w:val="single" w:color="auto" w:sz="4" w:space="0"/>
              <w:bottom w:val="single" w:color="auto" w:sz="4" w:space="0"/>
              <w:right w:val="single" w:color="auto" w:sz="4" w:space="0"/>
            </w:tcBorders>
            <w:vAlign w:val="center"/>
          </w:tcPr>
          <w:p w14:paraId="11889F1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14:paraId="4077815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55437F7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七、保密承诺</w:t>
            </w:r>
          </w:p>
        </w:tc>
      </w:tr>
      <w:tr w14:paraId="3257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456B57B7">
            <w:pPr>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6275" w:type="dxa"/>
            <w:tcBorders>
              <w:top w:val="single" w:color="auto" w:sz="4" w:space="0"/>
              <w:left w:val="single" w:color="auto" w:sz="4" w:space="0"/>
              <w:bottom w:val="single" w:color="auto" w:sz="4" w:space="0"/>
              <w:right w:val="single" w:color="auto" w:sz="4" w:space="0"/>
            </w:tcBorders>
            <w:vAlign w:val="center"/>
          </w:tcPr>
          <w:p w14:paraId="59D76F41">
            <w:pPr>
              <w:spacing w:line="360" w:lineRule="auto"/>
              <w:ind w:firstLine="240" w:firstLineChars="100"/>
              <w:rPr>
                <w:rFonts w:ascii="仿宋" w:hAnsi="仿宋" w:eastAsia="仿宋" w:cs="仿宋"/>
                <w:sz w:val="24"/>
                <w:highlight w:val="none"/>
              </w:rPr>
            </w:pPr>
            <w:r>
              <w:rPr>
                <w:rFonts w:hint="eastAsia" w:ascii="仿宋" w:hAnsi="仿宋" w:eastAsia="仿宋" w:cs="仿宋"/>
                <w:bCs/>
                <w:sz w:val="24"/>
                <w:highlight w:val="none"/>
              </w:rPr>
              <w:t>投标人类似项目建设的成功经验：自投标截止日前三年（以合同签订日期为准），投标人承担过类似信息化软硬件运维项目实施的成功经验情况，每个项目得0.5分，最高得1分。（同时提供合同和项目业主对其履约情况的证明材料，否则不得分）</w:t>
            </w:r>
          </w:p>
        </w:tc>
        <w:tc>
          <w:tcPr>
            <w:tcW w:w="567" w:type="dxa"/>
            <w:tcBorders>
              <w:top w:val="single" w:color="auto" w:sz="4" w:space="0"/>
              <w:left w:val="single" w:color="auto" w:sz="4" w:space="0"/>
              <w:bottom w:val="single" w:color="auto" w:sz="4" w:space="0"/>
              <w:right w:val="single" w:color="auto" w:sz="4" w:space="0"/>
            </w:tcBorders>
            <w:vAlign w:val="center"/>
          </w:tcPr>
          <w:p w14:paraId="39BAACDB">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48B8252E">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客观分</w:t>
            </w:r>
          </w:p>
        </w:tc>
        <w:tc>
          <w:tcPr>
            <w:tcW w:w="1626" w:type="dxa"/>
            <w:tcBorders>
              <w:top w:val="single" w:color="auto" w:sz="4" w:space="0"/>
              <w:left w:val="single" w:color="auto" w:sz="4" w:space="0"/>
              <w:bottom w:val="single" w:color="auto" w:sz="4" w:space="0"/>
              <w:right w:val="single" w:color="auto" w:sz="4" w:space="0"/>
            </w:tcBorders>
            <w:vAlign w:val="center"/>
          </w:tcPr>
          <w:p w14:paraId="269E2D8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八、成功经验</w:t>
            </w:r>
          </w:p>
        </w:tc>
      </w:tr>
      <w:tr w14:paraId="4C97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vAlign w:val="center"/>
          </w:tcPr>
          <w:p w14:paraId="43B38690">
            <w:pPr>
              <w:spacing w:line="36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6275" w:type="dxa"/>
            <w:tcBorders>
              <w:top w:val="single" w:color="auto" w:sz="4" w:space="0"/>
              <w:left w:val="single" w:color="auto" w:sz="4" w:space="0"/>
              <w:bottom w:val="single" w:color="auto" w:sz="4" w:space="0"/>
              <w:right w:val="single" w:color="auto" w:sz="4" w:space="0"/>
            </w:tcBorders>
          </w:tcPr>
          <w:p w14:paraId="1459F0F3">
            <w:pPr>
              <w:widowControl/>
              <w:shd w:val="clear" w:color="auto" w:fill="FFFFFF"/>
              <w:adjustRightInd/>
              <w:spacing w:line="360" w:lineRule="auto"/>
              <w:ind w:firstLine="240" w:firstLineChars="100"/>
              <w:rPr>
                <w:rFonts w:ascii="仿宋" w:hAnsi="仿宋" w:eastAsia="仿宋" w:cs="仿宋"/>
                <w:sz w:val="24"/>
                <w:highlight w:val="none"/>
                <w:lang w:bidi="ar"/>
              </w:rPr>
            </w:pPr>
            <w:r>
              <w:rPr>
                <w:rFonts w:hint="eastAsia" w:ascii="仿宋" w:hAnsi="仿宋" w:eastAsia="仿宋" w:cs="仿宋"/>
                <w:sz w:val="24"/>
                <w:highlight w:val="none"/>
                <w:lang w:bidi="ar"/>
              </w:rPr>
              <w:t>有效投标报价的最低价作为评标基准价，其最低报价为满分；按［投标报价得分=（评标基准价/投标报价）*权重］的计算公式计算。</w:t>
            </w:r>
          </w:p>
          <w:p w14:paraId="5DECA8DD">
            <w:pPr>
              <w:widowControl/>
              <w:shd w:val="clear" w:color="auto" w:fill="FFFFFF"/>
              <w:adjustRightInd/>
              <w:spacing w:line="360" w:lineRule="auto"/>
              <w:ind w:firstLine="240" w:firstLineChars="100"/>
              <w:rPr>
                <w:rFonts w:ascii="仿宋" w:hAnsi="仿宋" w:eastAsia="仿宋" w:cs="仿宋"/>
                <w:sz w:val="24"/>
                <w:highlight w:val="none"/>
                <w:lang w:bidi="ar"/>
              </w:rPr>
            </w:pPr>
            <w:r>
              <w:rPr>
                <w:rFonts w:hint="eastAsia" w:ascii="仿宋" w:hAnsi="仿宋" w:eastAsia="仿宋" w:cs="仿宋"/>
                <w:sz w:val="24"/>
                <w:highlight w:val="none"/>
                <w:lang w:bidi="ar"/>
              </w:rPr>
              <w:t>评标过程中，不得去掉报价中的最高报价和最低报价。</w:t>
            </w:r>
          </w:p>
          <w:p w14:paraId="2F125390">
            <w:pPr>
              <w:widowControl/>
              <w:shd w:val="clear" w:color="auto" w:fill="FFFFFF"/>
              <w:adjustRightInd/>
              <w:spacing w:line="360" w:lineRule="auto"/>
              <w:ind w:firstLine="240" w:firstLineChars="100"/>
              <w:rPr>
                <w:rFonts w:ascii="仿宋" w:hAnsi="仿宋" w:eastAsia="仿宋" w:cs="仿宋"/>
                <w:sz w:val="24"/>
                <w:highlight w:val="none"/>
                <w:lang w:bidi="ar"/>
              </w:rPr>
            </w:pPr>
            <w:r>
              <w:rPr>
                <w:rFonts w:hint="eastAsia" w:ascii="仿宋" w:hAnsi="仿宋" w:eastAsia="仿宋" w:cs="仿宋"/>
                <w:sz w:val="24"/>
                <w:highlight w:val="none"/>
                <w:lang w:bidi="ar"/>
              </w:rPr>
              <w:t>对于未预留份额专门面向中小企业的政府采购服务项目，以及预留份额政府采购服务项目中的非预留部分标项，对小型和微型企业的投标报价给予20%</w:t>
            </w:r>
            <w:bookmarkStart w:id="47" w:name="OLE_LINK5"/>
            <w:r>
              <w:rPr>
                <w:rFonts w:hint="eastAsia" w:ascii="仿宋" w:hAnsi="仿宋" w:eastAsia="仿宋" w:cs="仿宋"/>
                <w:sz w:val="24"/>
                <w:highlight w:val="none"/>
                <w:lang w:bidi="ar"/>
              </w:rPr>
              <w:t>的扣除</w:t>
            </w:r>
            <w:bookmarkEnd w:id="47"/>
            <w:r>
              <w:rPr>
                <w:rFonts w:hint="eastAsia" w:ascii="仿宋" w:hAnsi="仿宋" w:eastAsia="仿宋" w:cs="仿宋"/>
                <w:sz w:val="24"/>
                <w:highlight w:val="none"/>
                <w:lang w:bidi="ar"/>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567" w:type="dxa"/>
            <w:tcBorders>
              <w:top w:val="single" w:color="auto" w:sz="4" w:space="0"/>
              <w:left w:val="single" w:color="auto" w:sz="4" w:space="0"/>
              <w:bottom w:val="single" w:color="auto" w:sz="4" w:space="0"/>
              <w:right w:val="single" w:color="auto" w:sz="4" w:space="0"/>
            </w:tcBorders>
            <w:vAlign w:val="center"/>
          </w:tcPr>
          <w:p w14:paraId="76103E40">
            <w:pPr>
              <w:spacing w:line="360" w:lineRule="auto"/>
              <w:jc w:val="center"/>
              <w:outlineLvl w:val="0"/>
              <w:rPr>
                <w:rFonts w:ascii="仿宋" w:hAnsi="仿宋" w:eastAsia="仿宋" w:cs="仿宋"/>
                <w:b/>
                <w:bCs/>
                <w:sz w:val="24"/>
                <w:highlight w:val="none"/>
              </w:rPr>
            </w:pPr>
            <w:r>
              <w:rPr>
                <w:rFonts w:hint="eastAsia" w:ascii="仿宋" w:hAnsi="仿宋" w:eastAsia="仿宋" w:cs="仿宋"/>
                <w:b/>
                <w:bCs/>
                <w:sz w:val="24"/>
                <w:highlight w:val="none"/>
              </w:rPr>
              <w:t>10</w:t>
            </w:r>
          </w:p>
        </w:tc>
        <w:tc>
          <w:tcPr>
            <w:tcW w:w="851" w:type="dxa"/>
            <w:tcBorders>
              <w:top w:val="single" w:color="auto" w:sz="4" w:space="0"/>
              <w:left w:val="single" w:color="auto" w:sz="4" w:space="0"/>
              <w:bottom w:val="single" w:color="auto" w:sz="4" w:space="0"/>
              <w:right w:val="single" w:color="auto" w:sz="4" w:space="0"/>
            </w:tcBorders>
            <w:vAlign w:val="center"/>
          </w:tcPr>
          <w:p w14:paraId="4FB471AE">
            <w:pPr>
              <w:spacing w:line="360" w:lineRule="auto"/>
              <w:jc w:val="center"/>
              <w:outlineLvl w:val="0"/>
              <w:rPr>
                <w:rFonts w:ascii="仿宋" w:hAnsi="仿宋" w:eastAsia="仿宋" w:cs="仿宋"/>
                <w:b/>
                <w:bCs/>
                <w:sz w:val="24"/>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14:paraId="675CD122">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w:t>
            </w:r>
          </w:p>
        </w:tc>
      </w:tr>
    </w:tbl>
    <w:p w14:paraId="272EDAAA">
      <w:pPr>
        <w:pStyle w:val="440"/>
        <w:ind w:firstLine="640"/>
        <w:rPr>
          <w:highlight w:val="none"/>
          <w:lang w:val="en-US" w:eastAsia="en-US"/>
        </w:rPr>
      </w:pPr>
    </w:p>
    <w:p w14:paraId="74EFF631">
      <w:pPr>
        <w:snapToGrid w:val="0"/>
        <w:spacing w:line="360" w:lineRule="auto"/>
        <w:rPr>
          <w:rFonts w:ascii="仿宋" w:hAnsi="仿宋" w:eastAsia="仿宋" w:cs="仿宋"/>
          <w:b/>
          <w:sz w:val="32"/>
          <w:highlight w:val="none"/>
        </w:rPr>
      </w:pPr>
      <w:r>
        <w:rPr>
          <w:rFonts w:hint="eastAsia" w:ascii="仿宋" w:hAnsi="仿宋" w:eastAsia="仿宋" w:cs="仿宋"/>
          <w:sz w:val="20"/>
          <w:szCs w:val="20"/>
          <w:highlight w:val="none"/>
          <w:shd w:val="clear" w:color="auto" w:fill="FFFFFF"/>
        </w:rPr>
        <w:t>*</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w:t>
      </w:r>
    </w:p>
    <w:p w14:paraId="4F0B44D7">
      <w:pPr>
        <w:snapToGrid w:val="0"/>
        <w:spacing w:line="360" w:lineRule="auto"/>
        <w:outlineLvl w:val="1"/>
        <w:rPr>
          <w:rFonts w:ascii="仿宋" w:hAnsi="仿宋" w:eastAsia="仿宋" w:cs="仿宋"/>
          <w:b/>
          <w:sz w:val="28"/>
          <w:szCs w:val="28"/>
          <w:highlight w:val="none"/>
        </w:rPr>
      </w:pPr>
      <w:r>
        <w:rPr>
          <w:rFonts w:hint="eastAsia" w:ascii="仿宋" w:hAnsi="仿宋" w:eastAsia="仿宋" w:cs="仿宋"/>
          <w:b/>
          <w:sz w:val="32"/>
          <w:highlight w:val="none"/>
        </w:rPr>
        <w:t>一、评标方法</w:t>
      </w:r>
    </w:p>
    <w:p w14:paraId="4A56CD7D">
      <w:pPr>
        <w:adjustRightInd/>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综合评分法，是指投标文件满足招标文件全部实质性要求，且按照评审因素的量化指标评审得分最高的供应商为中标候选人的评标方法。</w:t>
      </w:r>
    </w:p>
    <w:p w14:paraId="40D4A149">
      <w:pPr>
        <w:snapToGrid w:val="0"/>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二、评标标准</w:t>
      </w:r>
    </w:p>
    <w:p w14:paraId="1E855EB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2.评标标准：</w:t>
      </w:r>
      <w:r>
        <w:rPr>
          <w:rFonts w:hint="eastAsia" w:ascii="仿宋" w:hAnsi="仿宋" w:eastAsia="仿宋" w:cs="仿宋"/>
          <w:kern w:val="0"/>
          <w:sz w:val="24"/>
          <w:highlight w:val="none"/>
        </w:rPr>
        <w:t>见评标办法前附表。</w:t>
      </w:r>
    </w:p>
    <w:p w14:paraId="4C4E0C5C">
      <w:pPr>
        <w:snapToGrid w:val="0"/>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三、评标程序</w:t>
      </w:r>
    </w:p>
    <w:p w14:paraId="123A4ADE">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评标委员会应当对符合资格的供应商的投标文件进行符合性审查，以确定其是否满足招标文件的实质性要求。不满足招标文件的实质性要求的，投标无效。</w:t>
      </w:r>
    </w:p>
    <w:p w14:paraId="70C28272">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35CD9583">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推进采购需求和评审因素编制的科学化和精细化，评审小组成员个人主观打分偏离所有评审小组成员主观打分平均值30%以上的，由评审委员会启动评分畸高、畸低行为认定程序，限制专家自由裁量权。</w:t>
      </w:r>
    </w:p>
    <w:p w14:paraId="76BDE77F">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评标委员会各成员应当独立对每个供应商的商务和技术文件进行评价，并汇总商务技术得分情况。</w:t>
      </w:r>
    </w:p>
    <w:p w14:paraId="0D87DB07">
      <w:pPr>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6ED86AA">
      <w:pPr>
        <w:spacing w:line="360" w:lineRule="auto"/>
        <w:ind w:firstLine="480" w:firstLineChars="200"/>
        <w:rPr>
          <w:rFonts w:ascii="仿宋" w:hAnsi="仿宋" w:eastAsia="仿宋" w:cs="仿宋"/>
          <w:kern w:val="0"/>
          <w:sz w:val="24"/>
          <w:szCs w:val="20"/>
          <w:highlight w:val="none"/>
        </w:rPr>
      </w:pPr>
      <w:r>
        <w:rPr>
          <w:rFonts w:hint="eastAsia" w:ascii="仿宋" w:hAnsi="仿宋" w:eastAsia="仿宋" w:cs="仿宋"/>
          <w:kern w:val="0"/>
          <w:sz w:val="24"/>
          <w:szCs w:val="20"/>
          <w:highlight w:val="none"/>
        </w:rPr>
        <w:t>3.4.1投标文件报价出现前后不一致的，按照下列规定修正：</w:t>
      </w:r>
    </w:p>
    <w:p w14:paraId="6006D8A7">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3.4.1.1投标文件中开标一览表(报价表)内容与投标文件中相应内容不一致的，以开标一览表(报价表)为准;</w:t>
      </w:r>
    </w:p>
    <w:p w14:paraId="6DF79297">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3.4.1.2大写金额和小写金额不一致的，以大写金额为准;</w:t>
      </w:r>
    </w:p>
    <w:p w14:paraId="64F21E3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3.4.1.3单价金额小数点或者百分比有明显错位的，以开标一览表的总价为准，并修改单价;</w:t>
      </w:r>
    </w:p>
    <w:p w14:paraId="4B76B92C">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3.4.1.4总价金额与按单价汇总金额不一致的，以单价金额计算结果为准。</w:t>
      </w:r>
    </w:p>
    <w:p w14:paraId="219BA110">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463C5949">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2FCE6CF2">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0F8A4189">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1696FAFF">
      <w:pPr>
        <w:pStyle w:val="18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C2A9D4">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仿宋" w:hAnsi="仿宋" w:eastAsia="仿宋" w:cs="仿宋"/>
          <w:kern w:val="0"/>
          <w:sz w:val="24"/>
          <w:highlight w:val="none"/>
          <w:lang w:val="en"/>
        </w:rPr>
        <w:t>本项目推荐的中标候选人数量：</w:t>
      </w:r>
      <w:r>
        <w:rPr>
          <w:rFonts w:hint="eastAsia" w:ascii="仿宋" w:hAnsi="仿宋" w:eastAsia="仿宋" w:cs="仿宋"/>
          <w:kern w:val="0"/>
          <w:sz w:val="24"/>
          <w:highlight w:val="none"/>
          <w:u w:val="single"/>
        </w:rPr>
        <w:t xml:space="preserve">  1  个 </w:t>
      </w:r>
      <w:r>
        <w:rPr>
          <w:rFonts w:hint="eastAsia" w:ascii="仿宋" w:hAnsi="仿宋" w:eastAsia="仿宋" w:cs="仿宋"/>
          <w:kern w:val="0"/>
          <w:sz w:val="24"/>
          <w:highlight w:val="none"/>
          <w:lang w:val="en"/>
        </w:rPr>
        <w:t>。</w:t>
      </w:r>
    </w:p>
    <w:p w14:paraId="38FA2E34">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47F2A5C2">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2C1E0D">
      <w:pPr>
        <w:snapToGrid w:val="0"/>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四、评标中的其他事项</w:t>
      </w:r>
    </w:p>
    <w:p w14:paraId="3683E8AE">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4.1供应商澄清、说明或者补正。</w:t>
      </w:r>
      <w:r>
        <w:rPr>
          <w:rFonts w:hint="eastAsia" w:ascii="仿宋" w:hAnsi="仿宋" w:eastAsia="仿宋" w:cs="仿宋"/>
          <w:kern w:val="0"/>
          <w:sz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FE9FFB6">
      <w:pPr>
        <w:pStyle w:val="7"/>
        <w:spacing w:line="360" w:lineRule="auto"/>
        <w:ind w:firstLine="482"/>
        <w:rPr>
          <w:rFonts w:ascii="仿宋" w:hAnsi="仿宋" w:eastAsia="仿宋" w:cs="仿宋"/>
          <w:b/>
          <w:szCs w:val="21"/>
          <w:highlight w:val="none"/>
        </w:rPr>
      </w:pPr>
      <w:r>
        <w:rPr>
          <w:rFonts w:hint="eastAsia" w:ascii="仿宋" w:hAnsi="仿宋" w:eastAsia="仿宋" w:cs="仿宋"/>
          <w:b/>
          <w:kern w:val="0"/>
          <w:highlight w:val="none"/>
        </w:rPr>
        <w:t>4.2投标无效。</w:t>
      </w:r>
      <w:r>
        <w:rPr>
          <w:rFonts w:hint="eastAsia" w:ascii="仿宋" w:hAnsi="仿宋" w:eastAsia="仿宋" w:cs="仿宋"/>
          <w:b/>
          <w:szCs w:val="21"/>
          <w:highlight w:val="none"/>
        </w:rPr>
        <w:t>有下列情况之一的，投标无效：</w:t>
      </w:r>
    </w:p>
    <w:p w14:paraId="74C0029E">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4.2.1供应商不具备招标文件中规定的资格要求的（供应商未提供有效的资格文件的，视为供应商不具备招标文件中规定的资格要求）；</w:t>
      </w:r>
    </w:p>
    <w:p w14:paraId="25B61BC4">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4.2.2投标文件未按照招标文件要求签署、盖章的；</w:t>
      </w:r>
    </w:p>
    <w:p w14:paraId="11E2E635">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4.2.3采购人拟采购的产品属于政府强制采购的节能产品品目清单范围的，供应商未按招标文件要求提供国家确定的认证机构出具的、处于有效期之内的节能产品认证证书的；</w:t>
      </w:r>
    </w:p>
    <w:p w14:paraId="1F7142E4">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4.2.4投标文件含有采购人不能接受的附加条件的；</w:t>
      </w:r>
    </w:p>
    <w:p w14:paraId="4AD524D8">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4.2.5投标文件中承诺的投标有效期少于招标文件中载明的投标有效期的；</w:t>
      </w:r>
    </w:p>
    <w:p w14:paraId="28A7E427">
      <w:pPr>
        <w:snapToGrid w:val="0"/>
        <w:spacing w:line="360" w:lineRule="auto"/>
        <w:ind w:firstLine="482" w:firstLineChars="200"/>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4.2.6投标文件出现不是唯一的、有选择性投标报价的;</w:t>
      </w:r>
    </w:p>
    <w:p w14:paraId="00351C73">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4.2.7投标报价超过招标文件中规定的预算金额或者最高限价的;</w:t>
      </w:r>
    </w:p>
    <w:p w14:paraId="19C82DE9">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4.2.8</w:t>
      </w:r>
      <w:bookmarkStart w:id="48" w:name="OLE_LINK6"/>
      <w:r>
        <w:rPr>
          <w:rFonts w:hint="eastAsia" w:ascii="仿宋" w:hAnsi="仿宋" w:eastAsia="仿宋" w:cs="仿宋"/>
          <w:b/>
          <w:bCs/>
          <w:kern w:val="0"/>
          <w:sz w:val="24"/>
          <w:highlight w:val="none"/>
        </w:rPr>
        <w:t>供应商报价若低于本项目预算50%的，未在报价文件中详细阐述不影响产品质量或者诚信履约的具体原因的</w:t>
      </w:r>
      <w:bookmarkEnd w:id="48"/>
      <w:r>
        <w:rPr>
          <w:rFonts w:hint="eastAsia" w:ascii="仿宋" w:hAnsi="仿宋" w:eastAsia="仿宋" w:cs="仿宋"/>
          <w:b/>
          <w:bCs/>
          <w:kern w:val="0"/>
          <w:sz w:val="24"/>
          <w:highlight w:val="none"/>
        </w:rPr>
        <w:t>；</w:t>
      </w:r>
    </w:p>
    <w:p w14:paraId="0925E112">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4.2.9供应商对根据修正原则修正后的报价不确认的；</w:t>
      </w:r>
    </w:p>
    <w:p w14:paraId="21707EF0">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4.2.10供应商提供虚假材料投标的；</w:t>
      </w:r>
    </w:p>
    <w:p w14:paraId="445C47A0">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4.2.11供应商有恶意串通、妨碍其他供应商的竞争行为、损害采购人或者其他供应商的合法权益情形的；</w:t>
      </w:r>
    </w:p>
    <w:p w14:paraId="597B9146">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5ACC930">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4.2.13投标人仅提交备份投标文件，未在电子交易平台传输递交投标文件的，投标无效；</w:t>
      </w:r>
    </w:p>
    <w:p w14:paraId="3F0CC7A6">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4.2.14投标文件不满足招标文件的其它实质性要求的；</w:t>
      </w:r>
    </w:p>
    <w:p w14:paraId="63FB6E38">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4.2.15法律、法规、规章（适用本市的）及省级以上规范性文件（适用本市的）规定的其他无效情形。</w:t>
      </w:r>
    </w:p>
    <w:p w14:paraId="597F4B7F">
      <w:pPr>
        <w:pStyle w:val="7"/>
        <w:snapToGrid w:val="0"/>
        <w:spacing w:line="360" w:lineRule="auto"/>
        <w:ind w:firstLine="482"/>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14:paraId="00C8C1E5">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14:paraId="3B3463C0">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5.2出现影响采购公正的违法、违规行为的；</w:t>
      </w:r>
    </w:p>
    <w:p w14:paraId="28EE1062">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5.3供应商的报价均超过了采购预算，采购人不能支付的；</w:t>
      </w:r>
    </w:p>
    <w:p w14:paraId="7D8FF324">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5.4因重大变故，采购任务取消的。</w:t>
      </w:r>
    </w:p>
    <w:p w14:paraId="53D014A1">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废标后，采购机构应当将废标理由通知所有供应商。</w:t>
      </w:r>
    </w:p>
    <w:p w14:paraId="3A3180A7">
      <w:pPr>
        <w:pStyle w:val="7"/>
        <w:snapToGrid w:val="0"/>
        <w:spacing w:line="360" w:lineRule="auto"/>
        <w:ind w:firstLine="482"/>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E257361">
      <w:pPr>
        <w:pStyle w:val="7"/>
        <w:snapToGrid w:val="0"/>
        <w:spacing w:line="360" w:lineRule="auto"/>
        <w:ind w:firstLine="482"/>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5FEDC3EF">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14:paraId="700D683F">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7.2已确定中标供应商但尚未签订政府采购合同的，中标结果无效，从合格的中标候选人中另行确定中标供应商；没有合格的中标候选人的，重新开展政府采购活动。</w:t>
      </w:r>
    </w:p>
    <w:p w14:paraId="5FB1AE00">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7.3政府采购合同已签订但尚未履行的，撤销合同，从合格的中标候选人中另行确定中标供应商；没有合格的中标候选人的，重新开展政府采购活动。</w:t>
      </w:r>
    </w:p>
    <w:p w14:paraId="117BDF01">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14:paraId="3BA7450B">
      <w:pPr>
        <w:pStyle w:val="7"/>
        <w:snapToGrid w:val="0"/>
        <w:spacing w:line="360" w:lineRule="auto"/>
        <w:ind w:firstLine="480"/>
        <w:rPr>
          <w:rFonts w:ascii="仿宋" w:hAnsi="仿宋" w:eastAsia="仿宋" w:cs="仿宋"/>
          <w:highlight w:val="none"/>
        </w:rPr>
      </w:pPr>
      <w:r>
        <w:rPr>
          <w:rFonts w:hint="eastAsia" w:ascii="仿宋" w:hAnsi="仿宋" w:eastAsia="仿宋" w:cs="仿宋"/>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5258FD2">
      <w:pPr>
        <w:widowControl/>
        <w:adjustRightInd/>
        <w:jc w:val="left"/>
        <w:rPr>
          <w:rFonts w:ascii="仿宋" w:hAnsi="仿宋" w:eastAsia="仿宋" w:cs="仿宋"/>
          <w:b/>
          <w:sz w:val="36"/>
          <w:szCs w:val="36"/>
          <w:highlight w:val="none"/>
        </w:rPr>
      </w:pPr>
      <w:bookmarkStart w:id="49" w:name="_Toc86217003"/>
      <w:bookmarkStart w:id="50" w:name="第五部分"/>
    </w:p>
    <w:p w14:paraId="0C7EAA59">
      <w:pPr>
        <w:widowControl/>
        <w:adjustRightInd/>
        <w:jc w:val="left"/>
        <w:rPr>
          <w:rFonts w:ascii="仿宋" w:hAnsi="仿宋" w:eastAsia="仿宋" w:cs="仿宋"/>
          <w:b/>
          <w:sz w:val="36"/>
          <w:szCs w:val="36"/>
          <w:highlight w:val="none"/>
        </w:rPr>
      </w:pPr>
    </w:p>
    <w:p w14:paraId="74846315">
      <w:pPr>
        <w:widowControl/>
        <w:adjustRightInd/>
        <w:jc w:val="left"/>
        <w:rPr>
          <w:rFonts w:ascii="仿宋" w:hAnsi="仿宋" w:eastAsia="仿宋" w:cs="仿宋"/>
          <w:b/>
          <w:sz w:val="36"/>
          <w:szCs w:val="36"/>
          <w:highlight w:val="none"/>
        </w:rPr>
      </w:pPr>
    </w:p>
    <w:p w14:paraId="5C3C30F9">
      <w:pPr>
        <w:widowControl/>
        <w:adjustRightInd/>
        <w:jc w:val="left"/>
        <w:rPr>
          <w:rFonts w:ascii="仿宋" w:hAnsi="仿宋" w:eastAsia="仿宋" w:cs="仿宋"/>
          <w:b/>
          <w:sz w:val="36"/>
          <w:szCs w:val="36"/>
          <w:highlight w:val="none"/>
        </w:rPr>
      </w:pPr>
    </w:p>
    <w:p w14:paraId="6E086678">
      <w:pPr>
        <w:widowControl/>
        <w:adjustRightInd/>
        <w:jc w:val="left"/>
        <w:rPr>
          <w:rFonts w:ascii="仿宋" w:hAnsi="仿宋" w:eastAsia="仿宋" w:cs="仿宋"/>
          <w:b/>
          <w:sz w:val="36"/>
          <w:szCs w:val="36"/>
          <w:highlight w:val="none"/>
        </w:rPr>
      </w:pPr>
    </w:p>
    <w:p w14:paraId="3C221A99">
      <w:pPr>
        <w:widowControl/>
        <w:adjustRightInd/>
        <w:jc w:val="left"/>
        <w:rPr>
          <w:rFonts w:ascii="仿宋" w:hAnsi="仿宋" w:eastAsia="仿宋" w:cs="仿宋"/>
          <w:b/>
          <w:sz w:val="36"/>
          <w:szCs w:val="36"/>
          <w:highlight w:val="none"/>
        </w:rPr>
      </w:pPr>
    </w:p>
    <w:p w14:paraId="6DF1118F">
      <w:pPr>
        <w:widowControl/>
        <w:adjustRightInd/>
        <w:jc w:val="left"/>
        <w:rPr>
          <w:rFonts w:ascii="仿宋" w:hAnsi="仿宋" w:eastAsia="仿宋" w:cs="仿宋"/>
          <w:b/>
          <w:sz w:val="36"/>
          <w:szCs w:val="36"/>
          <w:highlight w:val="none"/>
        </w:rPr>
      </w:pPr>
    </w:p>
    <w:p w14:paraId="63671EBD">
      <w:pPr>
        <w:widowControl/>
        <w:adjustRightInd/>
        <w:jc w:val="left"/>
        <w:rPr>
          <w:rFonts w:ascii="仿宋" w:hAnsi="仿宋" w:eastAsia="仿宋" w:cs="仿宋"/>
          <w:b/>
          <w:sz w:val="36"/>
          <w:szCs w:val="36"/>
          <w:highlight w:val="none"/>
        </w:rPr>
      </w:pPr>
    </w:p>
    <w:p w14:paraId="69F40CAC">
      <w:pPr>
        <w:widowControl/>
        <w:adjustRightInd/>
        <w:jc w:val="left"/>
        <w:rPr>
          <w:rFonts w:ascii="仿宋" w:hAnsi="仿宋" w:eastAsia="仿宋" w:cs="仿宋"/>
          <w:b/>
          <w:sz w:val="36"/>
          <w:szCs w:val="36"/>
          <w:highlight w:val="none"/>
        </w:rPr>
      </w:pPr>
    </w:p>
    <w:p w14:paraId="204A0899">
      <w:pPr>
        <w:widowControl/>
        <w:adjustRightInd/>
        <w:jc w:val="left"/>
        <w:rPr>
          <w:rFonts w:ascii="仿宋" w:hAnsi="仿宋" w:eastAsia="仿宋" w:cs="仿宋"/>
          <w:b/>
          <w:sz w:val="36"/>
          <w:szCs w:val="36"/>
          <w:highlight w:val="none"/>
        </w:rPr>
      </w:pPr>
    </w:p>
    <w:p w14:paraId="1DD31985">
      <w:pPr>
        <w:widowControl/>
        <w:adjustRightInd/>
        <w:jc w:val="left"/>
        <w:rPr>
          <w:rFonts w:ascii="仿宋" w:hAnsi="仿宋" w:eastAsia="仿宋" w:cs="仿宋"/>
          <w:b/>
          <w:sz w:val="36"/>
          <w:szCs w:val="36"/>
          <w:highlight w:val="none"/>
        </w:rPr>
      </w:pPr>
    </w:p>
    <w:p w14:paraId="03B579B5">
      <w:pPr>
        <w:widowControl/>
        <w:adjustRightInd/>
        <w:jc w:val="left"/>
        <w:rPr>
          <w:rFonts w:ascii="仿宋" w:hAnsi="仿宋" w:eastAsia="仿宋" w:cs="仿宋"/>
          <w:b/>
          <w:sz w:val="36"/>
          <w:szCs w:val="36"/>
          <w:highlight w:val="none"/>
        </w:rPr>
      </w:pPr>
    </w:p>
    <w:p w14:paraId="0C7833D4">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第五部分  拟签订的合同文本</w:t>
      </w:r>
    </w:p>
    <w:p w14:paraId="7FF99BFA">
      <w:pPr>
        <w:rPr>
          <w:rFonts w:ascii="仿宋" w:hAnsi="仿宋" w:eastAsia="仿宋" w:cs="仿宋"/>
          <w:sz w:val="24"/>
          <w:highlight w:val="none"/>
        </w:rPr>
      </w:pPr>
    </w:p>
    <w:p w14:paraId="44D9566E">
      <w:pPr>
        <w:rPr>
          <w:rFonts w:ascii="仿宋" w:hAnsi="仿宋" w:eastAsia="仿宋" w:cs="仿宋"/>
          <w:sz w:val="24"/>
          <w:highlight w:val="none"/>
          <w:u w:val="single"/>
        </w:rPr>
      </w:pPr>
      <w:r>
        <w:rPr>
          <w:rFonts w:hint="eastAsia" w:ascii="仿宋" w:hAnsi="仿宋" w:eastAsia="仿宋" w:cs="仿宋"/>
          <w:sz w:val="24"/>
          <w:highlight w:val="none"/>
        </w:rPr>
        <w:t>合同编号：</w:t>
      </w:r>
    </w:p>
    <w:p w14:paraId="1078E08D">
      <w:pPr>
        <w:spacing w:line="480" w:lineRule="auto"/>
        <w:jc w:val="center"/>
        <w:rPr>
          <w:rFonts w:ascii="仿宋" w:hAnsi="仿宋" w:eastAsia="仿宋" w:cs="仿宋"/>
          <w:b/>
          <w:sz w:val="28"/>
          <w:szCs w:val="28"/>
          <w:highlight w:val="none"/>
        </w:rPr>
      </w:pPr>
    </w:p>
    <w:p w14:paraId="0A006DF2">
      <w:pPr>
        <w:spacing w:line="480" w:lineRule="auto"/>
        <w:jc w:val="center"/>
        <w:rPr>
          <w:rFonts w:ascii="仿宋" w:hAnsi="仿宋" w:eastAsia="仿宋" w:cs="仿宋"/>
          <w:b/>
          <w:sz w:val="24"/>
          <w:highlight w:val="none"/>
        </w:rPr>
      </w:pPr>
    </w:p>
    <w:p w14:paraId="0184366E">
      <w:pPr>
        <w:spacing w:line="480" w:lineRule="auto"/>
        <w:jc w:val="center"/>
        <w:rPr>
          <w:rFonts w:ascii="仿宋" w:hAnsi="仿宋" w:eastAsia="仿宋" w:cs="仿宋"/>
          <w:b/>
          <w:sz w:val="24"/>
          <w:highlight w:val="none"/>
        </w:rPr>
      </w:pPr>
    </w:p>
    <w:p w14:paraId="72A041BB">
      <w:pPr>
        <w:pStyle w:val="562"/>
        <w:ind w:left="0" w:leftChars="0" w:firstLine="0" w:firstLineChars="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第一部分 合同书</w:t>
      </w:r>
    </w:p>
    <w:p w14:paraId="49EE652D">
      <w:pPr>
        <w:spacing w:before="120" w:line="22" w:lineRule="atLeast"/>
        <w:rPr>
          <w:rFonts w:ascii="仿宋" w:hAnsi="仿宋" w:eastAsia="仿宋" w:cs="仿宋"/>
          <w:sz w:val="28"/>
          <w:szCs w:val="28"/>
          <w:highlight w:val="none"/>
        </w:rPr>
      </w:pPr>
    </w:p>
    <w:p w14:paraId="05454093">
      <w:pPr>
        <w:spacing w:before="120" w:line="22" w:lineRule="atLeast"/>
        <w:rPr>
          <w:rFonts w:ascii="仿宋" w:hAnsi="仿宋" w:eastAsia="仿宋" w:cs="仿宋"/>
          <w:sz w:val="28"/>
          <w:szCs w:val="28"/>
          <w:highlight w:val="none"/>
        </w:rPr>
      </w:pPr>
    </w:p>
    <w:p w14:paraId="51275644">
      <w:pPr>
        <w:spacing w:before="120" w:line="22" w:lineRule="atLeast"/>
        <w:ind w:left="960"/>
        <w:rPr>
          <w:rFonts w:ascii="仿宋" w:hAnsi="仿宋" w:eastAsia="仿宋" w:cs="仿宋"/>
          <w:b/>
          <w:bCs/>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b/>
          <w:bCs/>
          <w:sz w:val="28"/>
          <w:szCs w:val="28"/>
          <w:highlight w:val="none"/>
          <w:u w:val="single"/>
        </w:rPr>
        <w:t>2025年杭州交警业务系统租赁使用服务-2025年公安交通集成指挥平台使用项目</w:t>
      </w:r>
    </w:p>
    <w:p w14:paraId="5268F740">
      <w:pPr>
        <w:pStyle w:val="708"/>
        <w:spacing w:before="120" w:line="22" w:lineRule="atLeast"/>
        <w:rPr>
          <w:rFonts w:ascii="仿宋" w:hAnsi="仿宋" w:eastAsia="仿宋" w:cs="仿宋"/>
          <w:sz w:val="28"/>
          <w:szCs w:val="28"/>
          <w:highlight w:val="none"/>
        </w:rPr>
      </w:pPr>
    </w:p>
    <w:p w14:paraId="64B74CF9">
      <w:pPr>
        <w:pStyle w:val="708"/>
        <w:spacing w:before="120" w:line="22" w:lineRule="atLeast"/>
        <w:rPr>
          <w:rFonts w:ascii="仿宋" w:hAnsi="仿宋" w:eastAsia="仿宋" w:cs="仿宋"/>
          <w:sz w:val="28"/>
          <w:szCs w:val="28"/>
          <w:highlight w:val="none"/>
        </w:rPr>
      </w:pPr>
    </w:p>
    <w:p w14:paraId="617E6BFF">
      <w:pPr>
        <w:rPr>
          <w:rFonts w:ascii="仿宋" w:hAnsi="仿宋" w:eastAsia="仿宋" w:cs="仿宋"/>
          <w:sz w:val="28"/>
          <w:szCs w:val="28"/>
          <w:highlight w:val="none"/>
        </w:rPr>
      </w:pPr>
    </w:p>
    <w:p w14:paraId="44539FF1">
      <w:pPr>
        <w:spacing w:before="120" w:line="22" w:lineRule="atLeast"/>
        <w:ind w:left="960"/>
        <w:rPr>
          <w:rFonts w:ascii="仿宋" w:hAnsi="仿宋" w:eastAsia="仿宋" w:cs="仿宋"/>
          <w:sz w:val="28"/>
          <w:szCs w:val="28"/>
          <w:highlight w:val="none"/>
          <w:u w:val="single"/>
        </w:rPr>
      </w:pPr>
      <w:r>
        <w:rPr>
          <w:rFonts w:hint="eastAsia" w:ascii="仿宋" w:hAnsi="仿宋" w:eastAsia="仿宋" w:cs="仿宋"/>
          <w:sz w:val="28"/>
          <w:szCs w:val="28"/>
          <w:highlight w:val="none"/>
        </w:rPr>
        <w:t>甲方：</w:t>
      </w:r>
      <w:r>
        <w:rPr>
          <w:rFonts w:hint="eastAsia" w:ascii="仿宋" w:hAnsi="仿宋" w:eastAsia="仿宋" w:cs="仿宋"/>
          <w:b/>
          <w:bCs/>
          <w:sz w:val="28"/>
          <w:szCs w:val="28"/>
          <w:highlight w:val="none"/>
          <w:u w:val="single"/>
        </w:rPr>
        <w:t>杭州市公安局</w:t>
      </w:r>
    </w:p>
    <w:p w14:paraId="5568AAF5">
      <w:pPr>
        <w:spacing w:before="120" w:line="22" w:lineRule="atLeast"/>
        <w:rPr>
          <w:rFonts w:ascii="仿宋" w:hAnsi="仿宋" w:eastAsia="仿宋" w:cs="仿宋"/>
          <w:sz w:val="28"/>
          <w:szCs w:val="28"/>
          <w:highlight w:val="none"/>
        </w:rPr>
      </w:pPr>
    </w:p>
    <w:p w14:paraId="1F27275E">
      <w:pPr>
        <w:spacing w:before="120" w:line="22" w:lineRule="atLeast"/>
        <w:ind w:left="960"/>
        <w:rPr>
          <w:rFonts w:ascii="仿宋" w:hAnsi="仿宋" w:eastAsia="仿宋" w:cs="仿宋"/>
          <w:sz w:val="28"/>
          <w:szCs w:val="28"/>
          <w:highlight w:val="none"/>
          <w:u w:val="single"/>
        </w:rPr>
      </w:pPr>
      <w:r>
        <w:rPr>
          <w:rFonts w:hint="eastAsia" w:ascii="仿宋" w:hAnsi="仿宋" w:eastAsia="仿宋" w:cs="仿宋"/>
          <w:sz w:val="28"/>
          <w:szCs w:val="28"/>
          <w:highlight w:val="none"/>
        </w:rPr>
        <w:t>乙方：</w:t>
      </w:r>
    </w:p>
    <w:p w14:paraId="08030DF6">
      <w:pPr>
        <w:spacing w:before="120" w:line="22" w:lineRule="atLeast"/>
        <w:rPr>
          <w:rFonts w:ascii="仿宋" w:hAnsi="仿宋" w:eastAsia="仿宋" w:cs="仿宋"/>
          <w:sz w:val="28"/>
          <w:szCs w:val="28"/>
          <w:highlight w:val="none"/>
        </w:rPr>
      </w:pPr>
    </w:p>
    <w:p w14:paraId="7E68ADE5">
      <w:pPr>
        <w:spacing w:before="120" w:line="22" w:lineRule="atLeast"/>
        <w:ind w:firstLine="1120" w:firstLineChars="400"/>
        <w:rPr>
          <w:rFonts w:ascii="仿宋" w:hAnsi="仿宋" w:eastAsia="仿宋" w:cs="仿宋"/>
          <w:sz w:val="28"/>
          <w:szCs w:val="28"/>
          <w:highlight w:val="none"/>
          <w:u w:val="single"/>
        </w:rPr>
      </w:pPr>
      <w:r>
        <w:rPr>
          <w:rFonts w:hint="eastAsia" w:ascii="仿宋" w:hAnsi="仿宋" w:eastAsia="仿宋" w:cs="仿宋"/>
          <w:sz w:val="28"/>
          <w:szCs w:val="28"/>
          <w:highlight w:val="none"/>
        </w:rPr>
        <w:t>签订地：</w:t>
      </w:r>
      <w:r>
        <w:rPr>
          <w:rFonts w:hint="eastAsia" w:ascii="仿宋" w:hAnsi="仿宋" w:eastAsia="仿宋" w:cs="仿宋"/>
          <w:b/>
          <w:bCs/>
          <w:sz w:val="28"/>
          <w:szCs w:val="28"/>
          <w:highlight w:val="none"/>
          <w:u w:val="single"/>
        </w:rPr>
        <w:t xml:space="preserve"> 杭州市 </w:t>
      </w:r>
    </w:p>
    <w:p w14:paraId="46675A99">
      <w:pPr>
        <w:spacing w:before="120" w:line="22" w:lineRule="atLeast"/>
        <w:rPr>
          <w:rFonts w:ascii="仿宋" w:hAnsi="仿宋" w:eastAsia="仿宋" w:cs="仿宋"/>
          <w:sz w:val="28"/>
          <w:szCs w:val="28"/>
          <w:highlight w:val="none"/>
        </w:rPr>
      </w:pPr>
    </w:p>
    <w:p w14:paraId="6CCCF2C2">
      <w:pPr>
        <w:spacing w:before="120" w:line="22" w:lineRule="atLeast"/>
        <w:ind w:firstLine="1120" w:firstLineChars="400"/>
        <w:rPr>
          <w:rFonts w:ascii="仿宋" w:hAnsi="仿宋" w:eastAsia="仿宋" w:cs="仿宋"/>
          <w:b/>
          <w:bCs/>
          <w:sz w:val="28"/>
          <w:szCs w:val="28"/>
          <w:highlight w:val="none"/>
        </w:rPr>
      </w:pPr>
      <w:r>
        <w:rPr>
          <w:rFonts w:hint="eastAsia" w:ascii="仿宋" w:hAnsi="仿宋" w:eastAsia="仿宋" w:cs="仿宋"/>
          <w:sz w:val="28"/>
          <w:szCs w:val="28"/>
          <w:highlight w:val="none"/>
        </w:rPr>
        <w:t>签订日期</w:t>
      </w:r>
      <w:r>
        <w:rPr>
          <w:rFonts w:hint="eastAsia" w:ascii="仿宋" w:hAnsi="仿宋" w:eastAsia="仿宋" w:cs="仿宋"/>
          <w:b/>
          <w:bCs/>
          <w:sz w:val="28"/>
          <w:szCs w:val="28"/>
          <w:highlight w:val="none"/>
        </w:rPr>
        <w:t>：    年    月    日</w:t>
      </w:r>
    </w:p>
    <w:p w14:paraId="2F56FD52">
      <w:pPr>
        <w:rPr>
          <w:rFonts w:ascii="仿宋" w:hAnsi="仿宋" w:eastAsia="仿宋" w:cs="仿宋"/>
          <w:highlight w:val="none"/>
        </w:rPr>
      </w:pPr>
    </w:p>
    <w:p w14:paraId="65E8B786">
      <w:pPr>
        <w:rPr>
          <w:rFonts w:ascii="仿宋" w:hAnsi="仿宋" w:eastAsia="仿宋" w:cs="仿宋"/>
          <w:highlight w:val="none"/>
        </w:rPr>
      </w:pPr>
    </w:p>
    <w:p w14:paraId="2C1064E4">
      <w:pPr>
        <w:rPr>
          <w:rFonts w:ascii="仿宋" w:hAnsi="仿宋" w:eastAsia="仿宋" w:cs="仿宋"/>
          <w:highlight w:val="none"/>
        </w:rPr>
      </w:pPr>
    </w:p>
    <w:p w14:paraId="558B395A">
      <w:pPr>
        <w:widowControl/>
        <w:jc w:val="left"/>
        <w:rPr>
          <w:rFonts w:ascii="仿宋" w:hAnsi="仿宋" w:eastAsia="仿宋" w:cs="仿宋"/>
          <w:kern w:val="0"/>
          <w:sz w:val="24"/>
          <w:highlight w:val="none"/>
        </w:rPr>
        <w:sectPr>
          <w:footerReference r:id="rId5" w:type="first"/>
          <w:footerReference r:id="rId3" w:type="default"/>
          <w:footerReference r:id="rId4" w:type="even"/>
          <w:pgSz w:w="11907" w:h="16840"/>
          <w:pgMar w:top="1418" w:right="1418" w:bottom="1418" w:left="1418" w:header="851" w:footer="851" w:gutter="0"/>
          <w:cols w:space="720" w:num="1"/>
          <w:docGrid w:linePitch="285" w:charSpace="0"/>
        </w:sectPr>
      </w:pPr>
    </w:p>
    <w:p w14:paraId="0EC7F06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lang w:val="zh-CN"/>
        </w:rPr>
        <w:t xml:space="preserve"> 2025年</w:t>
      </w:r>
      <w:r>
        <w:rPr>
          <w:rFonts w:hint="eastAsia" w:ascii="仿宋" w:hAnsi="仿宋" w:eastAsia="仿宋" w:cs="仿宋"/>
          <w:sz w:val="24"/>
          <w:highlight w:val="none"/>
          <w:lang w:val="zh-CN"/>
        </w:rPr>
        <w:t xml:space="preserve">   月   日</w:t>
      </w:r>
      <w:r>
        <w:rPr>
          <w:rFonts w:hint="eastAsia" w:ascii="仿宋" w:hAnsi="仿宋" w:eastAsia="仿宋" w:cs="仿宋"/>
          <w:sz w:val="24"/>
          <w:highlight w:val="none"/>
        </w:rPr>
        <w:t>，</w:t>
      </w:r>
      <w:r>
        <w:rPr>
          <w:rFonts w:hint="eastAsia" w:ascii="仿宋" w:hAnsi="仿宋" w:eastAsia="仿宋" w:cs="仿宋"/>
          <w:b/>
          <w:bCs/>
          <w:sz w:val="24"/>
          <w:highlight w:val="none"/>
          <w:u w:val="single"/>
        </w:rPr>
        <w:t>杭州市公安局</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公开招标  </w:t>
      </w:r>
      <w:r>
        <w:rPr>
          <w:rFonts w:hint="eastAsia" w:ascii="仿宋" w:hAnsi="仿宋" w:eastAsia="仿宋" w:cs="仿宋"/>
          <w:sz w:val="24"/>
          <w:highlight w:val="none"/>
        </w:rPr>
        <w:t>对</w:t>
      </w:r>
      <w:r>
        <w:rPr>
          <w:rFonts w:hint="eastAsia" w:ascii="仿宋" w:hAnsi="仿宋" w:eastAsia="仿宋" w:cs="仿宋"/>
          <w:b/>
          <w:bCs/>
          <w:sz w:val="24"/>
          <w:highlight w:val="none"/>
          <w:u w:val="single"/>
        </w:rPr>
        <w:t>2025年杭州交警业务系统租赁使用服务-2025年公安交通集成指挥平台使用项目</w:t>
      </w:r>
      <w:r>
        <w:rPr>
          <w:rFonts w:hint="eastAsia" w:ascii="仿宋" w:hAnsi="仿宋" w:eastAsia="仿宋" w:cs="仿宋"/>
          <w:sz w:val="24"/>
          <w:highlight w:val="none"/>
        </w:rPr>
        <w:t>进行了采购。经</w:t>
      </w:r>
      <w:r>
        <w:rPr>
          <w:rFonts w:hint="eastAsia" w:ascii="仿宋" w:hAnsi="仿宋" w:eastAsia="仿宋" w:cs="仿宋"/>
          <w:sz w:val="24"/>
          <w:highlight w:val="none"/>
          <w:u w:val="single"/>
        </w:rPr>
        <w:t xml:space="preserve"> 评标委员会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为该项目中标供应商。现于中标通知书发出之日起10个工作日内，按照采购文件确定的事项签订本合同。</w:t>
      </w:r>
    </w:p>
    <w:p w14:paraId="5153354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sz w:val="24"/>
          <w:highlight w:val="none"/>
          <w:u w:val="single"/>
        </w:rPr>
        <w:t xml:space="preserve"> 杭州市公安局</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08701FC">
      <w:pPr>
        <w:snapToGrid w:val="0"/>
        <w:spacing w:line="360" w:lineRule="auto"/>
        <w:ind w:firstLine="482" w:firstLineChars="200"/>
        <w:rPr>
          <w:rFonts w:ascii="仿宋" w:hAnsi="仿宋" w:eastAsia="仿宋" w:cs="仿宋"/>
          <w:sz w:val="24"/>
          <w:highlight w:val="none"/>
        </w:rPr>
      </w:pPr>
      <w:bookmarkStart w:id="51" w:name="_Toc20421"/>
      <w:bookmarkStart w:id="52" w:name="_Toc22967"/>
      <w:bookmarkStart w:id="53" w:name="_Toc19273"/>
      <w:bookmarkStart w:id="54" w:name="_Toc15367"/>
      <w:bookmarkStart w:id="55" w:name="_Toc28855"/>
      <w:r>
        <w:rPr>
          <w:rFonts w:hint="eastAsia" w:ascii="仿宋" w:hAnsi="仿宋" w:eastAsia="仿宋" w:cs="仿宋"/>
          <w:b/>
          <w:sz w:val="24"/>
          <w:highlight w:val="none"/>
        </w:rPr>
        <w:t>1.1 合同组成部分</w:t>
      </w:r>
      <w:bookmarkEnd w:id="51"/>
      <w:bookmarkEnd w:id="52"/>
      <w:bookmarkEnd w:id="53"/>
      <w:bookmarkEnd w:id="54"/>
      <w:bookmarkEnd w:id="55"/>
    </w:p>
    <w:p w14:paraId="08C504C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CB4F4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356771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1.1.2 中标通知书；</w:t>
      </w:r>
    </w:p>
    <w:p w14:paraId="70509ED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1.1.3 投标文件（含澄清或者说明文件）；</w:t>
      </w:r>
    </w:p>
    <w:p w14:paraId="5512506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19DDFC1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w:t>
      </w:r>
      <w:r>
        <w:rPr>
          <w:rFonts w:hint="eastAsia" w:ascii="仿宋" w:hAnsi="仿宋" w:eastAsia="仿宋" w:cs="仿宋"/>
          <w:kern w:val="0"/>
          <w:sz w:val="24"/>
          <w:highlight w:val="none"/>
        </w:rPr>
        <w:t>采购</w:t>
      </w:r>
      <w:r>
        <w:rPr>
          <w:rFonts w:hint="eastAsia" w:ascii="仿宋" w:hAnsi="仿宋" w:eastAsia="仿宋" w:cs="仿宋"/>
          <w:sz w:val="24"/>
          <w:highlight w:val="none"/>
        </w:rPr>
        <w:t>文件。</w:t>
      </w:r>
    </w:p>
    <w:p w14:paraId="51F501EA">
      <w:pPr>
        <w:snapToGrid w:val="0"/>
        <w:spacing w:line="360" w:lineRule="auto"/>
        <w:ind w:firstLine="482" w:firstLineChars="200"/>
        <w:rPr>
          <w:rFonts w:ascii="仿宋" w:hAnsi="仿宋" w:eastAsia="仿宋" w:cs="仿宋"/>
          <w:b/>
          <w:sz w:val="24"/>
          <w:highlight w:val="none"/>
        </w:rPr>
      </w:pPr>
      <w:bookmarkStart w:id="56" w:name="_Toc6311"/>
      <w:bookmarkStart w:id="57" w:name="_Toc2918"/>
      <w:bookmarkStart w:id="58" w:name="_Toc22185"/>
      <w:bookmarkStart w:id="59" w:name="_Toc6773"/>
      <w:bookmarkStart w:id="60" w:name="_Toc18585"/>
      <w:r>
        <w:rPr>
          <w:rFonts w:hint="eastAsia" w:ascii="仿宋" w:hAnsi="仿宋" w:eastAsia="仿宋" w:cs="仿宋"/>
          <w:b/>
          <w:sz w:val="24"/>
          <w:highlight w:val="none"/>
        </w:rPr>
        <w:t>1.2 标的</w:t>
      </w:r>
      <w:bookmarkEnd w:id="56"/>
      <w:bookmarkEnd w:id="57"/>
      <w:bookmarkEnd w:id="58"/>
      <w:bookmarkEnd w:id="59"/>
      <w:bookmarkEnd w:id="60"/>
    </w:p>
    <w:p w14:paraId="422A3160">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以购买服务方式，提供公安交通集成指挥平台的使用服务，包括集成指挥平台基础运行环境搭建、集成指挥平台配套系统建设等。 </w:t>
      </w:r>
    </w:p>
    <w:p w14:paraId="74BF7EEA">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1.2.2服务标准：</w:t>
      </w:r>
      <w:r>
        <w:rPr>
          <w:rFonts w:hint="eastAsia" w:ascii="仿宋" w:hAnsi="仿宋" w:eastAsia="仿宋" w:cs="仿宋"/>
          <w:sz w:val="24"/>
          <w:highlight w:val="none"/>
          <w:u w:val="single"/>
        </w:rPr>
        <w:t>根据招标文件确定的技术指标或者服务要求确定验收指标和标准。未进行相应约定的，应当符合国家强制性规定、政策要求、安全标准、行业和企业有关标准等。</w:t>
      </w:r>
    </w:p>
    <w:p w14:paraId="20D70087">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按乙方提供的服务计划及承诺保障本合同有效执行 ；</w:t>
      </w:r>
    </w:p>
    <w:p w14:paraId="7274DD44">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详见附件二；</w:t>
      </w:r>
    </w:p>
    <w:p w14:paraId="452327E8">
      <w:pPr>
        <w:pStyle w:val="91"/>
        <w:ind w:firstLine="480"/>
        <w:rPr>
          <w:rFonts w:ascii="仿宋" w:hAnsi="仿宋" w:eastAsia="仿宋" w:cs="仿宋"/>
          <w:sz w:val="24"/>
          <w:szCs w:val="24"/>
          <w:highlight w:val="none"/>
        </w:rPr>
      </w:pPr>
      <w:r>
        <w:rPr>
          <w:rFonts w:hint="eastAsia" w:ascii="仿宋" w:hAnsi="仿宋" w:eastAsia="仿宋" w:cs="仿宋"/>
          <w:sz w:val="24"/>
          <w:szCs w:val="24"/>
          <w:highlight w:val="none"/>
        </w:rPr>
        <w:t>1.2.5合同  否   （是/否）涉及货物。若涉及货物的，则：</w:t>
      </w:r>
    </w:p>
    <w:p w14:paraId="413F2E65">
      <w:pPr>
        <w:pStyle w:val="91"/>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1.2.5.1 货物名称、品牌、规格型号、花色： </w:t>
      </w:r>
      <w:r>
        <w:rPr>
          <w:rFonts w:hint="eastAsia" w:ascii="Calibri" w:hAnsi="Calibri" w:eastAsia="仿宋" w:cs="宋体"/>
          <w:sz w:val="24"/>
          <w:highlight w:val="none"/>
          <w:u w:val="single"/>
        </w:rPr>
        <w:t xml:space="preserve"> /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E56E057">
      <w:pPr>
        <w:pStyle w:val="91"/>
        <w:ind w:firstLine="480"/>
        <w:rPr>
          <w:rFonts w:ascii="仿宋" w:hAnsi="仿宋" w:eastAsia="仿宋" w:cs="仿宋"/>
          <w:sz w:val="24"/>
          <w:szCs w:val="24"/>
          <w:highlight w:val="none"/>
        </w:rPr>
      </w:pPr>
      <w:r>
        <w:rPr>
          <w:rFonts w:hint="eastAsia" w:ascii="仿宋" w:hAnsi="仿宋" w:eastAsia="仿宋" w:cs="仿宋"/>
          <w:sz w:val="24"/>
          <w:szCs w:val="24"/>
          <w:highlight w:val="none"/>
        </w:rPr>
        <w:t xml:space="preserve">1.2.5.2 货物数量：   </w:t>
      </w:r>
      <w:r>
        <w:rPr>
          <w:rFonts w:hint="eastAsia" w:ascii="仿宋" w:hAnsi="仿宋" w:eastAsia="仿宋" w:cs="仿宋"/>
          <w:sz w:val="24"/>
          <w:szCs w:val="24"/>
          <w:highlight w:val="none"/>
          <w:u w:val="single"/>
        </w:rPr>
        <w:t xml:space="preserve">    </w:t>
      </w:r>
      <w:r>
        <w:rPr>
          <w:rFonts w:hint="eastAsia" w:ascii="Calibri" w:hAnsi="Calibri" w:eastAsia="仿宋" w:cs="宋体"/>
          <w:sz w:val="24"/>
          <w:highlight w:val="none"/>
          <w:u w:val="singl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5A5C5EF">
      <w:pPr>
        <w:pStyle w:val="91"/>
        <w:ind w:firstLine="480"/>
        <w:rPr>
          <w:rFonts w:ascii="仿宋" w:hAnsi="仿宋" w:eastAsia="仿宋" w:cs="仿宋"/>
          <w:sz w:val="24"/>
          <w:szCs w:val="24"/>
          <w:highlight w:val="none"/>
        </w:rPr>
      </w:pPr>
      <w:r>
        <w:rPr>
          <w:rFonts w:hint="eastAsia" w:ascii="仿宋" w:hAnsi="仿宋" w:eastAsia="仿宋" w:cs="仿宋"/>
          <w:sz w:val="24"/>
          <w:szCs w:val="24"/>
          <w:highlight w:val="none"/>
        </w:rPr>
        <w:t>1.2.5.3 货物质量：　</w:t>
      </w:r>
      <w:r>
        <w:rPr>
          <w:rFonts w:hint="eastAsia" w:ascii="仿宋" w:hAnsi="仿宋" w:eastAsia="仿宋" w:cs="仿宋"/>
          <w:sz w:val="24"/>
          <w:szCs w:val="24"/>
          <w:highlight w:val="none"/>
          <w:u w:val="single"/>
        </w:rPr>
        <w:t>　　</w:t>
      </w:r>
      <w:r>
        <w:rPr>
          <w:rFonts w:hint="eastAsia" w:ascii="Calibri" w:hAnsi="Calibri" w:eastAsia="仿宋" w:cs="宋体"/>
          <w:sz w:val="24"/>
          <w:highlight w:val="none"/>
          <w:u w:val="single"/>
        </w:rPr>
        <w:t>/</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w:t>
      </w:r>
    </w:p>
    <w:p w14:paraId="1524D50E">
      <w:pPr>
        <w:snapToGrid w:val="0"/>
        <w:spacing w:line="360" w:lineRule="auto"/>
        <w:ind w:firstLine="482" w:firstLineChars="200"/>
        <w:rPr>
          <w:rFonts w:ascii="仿宋" w:hAnsi="仿宋" w:eastAsia="仿宋" w:cs="仿宋"/>
          <w:b/>
          <w:sz w:val="24"/>
          <w:highlight w:val="none"/>
        </w:rPr>
      </w:pPr>
      <w:bookmarkStart w:id="61" w:name="_Toc5635"/>
      <w:bookmarkStart w:id="62" w:name="_Toc4929"/>
      <w:bookmarkStart w:id="63" w:name="_Toc21124"/>
      <w:bookmarkStart w:id="64" w:name="_Toc1386"/>
      <w:bookmarkStart w:id="65" w:name="_Toc13918"/>
      <w:r>
        <w:rPr>
          <w:rFonts w:hint="eastAsia" w:ascii="仿宋" w:hAnsi="仿宋" w:eastAsia="仿宋" w:cs="仿宋"/>
          <w:b/>
          <w:sz w:val="24"/>
          <w:highlight w:val="none"/>
        </w:rPr>
        <w:t>1.3 价款</w:t>
      </w:r>
      <w:bookmarkEnd w:id="61"/>
      <w:bookmarkEnd w:id="62"/>
      <w:bookmarkEnd w:id="63"/>
      <w:bookmarkEnd w:id="64"/>
      <w:bookmarkEnd w:id="65"/>
    </w:p>
    <w:p w14:paraId="5F85CB96">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本项目采用以下第1.3.2条款规定的计价方式计价。</w:t>
      </w:r>
    </w:p>
    <w:p w14:paraId="2213EC53">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1.3.1总价合同，本合同</w:t>
      </w:r>
      <w:r>
        <w:rPr>
          <w:rFonts w:hint="eastAsia" w:ascii="宋体" w:hAnsi="宋体" w:eastAsia="仿宋" w:cs="宋体"/>
          <w:bCs/>
          <w:sz w:val="24"/>
          <w:highlight w:val="none"/>
          <w:u w:val="single"/>
        </w:rPr>
        <w:t>总价（含税）为：￥ / 元（大写：/元人民币）。</w:t>
      </w:r>
    </w:p>
    <w:p w14:paraId="5E22AF30">
      <w:pPr>
        <w:spacing w:line="360" w:lineRule="auto"/>
        <w:ind w:firstLine="480" w:firstLineChars="200"/>
        <w:jc w:val="left"/>
        <w:rPr>
          <w:rFonts w:ascii="宋体" w:hAnsi="宋体" w:cs="宋体"/>
          <w:bCs/>
          <w:sz w:val="24"/>
          <w:highlight w:val="none"/>
        </w:rPr>
      </w:pPr>
      <w:r>
        <w:rPr>
          <w:rFonts w:hint="eastAsia" w:ascii="仿宋" w:hAnsi="仿宋" w:eastAsia="仿宋" w:cs="仿宋"/>
          <w:bCs/>
          <w:sz w:val="24"/>
          <w:highlight w:val="none"/>
        </w:rPr>
        <w:t>1.3.</w:t>
      </w:r>
      <w:r>
        <w:rPr>
          <w:rFonts w:hint="eastAsia" w:ascii="宋体" w:hAnsi="宋体" w:eastAsia="仿宋" w:cs="宋体"/>
          <w:bCs/>
          <w:sz w:val="24"/>
          <w:highlight w:val="none"/>
          <w:u w:val="single"/>
        </w:rPr>
        <w:t>2</w:t>
      </w:r>
      <w:r>
        <w:rPr>
          <w:rFonts w:ascii="宋体" w:hAnsi="宋体" w:eastAsia="仿宋" w:cs="宋体"/>
          <w:bCs/>
          <w:sz w:val="24"/>
          <w:highlight w:val="none"/>
          <w:u w:val="single"/>
        </w:rPr>
        <w:t>单价合同，</w:t>
      </w:r>
      <w:r>
        <w:rPr>
          <w:rFonts w:hint="eastAsia" w:ascii="宋体" w:hAnsi="宋体" w:eastAsia="仿宋" w:cs="宋体"/>
          <w:bCs/>
          <w:sz w:val="24"/>
          <w:highlight w:val="none"/>
          <w:u w:val="single"/>
        </w:rPr>
        <w:t xml:space="preserve">本合同单价（含税）标准为：  </w:t>
      </w:r>
      <w:r>
        <w:rPr>
          <w:rFonts w:hint="eastAsia" w:ascii="宋体" w:hAnsi="宋体" w:eastAsia="仿宋" w:cs="宋体"/>
          <w:b/>
          <w:bCs/>
          <w:sz w:val="24"/>
          <w:highlight w:val="none"/>
          <w:u w:val="single"/>
        </w:rPr>
        <w:t>合同价格清单</w:t>
      </w:r>
      <w:r>
        <w:rPr>
          <w:rFonts w:hint="eastAsia" w:ascii="宋体" w:hAnsi="宋体" w:eastAsia="仿宋" w:cs="宋体"/>
          <w:bCs/>
          <w:sz w:val="24"/>
          <w:highlight w:val="none"/>
          <w:u w:val="single"/>
        </w:rPr>
        <w:t>：详见附件三    。服务工作量的计量方式为：合同专用条款</w:t>
      </w:r>
      <w:r>
        <w:rPr>
          <w:rFonts w:ascii="宋体" w:hAnsi="宋体" w:eastAsia="仿宋" w:cs="宋体"/>
          <w:bCs/>
          <w:sz w:val="24"/>
          <w:highlight w:val="none"/>
          <w:u w:val="single"/>
        </w:rPr>
        <w:t>。</w:t>
      </w:r>
      <w:r>
        <w:rPr>
          <w:rFonts w:hint="eastAsia" w:ascii="宋体" w:hAnsi="宋体" w:eastAsia="仿宋" w:cs="宋体"/>
          <w:bCs/>
          <w:sz w:val="24"/>
          <w:highlight w:val="none"/>
          <w:u w:val="single"/>
        </w:rPr>
        <w:t xml:space="preserve">单价合同，在合同履行期间内，根据合同单价和实际租用设备数量及服务内容、租赁服务天数按实结算合同款项，但结算总价上限不得超过合同金额￥ </w:t>
      </w:r>
      <w:r>
        <w:rPr>
          <w:rFonts w:ascii="宋体" w:hAnsi="宋体" w:eastAsia="仿宋" w:cs="宋体"/>
          <w:bCs/>
          <w:sz w:val="24"/>
          <w:highlight w:val="none"/>
          <w:u w:val="single"/>
        </w:rPr>
        <w:t xml:space="preserve"> 元</w:t>
      </w:r>
      <w:r>
        <w:rPr>
          <w:rFonts w:hint="eastAsia" w:ascii="宋体" w:hAnsi="宋体" w:eastAsia="仿宋" w:cs="宋体"/>
          <w:bCs/>
          <w:sz w:val="24"/>
          <w:highlight w:val="none"/>
          <w:u w:val="single"/>
        </w:rPr>
        <w:t xml:space="preserve">（大写： </w:t>
      </w:r>
      <w:r>
        <w:rPr>
          <w:rFonts w:ascii="宋体" w:hAnsi="宋体" w:eastAsia="仿宋" w:cs="宋体"/>
          <w:bCs/>
          <w:sz w:val="24"/>
          <w:highlight w:val="none"/>
          <w:u w:val="single"/>
        </w:rPr>
        <w:t xml:space="preserve"> </w:t>
      </w:r>
      <w:r>
        <w:rPr>
          <w:rFonts w:hint="eastAsia" w:ascii="宋体" w:hAnsi="宋体" w:eastAsia="仿宋" w:cs="宋体"/>
          <w:bCs/>
          <w:sz w:val="24"/>
          <w:highlight w:val="none"/>
          <w:u w:val="single"/>
        </w:rPr>
        <w:t xml:space="preserve"> </w:t>
      </w:r>
      <w:r>
        <w:rPr>
          <w:rFonts w:ascii="宋体" w:hAnsi="宋体" w:eastAsia="仿宋" w:cs="宋体"/>
          <w:bCs/>
          <w:sz w:val="24"/>
          <w:highlight w:val="none"/>
          <w:u w:val="single"/>
        </w:rPr>
        <w:t xml:space="preserve"> </w:t>
      </w:r>
      <w:r>
        <w:rPr>
          <w:rFonts w:hint="eastAsia" w:ascii="宋体" w:hAnsi="宋体" w:eastAsia="仿宋" w:cs="宋体"/>
          <w:bCs/>
          <w:sz w:val="24"/>
          <w:highlight w:val="none"/>
          <w:u w:val="single"/>
        </w:rPr>
        <w:t>元人民币）；</w:t>
      </w:r>
    </w:p>
    <w:p w14:paraId="743B2E83">
      <w:pPr>
        <w:adjustRightInd/>
        <w:spacing w:line="360" w:lineRule="auto"/>
        <w:ind w:firstLine="480" w:firstLineChars="200"/>
        <w:jc w:val="left"/>
        <w:rPr>
          <w:rFonts w:ascii="宋体" w:hAnsi="宋体" w:eastAsia="仿宋" w:cs="宋体"/>
          <w:b/>
          <w:bCs/>
          <w:sz w:val="24"/>
          <w:highlight w:val="none"/>
          <w:u w:val="single"/>
        </w:rPr>
      </w:pPr>
      <w:r>
        <w:rPr>
          <w:rFonts w:hint="eastAsia" w:ascii="Calibri" w:hAnsi="Calibri" w:eastAsia="仿宋" w:cs="宋体"/>
          <w:kern w:val="0"/>
          <w:sz w:val="24"/>
          <w:highlight w:val="none"/>
        </w:rPr>
        <w:t>1.3.3</w:t>
      </w:r>
      <w:r>
        <w:rPr>
          <w:rFonts w:hint="eastAsia" w:ascii="Calibri" w:hAnsi="Calibri" w:eastAsia="仿宋"/>
          <w:bCs/>
          <w:sz w:val="24"/>
          <w:highlight w:val="none"/>
        </w:rPr>
        <w:t>其他</w:t>
      </w:r>
      <w:r>
        <w:rPr>
          <w:rFonts w:hint="eastAsia" w:ascii="Calibri" w:hAnsi="Calibri" w:eastAsia="仿宋" w:cs="宋体"/>
          <w:kern w:val="0"/>
          <w:sz w:val="24"/>
          <w:highlight w:val="none"/>
        </w:rPr>
        <w:t>计价方式：</w:t>
      </w:r>
      <w:bookmarkStart w:id="66" w:name="OLE_LINK2"/>
      <w:bookmarkStart w:id="67" w:name="OLE_LINK1"/>
      <w:r>
        <w:rPr>
          <w:rFonts w:hint="eastAsia" w:ascii="Calibri" w:hAnsi="Calibri" w:eastAsia="仿宋" w:cs="宋体"/>
          <w:kern w:val="0"/>
          <w:sz w:val="24"/>
          <w:highlight w:val="none"/>
          <w:u w:val="single"/>
        </w:rPr>
        <w:t xml:space="preserve">  / </w:t>
      </w:r>
      <w:bookmarkEnd w:id="66"/>
      <w:bookmarkEnd w:id="67"/>
      <w:r>
        <w:rPr>
          <w:rFonts w:hint="eastAsia" w:ascii="Calibri" w:hAnsi="Calibri" w:eastAsia="仿宋" w:cs="宋体"/>
          <w:kern w:val="0"/>
          <w:sz w:val="24"/>
          <w:highlight w:val="none"/>
          <w:u w:val="single"/>
        </w:rPr>
        <w:t xml:space="preserve"> </w:t>
      </w:r>
      <w:r>
        <w:rPr>
          <w:rFonts w:hint="eastAsia" w:ascii="Calibri" w:hAnsi="Calibri" w:eastAsia="仿宋" w:cs="宋体"/>
          <w:kern w:val="0"/>
          <w:sz w:val="24"/>
          <w:highlight w:val="none"/>
        </w:rPr>
        <w:t>。</w:t>
      </w:r>
      <w:r>
        <w:rPr>
          <w:rFonts w:hint="eastAsia" w:ascii="仿宋" w:hAnsi="仿宋" w:eastAsia="仿宋" w:cs="仿宋"/>
          <w:sz w:val="24"/>
          <w:highlight w:val="none"/>
        </w:rPr>
        <w:t xml:space="preserve"> </w:t>
      </w:r>
    </w:p>
    <w:p w14:paraId="5F498A5A">
      <w:pPr>
        <w:snapToGrid w:val="0"/>
        <w:spacing w:line="360" w:lineRule="auto"/>
        <w:ind w:firstLine="482" w:firstLineChars="200"/>
        <w:rPr>
          <w:rFonts w:ascii="仿宋" w:hAnsi="仿宋" w:eastAsia="仿宋" w:cs="仿宋"/>
          <w:b/>
          <w:sz w:val="24"/>
          <w:highlight w:val="none"/>
        </w:rPr>
      </w:pPr>
      <w:bookmarkStart w:id="68" w:name="_Toc26916"/>
      <w:bookmarkStart w:id="69" w:name="_Toc3654"/>
      <w:bookmarkStart w:id="70" w:name="_Toc30506"/>
      <w:bookmarkStart w:id="71" w:name="_Toc14993"/>
      <w:bookmarkStart w:id="72" w:name="_Toc30158"/>
      <w:r>
        <w:rPr>
          <w:rFonts w:hint="eastAsia" w:ascii="仿宋" w:hAnsi="仿宋" w:eastAsia="仿宋" w:cs="仿宋"/>
          <w:b/>
          <w:sz w:val="24"/>
          <w:highlight w:val="none"/>
        </w:rPr>
        <w:t>1.4履约保证金</w:t>
      </w:r>
    </w:p>
    <w:p w14:paraId="7154CBBA">
      <w:pPr>
        <w:snapToGrid w:val="0"/>
        <w:spacing w:line="360" w:lineRule="auto"/>
        <w:ind w:firstLine="480" w:firstLineChars="200"/>
        <w:rPr>
          <w:rFonts w:ascii="仿宋" w:hAnsi="仿宋" w:eastAsia="仿宋" w:cs="仿宋"/>
          <w:szCs w:val="21"/>
          <w:highlight w:val="non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是 </w:t>
      </w:r>
      <w:r>
        <w:rPr>
          <w:rFonts w:hint="eastAsia" w:ascii="仿宋" w:hAnsi="仿宋" w:eastAsia="仿宋" w:cs="仿宋"/>
          <w:sz w:val="24"/>
          <w:highlight w:val="none"/>
        </w:rPr>
        <w:t xml:space="preserve"> （是/否）需要支付履约保证金。若需要支付履约保证金的，则：</w:t>
      </w:r>
    </w:p>
    <w:p w14:paraId="0DCBEEE1">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1%</w:t>
      </w:r>
      <w:r>
        <w:rPr>
          <w:rFonts w:hint="eastAsia" w:ascii="仿宋" w:hAnsi="仿宋" w:eastAsia="仿宋" w:cs="仿宋"/>
          <w:kern w:val="0"/>
          <w:sz w:val="24"/>
          <w:highlight w:val="none"/>
        </w:rPr>
        <w:t>；</w:t>
      </w:r>
    </w:p>
    <w:p w14:paraId="3D596E89">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0CC2BF17">
      <w:pPr>
        <w:snapToGrid w:val="0"/>
        <w:spacing w:line="360" w:lineRule="auto"/>
        <w:ind w:firstLine="480" w:firstLineChars="200"/>
        <w:rPr>
          <w:rFonts w:ascii="仿宋" w:hAnsi="仿宋" w:eastAsia="仿宋" w:cs="仿宋"/>
          <w:highlight w:val="none"/>
        </w:rPr>
      </w:pPr>
      <w:r>
        <w:rPr>
          <w:rFonts w:hint="eastAsia" w:ascii="仿宋" w:hAnsi="仿宋" w:eastAsia="仿宋" w:cs="仿宋"/>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613D83">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起且收到乙方退还履约保证金申请之日5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bookmarkEnd w:id="68"/>
    <w:bookmarkEnd w:id="69"/>
    <w:bookmarkEnd w:id="70"/>
    <w:bookmarkEnd w:id="71"/>
    <w:bookmarkEnd w:id="72"/>
    <w:p w14:paraId="23163046">
      <w:pPr>
        <w:snapToGrid w:val="0"/>
        <w:spacing w:line="360" w:lineRule="auto"/>
        <w:ind w:firstLine="482" w:firstLineChars="200"/>
        <w:rPr>
          <w:rFonts w:ascii="仿宋" w:hAnsi="仿宋" w:eastAsia="仿宋" w:cs="仿宋"/>
          <w:b/>
          <w:sz w:val="24"/>
          <w:highlight w:val="none"/>
        </w:rPr>
      </w:pPr>
      <w:bookmarkStart w:id="73" w:name="_Toc8772"/>
      <w:bookmarkStart w:id="74" w:name="_Toc11108"/>
      <w:bookmarkStart w:id="75" w:name="_Toc31421"/>
      <w:bookmarkStart w:id="76" w:name="_Toc4760"/>
      <w:bookmarkStart w:id="77" w:name="_Toc3625"/>
      <w:r>
        <w:rPr>
          <w:rFonts w:hint="eastAsia" w:ascii="仿宋" w:hAnsi="仿宋" w:eastAsia="仿宋" w:cs="仿宋"/>
          <w:b/>
          <w:sz w:val="24"/>
          <w:highlight w:val="none"/>
        </w:rPr>
        <w:t>1.5预付款</w:t>
      </w:r>
    </w:p>
    <w:p w14:paraId="6BD564DB">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49A20C1B">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1.5.2预付款的扣回方式详见</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4872075D">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1.5.3预付款的担保措施详见</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5FDE909A">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1.6资金支付</w:t>
      </w:r>
    </w:p>
    <w:p w14:paraId="5FAE1481">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34B596">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1.6.2资金支付的方式、时间和条件详见</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bookmarkEnd w:id="73"/>
    <w:bookmarkEnd w:id="74"/>
    <w:bookmarkEnd w:id="75"/>
    <w:bookmarkEnd w:id="76"/>
    <w:bookmarkEnd w:id="77"/>
    <w:p w14:paraId="14961124">
      <w:pPr>
        <w:snapToGrid w:val="0"/>
        <w:spacing w:line="360" w:lineRule="auto"/>
        <w:ind w:firstLine="482" w:firstLineChars="200"/>
        <w:rPr>
          <w:rFonts w:ascii="仿宋" w:hAnsi="仿宋" w:eastAsia="仿宋" w:cs="仿宋"/>
          <w:b/>
          <w:sz w:val="24"/>
          <w:highlight w:val="none"/>
        </w:rPr>
      </w:pPr>
      <w:bookmarkStart w:id="78" w:name="_Toc2375"/>
      <w:bookmarkStart w:id="79" w:name="_Toc3079"/>
      <w:bookmarkStart w:id="80" w:name="_Toc24662"/>
      <w:bookmarkStart w:id="81" w:name="_Toc8586"/>
      <w:bookmarkStart w:id="82" w:name="_Toc5698"/>
      <w:r>
        <w:rPr>
          <w:rFonts w:hint="eastAsia" w:ascii="仿宋" w:hAnsi="仿宋" w:eastAsia="仿宋" w:cs="仿宋"/>
          <w:b/>
          <w:sz w:val="24"/>
          <w:highlight w:val="none"/>
        </w:rPr>
        <w:t>1.7 履行期限、地点和方式</w:t>
      </w:r>
    </w:p>
    <w:p w14:paraId="2386CF15">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1.7.1 服务交付（实施）的时间（期限）：</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2E441796">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1.7.2 服务交付（实施）的地点（地域范围）：</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23AFF431">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1.7.3 服务交付（实施）的方式：</w:t>
      </w:r>
      <w:r>
        <w:rPr>
          <w:rFonts w:hint="eastAsia" w:ascii="仿宋" w:hAnsi="仿宋" w:eastAsia="仿宋" w:cs="仿宋"/>
          <w:b/>
          <w:bCs/>
          <w:i/>
          <w:iCs/>
          <w:kern w:val="0"/>
          <w:sz w:val="24"/>
          <w:highlight w:val="none"/>
          <w:u w:val="single"/>
        </w:rPr>
        <w:t>合同专用条款</w:t>
      </w:r>
      <w:r>
        <w:rPr>
          <w:rFonts w:hint="eastAsia" w:ascii="仿宋" w:hAnsi="仿宋" w:eastAsia="仿宋" w:cs="仿宋"/>
          <w:kern w:val="0"/>
          <w:sz w:val="24"/>
          <w:highlight w:val="none"/>
        </w:rPr>
        <w:t>。</w:t>
      </w:r>
    </w:p>
    <w:p w14:paraId="1857EECD">
      <w:pPr>
        <w:spacing w:line="560" w:lineRule="exact"/>
        <w:ind w:firstLine="480" w:firstLineChars="200"/>
        <w:outlineLvl w:val="0"/>
        <w:rPr>
          <w:rFonts w:ascii="仿宋" w:hAnsi="仿宋" w:eastAsia="仿宋" w:cs="仿宋"/>
          <w:kern w:val="0"/>
          <w:sz w:val="24"/>
          <w:highlight w:val="none"/>
        </w:rPr>
      </w:pPr>
      <w:r>
        <w:rPr>
          <w:rFonts w:hint="eastAsia" w:ascii="仿宋" w:hAnsi="仿宋" w:eastAsia="仿宋" w:cs="仿宋"/>
          <w:kern w:val="0"/>
          <w:sz w:val="24"/>
          <w:highlight w:val="none"/>
        </w:rPr>
        <w:t>1.7.4若服务涉及货物的，则货物的：否</w:t>
      </w:r>
    </w:p>
    <w:p w14:paraId="07B91807">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1.7.4.1 交付期限：详见</w:t>
      </w:r>
      <w:r>
        <w:rPr>
          <w:rFonts w:hint="eastAsia" w:ascii="Calibri" w:hAnsi="Calibri" w:eastAsia="仿宋" w:cs="宋体"/>
          <w:kern w:val="0"/>
          <w:sz w:val="24"/>
          <w:highlight w:val="none"/>
          <w:u w:val="single"/>
        </w:rPr>
        <w:t xml:space="preserve">  /</w:t>
      </w:r>
      <w:r>
        <w:rPr>
          <w:rFonts w:hint="eastAsia" w:ascii="仿宋" w:hAnsi="仿宋" w:eastAsia="仿宋" w:cs="仿宋"/>
          <w:kern w:val="0"/>
          <w:sz w:val="24"/>
          <w:highlight w:val="none"/>
        </w:rPr>
        <w:t>；</w:t>
      </w:r>
    </w:p>
    <w:p w14:paraId="099D6D85">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1.7.4.2 交付地点：</w:t>
      </w:r>
      <w:r>
        <w:rPr>
          <w:rFonts w:hint="eastAsia" w:ascii="Calibri" w:hAnsi="Calibri" w:eastAsia="仿宋" w:cs="宋体"/>
          <w:kern w:val="0"/>
          <w:sz w:val="24"/>
          <w:highlight w:val="none"/>
          <w:u w:val="single"/>
        </w:rPr>
        <w:t xml:space="preserve">  /</w:t>
      </w:r>
      <w:r>
        <w:rPr>
          <w:rFonts w:hint="eastAsia" w:ascii="仿宋" w:hAnsi="仿宋" w:eastAsia="仿宋" w:cs="仿宋"/>
          <w:kern w:val="0"/>
          <w:sz w:val="24"/>
          <w:highlight w:val="none"/>
        </w:rPr>
        <w:t>；</w:t>
      </w:r>
    </w:p>
    <w:p w14:paraId="4B3DC43A">
      <w:pPr>
        <w:spacing w:line="560" w:lineRule="exact"/>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1.7.4.3 交付方式：</w:t>
      </w:r>
      <w:r>
        <w:rPr>
          <w:rFonts w:hint="eastAsia" w:ascii="Calibri" w:hAnsi="Calibri" w:eastAsia="仿宋" w:cs="宋体"/>
          <w:kern w:val="0"/>
          <w:sz w:val="24"/>
          <w:highlight w:val="none"/>
          <w:u w:val="single"/>
        </w:rPr>
        <w:t xml:space="preserve">  /</w:t>
      </w:r>
      <w:r>
        <w:rPr>
          <w:rFonts w:hint="eastAsia" w:ascii="仿宋" w:hAnsi="仿宋" w:eastAsia="仿宋" w:cs="仿宋"/>
          <w:kern w:val="0"/>
          <w:sz w:val="24"/>
          <w:highlight w:val="none"/>
        </w:rPr>
        <w:t>。</w:t>
      </w:r>
    </w:p>
    <w:p w14:paraId="2AFE0484">
      <w:pPr>
        <w:pStyle w:val="91"/>
        <w:ind w:firstLine="480"/>
        <w:rPr>
          <w:sz w:val="24"/>
          <w:szCs w:val="24"/>
          <w:highlight w:val="none"/>
        </w:rPr>
      </w:pPr>
    </w:p>
    <w:bookmarkEnd w:id="78"/>
    <w:bookmarkEnd w:id="79"/>
    <w:bookmarkEnd w:id="80"/>
    <w:bookmarkEnd w:id="81"/>
    <w:bookmarkEnd w:id="82"/>
    <w:p w14:paraId="40DA9771">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1.8违约责任</w:t>
      </w:r>
    </w:p>
    <w:p w14:paraId="028F5C6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0.05</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7DE9D41A">
      <w:pPr>
        <w:snapToGrid w:val="0"/>
        <w:spacing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highlight w:val="none"/>
          <w:u w:val="single"/>
        </w:rPr>
        <w:t xml:space="preserve"> 0.0</w:t>
      </w:r>
      <w:r>
        <w:rPr>
          <w:rFonts w:hint="eastAsia" w:ascii="仿宋" w:hAnsi="仿宋" w:eastAsia="仿宋" w:cs="仿宋"/>
          <w:sz w:val="24"/>
          <w:highlight w:val="none"/>
        </w:rPr>
        <w:t>5 %计算，最高限额为本合同总价的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%；迟延交付货物的违约金计算数额达到前述最高限额之日起，甲方有权在要求乙方支付违约金的同时，书面通知乙方解除本合同；</w:t>
      </w:r>
    </w:p>
    <w:p w14:paraId="56417A6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20</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3242A0D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68FED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409DA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2335E1C">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275B3DC3">
      <w:pPr>
        <w:snapToGrid w:val="0"/>
        <w:spacing w:line="360" w:lineRule="auto"/>
        <w:ind w:firstLine="482" w:firstLineChars="200"/>
        <w:rPr>
          <w:rFonts w:ascii="仿宋" w:hAnsi="仿宋" w:eastAsia="仿宋" w:cs="仿宋"/>
          <w:b/>
          <w:sz w:val="24"/>
          <w:highlight w:val="none"/>
        </w:rPr>
      </w:pPr>
      <w:bookmarkStart w:id="83" w:name="_Toc18683"/>
      <w:bookmarkStart w:id="84" w:name="_Toc32454"/>
      <w:bookmarkStart w:id="85" w:name="_Toc9497"/>
      <w:bookmarkStart w:id="86" w:name="_Toc30329"/>
      <w:bookmarkStart w:id="87" w:name="_Toc26807"/>
      <w:r>
        <w:rPr>
          <w:rFonts w:hint="eastAsia" w:ascii="仿宋" w:hAnsi="仿宋" w:eastAsia="仿宋" w:cs="仿宋"/>
          <w:b/>
          <w:sz w:val="24"/>
          <w:highlight w:val="none"/>
        </w:rPr>
        <w:t>1.9 合同争议的解决</w:t>
      </w:r>
      <w:bookmarkEnd w:id="83"/>
      <w:bookmarkEnd w:id="84"/>
      <w:bookmarkEnd w:id="85"/>
      <w:bookmarkEnd w:id="86"/>
      <w:bookmarkEnd w:id="87"/>
    </w:p>
    <w:p w14:paraId="0855FFD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1.9.2 </w:t>
      </w:r>
      <w:r>
        <w:rPr>
          <w:rFonts w:hint="eastAsia" w:ascii="仿宋" w:hAnsi="仿宋" w:eastAsia="仿宋" w:cs="仿宋"/>
          <w:sz w:val="24"/>
          <w:highlight w:val="none"/>
        </w:rPr>
        <w:t>条款规定的方式解决：</w:t>
      </w:r>
    </w:p>
    <w:p w14:paraId="55A2236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5FC961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7A470591">
      <w:pPr>
        <w:snapToGrid w:val="0"/>
        <w:spacing w:line="360" w:lineRule="auto"/>
        <w:ind w:firstLine="482" w:firstLineChars="200"/>
        <w:rPr>
          <w:rFonts w:ascii="仿宋" w:hAnsi="仿宋" w:eastAsia="仿宋" w:cs="仿宋"/>
          <w:b/>
          <w:sz w:val="24"/>
          <w:highlight w:val="none"/>
        </w:rPr>
      </w:pPr>
      <w:bookmarkStart w:id="88" w:name="_Toc16417"/>
      <w:bookmarkStart w:id="89" w:name="_Toc23784"/>
      <w:bookmarkStart w:id="90" w:name="_Toc12273"/>
      <w:bookmarkStart w:id="91" w:name="_Toc26227"/>
      <w:bookmarkStart w:id="92" w:name="_Toc15827"/>
      <w:r>
        <w:rPr>
          <w:rFonts w:hint="eastAsia" w:ascii="仿宋" w:hAnsi="仿宋" w:eastAsia="仿宋" w:cs="仿宋"/>
          <w:b/>
          <w:sz w:val="24"/>
          <w:highlight w:val="none"/>
        </w:rPr>
        <w:t>2.0 合同生效</w:t>
      </w:r>
      <w:bookmarkEnd w:id="88"/>
      <w:bookmarkEnd w:id="89"/>
      <w:bookmarkEnd w:id="90"/>
      <w:bookmarkEnd w:id="91"/>
      <w:bookmarkEnd w:id="92"/>
    </w:p>
    <w:p w14:paraId="58E54F10">
      <w:pPr>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本合同自双方当事人盖章并且签字时生效。</w:t>
      </w:r>
    </w:p>
    <w:p w14:paraId="46DE2D97">
      <w:pPr>
        <w:autoSpaceDE w:val="0"/>
        <w:autoSpaceDN w:val="0"/>
        <w:snapToGrid w:val="0"/>
        <w:spacing w:line="360" w:lineRule="auto"/>
        <w:rPr>
          <w:rFonts w:ascii="仿宋" w:hAnsi="仿宋" w:eastAsia="仿宋" w:cs="仿宋"/>
          <w:sz w:val="24"/>
          <w:highlight w:val="none"/>
          <w:lang w:val="zh-CN"/>
        </w:rPr>
      </w:pPr>
    </w:p>
    <w:p w14:paraId="3EED94CC">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b/>
          <w:sz w:val="24"/>
          <w:highlight w:val="none"/>
          <w:lang w:val="zh-CN"/>
        </w:rPr>
        <w:t xml:space="preserve">甲方：   杭州市公安局   </w:t>
      </w:r>
      <w:r>
        <w:rPr>
          <w:rFonts w:hint="eastAsia" w:ascii="仿宋" w:hAnsi="仿宋" w:eastAsia="仿宋" w:cs="仿宋"/>
          <w:b/>
          <w:sz w:val="24"/>
          <w:highlight w:val="none"/>
        </w:rPr>
        <w:t xml:space="preserve">                 </w:t>
      </w:r>
      <w:r>
        <w:rPr>
          <w:rFonts w:hint="eastAsia" w:ascii="仿宋" w:hAnsi="仿宋" w:eastAsia="仿宋" w:cs="仿宋"/>
          <w:b/>
          <w:sz w:val="24"/>
          <w:highlight w:val="none"/>
          <w:lang w:val="zh-CN"/>
        </w:rPr>
        <w:t>乙方</w:t>
      </w:r>
      <w:r>
        <w:rPr>
          <w:rFonts w:hint="eastAsia" w:ascii="仿宋" w:hAnsi="仿宋" w:eastAsia="仿宋" w:cs="仿宋"/>
          <w:sz w:val="24"/>
          <w:highlight w:val="none"/>
          <w:lang w:val="zh-CN"/>
        </w:rPr>
        <w:t>：</w:t>
      </w:r>
    </w:p>
    <w:p w14:paraId="5D915E19">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130ED2AC">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0B42FBF6">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法定代表人或授权代表（签字）：           法定代表人或授权代表（签字）:</w:t>
      </w:r>
    </w:p>
    <w:p w14:paraId="090BDC6E">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236F9A5E">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346B5A2D">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0E501D7F">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6DC2AA64">
      <w:pPr>
        <w:autoSpaceDE w:val="0"/>
        <w:autoSpaceDN w:val="0"/>
        <w:snapToGrid w:val="0"/>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255D56A6">
      <w:pPr>
        <w:autoSpaceDE w:val="0"/>
        <w:autoSpaceDN w:val="0"/>
        <w:snapToGrid w:val="0"/>
        <w:spacing w:line="360" w:lineRule="auto"/>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01783532">
      <w:pPr>
        <w:autoSpaceDE w:val="0"/>
        <w:autoSpaceDN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2C1639C7">
      <w:pPr>
        <w:autoSpaceDE w:val="0"/>
        <w:autoSpaceDN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51AD1DCD">
      <w:pPr>
        <w:autoSpaceDE w:val="0"/>
        <w:autoSpaceDN w:val="0"/>
        <w:snapToGrid w:val="0"/>
        <w:spacing w:line="360" w:lineRule="auto"/>
        <w:rPr>
          <w:rFonts w:ascii="仿宋" w:hAnsi="仿宋" w:eastAsia="仿宋" w:cs="仿宋"/>
          <w:b/>
          <w:sz w:val="24"/>
          <w:highlight w:val="none"/>
        </w:rPr>
      </w:pPr>
      <w:r>
        <w:rPr>
          <w:rFonts w:hint="eastAsia" w:ascii="仿宋" w:hAnsi="仿宋" w:eastAsia="仿宋" w:cs="仿宋"/>
          <w:sz w:val="24"/>
          <w:highlight w:val="none"/>
        </w:rPr>
        <w:t>开户账号：                               开户账号：</w:t>
      </w:r>
      <w:r>
        <w:rPr>
          <w:rFonts w:hint="eastAsia" w:ascii="仿宋" w:hAnsi="仿宋" w:eastAsia="仿宋" w:cs="仿宋"/>
          <w:b/>
          <w:highlight w:val="none"/>
        </w:rPr>
        <w:br w:type="page"/>
      </w:r>
    </w:p>
    <w:p w14:paraId="556EC9C6">
      <w:pPr>
        <w:pStyle w:val="562"/>
        <w:spacing w:after="0"/>
        <w:ind w:left="0" w:leftChars="0" w:firstLine="0" w:firstLineChars="0"/>
        <w:jc w:val="center"/>
        <w:outlineLvl w:val="1"/>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61849C81">
      <w:pPr>
        <w:snapToGrid w:val="0"/>
        <w:spacing w:line="360" w:lineRule="auto"/>
        <w:ind w:firstLine="482" w:firstLineChars="200"/>
        <w:rPr>
          <w:rFonts w:ascii="仿宋" w:hAnsi="仿宋" w:eastAsia="仿宋" w:cs="仿宋"/>
          <w:b/>
          <w:sz w:val="24"/>
          <w:highlight w:val="none"/>
        </w:rPr>
      </w:pPr>
      <w:bookmarkStart w:id="93" w:name="_Toc25079"/>
      <w:bookmarkStart w:id="94" w:name="_Toc31297"/>
      <w:bookmarkStart w:id="95" w:name="_Toc5228"/>
      <w:bookmarkStart w:id="96" w:name="_Toc14021"/>
      <w:bookmarkStart w:id="97" w:name="_Toc19680"/>
      <w:r>
        <w:rPr>
          <w:rFonts w:hint="eastAsia" w:ascii="仿宋" w:hAnsi="仿宋" w:eastAsia="仿宋" w:cs="仿宋"/>
          <w:b/>
          <w:sz w:val="24"/>
          <w:highlight w:val="none"/>
        </w:rPr>
        <w:t>2.1 定义</w:t>
      </w:r>
      <w:bookmarkEnd w:id="93"/>
      <w:bookmarkEnd w:id="94"/>
      <w:bookmarkEnd w:id="95"/>
      <w:bookmarkEnd w:id="96"/>
      <w:bookmarkEnd w:id="97"/>
    </w:p>
    <w:p w14:paraId="0E9B809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B3BC44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“合同”系指甲方和中标供应商签订的载明双方当事人所达成的协议，并包括所有的附件、附录和构成合同的其他文件。</w:t>
      </w:r>
    </w:p>
    <w:p w14:paraId="76EAC95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“合同价”系指根据合同约定，中标供应商在完全履行合同义务后，甲方应支付给中标供应商的价格。</w:t>
      </w:r>
    </w:p>
    <w:p w14:paraId="3EF5142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 “服务”系指中标供应商根据合同约定应向甲方履行的除货物和工程以外的其他政府采购对象，包括甲方自身需要的服务和向社会公众提供的公共服务。</w:t>
      </w:r>
    </w:p>
    <w:p w14:paraId="187534A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“甲方”系指与中标供应商签署合同的采购人；甲方委托采购代理机构代表其与乙方签订合同的，甲方的授权委托书作为合同附件。</w:t>
      </w:r>
    </w:p>
    <w:p w14:paraId="13F48AC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ECBA1F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03DEE6A5">
      <w:pPr>
        <w:snapToGrid w:val="0"/>
        <w:spacing w:line="360" w:lineRule="auto"/>
        <w:ind w:firstLine="482" w:firstLineChars="200"/>
        <w:rPr>
          <w:rFonts w:ascii="仿宋" w:hAnsi="仿宋" w:eastAsia="仿宋" w:cs="仿宋"/>
          <w:b/>
          <w:sz w:val="24"/>
          <w:highlight w:val="none"/>
        </w:rPr>
      </w:pPr>
      <w:bookmarkStart w:id="98" w:name="_Toc3769"/>
      <w:bookmarkStart w:id="99" w:name="_Toc19539"/>
      <w:bookmarkStart w:id="100" w:name="_Toc16752"/>
      <w:bookmarkStart w:id="101" w:name="_Toc23289"/>
      <w:bookmarkStart w:id="102" w:name="_Toc31402"/>
      <w:r>
        <w:rPr>
          <w:rFonts w:hint="eastAsia" w:ascii="仿宋" w:hAnsi="仿宋" w:eastAsia="仿宋" w:cs="仿宋"/>
          <w:b/>
          <w:sz w:val="24"/>
          <w:highlight w:val="none"/>
        </w:rPr>
        <w:t>2.2 技术规范</w:t>
      </w:r>
      <w:bookmarkEnd w:id="98"/>
      <w:bookmarkEnd w:id="99"/>
      <w:bookmarkEnd w:id="100"/>
      <w:bookmarkEnd w:id="101"/>
      <w:bookmarkEnd w:id="102"/>
    </w:p>
    <w:p w14:paraId="03DAE44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w:t>
      </w:r>
      <w:r>
        <w:rPr>
          <w:rFonts w:hint="eastAsia" w:ascii="仿宋" w:hAnsi="仿宋" w:eastAsia="仿宋" w:cs="仿宋"/>
          <w:kern w:val="0"/>
          <w:sz w:val="24"/>
          <w:highlight w:val="none"/>
        </w:rPr>
        <w:t>采购</w:t>
      </w:r>
      <w:r>
        <w:rPr>
          <w:rFonts w:hint="eastAsia" w:ascii="仿宋" w:hAnsi="仿宋" w:eastAsia="仿宋" w:cs="仿宋"/>
          <w:sz w:val="24"/>
          <w:highlight w:val="none"/>
        </w:rPr>
        <w:t>文件规定的技术规范和技术规范附件(如果有的话)及其技术规范偏差表(如果被甲方接受的话)相一致；如果</w:t>
      </w:r>
      <w:r>
        <w:rPr>
          <w:rFonts w:hint="eastAsia" w:ascii="仿宋" w:hAnsi="仿宋" w:eastAsia="仿宋" w:cs="仿宋"/>
          <w:kern w:val="0"/>
          <w:sz w:val="24"/>
          <w:highlight w:val="none"/>
        </w:rPr>
        <w:t>采购</w:t>
      </w:r>
      <w:r>
        <w:rPr>
          <w:rFonts w:hint="eastAsia" w:ascii="仿宋" w:hAnsi="仿宋" w:eastAsia="仿宋" w:cs="仿宋"/>
          <w:sz w:val="24"/>
          <w:highlight w:val="none"/>
        </w:rPr>
        <w:t>文件中没有技术规范的相应说明，那么应以国家有关部门最新颁布的相应标准和规范为准。</w:t>
      </w:r>
    </w:p>
    <w:p w14:paraId="795F97ED">
      <w:pPr>
        <w:snapToGrid w:val="0"/>
        <w:spacing w:line="360" w:lineRule="auto"/>
        <w:ind w:firstLine="482" w:firstLineChars="200"/>
        <w:rPr>
          <w:rFonts w:ascii="仿宋" w:hAnsi="仿宋" w:eastAsia="仿宋" w:cs="仿宋"/>
          <w:b/>
          <w:sz w:val="24"/>
          <w:highlight w:val="none"/>
        </w:rPr>
      </w:pPr>
      <w:bookmarkStart w:id="103" w:name="_Toc9161"/>
      <w:bookmarkStart w:id="104" w:name="_Toc4133"/>
      <w:bookmarkStart w:id="105" w:name="_Toc13673"/>
      <w:bookmarkStart w:id="106" w:name="_Toc27945"/>
      <w:bookmarkStart w:id="107" w:name="_Toc12412"/>
      <w:r>
        <w:rPr>
          <w:rFonts w:hint="eastAsia" w:ascii="仿宋" w:hAnsi="仿宋" w:eastAsia="仿宋" w:cs="仿宋"/>
          <w:b/>
          <w:sz w:val="24"/>
          <w:highlight w:val="none"/>
        </w:rPr>
        <w:t>2.3 知识产权</w:t>
      </w:r>
      <w:bookmarkEnd w:id="103"/>
      <w:bookmarkEnd w:id="104"/>
      <w:bookmarkEnd w:id="105"/>
      <w:bookmarkEnd w:id="106"/>
      <w:bookmarkEnd w:id="107"/>
    </w:p>
    <w:p w14:paraId="1FCF95C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914F9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D670685">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0B8D22C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35BD46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1532BDB2">
      <w:pPr>
        <w:snapToGrid w:val="0"/>
        <w:spacing w:line="360" w:lineRule="auto"/>
        <w:ind w:firstLine="482" w:firstLineChars="200"/>
        <w:rPr>
          <w:rFonts w:ascii="仿宋" w:hAnsi="仿宋" w:eastAsia="仿宋" w:cs="仿宋"/>
          <w:b/>
          <w:sz w:val="24"/>
          <w:highlight w:val="none"/>
        </w:rPr>
      </w:pPr>
      <w:bookmarkStart w:id="108" w:name="_Toc15447"/>
      <w:bookmarkStart w:id="109" w:name="_Toc32670"/>
      <w:bookmarkStart w:id="110" w:name="_Toc26555"/>
      <w:bookmarkStart w:id="111" w:name="_Toc22011"/>
      <w:bookmarkStart w:id="112" w:name="_Toc31233"/>
      <w:r>
        <w:rPr>
          <w:rFonts w:hint="eastAsia" w:ascii="仿宋" w:hAnsi="仿宋" w:eastAsia="仿宋" w:cs="仿宋"/>
          <w:b/>
          <w:sz w:val="24"/>
          <w:highlight w:val="none"/>
        </w:rPr>
        <w:t>2.5 结算方式和付款条件</w:t>
      </w:r>
      <w:bookmarkEnd w:id="108"/>
      <w:bookmarkEnd w:id="109"/>
      <w:bookmarkEnd w:id="110"/>
      <w:bookmarkEnd w:id="111"/>
      <w:bookmarkEnd w:id="112"/>
    </w:p>
    <w:p w14:paraId="4160A8C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BD482A7">
      <w:pPr>
        <w:snapToGrid w:val="0"/>
        <w:spacing w:line="360" w:lineRule="auto"/>
        <w:ind w:firstLine="482" w:firstLineChars="200"/>
        <w:rPr>
          <w:rFonts w:ascii="仿宋" w:hAnsi="仿宋" w:eastAsia="仿宋" w:cs="仿宋"/>
          <w:b/>
          <w:sz w:val="24"/>
          <w:highlight w:val="none"/>
        </w:rPr>
      </w:pPr>
      <w:bookmarkStart w:id="113" w:name="_Toc18990"/>
      <w:bookmarkStart w:id="114" w:name="_Toc13467"/>
      <w:bookmarkStart w:id="115" w:name="_Toc13154"/>
      <w:bookmarkStart w:id="116" w:name="_Toc30507"/>
      <w:bookmarkStart w:id="117" w:name="_Toc16163"/>
      <w:r>
        <w:rPr>
          <w:rFonts w:hint="eastAsia" w:ascii="仿宋" w:hAnsi="仿宋" w:eastAsia="仿宋" w:cs="仿宋"/>
          <w:b/>
          <w:sz w:val="24"/>
          <w:highlight w:val="none"/>
        </w:rPr>
        <w:t>2.6 技术资料和保密义务</w:t>
      </w:r>
      <w:bookmarkEnd w:id="113"/>
      <w:bookmarkEnd w:id="114"/>
      <w:bookmarkEnd w:id="115"/>
      <w:bookmarkEnd w:id="116"/>
      <w:bookmarkEnd w:id="117"/>
    </w:p>
    <w:p w14:paraId="565BC69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112CF95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661B7D6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AAA0AE">
      <w:pPr>
        <w:snapToGrid w:val="0"/>
        <w:spacing w:line="360" w:lineRule="auto"/>
        <w:ind w:firstLine="482" w:firstLineChars="200"/>
        <w:rPr>
          <w:rFonts w:ascii="仿宋" w:hAnsi="仿宋" w:eastAsia="仿宋" w:cs="仿宋"/>
          <w:b/>
          <w:sz w:val="24"/>
          <w:highlight w:val="none"/>
        </w:rPr>
      </w:pPr>
      <w:bookmarkStart w:id="118" w:name="_Toc19069"/>
      <w:r>
        <w:rPr>
          <w:rFonts w:hint="eastAsia" w:ascii="仿宋" w:hAnsi="仿宋" w:eastAsia="仿宋" w:cs="仿宋"/>
          <w:b/>
          <w:sz w:val="24"/>
          <w:highlight w:val="none"/>
        </w:rPr>
        <w:t>2.7 质量保证</w:t>
      </w:r>
      <w:bookmarkEnd w:id="118"/>
    </w:p>
    <w:p w14:paraId="2AAF15D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0D9400F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6BA3FCD1">
      <w:pPr>
        <w:snapToGrid w:val="0"/>
        <w:spacing w:line="360" w:lineRule="auto"/>
        <w:ind w:firstLine="482" w:firstLineChars="200"/>
        <w:rPr>
          <w:rFonts w:ascii="仿宋" w:hAnsi="仿宋" w:eastAsia="仿宋" w:cs="仿宋"/>
          <w:b/>
          <w:sz w:val="24"/>
          <w:highlight w:val="none"/>
        </w:rPr>
      </w:pPr>
      <w:bookmarkStart w:id="119" w:name="_Toc22267"/>
      <w:r>
        <w:rPr>
          <w:rFonts w:hint="eastAsia" w:ascii="仿宋" w:hAnsi="仿宋" w:eastAsia="仿宋" w:cs="仿宋"/>
          <w:b/>
          <w:sz w:val="24"/>
          <w:highlight w:val="none"/>
        </w:rPr>
        <w:t>2.8 延迟履行</w:t>
      </w:r>
      <w:bookmarkEnd w:id="119"/>
    </w:p>
    <w:p w14:paraId="731625D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E4C43B">
      <w:pPr>
        <w:snapToGrid w:val="0"/>
        <w:spacing w:line="360" w:lineRule="auto"/>
        <w:ind w:firstLine="482" w:firstLineChars="200"/>
        <w:rPr>
          <w:rFonts w:ascii="仿宋" w:hAnsi="仿宋" w:eastAsia="仿宋" w:cs="仿宋"/>
          <w:b/>
          <w:sz w:val="24"/>
          <w:highlight w:val="none"/>
        </w:rPr>
      </w:pPr>
      <w:bookmarkStart w:id="120" w:name="_Toc10611"/>
      <w:r>
        <w:rPr>
          <w:rFonts w:hint="eastAsia" w:ascii="仿宋" w:hAnsi="仿宋" w:eastAsia="仿宋" w:cs="仿宋"/>
          <w:b/>
          <w:sz w:val="24"/>
          <w:highlight w:val="none"/>
        </w:rPr>
        <w:t>2.9 合同变更</w:t>
      </w:r>
      <w:bookmarkEnd w:id="120"/>
    </w:p>
    <w:p w14:paraId="4B7DC31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12E0F20D">
      <w:pPr>
        <w:snapToGrid w:val="0"/>
        <w:spacing w:line="360" w:lineRule="auto"/>
        <w:ind w:firstLine="482" w:firstLineChars="200"/>
        <w:rPr>
          <w:rFonts w:ascii="仿宋" w:hAnsi="仿宋" w:eastAsia="仿宋" w:cs="仿宋"/>
          <w:b/>
          <w:sz w:val="24"/>
          <w:highlight w:val="none"/>
        </w:rPr>
      </w:pPr>
      <w:bookmarkStart w:id="121" w:name="_Toc42"/>
      <w:bookmarkStart w:id="122" w:name="_Toc21830"/>
      <w:bookmarkStart w:id="123" w:name="_Toc10663"/>
      <w:bookmarkStart w:id="124" w:name="_Toc23368"/>
      <w:bookmarkStart w:id="125" w:name="_Toc26689"/>
      <w:r>
        <w:rPr>
          <w:rFonts w:hint="eastAsia" w:ascii="仿宋" w:hAnsi="仿宋" w:eastAsia="仿宋" w:cs="仿宋"/>
          <w:b/>
          <w:sz w:val="24"/>
          <w:highlight w:val="none"/>
        </w:rPr>
        <w:t>2.10 合同转让和分包</w:t>
      </w:r>
      <w:bookmarkEnd w:id="121"/>
      <w:bookmarkEnd w:id="122"/>
      <w:bookmarkEnd w:id="123"/>
      <w:bookmarkEnd w:id="124"/>
      <w:bookmarkEnd w:id="125"/>
    </w:p>
    <w:p w14:paraId="7DBA276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合同的权利义务依法不得转让，但经甲方书面同意，乙方可以依法采取分包方式履行合同，即：依法可以将合同项下的部分非主体、非关键性软件部分中</w:t>
      </w:r>
      <w:r>
        <w:rPr>
          <w:rFonts w:hint="eastAsia" w:ascii="仿宋" w:hAnsi="仿宋" w:eastAsia="仿宋" w:cs="仿宋"/>
          <w:sz w:val="24"/>
          <w:highlight w:val="none"/>
          <w:u w:val="single"/>
        </w:rPr>
        <w:t>违法举报工作</w:t>
      </w:r>
      <w:r>
        <w:rPr>
          <w:rFonts w:hint="eastAsia" w:ascii="仿宋" w:hAnsi="仿宋" w:eastAsia="仿宋" w:cs="仿宋"/>
          <w:sz w:val="24"/>
          <w:highlight w:val="none"/>
        </w:rPr>
        <w:t>分包给他人完成，接受分包的人应当具备相应的资格条件，并不得再次分包，且乙方应就分包项目向甲方负责，并与分包供应商就分包项目向甲方承担连带责任。</w:t>
      </w:r>
    </w:p>
    <w:p w14:paraId="14F867FF">
      <w:pPr>
        <w:snapToGrid w:val="0"/>
        <w:spacing w:line="360" w:lineRule="auto"/>
        <w:ind w:firstLine="482" w:firstLineChars="200"/>
        <w:rPr>
          <w:rFonts w:ascii="仿宋" w:hAnsi="仿宋" w:eastAsia="仿宋" w:cs="仿宋"/>
          <w:b/>
          <w:sz w:val="24"/>
          <w:highlight w:val="none"/>
        </w:rPr>
      </w:pPr>
      <w:bookmarkStart w:id="126" w:name="_Toc4720"/>
      <w:bookmarkStart w:id="127" w:name="_Toc32494"/>
      <w:bookmarkStart w:id="128" w:name="_Toc14371"/>
      <w:bookmarkStart w:id="129" w:name="_Toc25571"/>
      <w:bookmarkStart w:id="130" w:name="_Toc26633"/>
      <w:r>
        <w:rPr>
          <w:rFonts w:hint="eastAsia" w:ascii="仿宋" w:hAnsi="仿宋" w:eastAsia="仿宋" w:cs="仿宋"/>
          <w:b/>
          <w:sz w:val="24"/>
          <w:highlight w:val="none"/>
        </w:rPr>
        <w:t>2.11 不可抗力</w:t>
      </w:r>
      <w:bookmarkEnd w:id="126"/>
      <w:bookmarkEnd w:id="127"/>
      <w:bookmarkEnd w:id="128"/>
      <w:bookmarkEnd w:id="129"/>
      <w:bookmarkEnd w:id="130"/>
    </w:p>
    <w:p w14:paraId="0300503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43C0246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3B8C8BC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457918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38CE0FA5">
      <w:pPr>
        <w:snapToGrid w:val="0"/>
        <w:spacing w:line="360" w:lineRule="auto"/>
        <w:ind w:firstLine="482" w:firstLineChars="200"/>
        <w:rPr>
          <w:rFonts w:ascii="仿宋" w:hAnsi="仿宋" w:eastAsia="仿宋" w:cs="仿宋"/>
          <w:b/>
          <w:sz w:val="24"/>
          <w:highlight w:val="none"/>
        </w:rPr>
      </w:pPr>
      <w:bookmarkStart w:id="131" w:name="_Toc3638"/>
      <w:bookmarkStart w:id="132" w:name="_Toc25783"/>
      <w:bookmarkStart w:id="133" w:name="_Toc24465"/>
      <w:bookmarkStart w:id="134" w:name="_Toc23854"/>
      <w:bookmarkStart w:id="135" w:name="_Toc14115"/>
      <w:r>
        <w:rPr>
          <w:rFonts w:hint="eastAsia" w:ascii="仿宋" w:hAnsi="仿宋" w:eastAsia="仿宋" w:cs="仿宋"/>
          <w:b/>
          <w:sz w:val="24"/>
          <w:highlight w:val="none"/>
        </w:rPr>
        <w:t>2.12 税费</w:t>
      </w:r>
      <w:bookmarkEnd w:id="131"/>
      <w:bookmarkEnd w:id="132"/>
      <w:bookmarkEnd w:id="133"/>
      <w:bookmarkEnd w:id="134"/>
      <w:bookmarkEnd w:id="135"/>
    </w:p>
    <w:p w14:paraId="46A748F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6EF3DEC1">
      <w:pPr>
        <w:snapToGrid w:val="0"/>
        <w:spacing w:line="360" w:lineRule="auto"/>
        <w:ind w:firstLine="482" w:firstLineChars="200"/>
        <w:rPr>
          <w:rFonts w:ascii="仿宋" w:hAnsi="仿宋" w:eastAsia="仿宋" w:cs="仿宋"/>
          <w:b/>
          <w:sz w:val="24"/>
          <w:highlight w:val="none"/>
        </w:rPr>
      </w:pPr>
      <w:bookmarkStart w:id="136" w:name="_Toc14814"/>
      <w:bookmarkStart w:id="137" w:name="_Toc25525"/>
      <w:bookmarkStart w:id="138" w:name="_Toc30105"/>
      <w:bookmarkStart w:id="139" w:name="_Toc26883"/>
      <w:bookmarkStart w:id="140" w:name="_Toc7315"/>
      <w:r>
        <w:rPr>
          <w:rFonts w:hint="eastAsia" w:ascii="仿宋" w:hAnsi="仿宋" w:eastAsia="仿宋" w:cs="仿宋"/>
          <w:b/>
          <w:sz w:val="24"/>
          <w:highlight w:val="none"/>
        </w:rPr>
        <w:t>2.13 乙方破产</w:t>
      </w:r>
      <w:bookmarkEnd w:id="136"/>
      <w:bookmarkEnd w:id="137"/>
      <w:bookmarkEnd w:id="138"/>
      <w:bookmarkEnd w:id="139"/>
      <w:bookmarkEnd w:id="140"/>
    </w:p>
    <w:p w14:paraId="6EB6014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4FB92D">
      <w:pPr>
        <w:snapToGrid w:val="0"/>
        <w:spacing w:line="360" w:lineRule="auto"/>
        <w:ind w:firstLine="482" w:firstLineChars="200"/>
        <w:rPr>
          <w:rFonts w:ascii="仿宋" w:hAnsi="仿宋" w:eastAsia="仿宋" w:cs="仿宋"/>
          <w:b/>
          <w:sz w:val="24"/>
          <w:highlight w:val="none"/>
        </w:rPr>
      </w:pPr>
      <w:bookmarkStart w:id="141" w:name="_Toc1123"/>
      <w:bookmarkStart w:id="142" w:name="_Toc2016"/>
      <w:bookmarkStart w:id="143" w:name="_Toc23323"/>
      <w:r>
        <w:rPr>
          <w:rFonts w:hint="eastAsia" w:ascii="仿宋" w:hAnsi="仿宋" w:eastAsia="仿宋" w:cs="仿宋"/>
          <w:b/>
          <w:sz w:val="24"/>
          <w:highlight w:val="none"/>
        </w:rPr>
        <w:t>2.14 合同中止、终止</w:t>
      </w:r>
      <w:bookmarkEnd w:id="141"/>
      <w:bookmarkEnd w:id="142"/>
      <w:bookmarkEnd w:id="143"/>
    </w:p>
    <w:p w14:paraId="358B9F5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26C7984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1D3C87D">
      <w:pPr>
        <w:snapToGrid w:val="0"/>
        <w:spacing w:line="360" w:lineRule="auto"/>
        <w:ind w:firstLine="482" w:firstLineChars="200"/>
        <w:rPr>
          <w:rFonts w:ascii="仿宋" w:hAnsi="仿宋" w:eastAsia="仿宋" w:cs="仿宋"/>
          <w:b/>
          <w:sz w:val="24"/>
          <w:highlight w:val="none"/>
        </w:rPr>
      </w:pPr>
      <w:bookmarkStart w:id="144" w:name="_Toc1969"/>
      <w:bookmarkStart w:id="145" w:name="_Toc14525"/>
      <w:bookmarkStart w:id="146" w:name="_Toc17363"/>
      <w:r>
        <w:rPr>
          <w:rFonts w:hint="eastAsia" w:ascii="仿宋" w:hAnsi="仿宋" w:eastAsia="仿宋" w:cs="仿宋"/>
          <w:b/>
          <w:sz w:val="24"/>
          <w:highlight w:val="none"/>
        </w:rPr>
        <w:t>2.15 检验和验收</w:t>
      </w:r>
      <w:bookmarkEnd w:id="144"/>
      <w:bookmarkEnd w:id="145"/>
      <w:bookmarkEnd w:id="146"/>
    </w:p>
    <w:p w14:paraId="4C1D7E7B">
      <w:pPr>
        <w:tabs>
          <w:tab w:val="left" w:pos="360"/>
          <w:tab w:val="left" w:pos="540"/>
          <w:tab w:val="left" w:pos="108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1264B80A">
      <w:pPr>
        <w:tabs>
          <w:tab w:val="left" w:pos="360"/>
          <w:tab w:val="left" w:pos="540"/>
          <w:tab w:val="left" w:pos="108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866EB1">
      <w:pPr>
        <w:tabs>
          <w:tab w:val="left" w:pos="360"/>
          <w:tab w:val="left" w:pos="540"/>
          <w:tab w:val="left" w:pos="108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55E35E7B">
      <w:pPr>
        <w:snapToGrid w:val="0"/>
        <w:spacing w:line="360" w:lineRule="auto"/>
        <w:ind w:firstLine="482" w:firstLineChars="200"/>
        <w:rPr>
          <w:rFonts w:ascii="仿宋" w:hAnsi="仿宋" w:eastAsia="仿宋" w:cs="仿宋"/>
          <w:b/>
          <w:sz w:val="24"/>
          <w:highlight w:val="none"/>
        </w:rPr>
      </w:pPr>
      <w:bookmarkStart w:id="147" w:name="_Toc31892"/>
      <w:bookmarkStart w:id="148" w:name="_Toc2308"/>
      <w:bookmarkStart w:id="149" w:name="_Toc12666"/>
      <w:bookmarkStart w:id="150" w:name="_Toc9808"/>
      <w:bookmarkStart w:id="151" w:name="_Toc25198"/>
      <w:r>
        <w:rPr>
          <w:rFonts w:hint="eastAsia" w:ascii="仿宋" w:hAnsi="仿宋" w:eastAsia="仿宋" w:cs="仿宋"/>
          <w:b/>
          <w:sz w:val="24"/>
          <w:highlight w:val="none"/>
        </w:rPr>
        <w:t>2.16 通知和送达</w:t>
      </w:r>
      <w:bookmarkEnd w:id="147"/>
      <w:bookmarkEnd w:id="148"/>
      <w:bookmarkEnd w:id="149"/>
      <w:bookmarkEnd w:id="150"/>
      <w:bookmarkEnd w:id="151"/>
    </w:p>
    <w:p w14:paraId="504CCB8B">
      <w:pPr>
        <w:snapToGrid w:val="0"/>
        <w:spacing w:line="360" w:lineRule="auto"/>
        <w:ind w:firstLine="480" w:firstLineChars="200"/>
        <w:rPr>
          <w:rFonts w:ascii="仿宋" w:hAnsi="仿宋" w:eastAsia="仿宋" w:cs="仿宋"/>
          <w:sz w:val="24"/>
          <w:highlight w:val="none"/>
        </w:rPr>
      </w:pPr>
      <w:bookmarkStart w:id="152" w:name="_Toc27674"/>
      <w:bookmarkStart w:id="153" w:name="_Toc18401"/>
      <w:r>
        <w:rPr>
          <w:rFonts w:hint="eastAsia" w:ascii="仿宋" w:hAnsi="仿宋" w:eastAsia="仿宋" w:cs="仿宋"/>
          <w:sz w:val="24"/>
          <w:highlight w:val="none"/>
        </w:rPr>
        <w:t>2.16.1任何一方因履行合同而以合同第一部分尾部所列明的传真或电子邮件发出的所有通知、文件、材料，均视为已向对方当事人送达；任何一方变更上述送达方式或者地址的，应于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5AE8F3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2"/>
      <w:bookmarkEnd w:id="153"/>
    </w:p>
    <w:p w14:paraId="54C9FFFB">
      <w:pPr>
        <w:snapToGrid w:val="0"/>
        <w:spacing w:line="360" w:lineRule="auto"/>
        <w:ind w:firstLine="482" w:firstLineChars="200"/>
        <w:rPr>
          <w:rFonts w:ascii="仿宋" w:hAnsi="仿宋" w:eastAsia="仿宋" w:cs="仿宋"/>
          <w:b/>
          <w:sz w:val="24"/>
          <w:highlight w:val="none"/>
        </w:rPr>
      </w:pPr>
      <w:bookmarkStart w:id="154" w:name="_Toc12254"/>
      <w:bookmarkStart w:id="155" w:name="_Toc27644"/>
      <w:bookmarkStart w:id="156" w:name="_Toc5063"/>
      <w:bookmarkStart w:id="157" w:name="_Toc28906"/>
      <w:bookmarkStart w:id="158" w:name="_Toc20808"/>
      <w:r>
        <w:rPr>
          <w:rFonts w:hint="eastAsia" w:ascii="仿宋" w:hAnsi="仿宋" w:eastAsia="仿宋" w:cs="仿宋"/>
          <w:b/>
          <w:sz w:val="24"/>
          <w:highlight w:val="none"/>
        </w:rPr>
        <w:t>2.17 合同使用的文字和适用的法律</w:t>
      </w:r>
      <w:bookmarkEnd w:id="154"/>
      <w:bookmarkEnd w:id="155"/>
      <w:bookmarkEnd w:id="156"/>
      <w:bookmarkEnd w:id="157"/>
      <w:bookmarkEnd w:id="158"/>
    </w:p>
    <w:p w14:paraId="6FE19C5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14:paraId="3430710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4130321C">
      <w:pPr>
        <w:snapToGrid w:val="0"/>
        <w:spacing w:line="360" w:lineRule="auto"/>
        <w:ind w:firstLine="482" w:firstLineChars="200"/>
        <w:rPr>
          <w:rFonts w:ascii="仿宋" w:hAnsi="仿宋" w:eastAsia="仿宋" w:cs="仿宋"/>
          <w:b/>
          <w:sz w:val="24"/>
          <w:highlight w:val="none"/>
        </w:rPr>
      </w:pPr>
      <w:bookmarkStart w:id="159" w:name="_Toc18540"/>
      <w:bookmarkStart w:id="160" w:name="_Toc4355"/>
      <w:bookmarkStart w:id="161" w:name="_Toc30599"/>
      <w:r>
        <w:rPr>
          <w:rFonts w:hint="eastAsia" w:ascii="仿宋" w:hAnsi="仿宋" w:eastAsia="仿宋" w:cs="仿宋"/>
          <w:b/>
          <w:sz w:val="24"/>
          <w:highlight w:val="none"/>
        </w:rPr>
        <w:t>2.18 计量单位</w:t>
      </w:r>
      <w:bookmarkEnd w:id="159"/>
      <w:bookmarkEnd w:id="160"/>
      <w:bookmarkEnd w:id="161"/>
    </w:p>
    <w:p w14:paraId="1B36C61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640B4A92">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2.19合同份数</w:t>
      </w:r>
    </w:p>
    <w:p w14:paraId="09F71CD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2EEE8670">
      <w:pPr>
        <w:snapToGrid w:val="0"/>
        <w:spacing w:line="360" w:lineRule="auto"/>
        <w:rPr>
          <w:rFonts w:ascii="仿宋" w:hAnsi="仿宋" w:eastAsia="仿宋" w:cs="仿宋"/>
          <w:highlight w:val="none"/>
        </w:rPr>
      </w:pPr>
    </w:p>
    <w:p w14:paraId="3E21AE53">
      <w:pPr>
        <w:pStyle w:val="562"/>
        <w:spacing w:after="0"/>
        <w:ind w:left="0" w:leftChars="0" w:firstLine="0" w:firstLineChars="0"/>
        <w:jc w:val="center"/>
        <w:outlineLvl w:val="1"/>
        <w:rPr>
          <w:rFonts w:ascii="仿宋" w:hAnsi="仿宋" w:eastAsia="仿宋" w:cs="仿宋"/>
          <w:b/>
          <w:szCs w:val="24"/>
          <w:highlight w:val="none"/>
        </w:rPr>
      </w:pPr>
      <w:r>
        <w:rPr>
          <w:rFonts w:hint="eastAsia" w:ascii="仿宋" w:hAnsi="仿宋" w:eastAsia="仿宋" w:cs="仿宋"/>
          <w:kern w:val="0"/>
          <w:szCs w:val="24"/>
          <w:highlight w:val="none"/>
        </w:rPr>
        <w:br w:type="page"/>
      </w:r>
      <w:r>
        <w:rPr>
          <w:rFonts w:hint="eastAsia" w:ascii="仿宋" w:hAnsi="仿宋" w:eastAsia="仿宋" w:cs="仿宋"/>
          <w:b/>
          <w:szCs w:val="24"/>
          <w:highlight w:val="none"/>
        </w:rPr>
        <w:t>第三部分  合同专用条款</w:t>
      </w:r>
    </w:p>
    <w:p w14:paraId="58010309">
      <w:pPr>
        <w:snapToGrid w:val="0"/>
        <w:spacing w:line="360" w:lineRule="auto"/>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0DAF92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b/>
          <w:sz w:val="24"/>
          <w:highlight w:val="none"/>
          <w:u w:val="single"/>
        </w:rPr>
        <w:t xml:space="preserve">合同价格清单：详见附件三 </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 xml:space="preserve">。服务工作量的计量方式为：单价合同，在合同履行期间内，根据合同单价和实际租用设备数量及服务内容、租赁服务天数按实结算，但结算总价上限不得超过合同金额￥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元人民币</w:t>
      </w:r>
      <w:r>
        <w:rPr>
          <w:rFonts w:hint="eastAsia" w:ascii="仿宋" w:hAnsi="仿宋" w:eastAsia="仿宋" w:cs="仿宋"/>
          <w:sz w:val="24"/>
          <w:highlight w:val="none"/>
        </w:rPr>
        <w:t>）</w:t>
      </w:r>
      <w:r>
        <w:rPr>
          <w:rFonts w:hint="eastAsia" w:ascii="仿宋" w:hAnsi="仿宋" w:eastAsia="仿宋" w:cs="仿宋"/>
          <w:b/>
          <w:bCs/>
          <w:sz w:val="24"/>
          <w:highlight w:val="none"/>
        </w:rPr>
        <w:t>；</w:t>
      </w:r>
    </w:p>
    <w:p w14:paraId="7F4751F2">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1.4.2履约保证金支付方式：</w:t>
      </w:r>
      <w:r>
        <w:rPr>
          <w:rFonts w:hint="eastAsia" w:ascii="仿宋" w:hAnsi="仿宋" w:eastAsia="仿宋" w:cs="仿宋"/>
          <w:sz w:val="24"/>
          <w:highlight w:val="none"/>
          <w:u w:val="single"/>
        </w:rPr>
        <w:t>以支票、汇票、本票或者金融机构、担保机构出具的保函等非现金形式提交履约保证金。鼓励和支持乙方以履约保函形式提供履约保证。</w:t>
      </w:r>
    </w:p>
    <w:p w14:paraId="2BADE3E6">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1.5.1预付款比例、支付方式、时间:</w:t>
      </w:r>
      <w:r>
        <w:rPr>
          <w:rFonts w:hint="eastAsia" w:ascii="宋体" w:hAnsi="宋体" w:cs="宋体"/>
          <w:sz w:val="24"/>
          <w:highlight w:val="none"/>
          <w:lang w:val="zh-CN"/>
        </w:rPr>
        <w:t xml:space="preserve"> </w:t>
      </w:r>
      <w:r>
        <w:rPr>
          <w:rFonts w:hint="eastAsia" w:ascii="仿宋" w:hAnsi="仿宋" w:eastAsia="仿宋" w:cs="仿宋"/>
          <w:sz w:val="24"/>
          <w:highlight w:val="none"/>
          <w:u w:val="single"/>
        </w:rPr>
        <w:t>签订合同5个工作日内，项目具备实施条件后，</w:t>
      </w:r>
      <w:r>
        <w:rPr>
          <w:rFonts w:hint="eastAsia" w:ascii="仿宋" w:hAnsi="仿宋" w:eastAsia="仿宋" w:cs="仿宋"/>
          <w:sz w:val="24"/>
          <w:highlight w:val="none"/>
          <w:u w:val="single"/>
          <w:lang w:val="zh-CN"/>
        </w:rPr>
        <w:t>甲方支付合同总价40％</w:t>
      </w:r>
      <w:r>
        <w:rPr>
          <w:rFonts w:hint="eastAsia" w:ascii="宋体" w:hAnsi="宋体" w:eastAsia="仿宋" w:cs="宋体"/>
          <w:sz w:val="24"/>
          <w:highlight w:val="none"/>
          <w:u w:val="single"/>
        </w:rPr>
        <w:t>；</w:t>
      </w:r>
    </w:p>
    <w:p w14:paraId="4B12670F">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1.5.2预付款的扣回方式</w:t>
      </w:r>
      <w:r>
        <w:rPr>
          <w:rFonts w:hint="eastAsia" w:ascii="仿宋" w:hAnsi="仿宋" w:eastAsia="仿宋" w:cs="仿宋"/>
          <w:sz w:val="24"/>
          <w:highlight w:val="none"/>
        </w:rPr>
        <w:t>：</w:t>
      </w:r>
      <w:r>
        <w:rPr>
          <w:rFonts w:hint="eastAsia" w:ascii="仿宋" w:hAnsi="仿宋" w:eastAsia="仿宋" w:cs="仿宋"/>
          <w:sz w:val="24"/>
          <w:highlight w:val="none"/>
          <w:u w:val="single"/>
        </w:rPr>
        <w:t>预付款不扣回，包含在第二期合同款支付内。</w:t>
      </w:r>
    </w:p>
    <w:p w14:paraId="346627AA">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1.5.3预付款的担保措施：</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p>
    <w:p w14:paraId="5C981C54">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1.6.2资金支付的方式、时间和条件：</w:t>
      </w:r>
    </w:p>
    <w:tbl>
      <w:tblPr>
        <w:tblStyle w:val="80"/>
        <w:tblW w:w="881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49"/>
        <w:gridCol w:w="6150"/>
        <w:gridCol w:w="1812"/>
      </w:tblGrid>
      <w:tr w14:paraId="29D512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49" w:type="dxa"/>
            <w:tcBorders>
              <w:top w:val="single" w:color="808080" w:sz="4" w:space="0"/>
              <w:left w:val="single" w:color="808080" w:sz="4" w:space="0"/>
              <w:bottom w:val="single" w:color="808080" w:sz="4" w:space="0"/>
              <w:right w:val="single" w:color="808080" w:sz="4" w:space="0"/>
            </w:tcBorders>
            <w:noWrap/>
            <w:vAlign w:val="center"/>
          </w:tcPr>
          <w:p w14:paraId="598F9D1B">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6150" w:type="dxa"/>
            <w:tcBorders>
              <w:top w:val="single" w:color="808080" w:sz="4" w:space="0"/>
              <w:left w:val="single" w:color="808080" w:sz="4" w:space="0"/>
              <w:bottom w:val="single" w:color="808080" w:sz="4" w:space="0"/>
              <w:right w:val="single" w:color="808080" w:sz="4" w:space="0"/>
            </w:tcBorders>
            <w:noWrap/>
            <w:vAlign w:val="center"/>
          </w:tcPr>
          <w:p w14:paraId="6F8366C1">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付款比例（%）</w:t>
            </w:r>
          </w:p>
        </w:tc>
        <w:tc>
          <w:tcPr>
            <w:tcW w:w="1812" w:type="dxa"/>
            <w:tcBorders>
              <w:top w:val="single" w:color="808080" w:sz="4" w:space="0"/>
              <w:left w:val="single" w:color="808080" w:sz="4" w:space="0"/>
              <w:bottom w:val="single" w:color="808080" w:sz="4" w:space="0"/>
              <w:right w:val="single" w:color="808080" w:sz="4" w:space="0"/>
            </w:tcBorders>
            <w:noWrap/>
            <w:vAlign w:val="center"/>
          </w:tcPr>
          <w:p w14:paraId="071D98A1">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付款方式</w:t>
            </w:r>
          </w:p>
        </w:tc>
      </w:tr>
      <w:tr w14:paraId="4D7E8B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6" w:hRule="atLeast"/>
          <w:jc w:val="center"/>
        </w:trPr>
        <w:tc>
          <w:tcPr>
            <w:tcW w:w="849" w:type="dxa"/>
            <w:tcBorders>
              <w:top w:val="single" w:color="808080" w:sz="4" w:space="0"/>
              <w:left w:val="single" w:color="808080" w:sz="4" w:space="0"/>
              <w:bottom w:val="single" w:color="808080" w:sz="4" w:space="0"/>
              <w:right w:val="single" w:color="808080" w:sz="4" w:space="0"/>
            </w:tcBorders>
            <w:noWrap/>
          </w:tcPr>
          <w:p w14:paraId="360EBE4D">
            <w:pPr>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6150" w:type="dxa"/>
            <w:tcBorders>
              <w:top w:val="single" w:color="808080" w:sz="4" w:space="0"/>
              <w:left w:val="single" w:color="808080" w:sz="4" w:space="0"/>
              <w:bottom w:val="single" w:color="808080" w:sz="4" w:space="0"/>
              <w:right w:val="single" w:color="808080" w:sz="4" w:space="0"/>
            </w:tcBorders>
            <w:noWrap/>
          </w:tcPr>
          <w:p w14:paraId="6A3C0C53">
            <w:pPr>
              <w:spacing w:line="360" w:lineRule="auto"/>
              <w:jc w:val="left"/>
              <w:rPr>
                <w:rFonts w:ascii="仿宋" w:hAnsi="仿宋" w:eastAsia="仿宋" w:cs="仿宋"/>
                <w:sz w:val="24"/>
                <w:highlight w:val="none"/>
              </w:rPr>
            </w:pPr>
            <w:r>
              <w:rPr>
                <w:rFonts w:hint="eastAsia" w:ascii="仿宋" w:hAnsi="仿宋" w:eastAsia="仿宋" w:cs="仿宋"/>
                <w:sz w:val="24"/>
                <w:highlight w:val="none"/>
              </w:rPr>
              <w:t>第一期付款：签订合同5个工作日内，项目具备实施条件后，</w:t>
            </w:r>
            <w:r>
              <w:rPr>
                <w:rFonts w:hint="eastAsia" w:ascii="仿宋" w:hAnsi="仿宋" w:eastAsia="仿宋" w:cs="仿宋"/>
                <w:sz w:val="24"/>
                <w:highlight w:val="none"/>
                <w:lang w:val="zh-CN"/>
              </w:rPr>
              <w:t>甲方支付合同总价40％</w:t>
            </w:r>
            <w:r>
              <w:rPr>
                <w:rFonts w:hint="eastAsia" w:ascii="仿宋" w:hAnsi="仿宋" w:eastAsia="仿宋" w:cs="仿宋"/>
                <w:sz w:val="24"/>
                <w:highlight w:val="none"/>
              </w:rPr>
              <w:t>，同时乙方缴纳合同总价1%的履约保证金(鼓励和支持乙方以银行、保险公司出具的保函形式提供履约保证金）；</w:t>
            </w:r>
          </w:p>
        </w:tc>
        <w:tc>
          <w:tcPr>
            <w:tcW w:w="1812" w:type="dxa"/>
            <w:tcBorders>
              <w:top w:val="single" w:color="808080" w:sz="4" w:space="0"/>
              <w:left w:val="single" w:color="808080" w:sz="4" w:space="0"/>
              <w:bottom w:val="single" w:color="808080" w:sz="4" w:space="0"/>
              <w:right w:val="single" w:color="808080" w:sz="4" w:space="0"/>
            </w:tcBorders>
            <w:noWrap/>
          </w:tcPr>
          <w:p w14:paraId="2E40708F">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国库转账支付</w:t>
            </w:r>
          </w:p>
        </w:tc>
      </w:tr>
      <w:tr w14:paraId="557645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8" w:hRule="atLeast"/>
          <w:jc w:val="center"/>
        </w:trPr>
        <w:tc>
          <w:tcPr>
            <w:tcW w:w="849" w:type="dxa"/>
            <w:tcBorders>
              <w:top w:val="single" w:color="808080" w:sz="4" w:space="0"/>
              <w:left w:val="single" w:color="808080" w:sz="4" w:space="0"/>
              <w:bottom w:val="single" w:color="808080" w:sz="4" w:space="0"/>
              <w:right w:val="single" w:color="808080" w:sz="4" w:space="0"/>
            </w:tcBorders>
            <w:noWrap/>
          </w:tcPr>
          <w:p w14:paraId="3AF04DD5">
            <w:pPr>
              <w:tabs>
                <w:tab w:val="center" w:pos="376"/>
                <w:tab w:val="left" w:pos="562"/>
              </w:tabs>
              <w:spacing w:line="360" w:lineRule="auto"/>
              <w:jc w:val="lef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2</w:t>
            </w:r>
          </w:p>
        </w:tc>
        <w:tc>
          <w:tcPr>
            <w:tcW w:w="6150" w:type="dxa"/>
            <w:tcBorders>
              <w:top w:val="single" w:color="808080" w:sz="4" w:space="0"/>
              <w:left w:val="single" w:color="808080" w:sz="4" w:space="0"/>
              <w:bottom w:val="single" w:color="808080" w:sz="4" w:space="0"/>
              <w:right w:val="single" w:color="808080" w:sz="4" w:space="0"/>
            </w:tcBorders>
            <w:noWrap/>
          </w:tcPr>
          <w:p w14:paraId="7D7D0493">
            <w:pPr>
              <w:spacing w:line="360" w:lineRule="auto"/>
              <w:rPr>
                <w:rFonts w:ascii="仿宋" w:hAnsi="仿宋" w:eastAsia="仿宋" w:cs="仿宋"/>
                <w:sz w:val="24"/>
                <w:highlight w:val="none"/>
              </w:rPr>
            </w:pPr>
            <w:r>
              <w:rPr>
                <w:rFonts w:hint="eastAsia" w:ascii="仿宋" w:hAnsi="仿宋" w:eastAsia="仿宋" w:cs="仿宋"/>
                <w:sz w:val="24"/>
                <w:highlight w:val="none"/>
              </w:rPr>
              <w:t>第二期付款：服务至2025年11月30日，无任何服务问题，凭双方及监理签字盖章的验收意见、验收小组签字的验收报告、单位保密协议、日常保密教育资料、个人保密承诺书、租赁方案审批单、服务计划、每周巡检记录、故障维修记录、租赁月报、项目组人员清单、社保证明材料、人员证书、每月考核材料、培训记录、测试方案/计划、测试报告/用例、系统配置手册/操作手册/维护手册、第三方检测报告、等保测评报告、商用密码应用测评报告、网络安全保障方案、网络安全事件应急预案、网络安全风险书面报告（如有）、网络安全重大事项书面报告（如有）、验收报审表、《信息化建设项目变更审批表》（如果有）、监理报告等相关资料，</w:t>
            </w:r>
            <w:r>
              <w:rPr>
                <w:rFonts w:hint="eastAsia" w:ascii="仿宋" w:hAnsi="仿宋" w:eastAsia="仿宋" w:cs="仿宋"/>
                <w:bCs/>
                <w:sz w:val="24"/>
                <w:highlight w:val="none"/>
                <w:lang w:val="zh-CN"/>
              </w:rPr>
              <w:t>最多</w:t>
            </w:r>
            <w:r>
              <w:rPr>
                <w:rFonts w:hint="eastAsia" w:ascii="仿宋" w:hAnsi="仿宋" w:eastAsia="仿宋" w:cs="仿宋"/>
                <w:sz w:val="24"/>
                <w:highlight w:val="none"/>
              </w:rPr>
              <w:t>支付至2025年安排183.77万元（183.77万元已包含甲方向乙方支付的第一期及第二期合同价款）</w:t>
            </w:r>
            <w:r>
              <w:rPr>
                <w:rFonts w:hint="eastAsia" w:ascii="仿宋" w:hAnsi="仿宋" w:eastAsia="仿宋" w:cs="仿宋"/>
                <w:bCs/>
                <w:sz w:val="24"/>
                <w:highlight w:val="none"/>
                <w:lang w:val="zh-CN"/>
              </w:rPr>
              <w:t>。</w:t>
            </w:r>
          </w:p>
        </w:tc>
        <w:tc>
          <w:tcPr>
            <w:tcW w:w="1812" w:type="dxa"/>
            <w:tcBorders>
              <w:top w:val="single" w:color="808080" w:sz="4" w:space="0"/>
              <w:left w:val="single" w:color="808080" w:sz="4" w:space="0"/>
              <w:bottom w:val="single" w:color="808080" w:sz="4" w:space="0"/>
              <w:right w:val="single" w:color="808080" w:sz="4" w:space="0"/>
            </w:tcBorders>
            <w:noWrap/>
          </w:tcPr>
          <w:p w14:paraId="28FEC491">
            <w:pPr>
              <w:spacing w:line="360" w:lineRule="auto"/>
              <w:jc w:val="center"/>
              <w:rPr>
                <w:rFonts w:ascii="仿宋" w:hAnsi="仿宋" w:eastAsia="仿宋" w:cs="仿宋"/>
                <w:sz w:val="24"/>
                <w:highlight w:val="none"/>
              </w:rPr>
            </w:pPr>
          </w:p>
        </w:tc>
      </w:tr>
      <w:tr w14:paraId="6EB5FA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49" w:type="dxa"/>
            <w:tcBorders>
              <w:top w:val="single" w:color="808080" w:sz="4" w:space="0"/>
              <w:left w:val="single" w:color="808080" w:sz="4" w:space="0"/>
              <w:bottom w:val="single" w:color="808080" w:sz="4" w:space="0"/>
              <w:right w:val="single" w:color="808080" w:sz="4" w:space="0"/>
            </w:tcBorders>
            <w:noWrap/>
          </w:tcPr>
          <w:p w14:paraId="218A60BC">
            <w:pPr>
              <w:tabs>
                <w:tab w:val="center" w:pos="376"/>
                <w:tab w:val="left" w:pos="562"/>
              </w:tabs>
              <w:spacing w:line="360" w:lineRule="auto"/>
              <w:jc w:val="lef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3</w:t>
            </w:r>
          </w:p>
        </w:tc>
        <w:tc>
          <w:tcPr>
            <w:tcW w:w="6150" w:type="dxa"/>
            <w:tcBorders>
              <w:top w:val="single" w:color="808080" w:sz="4" w:space="0"/>
              <w:left w:val="single" w:color="808080" w:sz="4" w:space="0"/>
              <w:bottom w:val="single" w:color="808080" w:sz="4" w:space="0"/>
              <w:right w:val="single" w:color="808080" w:sz="4" w:space="0"/>
            </w:tcBorders>
            <w:noWrap/>
          </w:tcPr>
          <w:p w14:paraId="4C37E974">
            <w:pPr>
              <w:spacing w:line="360" w:lineRule="auto"/>
              <w:rPr>
                <w:rFonts w:ascii="仿宋" w:hAnsi="仿宋" w:eastAsia="仿宋" w:cs="仿宋"/>
                <w:sz w:val="24"/>
                <w:highlight w:val="none"/>
              </w:rPr>
            </w:pPr>
            <w:r>
              <w:rPr>
                <w:rFonts w:hint="eastAsia" w:ascii="仿宋" w:hAnsi="仿宋" w:eastAsia="仿宋" w:cs="仿宋"/>
                <w:sz w:val="24"/>
                <w:highlight w:val="none"/>
              </w:rPr>
              <w:t>第三期付款：服务期结束，无任何服务问题，凭双方及监理签字盖章的验收意见、验收小组签字的验收报告、单位保密协议、日常保密教育资料、个人保密承诺书、租赁方案审批单、服务计划、每周巡检记录、故障维修记录、租赁月报、租赁总结报告、项目组人员清单、社保证明材料、人员证书、每月考核材料、培训记录、测试方案/计划、测试报告/用例、系统配置手册/操作手册/维护手册、第三方检测报告、等保测评报告、商用密码应用测评报告、信创检测报告、网络安全保障方案、网络安全事件应急预案、网络安全风险书面报告（如有）、网络安全重大事项书面报告（如有）、网络安全报告、验收报审表、《信息化建设项目变更审批表》（如果有）、监理报告及验收公示截图等相关资料，经审计确认后（若有），根据合同单价和实际租用设备数量及服务内容、租赁服务天数按实结算剩余应付的合同款项，同时扣除乙方应向甲方支付的违约金。</w:t>
            </w:r>
          </w:p>
        </w:tc>
        <w:tc>
          <w:tcPr>
            <w:tcW w:w="1812" w:type="dxa"/>
            <w:tcBorders>
              <w:top w:val="single" w:color="808080" w:sz="4" w:space="0"/>
              <w:left w:val="single" w:color="808080" w:sz="4" w:space="0"/>
              <w:bottom w:val="single" w:color="808080" w:sz="4" w:space="0"/>
              <w:right w:val="single" w:color="808080" w:sz="4" w:space="0"/>
            </w:tcBorders>
            <w:noWrap/>
          </w:tcPr>
          <w:p w14:paraId="41F87CC4">
            <w:pPr>
              <w:spacing w:line="360" w:lineRule="auto"/>
              <w:rPr>
                <w:rFonts w:ascii="仿宋" w:hAnsi="仿宋" w:eastAsia="仿宋" w:cs="仿宋"/>
                <w:sz w:val="24"/>
                <w:highlight w:val="none"/>
              </w:rPr>
            </w:pPr>
            <w:r>
              <w:rPr>
                <w:rFonts w:hint="eastAsia" w:ascii="仿宋" w:hAnsi="仿宋" w:eastAsia="仿宋" w:cs="仿宋"/>
                <w:sz w:val="24"/>
                <w:highlight w:val="none"/>
              </w:rPr>
              <w:t>国库转账支付</w:t>
            </w:r>
          </w:p>
        </w:tc>
      </w:tr>
      <w:tr w14:paraId="3F44A00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510" w:hRule="atLeast"/>
          <w:jc w:val="center"/>
        </w:trPr>
        <w:tc>
          <w:tcPr>
            <w:tcW w:w="8811" w:type="dxa"/>
            <w:gridSpan w:val="3"/>
            <w:tcBorders>
              <w:top w:val="single" w:color="808080" w:sz="4" w:space="0"/>
              <w:left w:val="single" w:color="808080" w:sz="4" w:space="0"/>
              <w:bottom w:val="single" w:color="808080" w:sz="4" w:space="0"/>
              <w:right w:val="single" w:color="808080" w:sz="4" w:space="0"/>
            </w:tcBorders>
            <w:noWrap/>
          </w:tcPr>
          <w:p w14:paraId="3C949080">
            <w:pPr>
              <w:spacing w:line="360" w:lineRule="auto"/>
              <w:rPr>
                <w:rFonts w:ascii="仿宋" w:hAnsi="仿宋" w:eastAsia="仿宋" w:cs="仿宋"/>
                <w:sz w:val="24"/>
                <w:highlight w:val="none"/>
              </w:rPr>
            </w:pPr>
            <w:r>
              <w:rPr>
                <w:rFonts w:hint="eastAsia" w:ascii="仿宋" w:hAnsi="仿宋" w:eastAsia="仿宋" w:cs="仿宋"/>
                <w:sz w:val="24"/>
                <w:highlight w:val="none"/>
              </w:rPr>
              <w:t>双方确认，甲方按前两款结算并向乙方支付的款项总额不超过合同总价。</w:t>
            </w:r>
          </w:p>
          <w:p w14:paraId="0CBCB640">
            <w:pPr>
              <w:spacing w:line="360" w:lineRule="auto"/>
              <w:rPr>
                <w:rFonts w:ascii="仿宋" w:hAnsi="仿宋" w:eastAsia="仿宋" w:cs="仿宋"/>
                <w:sz w:val="24"/>
                <w:highlight w:val="none"/>
              </w:rPr>
            </w:pPr>
            <w:r>
              <w:rPr>
                <w:rFonts w:hint="eastAsia" w:ascii="仿宋" w:hAnsi="仿宋" w:eastAsia="仿宋" w:cs="仿宋"/>
                <w:sz w:val="24"/>
                <w:highlight w:val="none"/>
              </w:rPr>
              <w:t>前述甲方按乙方实际履行情况结算付款的方式不影响甲方向乙方再行收取因乙方未全面按照合同约定履行而产生的违约金。</w:t>
            </w:r>
          </w:p>
        </w:tc>
      </w:tr>
    </w:tbl>
    <w:p w14:paraId="1AAC9972">
      <w:pPr>
        <w:spacing w:line="360" w:lineRule="auto"/>
        <w:rPr>
          <w:rFonts w:ascii="仿宋" w:hAnsi="仿宋" w:eastAsia="仿宋" w:cs="仿宋"/>
          <w:sz w:val="24"/>
          <w:highlight w:val="none"/>
        </w:rPr>
      </w:pPr>
    </w:p>
    <w:p w14:paraId="1EB70ED7">
      <w:pPr>
        <w:pStyle w:val="180"/>
        <w:snapToGrid w:val="0"/>
        <w:ind w:firstLine="482"/>
        <w:rPr>
          <w:rFonts w:hint="eastAsia" w:ascii="仿宋" w:hAnsi="仿宋" w:eastAsia="仿宋" w:cs="仿宋"/>
          <w:bCs/>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Cs/>
          <w:sz w:val="24"/>
          <w:highlight w:val="none"/>
          <w:u w:val="single"/>
        </w:rPr>
        <w:t>12个月（2025年8月1日-2026年7月31日）。</w:t>
      </w:r>
    </w:p>
    <w:p w14:paraId="58E9F617">
      <w:pPr>
        <w:pStyle w:val="180"/>
        <w:snapToGrid w:val="0"/>
        <w:ind w:firstLine="482"/>
        <w:rPr>
          <w:rFonts w:hint="eastAsia" w:ascii="仿宋" w:hAnsi="仿宋" w:eastAsia="仿宋" w:cs="仿宋"/>
          <w:szCs w:val="24"/>
          <w:highlight w:val="none"/>
        </w:rPr>
      </w:pPr>
      <w:r>
        <w:rPr>
          <w:rFonts w:hint="eastAsia" w:ascii="仿宋" w:hAnsi="仿宋" w:eastAsia="仿宋" w:cs="仿宋"/>
          <w:szCs w:val="24"/>
          <w:highlight w:val="none"/>
        </w:rPr>
        <w:t>2025年8月1日至合同签订前由该项目原合同单位按照2025年需求继续提供履约，期间产生的费用由本次</w:t>
      </w:r>
      <w:r>
        <w:rPr>
          <w:rFonts w:hint="eastAsia" w:ascii="仿宋" w:hAnsi="仿宋" w:eastAsia="仿宋" w:cs="仿宋"/>
          <w:szCs w:val="24"/>
          <w:highlight w:val="none"/>
          <w:lang w:val="en-US" w:eastAsia="zh-CN"/>
        </w:rPr>
        <w:t>乙方</w:t>
      </w:r>
      <w:r>
        <w:rPr>
          <w:rFonts w:hint="eastAsia" w:ascii="仿宋" w:hAnsi="仿宋" w:eastAsia="仿宋" w:cs="仿宋"/>
          <w:szCs w:val="24"/>
          <w:highlight w:val="none"/>
        </w:rPr>
        <w:t>按照实际履约时间及 2025 年合同单价与原合同单位按实结算,同时扣除考核违约金(交还采购人)。本次</w:t>
      </w:r>
      <w:r>
        <w:rPr>
          <w:rFonts w:hint="eastAsia" w:ascii="仿宋" w:hAnsi="仿宋" w:eastAsia="仿宋" w:cs="仿宋"/>
          <w:szCs w:val="24"/>
          <w:highlight w:val="none"/>
          <w:lang w:val="en-US" w:eastAsia="zh-CN"/>
        </w:rPr>
        <w:t>乙方</w:t>
      </w:r>
      <w:r>
        <w:rPr>
          <w:rFonts w:hint="eastAsia" w:ascii="仿宋" w:hAnsi="仿宋" w:eastAsia="仿宋" w:cs="仿宋"/>
          <w:szCs w:val="24"/>
          <w:highlight w:val="none"/>
        </w:rPr>
        <w:t>需在合同签订之日起7日内完成各项工作的转换、衔接工作。</w:t>
      </w:r>
    </w:p>
    <w:p w14:paraId="7D956645">
      <w:pPr>
        <w:snapToGrid w:val="0"/>
        <w:spacing w:line="360" w:lineRule="auto"/>
        <w:ind w:firstLine="480" w:firstLineChars="200"/>
        <w:jc w:val="left"/>
        <w:rPr>
          <w:rFonts w:ascii="仿宋" w:hAnsi="仿宋" w:eastAsia="仿宋" w:cs="仿宋"/>
          <w:bCs/>
          <w:sz w:val="24"/>
          <w:highlight w:val="none"/>
          <w:u w:val="single"/>
        </w:rPr>
      </w:pPr>
    </w:p>
    <w:p w14:paraId="28B0CEB1">
      <w:pPr>
        <w:snapToGrid w:val="0"/>
        <w:spacing w:line="360" w:lineRule="auto"/>
        <w:ind w:firstLine="480" w:firstLineChars="200"/>
        <w:jc w:val="left"/>
        <w:rPr>
          <w:rFonts w:ascii="仿宋" w:hAnsi="仿宋" w:eastAsia="仿宋" w:cs="仿宋"/>
          <w:color w:val="000000"/>
          <w:sz w:val="24"/>
          <w:highlight w:val="none"/>
          <w:u w:val="single"/>
        </w:rPr>
      </w:pPr>
      <w:r>
        <w:rPr>
          <w:rFonts w:hint="eastAsia" w:ascii="仿宋" w:hAnsi="仿宋" w:eastAsia="仿宋" w:cs="仿宋"/>
          <w:sz w:val="24"/>
          <w:highlight w:val="none"/>
        </w:rPr>
        <w:t>1.7.</w:t>
      </w:r>
      <w:r>
        <w:rPr>
          <w:rFonts w:hint="eastAsia" w:ascii="仿宋" w:hAnsi="仿宋" w:eastAsia="仿宋" w:cs="仿宋"/>
          <w:color w:val="000000"/>
          <w:sz w:val="24"/>
          <w:highlight w:val="none"/>
        </w:rPr>
        <w:t>2交付（实施）的地点（范围）：</w:t>
      </w:r>
      <w:r>
        <w:rPr>
          <w:rFonts w:hint="eastAsia" w:ascii="仿宋" w:hAnsi="仿宋" w:eastAsia="仿宋" w:cs="仿宋"/>
          <w:color w:val="000000"/>
          <w:sz w:val="24"/>
          <w:highlight w:val="none"/>
          <w:u w:val="single"/>
        </w:rPr>
        <w:t>杭州市公安局交通警察支队（杭州市拱墅区文晖路336号）</w:t>
      </w:r>
      <w:r>
        <w:rPr>
          <w:rFonts w:hint="eastAsia" w:ascii="Calibri" w:hAnsi="Calibri" w:eastAsia="仿宋"/>
          <w:bCs/>
          <w:iCs/>
          <w:sz w:val="24"/>
          <w:highlight w:val="none"/>
        </w:rPr>
        <w:t>；</w:t>
      </w:r>
    </w:p>
    <w:p w14:paraId="6D660EB4">
      <w:pPr>
        <w:snapToGrid w:val="0"/>
        <w:spacing w:line="360" w:lineRule="auto"/>
        <w:ind w:firstLine="480" w:firstLineChars="200"/>
        <w:jc w:val="left"/>
        <w:rPr>
          <w:rFonts w:ascii="仿宋" w:hAnsi="仿宋" w:eastAsia="仿宋" w:cs="仿宋"/>
          <w:color w:val="000000"/>
          <w:sz w:val="24"/>
          <w:highlight w:val="none"/>
          <w:u w:val="single"/>
        </w:rPr>
      </w:pPr>
      <w:r>
        <w:rPr>
          <w:rFonts w:hint="eastAsia" w:ascii="仿宋" w:hAnsi="仿宋" w:eastAsia="仿宋" w:cs="仿宋"/>
          <w:sz w:val="24"/>
          <w:highlight w:val="none"/>
        </w:rPr>
        <w:t>1.7.3 服</w:t>
      </w:r>
      <w:r>
        <w:rPr>
          <w:rFonts w:hint="eastAsia" w:ascii="Calibri" w:hAnsi="Calibri" w:eastAsia="仿宋" w:cs="宋体"/>
          <w:kern w:val="0"/>
          <w:sz w:val="24"/>
          <w:highlight w:val="none"/>
        </w:rPr>
        <w:t>务</w:t>
      </w:r>
      <w:r>
        <w:rPr>
          <w:rFonts w:hint="eastAsia" w:ascii="Calibri" w:hAnsi="Calibri" w:eastAsia="仿宋"/>
          <w:sz w:val="24"/>
          <w:highlight w:val="none"/>
        </w:rPr>
        <w:t>交付（实施）的方式：</w:t>
      </w:r>
      <w:r>
        <w:rPr>
          <w:rFonts w:hint="eastAsia" w:ascii="Calibri" w:hAnsi="Calibri" w:eastAsia="仿宋"/>
          <w:sz w:val="24"/>
          <w:highlight w:val="none"/>
          <w:u w:val="single"/>
        </w:rPr>
        <w:t>现场交付</w:t>
      </w:r>
      <w:r>
        <w:rPr>
          <w:rFonts w:hint="eastAsia" w:ascii="Calibri" w:hAnsi="Calibri" w:eastAsia="仿宋"/>
          <w:sz w:val="24"/>
          <w:highlight w:val="none"/>
        </w:rPr>
        <w:t>。</w:t>
      </w:r>
    </w:p>
    <w:p w14:paraId="7FE283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1.8.7违约责任：</w:t>
      </w:r>
    </w:p>
    <w:p w14:paraId="2F2C8736">
      <w:pPr>
        <w:snapToGrid w:val="0"/>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（1）乙方应完全按照甲方招标文件的要求和乙方投标文件及相关文件承诺完成本项目，因乙方自身财务、技术、人力等原因导致项目风险的，应承担全部责任。</w:t>
      </w:r>
    </w:p>
    <w:p w14:paraId="1DF2FD9D">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00DF277B">
      <w:pPr>
        <w:snapToGrid w:val="0"/>
        <w:spacing w:line="360" w:lineRule="auto"/>
        <w:ind w:firstLine="480" w:firstLineChars="200"/>
        <w:rPr>
          <w:rFonts w:ascii="仿宋" w:hAnsi="仿宋" w:eastAsia="仿宋" w:cs="仿宋"/>
          <w:iCs/>
          <w:sz w:val="24"/>
          <w:highlight w:val="none"/>
        </w:rPr>
      </w:pPr>
      <w:r>
        <w:rPr>
          <w:rFonts w:hint="eastAsia" w:ascii="仿宋" w:hAnsi="仿宋" w:eastAsia="仿宋" w:cs="仿宋"/>
          <w:iCs/>
          <w:sz w:val="24"/>
          <w:highlight w:val="none"/>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14:paraId="73BBDAFB">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8B23108">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14:paraId="3354E476">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（6）乙方未经甲方书面同意，擅自将本合同的全部或部分事务转由第三人承担，甲方可解除本合同，且乙方应按合同总价的30％向甲方支付违约金。如发生损失的，乙方还应赔偿甲方损失。</w:t>
      </w:r>
    </w:p>
    <w:p w14:paraId="6E8CF9D6">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（7）乙方所有人员的事故和因乙方或乙方派遣人员工作过错造成的安全管理事故，乙方自行负全部责任及相关费用。</w:t>
      </w:r>
    </w:p>
    <w:p w14:paraId="71CAC2BF">
      <w:pPr>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rPr>
        <w:t>（8）</w:t>
      </w:r>
      <w:r>
        <w:rPr>
          <w:rFonts w:hint="eastAsia" w:ascii="仿宋" w:hAnsi="仿宋" w:eastAsia="仿宋" w:cs="仿宋"/>
          <w:iCs/>
          <w:sz w:val="24"/>
          <w:highlight w:val="none"/>
          <w:u w:val="single"/>
        </w:rPr>
        <w:t>乙方未按网络安全履行责任和义务的，每发生一次扣除违约金10000元。发生违反相关保密规定，除扣除违约金10000元/次外，甲方将追究乙方一切法律责任。如构成违法犯罪的，甲方将报送本级政府采购和市场监督管理部门，提请列入政府采购严重违法失信行为记录名单、市场监督管理严重失信名单，并追究相关责任。</w:t>
      </w:r>
    </w:p>
    <w:p w14:paraId="57C45C9B">
      <w:pPr>
        <w:spacing w:line="360" w:lineRule="auto"/>
        <w:ind w:firstLine="480" w:firstLineChars="200"/>
        <w:jc w:val="left"/>
        <w:rPr>
          <w:rFonts w:ascii="仿宋" w:hAnsi="仿宋" w:eastAsia="仿宋" w:cs="仿宋"/>
          <w:iCs/>
          <w:sz w:val="24"/>
          <w:highlight w:val="none"/>
          <w:u w:val="single"/>
        </w:rPr>
      </w:pPr>
    </w:p>
    <w:p w14:paraId="7D5537A3">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（9）</w:t>
      </w:r>
      <w:r>
        <w:rPr>
          <w:rFonts w:hint="eastAsia" w:ascii="仿宋" w:hAnsi="仿宋" w:eastAsia="仿宋" w:cs="仿宋"/>
          <w:sz w:val="24"/>
          <w:highlight w:val="none"/>
        </w:rPr>
        <w:t>本项目履约过程中，乙方承诺预留小微企业的比例应达到合同总价的【100】%，若未达到此要求，甲方有权没收全部履约保证金（如有），报送相关采购监管部门，提前列入失信行为记录名单，追究相关责任，且乙方应向甲方支付合同总价30%的违约金。</w:t>
      </w:r>
    </w:p>
    <w:p w14:paraId="5C4C5DA8">
      <w:pPr>
        <w:spacing w:line="360" w:lineRule="auto"/>
        <w:ind w:firstLine="480" w:firstLineChars="200"/>
        <w:jc w:val="left"/>
        <w:rPr>
          <w:rFonts w:ascii="仿宋" w:hAnsi="仿宋" w:eastAsia="仿宋" w:cs="仿宋"/>
          <w:iCs/>
          <w:sz w:val="24"/>
          <w:highlight w:val="none"/>
        </w:rPr>
      </w:pPr>
      <w:r>
        <w:rPr>
          <w:rFonts w:hint="eastAsia" w:ascii="仿宋" w:hAnsi="仿宋" w:eastAsia="仿宋" w:cs="仿宋"/>
          <w:iCs/>
          <w:sz w:val="24"/>
          <w:highlight w:val="none"/>
        </w:rPr>
        <w:t>（10）服务期间，甲方每月对乙方实施考核，如有违约的，根据考核条款进行处置，直至解除合同。</w:t>
      </w:r>
    </w:p>
    <w:p w14:paraId="394B24D0">
      <w:pPr>
        <w:snapToGrid w:val="0"/>
        <w:spacing w:line="360" w:lineRule="auto"/>
        <w:ind w:firstLine="480" w:firstLineChars="200"/>
        <w:rPr>
          <w:rFonts w:ascii="仿宋" w:hAnsi="仿宋" w:eastAsia="仿宋" w:cs="仿宋"/>
          <w:iCs/>
          <w:sz w:val="24"/>
          <w:highlight w:val="none"/>
        </w:rPr>
      </w:pPr>
      <w:r>
        <w:rPr>
          <w:rFonts w:hint="eastAsia" w:ascii="仿宋" w:hAnsi="仿宋" w:eastAsia="仿宋" w:cs="仿宋"/>
          <w:iCs/>
          <w:sz w:val="24"/>
          <w:highlight w:val="none"/>
        </w:rPr>
        <w:t>（11）合同实施过程中如发生变更，应严格办理变更手续，甲方及乙方填写《信息化建设项目变更审批表》，说明变更理由和内容，并随附相关文件，按甲方内控要求变更管理措施，否则该变更内容在款项结算时，甲方有权不予认可。同时，每次扣除5000元违约金。</w:t>
      </w:r>
    </w:p>
    <w:p w14:paraId="7C4071C2">
      <w:pPr>
        <w:snapToGrid w:val="0"/>
        <w:spacing w:line="360" w:lineRule="auto"/>
        <w:ind w:firstLine="480" w:firstLineChars="200"/>
        <w:jc w:val="left"/>
        <w:rPr>
          <w:rFonts w:ascii="仿宋" w:hAnsi="仿宋" w:eastAsia="仿宋" w:cs="仿宋"/>
          <w:iCs/>
          <w:sz w:val="24"/>
          <w:highlight w:val="none"/>
          <w:u w:val="single"/>
        </w:rPr>
      </w:pPr>
      <w:r>
        <w:rPr>
          <w:rFonts w:hint="eastAsia" w:ascii="仿宋" w:hAnsi="仿宋" w:eastAsia="仿宋" w:cs="仿宋"/>
          <w:iCs/>
          <w:sz w:val="24"/>
          <w:highlight w:val="none"/>
        </w:rPr>
        <w:t>（12）违约金在结算合同尾款时一次性扣除。</w:t>
      </w:r>
    </w:p>
    <w:p w14:paraId="7DB88B02">
      <w:pPr>
        <w:adjustRightInd/>
        <w:snapToGrid w:val="0"/>
        <w:spacing w:line="360" w:lineRule="auto"/>
        <w:ind w:firstLine="480" w:firstLineChars="200"/>
        <w:jc w:val="left"/>
        <w:rPr>
          <w:rFonts w:ascii="仿宋" w:hAnsi="仿宋" w:eastAsia="仿宋"/>
          <w:iCs/>
          <w:sz w:val="24"/>
          <w:highlight w:val="none"/>
          <w:u w:val="single"/>
        </w:rPr>
      </w:pPr>
    </w:p>
    <w:p w14:paraId="1DFB0300">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1.9 合同争议的解决</w:t>
      </w:r>
    </w:p>
    <w:p w14:paraId="303AE54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sz w:val="24"/>
          <w:highlight w:val="none"/>
          <w:u w:val="single"/>
        </w:rPr>
        <w:t xml:space="preserve"> 1.9.2 </w:t>
      </w:r>
      <w:r>
        <w:rPr>
          <w:rFonts w:hint="eastAsia" w:ascii="仿宋" w:hAnsi="仿宋" w:eastAsia="仿宋" w:cs="仿宋"/>
          <w:sz w:val="24"/>
          <w:highlight w:val="none"/>
        </w:rPr>
        <w:t>条款规定的方式解决：</w:t>
      </w:r>
    </w:p>
    <w:p w14:paraId="2B9F9FA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1.9.1 将争议提交仲裁委员会依申请仲裁时其现行有效的仲裁规则裁决；</w:t>
      </w:r>
    </w:p>
    <w:p w14:paraId="58CCEF8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sz w:val="24"/>
          <w:highlight w:val="none"/>
          <w:u w:val="single"/>
        </w:rPr>
        <w:t>甲方所在地</w:t>
      </w:r>
      <w:r>
        <w:rPr>
          <w:rFonts w:hint="eastAsia" w:ascii="仿宋" w:hAnsi="仿宋" w:eastAsia="仿宋" w:cs="仿宋"/>
          <w:sz w:val="24"/>
          <w:highlight w:val="none"/>
        </w:rPr>
        <w:t>人民法院起诉。</w:t>
      </w:r>
    </w:p>
    <w:p w14:paraId="040B6C1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w:t>
      </w:r>
      <w:r>
        <w:rPr>
          <w:rFonts w:hint="eastAsia" w:ascii="仿宋" w:hAnsi="仿宋" w:eastAsia="仿宋" w:cs="仿宋"/>
          <w:sz w:val="24"/>
          <w:highlight w:val="none"/>
          <w:u w:val="single"/>
        </w:rPr>
        <w:t>无</w:t>
      </w:r>
      <w:r>
        <w:rPr>
          <w:rFonts w:hint="eastAsia" w:ascii="仿宋" w:hAnsi="仿宋" w:eastAsia="仿宋" w:cs="仿宋"/>
          <w:sz w:val="24"/>
          <w:highlight w:val="none"/>
        </w:rPr>
        <w:t>。</w:t>
      </w:r>
    </w:p>
    <w:p w14:paraId="18C039B6">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2.5 结算方式和付款条件：</w:t>
      </w:r>
      <w:r>
        <w:rPr>
          <w:rFonts w:hint="eastAsia" w:ascii="仿宋" w:hAnsi="仿宋" w:eastAsia="仿宋" w:cs="仿宋"/>
          <w:b/>
          <w:sz w:val="24"/>
          <w:highlight w:val="none"/>
          <w:u w:val="single"/>
        </w:rPr>
        <w:t>见1.6.2条款</w:t>
      </w:r>
      <w:r>
        <w:rPr>
          <w:rFonts w:hint="eastAsia" w:ascii="仿宋" w:hAnsi="仿宋" w:eastAsia="仿宋" w:cs="仿宋"/>
          <w:bCs/>
          <w:sz w:val="24"/>
          <w:highlight w:val="none"/>
        </w:rPr>
        <w:t>。</w:t>
      </w:r>
    </w:p>
    <w:p w14:paraId="3B1E8F3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2.11.3因不可抗力致使合同有变更必要的，双方当事人应在</w:t>
      </w:r>
      <w:r>
        <w:rPr>
          <w:rFonts w:hint="eastAsia" w:ascii="仿宋" w:hAnsi="仿宋" w:eastAsia="仿宋" w:cs="仿宋"/>
          <w:b/>
          <w:sz w:val="24"/>
          <w:highlight w:val="none"/>
          <w:u w:val="single"/>
        </w:rPr>
        <w:t>15个工作日</w:t>
      </w:r>
      <w:r>
        <w:rPr>
          <w:rFonts w:hint="eastAsia" w:ascii="仿宋" w:hAnsi="仿宋" w:eastAsia="仿宋" w:cs="仿宋"/>
          <w:sz w:val="24"/>
          <w:highlight w:val="none"/>
        </w:rPr>
        <w:t>内以书面形式变更合同；</w:t>
      </w:r>
    </w:p>
    <w:p w14:paraId="04EEB00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sz w:val="24"/>
          <w:highlight w:val="none"/>
          <w:u w:val="single"/>
        </w:rPr>
        <w:t>7个工作日</w:t>
      </w:r>
      <w:r>
        <w:rPr>
          <w:rFonts w:hint="eastAsia" w:ascii="仿宋" w:hAnsi="仿宋" w:eastAsia="仿宋" w:cs="仿宋"/>
          <w:sz w:val="24"/>
          <w:highlight w:val="none"/>
        </w:rPr>
        <w:t>内以书面形式通知对方当事人，并在</w:t>
      </w:r>
      <w:r>
        <w:rPr>
          <w:rFonts w:hint="eastAsia" w:ascii="仿宋" w:hAnsi="仿宋" w:eastAsia="仿宋" w:cs="仿宋"/>
          <w:b/>
          <w:sz w:val="24"/>
          <w:highlight w:val="none"/>
          <w:u w:val="single"/>
        </w:rPr>
        <w:t>10个工作日</w:t>
      </w:r>
      <w:r>
        <w:rPr>
          <w:rFonts w:hint="eastAsia" w:ascii="仿宋" w:hAnsi="仿宋" w:eastAsia="仿宋" w:cs="仿宋"/>
          <w:sz w:val="24"/>
          <w:highlight w:val="none"/>
        </w:rPr>
        <w:t>内，将有关部门出具的证明文件送达对方当事人。</w:t>
      </w:r>
    </w:p>
    <w:p w14:paraId="6BE663A1">
      <w:pPr>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2.15.1 履约验收时间：</w:t>
      </w:r>
      <w:r>
        <w:rPr>
          <w:rFonts w:hint="eastAsia" w:ascii="仿宋" w:hAnsi="仿宋" w:eastAsia="仿宋" w:cs="仿宋"/>
          <w:sz w:val="24"/>
          <w:highlight w:val="none"/>
          <w:u w:val="single"/>
        </w:rPr>
        <w:t>第一次验收2025年11月30日以后，第二次验收 2026年7月31日服务结束后，具体时间以甲方通知为准。</w:t>
      </w:r>
    </w:p>
    <w:p w14:paraId="0F23454D">
      <w:pPr>
        <w:tabs>
          <w:tab w:val="left" w:pos="360"/>
          <w:tab w:val="left" w:pos="540"/>
          <w:tab w:val="left" w:pos="108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w:t>
      </w:r>
    </w:p>
    <w:p w14:paraId="55C5D0C0">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45CD95F9">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本项目为信息化项目，根据甲方内控要求规定,信息化项目服务期满后,项目单位应向市公安局科信局提交《信息化建设项目验收表》及验收所需相应材料,由市公安局科信局按照市政府履约验收相关管理办法的程序,结合市局相关内控制度组织开展终验。</w:t>
      </w:r>
    </w:p>
    <w:p w14:paraId="620D45D2">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严格按照采购合同开展履约验收。甲方委托第三方机构组织验收，成立验收小组（验收小组由5人组成：其中甲方1名，专家4名（第三方机构从乐采云专家库相关专业随机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23635FD9">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14:paraId="75BE2C29">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验收产生的费用首次验收费用由甲方承担，如首次验收不合格，后续验收费用由乙方支付。</w:t>
      </w:r>
    </w:p>
    <w:p w14:paraId="3E9B9ED8">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验收内容及资料要求：</w:t>
      </w:r>
    </w:p>
    <w:p w14:paraId="105C5B4C">
      <w:pPr>
        <w:adjustRightInd/>
        <w:spacing w:line="360" w:lineRule="auto"/>
        <w:ind w:firstLine="420"/>
        <w:jc w:val="left"/>
        <w:rPr>
          <w:rFonts w:ascii="仿宋" w:hAnsi="仿宋" w:eastAsia="仿宋" w:cs="仿宋"/>
          <w:sz w:val="24"/>
          <w:highlight w:val="none"/>
        </w:rPr>
      </w:pPr>
      <w:r>
        <w:rPr>
          <w:rFonts w:hint="eastAsia" w:ascii="仿宋" w:hAnsi="仿宋" w:eastAsia="仿宋" w:cs="仿宋"/>
          <w:sz w:val="24"/>
          <w:highlight w:val="none"/>
        </w:rPr>
        <w:t>根据采购文件确定的技术指标或者服务要求确定验收指标和标准。未进行相应约定的，应当符合国家强制性规定、政策要求、安全标准、行业和企业有关标准等。</w:t>
      </w:r>
    </w:p>
    <w:p w14:paraId="0B04A731">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5.1验收内容</w:t>
      </w:r>
    </w:p>
    <w:tbl>
      <w:tblPr>
        <w:tblStyle w:val="80"/>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77"/>
        <w:gridCol w:w="7088"/>
      </w:tblGrid>
      <w:tr w14:paraId="01F7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76911F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1577" w:type="dxa"/>
            <w:tcBorders>
              <w:top w:val="single" w:color="auto" w:sz="4" w:space="0"/>
              <w:left w:val="single" w:color="auto" w:sz="4" w:space="0"/>
              <w:bottom w:val="single" w:color="auto" w:sz="4" w:space="0"/>
              <w:right w:val="single" w:color="auto" w:sz="4" w:space="0"/>
            </w:tcBorders>
            <w:noWrap/>
            <w:vAlign w:val="center"/>
          </w:tcPr>
          <w:p w14:paraId="1FCD965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验收内容</w:t>
            </w:r>
          </w:p>
        </w:tc>
        <w:tc>
          <w:tcPr>
            <w:tcW w:w="7088" w:type="dxa"/>
            <w:tcBorders>
              <w:top w:val="single" w:color="auto" w:sz="4" w:space="0"/>
              <w:left w:val="single" w:color="auto" w:sz="4" w:space="0"/>
              <w:bottom w:val="single" w:color="auto" w:sz="4" w:space="0"/>
              <w:right w:val="single" w:color="auto" w:sz="4" w:space="0"/>
            </w:tcBorders>
            <w:noWrap/>
            <w:vAlign w:val="center"/>
          </w:tcPr>
          <w:p w14:paraId="7E35BF6B">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验收标准</w:t>
            </w:r>
          </w:p>
        </w:tc>
      </w:tr>
      <w:tr w14:paraId="14C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14:paraId="282641F8">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1577" w:type="dxa"/>
            <w:vMerge w:val="restart"/>
            <w:tcBorders>
              <w:top w:val="single" w:color="auto" w:sz="4" w:space="0"/>
              <w:left w:val="single" w:color="auto" w:sz="4" w:space="0"/>
              <w:bottom w:val="single" w:color="auto" w:sz="4" w:space="0"/>
              <w:right w:val="single" w:color="auto" w:sz="4" w:space="0"/>
            </w:tcBorders>
            <w:noWrap/>
            <w:vAlign w:val="center"/>
          </w:tcPr>
          <w:p w14:paraId="31BB477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质量</w:t>
            </w:r>
          </w:p>
        </w:tc>
        <w:tc>
          <w:tcPr>
            <w:tcW w:w="7088" w:type="dxa"/>
            <w:tcBorders>
              <w:top w:val="single" w:color="auto" w:sz="4" w:space="0"/>
              <w:left w:val="single" w:color="auto" w:sz="4" w:space="0"/>
              <w:bottom w:val="single" w:color="auto" w:sz="4" w:space="0"/>
              <w:right w:val="single" w:color="auto" w:sz="4" w:space="0"/>
            </w:tcBorders>
            <w:noWrap/>
            <w:vAlign w:val="center"/>
          </w:tcPr>
          <w:p w14:paraId="4784B4E8">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核对租赁产品品牌、型号、数量等与合同相符，系统设备运行稳定，设备质量符合国家标准，乙方在租赁服务期内安装的任何产品，必须是其租赁产品制造厂商原产的。满足甲方的使用需求，并具有可靠的服务体系，质量可靠、使用安全。</w:t>
            </w:r>
          </w:p>
        </w:tc>
      </w:tr>
      <w:tr w14:paraId="06DC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6591C547">
            <w:pPr>
              <w:rPr>
                <w:highlight w:val="none"/>
              </w:rPr>
            </w:pPr>
          </w:p>
        </w:tc>
        <w:tc>
          <w:tcPr>
            <w:tcW w:w="1577" w:type="dxa"/>
            <w:vMerge w:val="continue"/>
            <w:tcBorders>
              <w:top w:val="single" w:color="auto" w:sz="4" w:space="0"/>
              <w:left w:val="single" w:color="auto" w:sz="4" w:space="0"/>
              <w:bottom w:val="single" w:color="auto" w:sz="4" w:space="0"/>
              <w:right w:val="single" w:color="auto" w:sz="4" w:space="0"/>
            </w:tcBorders>
            <w:noWrap/>
            <w:vAlign w:val="center"/>
          </w:tcPr>
          <w:p w14:paraId="2A792966">
            <w:pPr>
              <w:rPr>
                <w:highlight w:val="none"/>
              </w:rPr>
            </w:pPr>
          </w:p>
        </w:tc>
        <w:tc>
          <w:tcPr>
            <w:tcW w:w="7088" w:type="dxa"/>
            <w:tcBorders>
              <w:top w:val="single" w:color="auto" w:sz="4" w:space="0"/>
              <w:left w:val="single" w:color="auto" w:sz="4" w:space="0"/>
              <w:bottom w:val="single" w:color="auto" w:sz="4" w:space="0"/>
              <w:right w:val="single" w:color="auto" w:sz="4" w:space="0"/>
            </w:tcBorders>
            <w:noWrap/>
            <w:vAlign w:val="center"/>
          </w:tcPr>
          <w:p w14:paraId="3A1F1600">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乙方保证其提供的租赁产品中所有预装和为本项目安装的软件均为具有合法版权或使用权的正版软件且无质量瑕疵。</w:t>
            </w:r>
          </w:p>
        </w:tc>
      </w:tr>
      <w:tr w14:paraId="0B63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39ABDB0">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1577" w:type="dxa"/>
            <w:tcBorders>
              <w:top w:val="single" w:color="auto" w:sz="4" w:space="0"/>
              <w:left w:val="single" w:color="auto" w:sz="4" w:space="0"/>
              <w:bottom w:val="single" w:color="auto" w:sz="4" w:space="0"/>
              <w:right w:val="single" w:color="auto" w:sz="4" w:space="0"/>
            </w:tcBorders>
            <w:noWrap/>
            <w:vAlign w:val="center"/>
          </w:tcPr>
          <w:p w14:paraId="26831525">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进度</w:t>
            </w:r>
          </w:p>
        </w:tc>
        <w:tc>
          <w:tcPr>
            <w:tcW w:w="7088" w:type="dxa"/>
            <w:tcBorders>
              <w:top w:val="single" w:color="auto" w:sz="4" w:space="0"/>
              <w:left w:val="single" w:color="auto" w:sz="4" w:space="0"/>
              <w:bottom w:val="single" w:color="auto" w:sz="4" w:space="0"/>
              <w:right w:val="single" w:color="auto" w:sz="4" w:space="0"/>
            </w:tcBorders>
            <w:noWrap/>
            <w:vAlign w:val="center"/>
          </w:tcPr>
          <w:p w14:paraId="5442E792">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项目按合同要求服务时间、故障响应的时间等按响应文件落实到位。</w:t>
            </w:r>
          </w:p>
        </w:tc>
      </w:tr>
      <w:tr w14:paraId="6FD7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682B262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1577" w:type="dxa"/>
            <w:tcBorders>
              <w:top w:val="single" w:color="auto" w:sz="4" w:space="0"/>
              <w:left w:val="single" w:color="auto" w:sz="4" w:space="0"/>
              <w:bottom w:val="single" w:color="auto" w:sz="4" w:space="0"/>
              <w:right w:val="single" w:color="auto" w:sz="4" w:space="0"/>
            </w:tcBorders>
            <w:noWrap/>
            <w:vAlign w:val="center"/>
          </w:tcPr>
          <w:p w14:paraId="77B0D9BB">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保密</w:t>
            </w:r>
          </w:p>
        </w:tc>
        <w:tc>
          <w:tcPr>
            <w:tcW w:w="7088" w:type="dxa"/>
            <w:tcBorders>
              <w:top w:val="single" w:color="auto" w:sz="4" w:space="0"/>
              <w:left w:val="single" w:color="auto" w:sz="4" w:space="0"/>
              <w:bottom w:val="single" w:color="auto" w:sz="4" w:space="0"/>
              <w:right w:val="single" w:color="auto" w:sz="4" w:space="0"/>
            </w:tcBorders>
            <w:noWrap/>
            <w:vAlign w:val="center"/>
          </w:tcPr>
          <w:p w14:paraId="7DD05A9C">
            <w:pPr>
              <w:snapToGrid w:val="0"/>
              <w:spacing w:line="360" w:lineRule="auto"/>
              <w:rPr>
                <w:rFonts w:ascii="仿宋" w:hAnsi="仿宋" w:eastAsia="仿宋" w:cs="仿宋"/>
                <w:bCs/>
                <w:sz w:val="24"/>
                <w:highlight w:val="none"/>
              </w:rPr>
            </w:pPr>
            <w:r>
              <w:rPr>
                <w:rFonts w:hint="eastAsia" w:ascii="仿宋" w:hAnsi="仿宋" w:eastAsia="仿宋" w:cs="仿宋"/>
                <w:sz w:val="24"/>
                <w:highlight w:val="none"/>
              </w:rPr>
              <w:t>满足甲方的保密规定实施，签订单位保密协议。按要求签订安全保密承诺书，履行具体安全管理内容、安全保密义务和责任。乙方及工作人员无违反安全管理要求的情况，未出现各类涉及业务的资料等外流泄密的情况。</w:t>
            </w:r>
          </w:p>
        </w:tc>
      </w:tr>
      <w:tr w14:paraId="2D01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6DB94C6A">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1577" w:type="dxa"/>
            <w:tcBorders>
              <w:top w:val="single" w:color="auto" w:sz="4" w:space="0"/>
              <w:left w:val="single" w:color="auto" w:sz="4" w:space="0"/>
              <w:bottom w:val="single" w:color="auto" w:sz="4" w:space="0"/>
              <w:right w:val="single" w:color="auto" w:sz="4" w:space="0"/>
            </w:tcBorders>
            <w:noWrap/>
            <w:vAlign w:val="center"/>
          </w:tcPr>
          <w:p w14:paraId="44BBFB75">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安全</w:t>
            </w:r>
          </w:p>
        </w:tc>
        <w:tc>
          <w:tcPr>
            <w:tcW w:w="7088" w:type="dxa"/>
            <w:tcBorders>
              <w:top w:val="single" w:color="auto" w:sz="4" w:space="0"/>
              <w:left w:val="single" w:color="auto" w:sz="4" w:space="0"/>
              <w:bottom w:val="single" w:color="auto" w:sz="4" w:space="0"/>
              <w:right w:val="single" w:color="auto" w:sz="4" w:space="0"/>
            </w:tcBorders>
            <w:noWrap/>
            <w:vAlign w:val="center"/>
          </w:tcPr>
          <w:p w14:paraId="549F7C90">
            <w:pPr>
              <w:overflowPunct/>
              <w:autoSpaceDE/>
              <w:autoSpaceDN/>
              <w:adjustRightInd/>
              <w:spacing w:line="360" w:lineRule="auto"/>
              <w:ind w:firstLine="480" w:firstLineChars="200"/>
              <w:jc w:val="left"/>
              <w:textAlignment w:val="auto"/>
              <w:rPr>
                <w:rFonts w:ascii="宋体" w:hAnsi="宋体" w:eastAsia="仿宋" w:cs="宋体"/>
                <w:b/>
                <w:sz w:val="24"/>
                <w:highlight w:val="none"/>
                <w:lang w:val="en-GB"/>
              </w:rPr>
            </w:pPr>
            <w:r>
              <w:rPr>
                <w:rFonts w:hint="eastAsia" w:ascii="宋体" w:hAnsi="宋体" w:eastAsia="仿宋" w:cs="宋体"/>
                <w:sz w:val="24"/>
                <w:highlight w:val="none"/>
              </w:rPr>
              <w:t>本项目需在服务期结束前通过第三方检测（软件部分）及网络安全等级保护三级；根据商用密码应用安全管理要求，在服务期结束后完成商用密码应用测评和信创测评，乙方需做好相关检测和测评的配合工作，如因乙方原因符合要求的，需负责整改到位。</w:t>
            </w:r>
          </w:p>
          <w:p w14:paraId="06484D7D">
            <w:pPr>
              <w:overflowPunct/>
              <w:autoSpaceDE/>
              <w:autoSpaceDN/>
              <w:adjustRightInd/>
              <w:spacing w:line="360" w:lineRule="auto"/>
              <w:ind w:firstLine="480" w:firstLineChars="200"/>
              <w:jc w:val="left"/>
              <w:textAlignment w:val="auto"/>
              <w:rPr>
                <w:rFonts w:ascii="仿宋" w:hAnsi="仿宋" w:eastAsia="仿宋" w:cs="仿宋"/>
                <w:b/>
                <w:sz w:val="24"/>
                <w:highlight w:val="none"/>
                <w:lang w:val="en-GB"/>
              </w:rPr>
            </w:pPr>
            <w:r>
              <w:rPr>
                <w:rFonts w:hint="eastAsia" w:ascii="宋体" w:hAnsi="宋体" w:eastAsia="仿宋" w:cs="宋体"/>
                <w:sz w:val="24"/>
                <w:highlight w:val="none"/>
              </w:rPr>
              <w:t>对于本项目中的超融合应用服务一体机、大数据平台、视频服务网关、集成指挥平台升级服务一体机、负载均衡器1、负载均衡器2、融合调度网关一体机、数据处理一体机、数据库备份一体机、违法举报、道路交通信号“一见拍”系统，需根据信创要求，完成信创测评，如因乙方原因未符合要求的，需负责整改到位。</w:t>
            </w:r>
          </w:p>
        </w:tc>
      </w:tr>
      <w:tr w14:paraId="7B9C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B8C2992">
            <w:pPr>
              <w:widowControl/>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1577" w:type="dxa"/>
            <w:tcBorders>
              <w:top w:val="single" w:color="auto" w:sz="4" w:space="0"/>
              <w:left w:val="single" w:color="auto" w:sz="4" w:space="0"/>
              <w:bottom w:val="single" w:color="auto" w:sz="4" w:space="0"/>
              <w:right w:val="single" w:color="auto" w:sz="4" w:space="0"/>
            </w:tcBorders>
            <w:noWrap/>
            <w:vAlign w:val="center"/>
          </w:tcPr>
          <w:p w14:paraId="54F3955A">
            <w:pPr>
              <w:widowControl/>
              <w:spacing w:line="360" w:lineRule="auto"/>
              <w:jc w:val="left"/>
              <w:rPr>
                <w:rFonts w:ascii="仿宋" w:hAnsi="仿宋" w:eastAsia="仿宋" w:cs="仿宋"/>
                <w:bCs/>
                <w:sz w:val="24"/>
                <w:highlight w:val="none"/>
              </w:rPr>
            </w:pPr>
            <w:r>
              <w:rPr>
                <w:rFonts w:hint="eastAsia" w:ascii="仿宋" w:hAnsi="仿宋" w:eastAsia="仿宋" w:cs="仿宋"/>
                <w:bCs/>
                <w:kern w:val="0"/>
                <w:sz w:val="24"/>
                <w:highlight w:val="none"/>
              </w:rPr>
              <w:t>网络安全与责任管理</w:t>
            </w:r>
          </w:p>
        </w:tc>
        <w:tc>
          <w:tcPr>
            <w:tcW w:w="7088" w:type="dxa"/>
            <w:tcBorders>
              <w:top w:val="single" w:color="auto" w:sz="4" w:space="0"/>
              <w:left w:val="single" w:color="auto" w:sz="4" w:space="0"/>
              <w:bottom w:val="single" w:color="auto" w:sz="4" w:space="0"/>
              <w:right w:val="single" w:color="auto" w:sz="4" w:space="0"/>
            </w:tcBorders>
            <w:noWrap/>
            <w:vAlign w:val="center"/>
          </w:tcPr>
          <w:p w14:paraId="61E286D6">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（1）明确乙方法定代表人为合作事项网络安全第一责任人，具体承担合作事项的部门主要负责人为直接责任人。</w:t>
            </w:r>
          </w:p>
          <w:p w14:paraId="7C2A18DA">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（2）不得转包合同任务，未经甲方书面同意不得分包合同任务。</w:t>
            </w:r>
          </w:p>
          <w:p w14:paraId="5EF32170">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（3）乙方应制订与合作事项相关的网络安全保障方案和网络安全事件应急预案。</w:t>
            </w:r>
          </w:p>
          <w:p w14:paraId="0D3B74D7">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（4）乙方发现网络安全漏洞、缺陷或者其他严重网络安全风险，应及时向甲方报告。</w:t>
            </w:r>
          </w:p>
          <w:p w14:paraId="5C12E01C">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（5）处理合作事项的信息平台应当优先采用符合安全可靠测评要求的硬件和软件产品。</w:t>
            </w:r>
          </w:p>
          <w:p w14:paraId="1CDA5209">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（6）发生可能影响合作事项的网络安全重大事项，包括负责人及重要工作人员变更、业务转型、合并重组和投资并购等，乙方应提前向甲方报告。</w:t>
            </w:r>
          </w:p>
          <w:p w14:paraId="3CC3C669">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22D2645F">
            <w:pPr>
              <w:adjustRightInd/>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（8）乙方应于2026年8月1日之前向甲方提交网络安全报告。</w:t>
            </w:r>
          </w:p>
          <w:p w14:paraId="6D164911">
            <w:pPr>
              <w:adjustRightInd/>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（9）其他应当落实的网络安全责任和义务。</w:t>
            </w:r>
          </w:p>
        </w:tc>
      </w:tr>
      <w:tr w14:paraId="0242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tcBorders>
              <w:top w:val="single" w:color="auto" w:sz="4" w:space="0"/>
              <w:left w:val="single" w:color="auto" w:sz="4" w:space="0"/>
              <w:bottom w:val="single" w:color="auto" w:sz="4" w:space="0"/>
              <w:right w:val="single" w:color="auto" w:sz="4" w:space="0"/>
            </w:tcBorders>
            <w:noWrap/>
            <w:vAlign w:val="center"/>
          </w:tcPr>
          <w:p w14:paraId="03C96794">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1577" w:type="dxa"/>
            <w:vMerge w:val="restart"/>
            <w:tcBorders>
              <w:top w:val="single" w:color="auto" w:sz="4" w:space="0"/>
              <w:left w:val="single" w:color="auto" w:sz="4" w:space="0"/>
              <w:bottom w:val="single" w:color="auto" w:sz="4" w:space="0"/>
              <w:right w:val="single" w:color="auto" w:sz="4" w:space="0"/>
            </w:tcBorders>
            <w:noWrap/>
            <w:vAlign w:val="center"/>
          </w:tcPr>
          <w:p w14:paraId="4DF5973C">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w:t>
            </w:r>
          </w:p>
        </w:tc>
        <w:tc>
          <w:tcPr>
            <w:tcW w:w="7088" w:type="dxa"/>
            <w:tcBorders>
              <w:top w:val="single" w:color="auto" w:sz="4" w:space="0"/>
              <w:left w:val="single" w:color="auto" w:sz="4" w:space="0"/>
              <w:bottom w:val="single" w:color="auto" w:sz="4" w:space="0"/>
              <w:right w:val="single" w:color="auto" w:sz="4" w:space="0"/>
            </w:tcBorders>
            <w:noWrap/>
            <w:vAlign w:val="center"/>
          </w:tcPr>
          <w:p w14:paraId="7F96C3C8">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在服务期间，建立完善的运行维护机制，有效的落实各项运维工作。</w:t>
            </w:r>
          </w:p>
        </w:tc>
      </w:tr>
      <w:tr w14:paraId="0B25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61A023E7">
            <w:pPr>
              <w:rPr>
                <w:highlight w:val="none"/>
              </w:rPr>
            </w:pPr>
          </w:p>
        </w:tc>
        <w:tc>
          <w:tcPr>
            <w:tcW w:w="1577" w:type="dxa"/>
            <w:vMerge w:val="continue"/>
            <w:tcBorders>
              <w:top w:val="single" w:color="auto" w:sz="4" w:space="0"/>
              <w:left w:val="single" w:color="auto" w:sz="4" w:space="0"/>
              <w:bottom w:val="single" w:color="auto" w:sz="4" w:space="0"/>
              <w:right w:val="single" w:color="auto" w:sz="4" w:space="0"/>
            </w:tcBorders>
            <w:noWrap/>
            <w:vAlign w:val="center"/>
          </w:tcPr>
          <w:p w14:paraId="07382E06">
            <w:pPr>
              <w:rPr>
                <w:highlight w:val="none"/>
              </w:rPr>
            </w:pPr>
          </w:p>
        </w:tc>
        <w:tc>
          <w:tcPr>
            <w:tcW w:w="7088" w:type="dxa"/>
            <w:tcBorders>
              <w:top w:val="single" w:color="auto" w:sz="4" w:space="0"/>
              <w:left w:val="single" w:color="auto" w:sz="4" w:space="0"/>
              <w:bottom w:val="single" w:color="auto" w:sz="4" w:space="0"/>
              <w:right w:val="single" w:color="auto" w:sz="4" w:space="0"/>
            </w:tcBorders>
            <w:noWrap/>
            <w:vAlign w:val="center"/>
          </w:tcPr>
          <w:p w14:paraId="094A646C">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在服务期间，系统各项系统指标达到合同和考核要求，保障系统正常运行。</w:t>
            </w:r>
          </w:p>
        </w:tc>
      </w:tr>
      <w:tr w14:paraId="5082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6" w:type="dxa"/>
            <w:vMerge w:val="continue"/>
            <w:tcBorders>
              <w:top w:val="single" w:color="auto" w:sz="4" w:space="0"/>
              <w:left w:val="single" w:color="auto" w:sz="4" w:space="0"/>
              <w:bottom w:val="single" w:color="auto" w:sz="4" w:space="0"/>
              <w:right w:val="single" w:color="auto" w:sz="4" w:space="0"/>
            </w:tcBorders>
            <w:noWrap/>
            <w:vAlign w:val="center"/>
          </w:tcPr>
          <w:p w14:paraId="483C980E">
            <w:pPr>
              <w:rPr>
                <w:highlight w:val="none"/>
              </w:rPr>
            </w:pPr>
          </w:p>
        </w:tc>
        <w:tc>
          <w:tcPr>
            <w:tcW w:w="1577" w:type="dxa"/>
            <w:vMerge w:val="continue"/>
            <w:tcBorders>
              <w:top w:val="single" w:color="auto" w:sz="4" w:space="0"/>
              <w:left w:val="single" w:color="auto" w:sz="4" w:space="0"/>
              <w:bottom w:val="single" w:color="auto" w:sz="4" w:space="0"/>
              <w:right w:val="single" w:color="auto" w:sz="4" w:space="0"/>
            </w:tcBorders>
            <w:noWrap/>
            <w:vAlign w:val="center"/>
          </w:tcPr>
          <w:p w14:paraId="3AD7BBB9">
            <w:pPr>
              <w:rPr>
                <w:highlight w:val="none"/>
              </w:rPr>
            </w:pPr>
          </w:p>
        </w:tc>
        <w:tc>
          <w:tcPr>
            <w:tcW w:w="7088" w:type="dxa"/>
            <w:tcBorders>
              <w:top w:val="single" w:color="auto" w:sz="4" w:space="0"/>
              <w:left w:val="single" w:color="auto" w:sz="4" w:space="0"/>
              <w:bottom w:val="single" w:color="auto" w:sz="4" w:space="0"/>
              <w:right w:val="single" w:color="auto" w:sz="4" w:space="0"/>
            </w:tcBorders>
            <w:noWrap/>
            <w:vAlign w:val="center"/>
          </w:tcPr>
          <w:p w14:paraId="0B35D1CE">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在服务期间，乙方的项目组人员对系统运行情况每周进行巡检，并建立巡检台账。</w:t>
            </w:r>
          </w:p>
        </w:tc>
      </w:tr>
      <w:tr w14:paraId="2BCF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4E87CC8">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1577" w:type="dxa"/>
            <w:tcBorders>
              <w:top w:val="single" w:color="auto" w:sz="4" w:space="0"/>
              <w:left w:val="single" w:color="auto" w:sz="4" w:space="0"/>
              <w:bottom w:val="single" w:color="auto" w:sz="4" w:space="0"/>
              <w:right w:val="single" w:color="auto" w:sz="4" w:space="0"/>
            </w:tcBorders>
            <w:noWrap/>
            <w:vAlign w:val="center"/>
          </w:tcPr>
          <w:p w14:paraId="6126A2F3">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人员管理</w:t>
            </w:r>
          </w:p>
        </w:tc>
        <w:tc>
          <w:tcPr>
            <w:tcW w:w="7088" w:type="dxa"/>
            <w:tcBorders>
              <w:top w:val="single" w:color="auto" w:sz="4" w:space="0"/>
              <w:left w:val="single" w:color="auto" w:sz="4" w:space="0"/>
              <w:bottom w:val="single" w:color="auto" w:sz="4" w:space="0"/>
              <w:right w:val="single" w:color="auto" w:sz="4" w:space="0"/>
            </w:tcBorders>
            <w:noWrap/>
            <w:vAlign w:val="center"/>
          </w:tcPr>
          <w:p w14:paraId="10888D17">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在服务期间，按合同和投标文件投入相应资质的项目管理和技术人员。提供至少3名服务人员（包含1名项目负责人）服务人员工作时间、地点满足采购要求。</w:t>
            </w:r>
          </w:p>
        </w:tc>
      </w:tr>
      <w:tr w14:paraId="75DA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57049C6">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1577" w:type="dxa"/>
            <w:tcBorders>
              <w:top w:val="single" w:color="auto" w:sz="4" w:space="0"/>
              <w:left w:val="single" w:color="auto" w:sz="4" w:space="0"/>
              <w:bottom w:val="single" w:color="auto" w:sz="4" w:space="0"/>
              <w:right w:val="single" w:color="auto" w:sz="4" w:space="0"/>
            </w:tcBorders>
            <w:noWrap/>
            <w:vAlign w:val="center"/>
          </w:tcPr>
          <w:p w14:paraId="0B589EDB">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培训</w:t>
            </w:r>
          </w:p>
        </w:tc>
        <w:tc>
          <w:tcPr>
            <w:tcW w:w="7088" w:type="dxa"/>
            <w:tcBorders>
              <w:top w:val="single" w:color="auto" w:sz="4" w:space="0"/>
              <w:left w:val="single" w:color="auto" w:sz="4" w:space="0"/>
              <w:bottom w:val="single" w:color="auto" w:sz="4" w:space="0"/>
              <w:right w:val="single" w:color="auto" w:sz="4" w:space="0"/>
            </w:tcBorders>
            <w:noWrap/>
            <w:vAlign w:val="center"/>
          </w:tcPr>
          <w:p w14:paraId="2A79AA01">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按合同要求对甲方系统操作人员、系统管理人员、系统运维人员进行培训，形成相应培训记录。</w:t>
            </w:r>
          </w:p>
        </w:tc>
      </w:tr>
      <w:tr w14:paraId="6D1E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2F788B1A">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1577" w:type="dxa"/>
            <w:tcBorders>
              <w:top w:val="single" w:color="auto" w:sz="4" w:space="0"/>
              <w:left w:val="single" w:color="auto" w:sz="4" w:space="0"/>
              <w:bottom w:val="single" w:color="auto" w:sz="4" w:space="0"/>
              <w:right w:val="single" w:color="auto" w:sz="4" w:space="0"/>
            </w:tcBorders>
            <w:noWrap/>
            <w:vAlign w:val="center"/>
          </w:tcPr>
          <w:p w14:paraId="11714322">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验收小组现场演示</w:t>
            </w:r>
          </w:p>
        </w:tc>
        <w:tc>
          <w:tcPr>
            <w:tcW w:w="7088" w:type="dxa"/>
            <w:tcBorders>
              <w:top w:val="single" w:color="auto" w:sz="4" w:space="0"/>
              <w:left w:val="single" w:color="auto" w:sz="4" w:space="0"/>
              <w:bottom w:val="single" w:color="auto" w:sz="4" w:space="0"/>
              <w:right w:val="single" w:color="auto" w:sz="4" w:space="0"/>
            </w:tcBorders>
            <w:noWrap/>
            <w:vAlign w:val="center"/>
          </w:tcPr>
          <w:p w14:paraId="15C1B7FA">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验收时，验收小组现场组织对集成指挥平台设备清点及系统演示。</w:t>
            </w:r>
          </w:p>
        </w:tc>
      </w:tr>
      <w:tr w14:paraId="6475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79DA1F2B">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10</w:t>
            </w:r>
          </w:p>
        </w:tc>
        <w:tc>
          <w:tcPr>
            <w:tcW w:w="1577" w:type="dxa"/>
            <w:tcBorders>
              <w:top w:val="single" w:color="auto" w:sz="4" w:space="0"/>
              <w:left w:val="single" w:color="auto" w:sz="4" w:space="0"/>
              <w:bottom w:val="single" w:color="auto" w:sz="4" w:space="0"/>
              <w:right w:val="single" w:color="auto" w:sz="4" w:space="0"/>
            </w:tcBorders>
            <w:noWrap/>
            <w:vAlign w:val="center"/>
          </w:tcPr>
          <w:p w14:paraId="0D7C61DE">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台帐</w:t>
            </w:r>
          </w:p>
        </w:tc>
        <w:tc>
          <w:tcPr>
            <w:tcW w:w="7088" w:type="dxa"/>
            <w:tcBorders>
              <w:top w:val="single" w:color="auto" w:sz="4" w:space="0"/>
              <w:left w:val="single" w:color="auto" w:sz="4" w:space="0"/>
              <w:bottom w:val="single" w:color="auto" w:sz="4" w:space="0"/>
              <w:right w:val="single" w:color="auto" w:sz="4" w:space="0"/>
            </w:tcBorders>
            <w:noWrap/>
            <w:vAlign w:val="center"/>
          </w:tcPr>
          <w:p w14:paraId="4D8B5CC6">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要做好日常的台帐记录，做到记录及时、完整。每周巡检记录、租赁月报、租赁总结报告。</w:t>
            </w:r>
          </w:p>
        </w:tc>
      </w:tr>
      <w:tr w14:paraId="0491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09B8294C">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11</w:t>
            </w:r>
          </w:p>
        </w:tc>
        <w:tc>
          <w:tcPr>
            <w:tcW w:w="1577" w:type="dxa"/>
            <w:tcBorders>
              <w:top w:val="single" w:color="auto" w:sz="4" w:space="0"/>
              <w:left w:val="single" w:color="auto" w:sz="4" w:space="0"/>
              <w:bottom w:val="single" w:color="auto" w:sz="4" w:space="0"/>
              <w:right w:val="single" w:color="auto" w:sz="4" w:space="0"/>
            </w:tcBorders>
            <w:noWrap/>
            <w:vAlign w:val="center"/>
          </w:tcPr>
          <w:p w14:paraId="50DEF5AB">
            <w:pPr>
              <w:snapToGrid w:val="0"/>
              <w:spacing w:line="360" w:lineRule="auto"/>
              <w:jc w:val="center"/>
              <w:rPr>
                <w:rFonts w:ascii="仿宋" w:hAnsi="仿宋" w:eastAsia="仿宋" w:cs="仿宋"/>
                <w:bCs/>
                <w:sz w:val="24"/>
                <w:highlight w:val="none"/>
              </w:rPr>
            </w:pPr>
            <w:r>
              <w:rPr>
                <w:rFonts w:hint="eastAsia" w:ascii="仿宋" w:hAnsi="仿宋" w:eastAsia="仿宋" w:cs="仿宋"/>
                <w:sz w:val="24"/>
                <w:highlight w:val="none"/>
              </w:rPr>
              <w:t>中小企业比例</w:t>
            </w:r>
          </w:p>
        </w:tc>
        <w:tc>
          <w:tcPr>
            <w:tcW w:w="7088" w:type="dxa"/>
            <w:tcBorders>
              <w:top w:val="single" w:color="auto" w:sz="4" w:space="0"/>
              <w:left w:val="single" w:color="auto" w:sz="4" w:space="0"/>
              <w:bottom w:val="single" w:color="auto" w:sz="4" w:space="0"/>
              <w:right w:val="single" w:color="auto" w:sz="4" w:space="0"/>
            </w:tcBorders>
            <w:noWrap/>
            <w:vAlign w:val="center"/>
          </w:tcPr>
          <w:p w14:paraId="551D67B2">
            <w:pPr>
              <w:snapToGrid w:val="0"/>
              <w:spacing w:line="360" w:lineRule="auto"/>
              <w:rPr>
                <w:rFonts w:ascii="仿宋" w:hAnsi="仿宋" w:eastAsia="仿宋" w:cs="仿宋"/>
                <w:bCs/>
                <w:sz w:val="24"/>
                <w:highlight w:val="none"/>
              </w:rPr>
            </w:pPr>
            <w:r>
              <w:rPr>
                <w:rFonts w:hint="eastAsia" w:ascii="仿宋" w:hAnsi="仿宋" w:eastAsia="仿宋" w:cs="仿宋"/>
                <w:sz w:val="24"/>
                <w:highlight w:val="none"/>
              </w:rPr>
              <w:t>本项目履约过程中，不存在转包行为，且确保服务内容100%面向小微企业。</w:t>
            </w:r>
          </w:p>
        </w:tc>
      </w:tr>
      <w:tr w14:paraId="1CD1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14:paraId="509E5EA1">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12</w:t>
            </w:r>
          </w:p>
        </w:tc>
        <w:tc>
          <w:tcPr>
            <w:tcW w:w="1577" w:type="dxa"/>
            <w:tcBorders>
              <w:top w:val="single" w:color="auto" w:sz="4" w:space="0"/>
              <w:left w:val="single" w:color="auto" w:sz="4" w:space="0"/>
              <w:bottom w:val="single" w:color="auto" w:sz="4" w:space="0"/>
              <w:right w:val="single" w:color="auto" w:sz="4" w:space="0"/>
            </w:tcBorders>
            <w:noWrap/>
            <w:vAlign w:val="center"/>
          </w:tcPr>
          <w:p w14:paraId="2E8193E0">
            <w:pPr>
              <w:snapToGrid w:val="0"/>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其他工作</w:t>
            </w:r>
          </w:p>
        </w:tc>
        <w:tc>
          <w:tcPr>
            <w:tcW w:w="7088" w:type="dxa"/>
            <w:tcBorders>
              <w:top w:val="single" w:color="auto" w:sz="4" w:space="0"/>
              <w:left w:val="single" w:color="auto" w:sz="4" w:space="0"/>
              <w:bottom w:val="single" w:color="auto" w:sz="4" w:space="0"/>
              <w:right w:val="single" w:color="auto" w:sz="4" w:space="0"/>
            </w:tcBorders>
            <w:noWrap/>
            <w:vAlign w:val="center"/>
          </w:tcPr>
          <w:p w14:paraId="6E10EDEF">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履行项目采购文件、投标文件、合同条款中涉及的其他承诺的情况。</w:t>
            </w:r>
          </w:p>
        </w:tc>
      </w:tr>
    </w:tbl>
    <w:p w14:paraId="6750302C">
      <w:pPr>
        <w:adjustRightInd/>
        <w:spacing w:line="360" w:lineRule="auto"/>
        <w:rPr>
          <w:rFonts w:ascii="仿宋" w:hAnsi="仿宋" w:eastAsia="仿宋" w:cs="仿宋"/>
          <w:sz w:val="24"/>
          <w:highlight w:val="none"/>
        </w:rPr>
      </w:pPr>
    </w:p>
    <w:p w14:paraId="3D58F73B">
      <w:pPr>
        <w:adjustRightInd/>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2、验收资料：</w:t>
      </w:r>
    </w:p>
    <w:p w14:paraId="42459933">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1）招标文件；</w:t>
      </w:r>
    </w:p>
    <w:p w14:paraId="39BC8DE2">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2）投标文件；</w:t>
      </w:r>
    </w:p>
    <w:p w14:paraId="0818BF13">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3）项目合同；</w:t>
      </w:r>
    </w:p>
    <w:p w14:paraId="4F6F5ACA">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4）单位保密协议、日常保密教育资料、个人保密承诺书；</w:t>
      </w:r>
    </w:p>
    <w:p w14:paraId="7B6AE4A6">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5）租赁方案审批单：乙方提出申请经服务监理单位及甲方审批；</w:t>
      </w:r>
    </w:p>
    <w:p w14:paraId="19240DC1">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6）每周巡检记录：需甲方经办人、乙方、监理单位签字并盖章；</w:t>
      </w:r>
    </w:p>
    <w:p w14:paraId="4B983CE6">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7）故障维修记录：需甲方经办人、乙方、监理单位签字并盖章；</w:t>
      </w:r>
    </w:p>
    <w:p w14:paraId="708D73B4">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8）服务计划、租赁月报、租赁总结报告；</w:t>
      </w:r>
    </w:p>
    <w:p w14:paraId="283EF797">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9）项目组人员清单、社保证明材料、人员证书；</w:t>
      </w:r>
    </w:p>
    <w:p w14:paraId="3B804D95">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10）每月考核材料：需甲方经办人及审批人、乙方、监理单位签字并盖章；</w:t>
      </w:r>
    </w:p>
    <w:p w14:paraId="2C4CCB18">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11）培训记录：由培训参与人员签字；</w:t>
      </w:r>
    </w:p>
    <w:p w14:paraId="0A1B1B07">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12）等保测评报告、</w:t>
      </w:r>
      <w:r>
        <w:rPr>
          <w:rFonts w:hint="eastAsia" w:ascii="仿宋" w:hAnsi="仿宋" w:eastAsia="仿宋" w:cs="仿宋"/>
          <w:sz w:val="24"/>
          <w:highlight w:val="none"/>
        </w:rPr>
        <w:t>商用密码应用测评报告、</w:t>
      </w:r>
      <w:r>
        <w:rPr>
          <w:rFonts w:hint="eastAsia" w:ascii="仿宋" w:hAnsi="仿宋" w:eastAsia="仿宋" w:cs="仿宋"/>
          <w:kern w:val="0"/>
          <w:sz w:val="24"/>
          <w:highlight w:val="none"/>
        </w:rPr>
        <w:t>信创检测报告；</w:t>
      </w:r>
    </w:p>
    <w:p w14:paraId="6B9F7EBE">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13）网络安全保障方案、网络安全事件应急预案、网络安全风险书面报告（如有）、网络安全重大事项书面报告（如有）、网络安全报告；</w:t>
      </w:r>
    </w:p>
    <w:p w14:paraId="7BC84DB4">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14）验收报审表：由租赁提供单位提交，经监理单位及甲方审批；</w:t>
      </w:r>
    </w:p>
    <w:p w14:paraId="4A3BFC4B">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15）《信息化建设项目变更审批表》（如果有）；</w:t>
      </w:r>
    </w:p>
    <w:p w14:paraId="62260547">
      <w:pPr>
        <w:widowControl/>
        <w:adjustRightInd/>
        <w:snapToGrid w:val="0"/>
        <w:spacing w:line="360" w:lineRule="auto"/>
        <w:ind w:firstLine="480" w:firstLineChars="200"/>
        <w:outlineLvl w:val="2"/>
        <w:rPr>
          <w:rFonts w:ascii="仿宋" w:hAnsi="仿宋" w:eastAsia="仿宋" w:cs="仿宋"/>
          <w:kern w:val="0"/>
          <w:sz w:val="24"/>
          <w:highlight w:val="none"/>
        </w:rPr>
      </w:pPr>
      <w:r>
        <w:rPr>
          <w:rFonts w:hint="eastAsia" w:ascii="仿宋" w:hAnsi="仿宋" w:eastAsia="仿宋" w:cs="仿宋"/>
          <w:kern w:val="0"/>
          <w:sz w:val="24"/>
          <w:highlight w:val="none"/>
        </w:rPr>
        <w:t>16）监理报告；</w:t>
      </w:r>
    </w:p>
    <w:p w14:paraId="653166D3">
      <w:pPr>
        <w:widowControl/>
        <w:adjustRightInd/>
        <w:snapToGrid w:val="0"/>
        <w:spacing w:line="360" w:lineRule="auto"/>
        <w:ind w:firstLine="480" w:firstLineChars="200"/>
        <w:jc w:val="left"/>
        <w:outlineLvl w:val="2"/>
        <w:rPr>
          <w:rFonts w:ascii="仿宋" w:hAnsi="仿宋" w:eastAsia="仿宋" w:cs="仿宋"/>
          <w:kern w:val="0"/>
          <w:sz w:val="24"/>
          <w:highlight w:val="none"/>
        </w:rPr>
      </w:pPr>
      <w:r>
        <w:rPr>
          <w:rFonts w:hint="eastAsia" w:ascii="仿宋" w:hAnsi="仿宋" w:eastAsia="仿宋" w:cs="仿宋"/>
          <w:kern w:val="0"/>
          <w:sz w:val="24"/>
          <w:highlight w:val="none"/>
        </w:rPr>
        <w:t>17） 小微企业证明材料；</w:t>
      </w:r>
    </w:p>
    <w:p w14:paraId="67D93EA6">
      <w:pPr>
        <w:tabs>
          <w:tab w:val="left" w:pos="904"/>
        </w:tabs>
        <w:adjustRightInd/>
        <w:snapToGrid w:val="0"/>
        <w:spacing w:line="360" w:lineRule="auto"/>
        <w:ind w:left="480"/>
        <w:jc w:val="left"/>
        <w:rPr>
          <w:rFonts w:ascii="仿宋" w:hAnsi="仿宋" w:eastAsia="仿宋" w:cs="仿宋"/>
          <w:kern w:val="0"/>
          <w:sz w:val="24"/>
          <w:highlight w:val="none"/>
        </w:rPr>
      </w:pPr>
      <w:r>
        <w:rPr>
          <w:rFonts w:hint="eastAsia" w:ascii="仿宋" w:hAnsi="仿宋" w:eastAsia="仿宋" w:cs="仿宋"/>
          <w:kern w:val="0"/>
          <w:sz w:val="24"/>
          <w:highlight w:val="none"/>
        </w:rPr>
        <w:t>18）</w:t>
      </w:r>
      <w:r>
        <w:rPr>
          <w:rFonts w:hint="eastAsia" w:ascii="仿宋" w:hAnsi="仿宋" w:eastAsia="仿宋" w:cs="仿宋"/>
          <w:sz w:val="24"/>
          <w:highlight w:val="none"/>
        </w:rPr>
        <w:t>第三方检测报告</w:t>
      </w:r>
    </w:p>
    <w:p w14:paraId="5B875096">
      <w:pPr>
        <w:tabs>
          <w:tab w:val="left" w:pos="904"/>
        </w:tabs>
        <w:adjustRightInd/>
        <w:snapToGrid w:val="0"/>
        <w:spacing w:line="360" w:lineRule="auto"/>
        <w:ind w:left="480"/>
        <w:jc w:val="left"/>
        <w:rPr>
          <w:rFonts w:ascii="仿宋" w:hAnsi="仿宋" w:eastAsia="仿宋" w:cs="仿宋"/>
          <w:kern w:val="0"/>
          <w:sz w:val="24"/>
          <w:highlight w:val="none"/>
        </w:rPr>
      </w:pPr>
      <w:r>
        <w:rPr>
          <w:rFonts w:hint="eastAsia" w:ascii="仿宋" w:hAnsi="仿宋" w:eastAsia="仿宋" w:cs="仿宋"/>
          <w:kern w:val="0"/>
          <w:sz w:val="24"/>
          <w:highlight w:val="none"/>
        </w:rPr>
        <w:t>19）测试方案/计划、测试报告/用例；</w:t>
      </w:r>
    </w:p>
    <w:p w14:paraId="61C28817">
      <w:pPr>
        <w:tabs>
          <w:tab w:val="left" w:pos="904"/>
        </w:tabs>
        <w:adjustRightInd/>
        <w:snapToGrid w:val="0"/>
        <w:spacing w:line="360" w:lineRule="auto"/>
        <w:ind w:left="480"/>
        <w:jc w:val="left"/>
        <w:rPr>
          <w:rFonts w:ascii="仿宋" w:hAnsi="仿宋" w:eastAsia="仿宋" w:cs="仿宋"/>
          <w:kern w:val="0"/>
          <w:sz w:val="24"/>
          <w:highlight w:val="none"/>
        </w:rPr>
      </w:pPr>
      <w:r>
        <w:rPr>
          <w:rFonts w:hint="eastAsia" w:ascii="仿宋" w:hAnsi="仿宋" w:eastAsia="仿宋" w:cs="仿宋"/>
          <w:kern w:val="0"/>
          <w:sz w:val="24"/>
          <w:highlight w:val="none"/>
        </w:rPr>
        <w:t>20）系统配置手册、操作手册/维护手册；</w:t>
      </w:r>
    </w:p>
    <w:p w14:paraId="32FA5881">
      <w:pPr>
        <w:adjustRightInd/>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21）其他需提供的相关材料。</w:t>
      </w:r>
    </w:p>
    <w:p w14:paraId="292B9819">
      <w:pPr>
        <w:widowControl/>
        <w:adjustRightInd/>
        <w:snapToGrid w:val="0"/>
        <w:spacing w:line="360" w:lineRule="auto"/>
        <w:ind w:firstLine="480" w:firstLineChars="200"/>
        <w:outlineLvl w:val="2"/>
        <w:rPr>
          <w:rFonts w:ascii="宋体" w:hAnsi="宋体" w:eastAsia="仿宋" w:cs="宋体"/>
          <w:kern w:val="0"/>
          <w:sz w:val="24"/>
          <w:highlight w:val="none"/>
        </w:rPr>
      </w:pPr>
    </w:p>
    <w:p w14:paraId="0D5EE53D">
      <w:pPr>
        <w:adjustRightInd/>
        <w:spacing w:line="360" w:lineRule="auto"/>
        <w:jc w:val="left"/>
        <w:rPr>
          <w:rFonts w:ascii="仿宋" w:hAnsi="仿宋" w:eastAsia="仿宋" w:cs="仿宋"/>
          <w:sz w:val="24"/>
          <w:highlight w:val="none"/>
        </w:rPr>
      </w:pPr>
      <w:r>
        <w:rPr>
          <w:rFonts w:hint="eastAsia" w:ascii="仿宋" w:hAnsi="仿宋" w:eastAsia="仿宋" w:cs="仿宋"/>
          <w:bCs/>
          <w:sz w:val="24"/>
          <w:highlight w:val="none"/>
        </w:rPr>
        <w:t>2.19合同份数：</w:t>
      </w:r>
      <w:r>
        <w:rPr>
          <w:rFonts w:hint="eastAsia" w:ascii="仿宋" w:hAnsi="仿宋" w:eastAsia="仿宋" w:cs="仿宋"/>
          <w:bCs/>
          <w:sz w:val="24"/>
          <w:highlight w:val="none"/>
          <w:u w:val="single"/>
        </w:rPr>
        <w:t>本合同正本壹式陆份，具有同等法律效力，甲乙双方各执叁份。</w:t>
      </w:r>
    </w:p>
    <w:p w14:paraId="3519CBF3">
      <w:pPr>
        <w:snapToGrid w:val="0"/>
        <w:spacing w:line="360" w:lineRule="auto"/>
        <w:outlineLvl w:val="3"/>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b/>
          <w:bCs/>
          <w:sz w:val="24"/>
          <w:highlight w:val="none"/>
        </w:rPr>
        <w:t>服务</w:t>
      </w:r>
      <w:r>
        <w:rPr>
          <w:rFonts w:hint="eastAsia" w:ascii="仿宋" w:hAnsi="仿宋" w:eastAsia="仿宋" w:cs="仿宋"/>
          <w:b/>
          <w:sz w:val="24"/>
          <w:highlight w:val="none"/>
        </w:rPr>
        <w:t>要求</w:t>
      </w:r>
    </w:p>
    <w:p w14:paraId="03E3D598">
      <w:pPr>
        <w:jc w:val="left"/>
        <w:rPr>
          <w:rFonts w:ascii="仿宋" w:hAnsi="仿宋" w:eastAsia="仿宋" w:cs="仿宋"/>
          <w:sz w:val="24"/>
          <w:highlight w:val="none"/>
        </w:rPr>
      </w:pPr>
      <w:r>
        <w:rPr>
          <w:rFonts w:hint="eastAsia" w:ascii="仿宋" w:hAnsi="仿宋" w:eastAsia="仿宋" w:cs="仿宋"/>
          <w:sz w:val="24"/>
          <w:highlight w:val="none"/>
        </w:rPr>
        <w:t>一、本次租赁项目采购内容如下</w:t>
      </w:r>
    </w:p>
    <w:p w14:paraId="45262B3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1、硬件部分</w:t>
      </w:r>
    </w:p>
    <w:tbl>
      <w:tblPr>
        <w:tblStyle w:val="80"/>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456"/>
        <w:gridCol w:w="1058"/>
        <w:gridCol w:w="5415"/>
        <w:gridCol w:w="730"/>
        <w:gridCol w:w="1000"/>
      </w:tblGrid>
      <w:tr w14:paraId="4B4C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shd w:val="clear" w:color="000000" w:fill="auto"/>
            <w:noWrap/>
            <w:vAlign w:val="center"/>
          </w:tcPr>
          <w:p w14:paraId="50A646AB">
            <w:pPr>
              <w:widowControl/>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14" w:type="dxa"/>
            <w:gridSpan w:val="2"/>
            <w:shd w:val="clear" w:color="000000" w:fill="auto"/>
            <w:noWrap/>
            <w:vAlign w:val="center"/>
          </w:tcPr>
          <w:p w14:paraId="5F4E77A1">
            <w:pPr>
              <w:widowControl/>
              <w:jc w:val="left"/>
              <w:rPr>
                <w:rFonts w:ascii="仿宋" w:hAnsi="仿宋" w:eastAsia="仿宋" w:cs="仿宋"/>
                <w:sz w:val="24"/>
                <w:highlight w:val="none"/>
              </w:rPr>
            </w:pPr>
            <w:r>
              <w:rPr>
                <w:rFonts w:hint="eastAsia" w:ascii="仿宋" w:hAnsi="仿宋" w:eastAsia="仿宋" w:cs="仿宋"/>
                <w:sz w:val="24"/>
                <w:highlight w:val="none"/>
              </w:rPr>
              <w:t>设备名称</w:t>
            </w:r>
          </w:p>
        </w:tc>
        <w:tc>
          <w:tcPr>
            <w:tcW w:w="5415" w:type="dxa"/>
            <w:shd w:val="clear" w:color="000000" w:fill="auto"/>
            <w:noWrap/>
            <w:vAlign w:val="center"/>
          </w:tcPr>
          <w:p w14:paraId="2F292C68">
            <w:pPr>
              <w:widowControl/>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参数/性能要求</w:t>
            </w:r>
          </w:p>
        </w:tc>
        <w:tc>
          <w:tcPr>
            <w:tcW w:w="730" w:type="dxa"/>
            <w:shd w:val="clear" w:color="000000" w:fill="auto"/>
            <w:noWrap/>
            <w:vAlign w:val="center"/>
          </w:tcPr>
          <w:p w14:paraId="6775D9F6">
            <w:pPr>
              <w:widowControl/>
              <w:jc w:val="center"/>
              <w:rPr>
                <w:rFonts w:ascii="仿宋" w:hAnsi="仿宋" w:eastAsia="仿宋" w:cs="仿宋"/>
                <w:sz w:val="24"/>
                <w:highlight w:val="none"/>
              </w:rPr>
            </w:pPr>
            <w:r>
              <w:rPr>
                <w:rFonts w:hint="eastAsia" w:ascii="仿宋" w:hAnsi="仿宋" w:eastAsia="仿宋" w:cs="仿宋"/>
                <w:sz w:val="24"/>
                <w:highlight w:val="none"/>
              </w:rPr>
              <w:t>单位</w:t>
            </w:r>
          </w:p>
        </w:tc>
        <w:tc>
          <w:tcPr>
            <w:tcW w:w="1000" w:type="dxa"/>
            <w:shd w:val="clear" w:color="000000" w:fill="auto"/>
            <w:noWrap/>
            <w:vAlign w:val="center"/>
          </w:tcPr>
          <w:p w14:paraId="009A05A8">
            <w:pPr>
              <w:widowControl/>
              <w:jc w:val="center"/>
              <w:rPr>
                <w:rFonts w:ascii="仿宋" w:hAnsi="仿宋" w:eastAsia="仿宋" w:cs="仿宋"/>
                <w:sz w:val="24"/>
                <w:highlight w:val="none"/>
              </w:rPr>
            </w:pPr>
            <w:r>
              <w:rPr>
                <w:rFonts w:hint="eastAsia" w:ascii="仿宋" w:hAnsi="仿宋" w:eastAsia="仿宋" w:cs="仿宋"/>
                <w:sz w:val="24"/>
                <w:highlight w:val="none"/>
              </w:rPr>
              <w:t>数量</w:t>
            </w:r>
          </w:p>
        </w:tc>
      </w:tr>
      <w:tr w14:paraId="3CA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7C41A074">
            <w:pPr>
              <w:widowControl/>
              <w:rPr>
                <w:rFonts w:ascii="仿宋" w:hAnsi="仿宋" w:eastAsia="仿宋" w:cs="仿宋"/>
                <w:sz w:val="24"/>
                <w:highlight w:val="none"/>
              </w:rPr>
            </w:pPr>
            <w:r>
              <w:rPr>
                <w:rFonts w:hint="eastAsia" w:ascii="仿宋" w:hAnsi="仿宋" w:eastAsia="仿宋" w:cs="仿宋"/>
                <w:sz w:val="24"/>
                <w:highlight w:val="none"/>
              </w:rPr>
              <w:t>1</w:t>
            </w:r>
          </w:p>
        </w:tc>
        <w:tc>
          <w:tcPr>
            <w:tcW w:w="1514" w:type="dxa"/>
            <w:gridSpan w:val="2"/>
            <w:noWrap/>
            <w:vAlign w:val="center"/>
          </w:tcPr>
          <w:p w14:paraId="628A7945">
            <w:pPr>
              <w:widowControl/>
              <w:rPr>
                <w:rFonts w:ascii="仿宋" w:hAnsi="仿宋" w:eastAsia="仿宋" w:cs="仿宋"/>
                <w:sz w:val="24"/>
                <w:highlight w:val="none"/>
              </w:rPr>
            </w:pPr>
            <w:r>
              <w:rPr>
                <w:rFonts w:hint="eastAsia" w:ascii="仿宋" w:hAnsi="仿宋" w:eastAsia="仿宋" w:cs="仿宋"/>
                <w:sz w:val="24"/>
                <w:highlight w:val="none"/>
              </w:rPr>
              <w:t>超融合应用服务一体机</w:t>
            </w:r>
          </w:p>
        </w:tc>
        <w:tc>
          <w:tcPr>
            <w:tcW w:w="5415" w:type="dxa"/>
            <w:noWrap/>
            <w:vAlign w:val="center"/>
          </w:tcPr>
          <w:p w14:paraId="3C8CBC74">
            <w:pPr>
              <w:widowControl/>
              <w:rPr>
                <w:rFonts w:ascii="仿宋" w:hAnsi="仿宋" w:eastAsia="仿宋" w:cs="仿宋"/>
                <w:sz w:val="24"/>
                <w:highlight w:val="none"/>
              </w:rPr>
            </w:pPr>
            <w:r>
              <w:rPr>
                <w:rFonts w:hint="eastAsia" w:ascii="仿宋" w:hAnsi="仿宋" w:eastAsia="仿宋" w:cs="仿宋"/>
                <w:sz w:val="24"/>
                <w:highlight w:val="none"/>
              </w:rPr>
              <w:t>超融合服务一体机</w:t>
            </w:r>
          </w:p>
          <w:p w14:paraId="10F98CA0">
            <w:pPr>
              <w:widowControl/>
              <w:rPr>
                <w:rFonts w:ascii="仿宋" w:hAnsi="仿宋" w:eastAsia="仿宋" w:cs="仿宋"/>
                <w:sz w:val="24"/>
                <w:highlight w:val="none"/>
              </w:rPr>
            </w:pPr>
            <w:r>
              <w:rPr>
                <w:rFonts w:hint="eastAsia" w:ascii="仿宋" w:hAnsi="仿宋" w:eastAsia="仿宋" w:cs="仿宋"/>
                <w:sz w:val="24"/>
                <w:highlight w:val="none"/>
              </w:rPr>
              <w:t>单节点配置要求如下：</w:t>
            </w:r>
          </w:p>
          <w:p w14:paraId="6034DEA2">
            <w:pPr>
              <w:widowControl/>
              <w:rPr>
                <w:rFonts w:ascii="仿宋" w:hAnsi="仿宋" w:eastAsia="仿宋" w:cs="仿宋"/>
                <w:sz w:val="24"/>
                <w:highlight w:val="none"/>
              </w:rPr>
            </w:pPr>
            <w:r>
              <w:rPr>
                <w:rFonts w:hint="eastAsia" w:ascii="仿宋" w:hAnsi="仿宋" w:eastAsia="仿宋" w:cs="仿宋"/>
                <w:sz w:val="24"/>
                <w:highlight w:val="none"/>
              </w:rPr>
              <w:t>规格：2U；</w:t>
            </w:r>
          </w:p>
          <w:p w14:paraId="4A6CCD4F">
            <w:pPr>
              <w:widowControl/>
              <w:rPr>
                <w:rFonts w:ascii="仿宋" w:hAnsi="仿宋" w:eastAsia="仿宋" w:cs="仿宋"/>
                <w:sz w:val="24"/>
                <w:highlight w:val="none"/>
              </w:rPr>
            </w:pPr>
            <w:r>
              <w:rPr>
                <w:rFonts w:hint="eastAsia" w:ascii="仿宋" w:hAnsi="仿宋" w:eastAsia="仿宋" w:cs="仿宋"/>
                <w:sz w:val="24"/>
                <w:highlight w:val="none"/>
              </w:rPr>
              <w:t>国产处理器：≥2*32C，主频≥2.0GHz；</w:t>
            </w:r>
          </w:p>
          <w:p w14:paraId="7C40B767">
            <w:pPr>
              <w:widowControl/>
              <w:rPr>
                <w:rFonts w:ascii="仿宋" w:hAnsi="仿宋" w:eastAsia="仿宋" w:cs="仿宋"/>
                <w:sz w:val="24"/>
                <w:highlight w:val="none"/>
              </w:rPr>
            </w:pPr>
            <w:r>
              <w:rPr>
                <w:rFonts w:hint="eastAsia" w:ascii="仿宋" w:hAnsi="仿宋" w:eastAsia="仿宋" w:cs="仿宋"/>
                <w:sz w:val="24"/>
                <w:highlight w:val="none"/>
              </w:rPr>
              <w:t>内存：≥256GB DDR4；</w:t>
            </w:r>
          </w:p>
          <w:p w14:paraId="181CA349">
            <w:pPr>
              <w:widowControl/>
              <w:rPr>
                <w:rFonts w:ascii="仿宋" w:hAnsi="仿宋" w:eastAsia="仿宋" w:cs="仿宋"/>
                <w:sz w:val="24"/>
                <w:highlight w:val="none"/>
              </w:rPr>
            </w:pPr>
            <w:r>
              <w:rPr>
                <w:rFonts w:hint="eastAsia" w:ascii="仿宋" w:hAnsi="仿宋" w:eastAsia="仿宋" w:cs="仿宋"/>
                <w:sz w:val="24"/>
                <w:highlight w:val="none"/>
              </w:rPr>
              <w:t>硬盘：系统盘：≥2*480GB SATA SSD ，缓存盘：≥2*480G SSD，数据盘：≥3*2.4TB SAS盘；</w:t>
            </w:r>
          </w:p>
          <w:p w14:paraId="40D072ED">
            <w:pPr>
              <w:widowControl/>
              <w:rPr>
                <w:rFonts w:ascii="仿宋" w:hAnsi="仿宋" w:eastAsia="仿宋" w:cs="仿宋"/>
                <w:sz w:val="24"/>
                <w:highlight w:val="none"/>
              </w:rPr>
            </w:pPr>
            <w:r>
              <w:rPr>
                <w:rFonts w:hint="eastAsia" w:ascii="仿宋" w:hAnsi="仿宋" w:eastAsia="仿宋" w:cs="仿宋"/>
                <w:sz w:val="24"/>
                <w:highlight w:val="none"/>
              </w:rPr>
              <w:t>电源：冗余电源；</w:t>
            </w:r>
          </w:p>
          <w:p w14:paraId="19D31FF8">
            <w:pPr>
              <w:widowControl/>
              <w:rPr>
                <w:rFonts w:ascii="仿宋" w:hAnsi="仿宋" w:eastAsia="仿宋" w:cs="仿宋"/>
                <w:sz w:val="24"/>
                <w:highlight w:val="none"/>
              </w:rPr>
            </w:pPr>
            <w:r>
              <w:rPr>
                <w:rFonts w:hint="eastAsia" w:ascii="仿宋" w:hAnsi="仿宋" w:eastAsia="仿宋" w:cs="仿宋"/>
                <w:sz w:val="24"/>
                <w:highlight w:val="none"/>
              </w:rPr>
              <w:t>网卡：≥2*千兆电口+2*双光口万兆网卡（含光模块）。</w:t>
            </w:r>
          </w:p>
          <w:p w14:paraId="0B89BB09">
            <w:pPr>
              <w:widowControl/>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p w14:paraId="4B3DE4F8">
            <w:pPr>
              <w:widowControl/>
              <w:rPr>
                <w:rFonts w:ascii="仿宋" w:hAnsi="仿宋" w:eastAsia="仿宋" w:cs="仿宋"/>
                <w:sz w:val="24"/>
                <w:highlight w:val="none"/>
              </w:rPr>
            </w:pPr>
            <w:r>
              <w:rPr>
                <w:rFonts w:hint="eastAsia" w:ascii="仿宋" w:hAnsi="仿宋" w:eastAsia="仿宋" w:cs="仿宋"/>
                <w:sz w:val="24"/>
                <w:highlight w:val="none"/>
              </w:rPr>
              <w:t>含国产操作系统</w:t>
            </w:r>
          </w:p>
          <w:p w14:paraId="1B6AC6A7">
            <w:pPr>
              <w:widowControl/>
              <w:rPr>
                <w:rFonts w:ascii="仿宋" w:hAnsi="仿宋" w:eastAsia="仿宋" w:cs="仿宋"/>
                <w:sz w:val="24"/>
                <w:highlight w:val="none"/>
              </w:rPr>
            </w:pPr>
            <w:r>
              <w:rPr>
                <w:rFonts w:hint="eastAsia" w:ascii="仿宋" w:hAnsi="仿宋" w:eastAsia="仿宋" w:cs="仿宋"/>
                <w:sz w:val="24"/>
                <w:highlight w:val="none"/>
              </w:rPr>
              <w:t>1、总体要求：</w:t>
            </w:r>
          </w:p>
          <w:p w14:paraId="5B8A37D4">
            <w:pPr>
              <w:widowControl/>
              <w:rPr>
                <w:rFonts w:ascii="仿宋" w:hAnsi="仿宋" w:eastAsia="仿宋" w:cs="仿宋"/>
                <w:sz w:val="24"/>
                <w:highlight w:val="none"/>
              </w:rPr>
            </w:pPr>
            <w:r>
              <w:rPr>
                <w:rFonts w:hint="eastAsia" w:ascii="仿宋" w:hAnsi="仿宋" w:eastAsia="仿宋" w:cs="仿宋"/>
                <w:sz w:val="24"/>
                <w:highlight w:val="none"/>
              </w:rPr>
              <w:t>兼容性：虚拟化软件应兼容主流硬件，可支持X86架构CPU</w:t>
            </w:r>
          </w:p>
          <w:p w14:paraId="0D426332">
            <w:pPr>
              <w:widowControl/>
              <w:rPr>
                <w:rFonts w:ascii="仿宋" w:hAnsi="仿宋" w:eastAsia="仿宋" w:cs="仿宋"/>
                <w:sz w:val="24"/>
                <w:highlight w:val="none"/>
              </w:rPr>
            </w:pPr>
            <w:r>
              <w:rPr>
                <w:rFonts w:hint="eastAsia" w:ascii="仿宋" w:hAnsi="仿宋" w:eastAsia="仿宋" w:cs="仿宋"/>
                <w:sz w:val="24"/>
                <w:highlight w:val="none"/>
              </w:rPr>
              <w:t>集群管理：支持集群管理，包含集群创建、节点加入；支持查看集群健康状态、集群资源信息，如CPU、内存、存储使用率；支持查看节点的在线状态和资源使用率；支持控制节点高可用，控制节点支持分离式和融合式部署架构，在任意控制节点出现故障时，虚拟化平台仍然能够正常工作，不影响业务运行；支持节点在线扩容和升级，过程中不影响业务正常运行</w:t>
            </w:r>
          </w:p>
          <w:p w14:paraId="5A276FF4">
            <w:pPr>
              <w:widowControl/>
              <w:rPr>
                <w:rFonts w:ascii="仿宋" w:hAnsi="仿宋" w:eastAsia="仿宋" w:cs="仿宋"/>
                <w:sz w:val="24"/>
                <w:highlight w:val="none"/>
              </w:rPr>
            </w:pPr>
            <w:r>
              <w:rPr>
                <w:rFonts w:hint="eastAsia" w:ascii="仿宋" w:hAnsi="仿宋" w:eastAsia="仿宋" w:cs="仿宋"/>
                <w:sz w:val="24"/>
                <w:highlight w:val="none"/>
              </w:rPr>
              <w:t>操作系统兼容性：虚拟机兼容常见的操作系统，如 Windows、Ubuntu、Centos、RHEL、Kylin、UOS、openEuler、Anolis等操作系统</w:t>
            </w:r>
          </w:p>
          <w:p w14:paraId="68258F8D">
            <w:pPr>
              <w:widowControl/>
              <w:rPr>
                <w:rFonts w:ascii="仿宋" w:hAnsi="仿宋" w:eastAsia="仿宋" w:cs="仿宋"/>
                <w:sz w:val="24"/>
                <w:highlight w:val="none"/>
              </w:rPr>
            </w:pPr>
            <w:r>
              <w:rPr>
                <w:rFonts w:hint="eastAsia" w:ascii="仿宋" w:hAnsi="仿宋" w:eastAsia="仿宋" w:cs="仿宋"/>
                <w:sz w:val="24"/>
                <w:highlight w:val="none"/>
              </w:rPr>
              <w:t>OVF模板管理：支持从第三方虚拟化平台导出虚拟主机OVF模板，可将OVF、VMDK格式按需导入虚拟机</w:t>
            </w:r>
          </w:p>
          <w:p w14:paraId="059B1783">
            <w:pPr>
              <w:widowControl/>
              <w:rPr>
                <w:rFonts w:ascii="仿宋" w:hAnsi="仿宋" w:eastAsia="仿宋" w:cs="仿宋"/>
                <w:sz w:val="24"/>
                <w:highlight w:val="none"/>
              </w:rPr>
            </w:pPr>
            <w:r>
              <w:rPr>
                <w:rFonts w:hint="eastAsia" w:ascii="仿宋" w:hAnsi="仿宋" w:eastAsia="仿宋" w:cs="仿宋"/>
                <w:sz w:val="24"/>
                <w:highlight w:val="none"/>
              </w:rPr>
              <w:t>快照及镜像管理：支持在线创建快照，创建快照不影响业务正常运行；同时支持将虚拟机转换、克隆、迁移，支持ISO镜像导入，通过虚拟机镜像可以创建虚拟机，支持镜像的查看及管理</w:t>
            </w:r>
          </w:p>
          <w:p w14:paraId="5A8A793F">
            <w:pPr>
              <w:widowControl/>
              <w:rPr>
                <w:rFonts w:ascii="仿宋" w:hAnsi="仿宋" w:eastAsia="仿宋" w:cs="仿宋"/>
                <w:sz w:val="24"/>
                <w:highlight w:val="none"/>
              </w:rPr>
            </w:pPr>
            <w:r>
              <w:rPr>
                <w:rFonts w:hint="eastAsia" w:ascii="仿宋" w:hAnsi="仿宋" w:eastAsia="仿宋" w:cs="仿宋"/>
                <w:sz w:val="24"/>
                <w:highlight w:val="none"/>
              </w:rPr>
              <w:t>虚拟机管理：支持虚拟机的创建、移除、编辑、启动、关机、停止、重启等；支持虚拟机备份、复制、快照；支持虚拟机操作日志的查看；支持虚拟机冷、热迁移；支持虚拟机变更，如调整CPU、内存和磁盘容量等；支持硬件添加：如硬盘、网络设备、PCI设备等</w:t>
            </w:r>
          </w:p>
          <w:p w14:paraId="13D8EA35">
            <w:pPr>
              <w:widowControl/>
              <w:rPr>
                <w:rFonts w:ascii="仿宋" w:hAnsi="仿宋" w:eastAsia="仿宋" w:cs="仿宋"/>
                <w:sz w:val="24"/>
                <w:highlight w:val="none"/>
              </w:rPr>
            </w:pPr>
            <w:r>
              <w:rPr>
                <w:rFonts w:hint="eastAsia" w:ascii="仿宋" w:hAnsi="仿宋" w:eastAsia="仿宋" w:cs="仿宋"/>
                <w:sz w:val="24"/>
                <w:highlight w:val="none"/>
              </w:rPr>
              <w:t>高可用：支持虚拟机配置高可用模式，计划性维护或突发情况导致虚拟机异常关机或宿主机宕机时，可触发虚拟机自动迁移或重启，提高虚拟机可用性</w:t>
            </w:r>
          </w:p>
          <w:p w14:paraId="66D8A52A">
            <w:pPr>
              <w:widowControl/>
              <w:rPr>
                <w:rFonts w:ascii="仿宋" w:hAnsi="仿宋" w:eastAsia="仿宋" w:cs="仿宋"/>
                <w:sz w:val="24"/>
                <w:highlight w:val="none"/>
              </w:rPr>
            </w:pPr>
            <w:r>
              <w:rPr>
                <w:rFonts w:hint="eastAsia" w:ascii="仿宋" w:hAnsi="仿宋" w:eastAsia="仿宋" w:cs="仿宋"/>
                <w:sz w:val="24"/>
                <w:highlight w:val="none"/>
              </w:rPr>
              <w:t>设备厂商要求：要求厂商具有公安交管核心业务系统的配套建设经验和能力，提供相关证明材料</w:t>
            </w:r>
          </w:p>
          <w:p w14:paraId="357AE7E2">
            <w:pPr>
              <w:widowControl/>
              <w:rPr>
                <w:rFonts w:ascii="仿宋" w:hAnsi="仿宋" w:eastAsia="仿宋" w:cs="仿宋"/>
                <w:sz w:val="24"/>
                <w:highlight w:val="none"/>
              </w:rPr>
            </w:pPr>
            <w:r>
              <w:rPr>
                <w:rFonts w:hint="eastAsia" w:ascii="仿宋" w:hAnsi="仿宋" w:eastAsia="仿宋" w:cs="仿宋"/>
                <w:sz w:val="24"/>
                <w:highlight w:val="none"/>
              </w:rPr>
              <w:t>2、存储虚拟化要求</w:t>
            </w:r>
          </w:p>
          <w:p w14:paraId="09B7F4D0">
            <w:pPr>
              <w:widowControl/>
              <w:rPr>
                <w:rFonts w:ascii="仿宋" w:hAnsi="仿宋" w:eastAsia="仿宋" w:cs="仿宋"/>
                <w:sz w:val="24"/>
                <w:highlight w:val="none"/>
              </w:rPr>
            </w:pPr>
            <w:r>
              <w:rPr>
                <w:rFonts w:hint="eastAsia" w:ascii="仿宋" w:hAnsi="仿宋" w:eastAsia="仿宋" w:cs="仿宋"/>
                <w:sz w:val="24"/>
                <w:highlight w:val="none"/>
              </w:rPr>
              <w:t>存储架构：基于通用服务器硬件部署，采用分布式存储架构，提供高可用能力，可实现单磁盘和单节点损坏存储系统依然正常运行，且性能稳定</w:t>
            </w:r>
          </w:p>
          <w:p w14:paraId="29C34FF5">
            <w:pPr>
              <w:widowControl/>
              <w:rPr>
                <w:rFonts w:ascii="仿宋" w:hAnsi="仿宋" w:eastAsia="仿宋" w:cs="仿宋"/>
                <w:sz w:val="24"/>
                <w:highlight w:val="none"/>
              </w:rPr>
            </w:pPr>
            <w:r>
              <w:rPr>
                <w:rFonts w:hint="eastAsia" w:ascii="仿宋" w:hAnsi="仿宋" w:eastAsia="仿宋" w:cs="仿宋"/>
                <w:sz w:val="24"/>
                <w:highlight w:val="none"/>
              </w:rPr>
              <w:t>保护机制：支持多副本保护策略，副本支持1-7副本，支持动态调整副本数</w:t>
            </w:r>
          </w:p>
          <w:p w14:paraId="276DD6B7">
            <w:pPr>
              <w:widowControl/>
              <w:rPr>
                <w:rFonts w:ascii="仿宋" w:hAnsi="仿宋" w:eastAsia="仿宋" w:cs="仿宋"/>
                <w:sz w:val="24"/>
                <w:highlight w:val="none"/>
              </w:rPr>
            </w:pPr>
            <w:r>
              <w:rPr>
                <w:rFonts w:hint="eastAsia" w:ascii="仿宋" w:hAnsi="仿宋" w:eastAsia="仿宋" w:cs="仿宋"/>
                <w:sz w:val="24"/>
                <w:highlight w:val="none"/>
              </w:rPr>
              <w:t>硬盘管理：支持查看磁盘基本信息，如磁盘类型、大小、使用率，磁盘健康状态，支持磁盘格式化</w:t>
            </w:r>
          </w:p>
          <w:p w14:paraId="6F5FD4DB">
            <w:pPr>
              <w:widowControl/>
              <w:rPr>
                <w:rFonts w:ascii="仿宋" w:hAnsi="仿宋" w:eastAsia="仿宋" w:cs="仿宋"/>
                <w:sz w:val="24"/>
                <w:highlight w:val="none"/>
              </w:rPr>
            </w:pPr>
            <w:r>
              <w:rPr>
                <w:rFonts w:hint="eastAsia" w:ascii="仿宋" w:hAnsi="仿宋" w:eastAsia="仿宋" w:cs="仿宋"/>
                <w:sz w:val="24"/>
                <w:highlight w:val="none"/>
              </w:rPr>
              <w:t>3、网络要求</w:t>
            </w:r>
          </w:p>
          <w:p w14:paraId="7C941910">
            <w:pPr>
              <w:widowControl/>
              <w:rPr>
                <w:rFonts w:ascii="仿宋" w:hAnsi="仿宋" w:eastAsia="仿宋" w:cs="仿宋"/>
                <w:sz w:val="24"/>
                <w:highlight w:val="none"/>
              </w:rPr>
            </w:pPr>
            <w:r>
              <w:rPr>
                <w:rFonts w:hint="eastAsia" w:ascii="仿宋" w:hAnsi="仿宋" w:eastAsia="仿宋" w:cs="仿宋"/>
                <w:sz w:val="24"/>
                <w:highlight w:val="none"/>
              </w:rPr>
              <w:t>网络管理：支持创建、修改、删除Bridge、Bond、VLAN</w:t>
            </w:r>
          </w:p>
          <w:p w14:paraId="44362099">
            <w:pPr>
              <w:widowControl/>
              <w:rPr>
                <w:rFonts w:ascii="仿宋" w:hAnsi="仿宋" w:eastAsia="仿宋" w:cs="仿宋"/>
                <w:sz w:val="24"/>
                <w:highlight w:val="none"/>
              </w:rPr>
            </w:pPr>
            <w:r>
              <w:rPr>
                <w:rFonts w:hint="eastAsia" w:ascii="仿宋" w:hAnsi="仿宋" w:eastAsia="仿宋" w:cs="仿宋"/>
                <w:sz w:val="24"/>
                <w:highlight w:val="none"/>
              </w:rPr>
              <w:t>网卡虚拟化：支持物理网卡虚拟化成多张虚拟网卡直接给虚拟机使用</w:t>
            </w:r>
          </w:p>
          <w:p w14:paraId="2CED8F45">
            <w:pPr>
              <w:widowControl/>
              <w:rPr>
                <w:rFonts w:ascii="仿宋" w:hAnsi="仿宋" w:eastAsia="仿宋" w:cs="仿宋"/>
                <w:sz w:val="24"/>
                <w:highlight w:val="none"/>
              </w:rPr>
            </w:pPr>
            <w:r>
              <w:rPr>
                <w:rFonts w:hint="eastAsia" w:ascii="仿宋" w:hAnsi="仿宋" w:eastAsia="仿宋" w:cs="仿宋"/>
                <w:sz w:val="24"/>
                <w:highlight w:val="none"/>
              </w:rPr>
              <w:t>安全设置：需支持安全组和虚拟防火墙，用户可自定义安全组和防火墙规则，提高网络安全</w:t>
            </w:r>
          </w:p>
          <w:p w14:paraId="48E0819D">
            <w:pPr>
              <w:widowControl/>
              <w:rPr>
                <w:rFonts w:ascii="仿宋" w:hAnsi="仿宋" w:eastAsia="仿宋" w:cs="仿宋"/>
                <w:sz w:val="24"/>
                <w:highlight w:val="none"/>
              </w:rPr>
            </w:pPr>
            <w:r>
              <w:rPr>
                <w:rFonts w:hint="eastAsia" w:ascii="仿宋" w:hAnsi="仿宋" w:eastAsia="仿宋" w:cs="仿宋"/>
                <w:sz w:val="24"/>
                <w:highlight w:val="none"/>
              </w:rPr>
              <w:t>4、安全要求</w:t>
            </w:r>
          </w:p>
          <w:p w14:paraId="039C774E">
            <w:pPr>
              <w:widowControl/>
              <w:rPr>
                <w:rFonts w:ascii="仿宋" w:hAnsi="仿宋" w:eastAsia="仿宋" w:cs="仿宋"/>
                <w:sz w:val="24"/>
                <w:highlight w:val="none"/>
              </w:rPr>
            </w:pPr>
            <w:r>
              <w:rPr>
                <w:rFonts w:hint="eastAsia" w:ascii="仿宋" w:hAnsi="仿宋" w:eastAsia="仿宋" w:cs="仿宋"/>
                <w:sz w:val="24"/>
                <w:highlight w:val="none"/>
              </w:rPr>
              <w:t>权限管理：支持权限管理模式，包含超级管理员、系统管理员、虚拟机管理员、虚拟机用户等角色，满足不同场景权限分离需求</w:t>
            </w:r>
          </w:p>
        </w:tc>
        <w:tc>
          <w:tcPr>
            <w:tcW w:w="730" w:type="dxa"/>
            <w:noWrap/>
            <w:vAlign w:val="center"/>
          </w:tcPr>
          <w:p w14:paraId="70587F8F">
            <w:pPr>
              <w:widowControl/>
              <w:rPr>
                <w:rFonts w:ascii="仿宋" w:hAnsi="仿宋" w:eastAsia="仿宋" w:cs="仿宋"/>
                <w:sz w:val="24"/>
                <w:highlight w:val="none"/>
              </w:rPr>
            </w:pPr>
            <w:r>
              <w:rPr>
                <w:rFonts w:hint="eastAsia" w:ascii="仿宋" w:hAnsi="仿宋" w:eastAsia="仿宋" w:cs="仿宋"/>
                <w:sz w:val="24"/>
                <w:highlight w:val="none"/>
              </w:rPr>
              <w:t>7</w:t>
            </w:r>
          </w:p>
        </w:tc>
        <w:tc>
          <w:tcPr>
            <w:tcW w:w="1000" w:type="dxa"/>
            <w:noWrap/>
            <w:vAlign w:val="center"/>
          </w:tcPr>
          <w:p w14:paraId="1949DB2E">
            <w:pPr>
              <w:widowControl/>
              <w:rPr>
                <w:rFonts w:ascii="仿宋" w:hAnsi="仿宋" w:eastAsia="仿宋" w:cs="仿宋"/>
                <w:sz w:val="24"/>
                <w:highlight w:val="none"/>
              </w:rPr>
            </w:pPr>
            <w:r>
              <w:rPr>
                <w:rFonts w:hint="eastAsia" w:ascii="仿宋" w:hAnsi="仿宋" w:eastAsia="仿宋" w:cs="仿宋"/>
                <w:sz w:val="24"/>
                <w:highlight w:val="none"/>
              </w:rPr>
              <w:t>节点</w:t>
            </w:r>
          </w:p>
        </w:tc>
      </w:tr>
      <w:tr w14:paraId="5061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7CE55F76">
            <w:pPr>
              <w:widowControl/>
              <w:jc w:val="center"/>
              <w:rPr>
                <w:rFonts w:ascii="仿宋" w:hAnsi="仿宋" w:eastAsia="仿宋" w:cs="仿宋"/>
                <w:sz w:val="24"/>
                <w:highlight w:val="none"/>
              </w:rPr>
            </w:pPr>
            <w:r>
              <w:rPr>
                <w:rFonts w:hint="eastAsia" w:ascii="仿宋" w:hAnsi="仿宋" w:eastAsia="仿宋" w:cs="仿宋"/>
                <w:sz w:val="24"/>
                <w:highlight w:val="none"/>
              </w:rPr>
              <w:t>2</w:t>
            </w:r>
          </w:p>
        </w:tc>
        <w:tc>
          <w:tcPr>
            <w:tcW w:w="456" w:type="dxa"/>
            <w:vMerge w:val="restart"/>
            <w:noWrap/>
            <w:vAlign w:val="center"/>
          </w:tcPr>
          <w:p w14:paraId="6F6A1C1C">
            <w:pPr>
              <w:widowControl/>
              <w:jc w:val="left"/>
              <w:rPr>
                <w:rFonts w:ascii="仿宋" w:hAnsi="仿宋" w:eastAsia="仿宋" w:cs="仿宋"/>
                <w:sz w:val="24"/>
                <w:highlight w:val="none"/>
              </w:rPr>
            </w:pPr>
            <w:r>
              <w:rPr>
                <w:rFonts w:hint="eastAsia" w:ascii="仿宋" w:hAnsi="仿宋" w:eastAsia="仿宋" w:cs="仿宋"/>
                <w:sz w:val="24"/>
                <w:highlight w:val="none"/>
              </w:rPr>
              <w:t>大数据平台</w:t>
            </w:r>
          </w:p>
        </w:tc>
        <w:tc>
          <w:tcPr>
            <w:tcW w:w="1058" w:type="dxa"/>
            <w:noWrap/>
            <w:vAlign w:val="center"/>
          </w:tcPr>
          <w:p w14:paraId="753C5FDA">
            <w:pPr>
              <w:widowControl/>
              <w:jc w:val="left"/>
              <w:rPr>
                <w:rFonts w:ascii="仿宋" w:hAnsi="仿宋" w:eastAsia="仿宋" w:cs="仿宋"/>
                <w:sz w:val="24"/>
                <w:highlight w:val="none"/>
              </w:rPr>
            </w:pPr>
            <w:r>
              <w:rPr>
                <w:rFonts w:hint="eastAsia" w:ascii="仿宋" w:hAnsi="仿宋" w:eastAsia="仿宋" w:cs="仿宋"/>
                <w:sz w:val="24"/>
                <w:highlight w:val="none"/>
              </w:rPr>
              <w:t>大数据平台流式计算服务一体机</w:t>
            </w:r>
          </w:p>
        </w:tc>
        <w:tc>
          <w:tcPr>
            <w:tcW w:w="5415" w:type="dxa"/>
            <w:noWrap/>
            <w:vAlign w:val="center"/>
          </w:tcPr>
          <w:p w14:paraId="06824633">
            <w:pPr>
              <w:widowControl/>
              <w:jc w:val="left"/>
              <w:rPr>
                <w:rFonts w:ascii="仿宋" w:hAnsi="仿宋" w:eastAsia="仿宋" w:cs="仿宋"/>
                <w:sz w:val="24"/>
                <w:highlight w:val="none"/>
              </w:rPr>
            </w:pPr>
            <w:r>
              <w:rPr>
                <w:rFonts w:hint="eastAsia" w:ascii="仿宋" w:hAnsi="仿宋" w:eastAsia="仿宋" w:cs="仿宋"/>
                <w:sz w:val="24"/>
                <w:highlight w:val="none"/>
              </w:rPr>
              <w:t>国产处理器：≥2*16C，主频≥2.5GHz</w:t>
            </w:r>
          </w:p>
          <w:p w14:paraId="08EE6C15">
            <w:pPr>
              <w:widowControl/>
              <w:jc w:val="left"/>
              <w:rPr>
                <w:rFonts w:ascii="仿宋" w:hAnsi="仿宋" w:eastAsia="仿宋" w:cs="仿宋"/>
                <w:sz w:val="24"/>
                <w:highlight w:val="none"/>
              </w:rPr>
            </w:pPr>
            <w:r>
              <w:rPr>
                <w:rFonts w:hint="eastAsia" w:ascii="仿宋" w:hAnsi="仿宋" w:eastAsia="仿宋" w:cs="仿宋"/>
                <w:sz w:val="24"/>
                <w:highlight w:val="none"/>
              </w:rPr>
              <w:t>内存：≥256GB DDR4；</w:t>
            </w:r>
          </w:p>
          <w:p w14:paraId="313404CF">
            <w:pPr>
              <w:widowControl/>
              <w:jc w:val="left"/>
              <w:rPr>
                <w:rFonts w:ascii="仿宋" w:hAnsi="仿宋" w:eastAsia="仿宋" w:cs="仿宋"/>
                <w:sz w:val="24"/>
                <w:highlight w:val="none"/>
              </w:rPr>
            </w:pPr>
            <w:r>
              <w:rPr>
                <w:rFonts w:hint="eastAsia" w:ascii="仿宋" w:hAnsi="仿宋" w:eastAsia="仿宋" w:cs="仿宋"/>
                <w:sz w:val="24"/>
                <w:highlight w:val="none"/>
              </w:rPr>
              <w:t>硬盘：≥2*480G SATA企业级SSD，≥2*4TB SATA企业级硬盘</w:t>
            </w:r>
          </w:p>
          <w:p w14:paraId="60334C29">
            <w:pPr>
              <w:widowControl/>
              <w:jc w:val="left"/>
              <w:rPr>
                <w:rFonts w:ascii="仿宋" w:hAnsi="仿宋" w:eastAsia="仿宋" w:cs="仿宋"/>
                <w:sz w:val="24"/>
                <w:highlight w:val="none"/>
              </w:rPr>
            </w:pPr>
            <w:r>
              <w:rPr>
                <w:rFonts w:hint="eastAsia" w:ascii="仿宋" w:hAnsi="仿宋" w:eastAsia="仿宋" w:cs="仿宋"/>
                <w:sz w:val="24"/>
                <w:highlight w:val="none"/>
              </w:rPr>
              <w:t>RAID卡：2G或以上缓存RAID卡，支持RAID 0,1,5,6</w:t>
            </w:r>
          </w:p>
          <w:p w14:paraId="0C9FFC4C">
            <w:pPr>
              <w:widowControl/>
              <w:jc w:val="left"/>
              <w:rPr>
                <w:rFonts w:ascii="仿宋" w:hAnsi="仿宋" w:eastAsia="仿宋" w:cs="仿宋"/>
                <w:sz w:val="24"/>
                <w:highlight w:val="none"/>
              </w:rPr>
            </w:pPr>
            <w:r>
              <w:rPr>
                <w:rFonts w:hint="eastAsia" w:ascii="仿宋" w:hAnsi="仿宋" w:eastAsia="仿宋" w:cs="仿宋"/>
                <w:sz w:val="24"/>
                <w:highlight w:val="none"/>
              </w:rPr>
              <w:t>网卡：≥1*双电口千兆网卡，≥1*双光口万兆网卡（含光模块）</w:t>
            </w:r>
          </w:p>
          <w:p w14:paraId="5F3A8EC5">
            <w:pPr>
              <w:widowControl/>
              <w:jc w:val="left"/>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p w14:paraId="7A4A30D6">
            <w:pPr>
              <w:widowControl/>
              <w:rPr>
                <w:rFonts w:ascii="仿宋" w:hAnsi="仿宋" w:eastAsia="仿宋" w:cs="仿宋"/>
                <w:sz w:val="24"/>
                <w:highlight w:val="none"/>
              </w:rPr>
            </w:pPr>
            <w:r>
              <w:rPr>
                <w:rFonts w:hint="eastAsia" w:ascii="仿宋" w:hAnsi="仿宋" w:eastAsia="仿宋" w:cs="仿宋"/>
                <w:sz w:val="24"/>
                <w:highlight w:val="none"/>
              </w:rPr>
              <w:t>含国产操作系统</w:t>
            </w:r>
          </w:p>
        </w:tc>
        <w:tc>
          <w:tcPr>
            <w:tcW w:w="730" w:type="dxa"/>
            <w:noWrap/>
            <w:vAlign w:val="center"/>
          </w:tcPr>
          <w:p w14:paraId="2EAAC6AC">
            <w:pPr>
              <w:widowControl/>
              <w:rPr>
                <w:rFonts w:ascii="仿宋" w:hAnsi="仿宋" w:eastAsia="仿宋" w:cs="仿宋"/>
                <w:sz w:val="24"/>
                <w:highlight w:val="none"/>
              </w:rPr>
            </w:pPr>
            <w:r>
              <w:rPr>
                <w:rFonts w:hint="eastAsia" w:ascii="仿宋" w:hAnsi="仿宋" w:eastAsia="仿宋" w:cs="仿宋"/>
                <w:sz w:val="24"/>
                <w:highlight w:val="none"/>
              </w:rPr>
              <w:t>12</w:t>
            </w:r>
          </w:p>
        </w:tc>
        <w:tc>
          <w:tcPr>
            <w:tcW w:w="1000" w:type="dxa"/>
            <w:noWrap/>
            <w:vAlign w:val="center"/>
          </w:tcPr>
          <w:p w14:paraId="73654781">
            <w:pPr>
              <w:widowControl/>
              <w:rPr>
                <w:rFonts w:ascii="仿宋" w:hAnsi="仿宋" w:eastAsia="仿宋" w:cs="仿宋"/>
                <w:sz w:val="24"/>
                <w:highlight w:val="none"/>
              </w:rPr>
            </w:pPr>
            <w:r>
              <w:rPr>
                <w:rFonts w:hint="eastAsia" w:ascii="仿宋" w:hAnsi="仿宋" w:eastAsia="仿宋" w:cs="仿宋"/>
                <w:sz w:val="24"/>
                <w:highlight w:val="none"/>
              </w:rPr>
              <w:t>套</w:t>
            </w:r>
          </w:p>
        </w:tc>
      </w:tr>
      <w:tr w14:paraId="0559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25C4802A">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456" w:type="dxa"/>
            <w:vMerge w:val="continue"/>
            <w:noWrap/>
            <w:vAlign w:val="center"/>
          </w:tcPr>
          <w:p w14:paraId="51182335">
            <w:pPr>
              <w:rPr>
                <w:highlight w:val="none"/>
              </w:rPr>
            </w:pPr>
          </w:p>
        </w:tc>
        <w:tc>
          <w:tcPr>
            <w:tcW w:w="1058" w:type="dxa"/>
            <w:noWrap/>
            <w:vAlign w:val="center"/>
          </w:tcPr>
          <w:p w14:paraId="5818AABA">
            <w:pPr>
              <w:widowControl/>
              <w:jc w:val="left"/>
              <w:rPr>
                <w:rFonts w:ascii="仿宋" w:hAnsi="仿宋" w:eastAsia="仿宋" w:cs="仿宋"/>
                <w:sz w:val="24"/>
                <w:highlight w:val="none"/>
              </w:rPr>
            </w:pPr>
            <w:r>
              <w:rPr>
                <w:rFonts w:hint="eastAsia" w:ascii="仿宋" w:hAnsi="仿宋" w:eastAsia="仿宋" w:cs="仿宋"/>
                <w:sz w:val="24"/>
                <w:highlight w:val="none"/>
              </w:rPr>
              <w:t>实时流处理引擎软件</w:t>
            </w:r>
          </w:p>
        </w:tc>
        <w:tc>
          <w:tcPr>
            <w:tcW w:w="5415" w:type="dxa"/>
            <w:noWrap/>
            <w:vAlign w:val="center"/>
          </w:tcPr>
          <w:p w14:paraId="19F5F259">
            <w:pPr>
              <w:widowControl/>
              <w:jc w:val="left"/>
              <w:rPr>
                <w:rFonts w:ascii="仿宋" w:hAnsi="仿宋" w:eastAsia="仿宋" w:cs="仿宋"/>
                <w:sz w:val="24"/>
                <w:highlight w:val="none"/>
              </w:rPr>
            </w:pPr>
            <w:r>
              <w:rPr>
                <w:rFonts w:hint="eastAsia" w:ascii="仿宋" w:hAnsi="仿宋" w:eastAsia="仿宋" w:cs="仿宋"/>
                <w:sz w:val="24"/>
                <w:highlight w:val="none"/>
              </w:rPr>
              <w:t>(1)支持数据实时写入。</w:t>
            </w:r>
          </w:p>
          <w:p w14:paraId="677101BE">
            <w:pPr>
              <w:widowControl/>
              <w:jc w:val="left"/>
              <w:rPr>
                <w:rFonts w:ascii="仿宋" w:hAnsi="仿宋" w:eastAsia="仿宋" w:cs="仿宋"/>
                <w:sz w:val="24"/>
                <w:highlight w:val="none"/>
              </w:rPr>
            </w:pPr>
            <w:r>
              <w:rPr>
                <w:rFonts w:hint="eastAsia" w:ascii="仿宋" w:hAnsi="仿宋" w:eastAsia="仿宋" w:cs="仿宋"/>
                <w:sz w:val="24"/>
                <w:highlight w:val="none"/>
              </w:rPr>
              <w:t>(2)支持流数据处理，包括数据过滤、转换操作、数据按Key做聚合计算、数据基于多种时间窗口计算、数据流之间做join关联等。</w:t>
            </w:r>
          </w:p>
          <w:p w14:paraId="1A36286D">
            <w:pPr>
              <w:widowControl/>
              <w:jc w:val="left"/>
              <w:rPr>
                <w:rFonts w:ascii="仿宋" w:hAnsi="仿宋" w:eastAsia="仿宋" w:cs="仿宋"/>
                <w:sz w:val="24"/>
                <w:highlight w:val="none"/>
              </w:rPr>
            </w:pPr>
            <w:r>
              <w:rPr>
                <w:rFonts w:hint="eastAsia" w:ascii="仿宋" w:hAnsi="仿宋" w:eastAsia="仿宋" w:cs="仿宋"/>
                <w:sz w:val="24"/>
                <w:highlight w:val="none"/>
              </w:rPr>
              <w:t>(3)支持流数据处理保序列</w:t>
            </w:r>
          </w:p>
          <w:p w14:paraId="7327311A">
            <w:pPr>
              <w:widowControl/>
              <w:jc w:val="left"/>
              <w:rPr>
                <w:rFonts w:ascii="仿宋" w:hAnsi="仿宋" w:eastAsia="仿宋" w:cs="仿宋"/>
                <w:sz w:val="24"/>
                <w:highlight w:val="none"/>
              </w:rPr>
            </w:pPr>
            <w:r>
              <w:rPr>
                <w:rFonts w:hint="eastAsia" w:ascii="仿宋" w:hAnsi="仿宋" w:eastAsia="仿宋" w:cs="仿宋"/>
                <w:sz w:val="24"/>
                <w:highlight w:val="none"/>
              </w:rPr>
              <w:t>(4)流处理单节点吞吐量≥10万条记录/秒</w:t>
            </w:r>
          </w:p>
          <w:p w14:paraId="758C80B7">
            <w:pPr>
              <w:widowControl/>
              <w:jc w:val="left"/>
              <w:rPr>
                <w:rFonts w:ascii="仿宋" w:hAnsi="仿宋" w:eastAsia="仿宋" w:cs="仿宋"/>
                <w:sz w:val="24"/>
                <w:highlight w:val="none"/>
              </w:rPr>
            </w:pPr>
            <w:r>
              <w:rPr>
                <w:rFonts w:hint="eastAsia" w:ascii="仿宋" w:hAnsi="仿宋" w:eastAsia="仿宋" w:cs="仿宋"/>
                <w:sz w:val="24"/>
                <w:highlight w:val="none"/>
              </w:rPr>
              <w:t>(5)流处理数据框架延迟≤2秒</w:t>
            </w:r>
          </w:p>
          <w:p w14:paraId="632978A5">
            <w:pPr>
              <w:widowControl/>
              <w:jc w:val="left"/>
              <w:rPr>
                <w:rFonts w:ascii="仿宋" w:hAnsi="仿宋" w:eastAsia="仿宋" w:cs="仿宋"/>
                <w:sz w:val="24"/>
                <w:highlight w:val="none"/>
              </w:rPr>
            </w:pPr>
            <w:r>
              <w:rPr>
                <w:rFonts w:hint="eastAsia" w:ascii="仿宋" w:hAnsi="仿宋" w:eastAsia="仿宋" w:cs="仿宋"/>
                <w:sz w:val="24"/>
                <w:highlight w:val="none"/>
              </w:rPr>
              <w:t>(6)投标产品须兼容国产化服务器与国产化操作系统。</w:t>
            </w:r>
          </w:p>
          <w:p w14:paraId="44F94461">
            <w:pPr>
              <w:widowControl/>
              <w:overflowPunct/>
              <w:autoSpaceDE/>
              <w:autoSpaceDN/>
              <w:jc w:val="left"/>
              <w:textAlignment w:val="auto"/>
              <w:rPr>
                <w:rFonts w:ascii="仿宋" w:hAnsi="仿宋" w:eastAsia="仿宋" w:cs="仿宋"/>
                <w:b/>
                <w:sz w:val="24"/>
                <w:highlight w:val="none"/>
                <w:lang w:val="en-GB"/>
              </w:rPr>
            </w:pPr>
            <w:r>
              <w:rPr>
                <w:rFonts w:hint="eastAsia" w:ascii="仿宋" w:hAnsi="仿宋" w:eastAsia="仿宋" w:cs="仿宋"/>
                <w:sz w:val="24"/>
                <w:highlight w:val="none"/>
              </w:rPr>
              <w:t>(7)所投产品代码自主率（行数）大于70%。 (8)提供技术支持服务，提供5x8小时响应服务，支持400电话渠道、在线服务平台、微信公众号、邮件渠道和技术专家远程联机分析服务，提供产品/平台更新升级和升级指导，提供完整产品使用手册，远程支持年度巡检，并提供巡检报告。</w:t>
            </w:r>
          </w:p>
        </w:tc>
        <w:tc>
          <w:tcPr>
            <w:tcW w:w="730" w:type="dxa"/>
            <w:noWrap/>
            <w:vAlign w:val="center"/>
          </w:tcPr>
          <w:p w14:paraId="12323FB7">
            <w:pPr>
              <w:widowControl/>
              <w:rPr>
                <w:rFonts w:ascii="仿宋" w:hAnsi="仿宋" w:eastAsia="仿宋" w:cs="仿宋"/>
                <w:sz w:val="24"/>
                <w:highlight w:val="none"/>
              </w:rPr>
            </w:pPr>
            <w:r>
              <w:rPr>
                <w:rFonts w:hint="eastAsia" w:ascii="仿宋" w:hAnsi="仿宋" w:eastAsia="仿宋" w:cs="仿宋"/>
                <w:sz w:val="24"/>
                <w:highlight w:val="none"/>
              </w:rPr>
              <w:t>12</w:t>
            </w:r>
          </w:p>
        </w:tc>
        <w:tc>
          <w:tcPr>
            <w:tcW w:w="1000" w:type="dxa"/>
            <w:noWrap/>
            <w:vAlign w:val="center"/>
          </w:tcPr>
          <w:p w14:paraId="01D6019C">
            <w:pPr>
              <w:widowControl/>
              <w:rPr>
                <w:rFonts w:ascii="仿宋" w:hAnsi="仿宋" w:eastAsia="仿宋" w:cs="仿宋"/>
                <w:sz w:val="24"/>
                <w:highlight w:val="none"/>
              </w:rPr>
            </w:pPr>
            <w:r>
              <w:rPr>
                <w:rFonts w:hint="eastAsia" w:ascii="仿宋" w:hAnsi="仿宋" w:eastAsia="仿宋" w:cs="仿宋"/>
                <w:sz w:val="24"/>
                <w:highlight w:val="none"/>
              </w:rPr>
              <w:t>套</w:t>
            </w:r>
          </w:p>
        </w:tc>
      </w:tr>
      <w:tr w14:paraId="0F25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369F0AE4">
            <w:pPr>
              <w:widowControl/>
              <w:jc w:val="center"/>
              <w:rPr>
                <w:rFonts w:ascii="仿宋" w:hAnsi="仿宋" w:eastAsia="仿宋" w:cs="仿宋"/>
                <w:sz w:val="24"/>
                <w:highlight w:val="none"/>
              </w:rPr>
            </w:pPr>
            <w:r>
              <w:rPr>
                <w:rFonts w:hint="eastAsia" w:ascii="仿宋" w:hAnsi="仿宋" w:eastAsia="仿宋" w:cs="仿宋"/>
                <w:sz w:val="24"/>
                <w:highlight w:val="none"/>
              </w:rPr>
              <w:t>4</w:t>
            </w:r>
          </w:p>
        </w:tc>
        <w:tc>
          <w:tcPr>
            <w:tcW w:w="456" w:type="dxa"/>
            <w:vMerge w:val="continue"/>
            <w:noWrap/>
            <w:vAlign w:val="center"/>
          </w:tcPr>
          <w:p w14:paraId="4C516012">
            <w:pPr>
              <w:rPr>
                <w:highlight w:val="none"/>
              </w:rPr>
            </w:pPr>
          </w:p>
        </w:tc>
        <w:tc>
          <w:tcPr>
            <w:tcW w:w="1058" w:type="dxa"/>
            <w:noWrap/>
            <w:vAlign w:val="center"/>
          </w:tcPr>
          <w:p w14:paraId="13CD3BDD">
            <w:pPr>
              <w:widowControl/>
              <w:jc w:val="left"/>
              <w:rPr>
                <w:rFonts w:ascii="仿宋" w:hAnsi="仿宋" w:eastAsia="仿宋" w:cs="仿宋"/>
                <w:sz w:val="24"/>
                <w:highlight w:val="none"/>
              </w:rPr>
            </w:pPr>
            <w:r>
              <w:rPr>
                <w:rFonts w:hint="eastAsia" w:ascii="仿宋" w:hAnsi="仿宋" w:eastAsia="仿宋" w:cs="仿宋"/>
                <w:sz w:val="24"/>
                <w:highlight w:val="none"/>
              </w:rPr>
              <w:t>大数据平台数据存储服务一体机</w:t>
            </w:r>
          </w:p>
        </w:tc>
        <w:tc>
          <w:tcPr>
            <w:tcW w:w="5415" w:type="dxa"/>
            <w:noWrap/>
            <w:vAlign w:val="center"/>
          </w:tcPr>
          <w:p w14:paraId="2475A877">
            <w:pPr>
              <w:widowControl/>
              <w:jc w:val="left"/>
              <w:rPr>
                <w:rFonts w:ascii="仿宋" w:hAnsi="仿宋" w:eastAsia="仿宋" w:cs="仿宋"/>
                <w:sz w:val="24"/>
                <w:highlight w:val="none"/>
              </w:rPr>
            </w:pPr>
            <w:r>
              <w:rPr>
                <w:rFonts w:hint="eastAsia" w:ascii="仿宋" w:hAnsi="仿宋" w:eastAsia="仿宋" w:cs="仿宋"/>
                <w:sz w:val="24"/>
                <w:highlight w:val="none"/>
              </w:rPr>
              <w:t>国产处理器：≥2*16C，主频≥2.5GHz</w:t>
            </w:r>
          </w:p>
          <w:p w14:paraId="440B0AF7">
            <w:pPr>
              <w:widowControl/>
              <w:jc w:val="left"/>
              <w:rPr>
                <w:rFonts w:ascii="仿宋" w:hAnsi="仿宋" w:eastAsia="仿宋" w:cs="仿宋"/>
                <w:sz w:val="24"/>
                <w:highlight w:val="none"/>
              </w:rPr>
            </w:pPr>
            <w:r>
              <w:rPr>
                <w:rFonts w:hint="eastAsia" w:ascii="仿宋" w:hAnsi="仿宋" w:eastAsia="仿宋" w:cs="仿宋"/>
                <w:sz w:val="24"/>
                <w:highlight w:val="none"/>
              </w:rPr>
              <w:t>内存：≥256GB DDR4；</w:t>
            </w:r>
          </w:p>
          <w:p w14:paraId="0C50F3CB">
            <w:pPr>
              <w:widowControl/>
              <w:jc w:val="left"/>
              <w:rPr>
                <w:rFonts w:ascii="仿宋" w:hAnsi="仿宋" w:eastAsia="仿宋" w:cs="仿宋"/>
                <w:sz w:val="24"/>
                <w:highlight w:val="none"/>
              </w:rPr>
            </w:pPr>
            <w:r>
              <w:rPr>
                <w:rFonts w:hint="eastAsia" w:ascii="仿宋" w:hAnsi="仿宋" w:eastAsia="仿宋" w:cs="仿宋"/>
                <w:sz w:val="24"/>
                <w:highlight w:val="none"/>
              </w:rPr>
              <w:t>硬盘：≥2*480G SATA企业级SSD，≥10*6TB SATA企业级硬盘</w:t>
            </w:r>
          </w:p>
          <w:p w14:paraId="6DE51529">
            <w:pPr>
              <w:widowControl/>
              <w:jc w:val="left"/>
              <w:rPr>
                <w:rFonts w:ascii="仿宋" w:hAnsi="仿宋" w:eastAsia="仿宋" w:cs="仿宋"/>
                <w:sz w:val="24"/>
                <w:highlight w:val="none"/>
              </w:rPr>
            </w:pPr>
            <w:r>
              <w:rPr>
                <w:rFonts w:hint="eastAsia" w:ascii="仿宋" w:hAnsi="仿宋" w:eastAsia="仿宋" w:cs="仿宋"/>
                <w:sz w:val="24"/>
                <w:highlight w:val="none"/>
              </w:rPr>
              <w:t>RAID卡：≥2G或以上缓存RAID卡，支持RAID 0,1,5,6</w:t>
            </w:r>
          </w:p>
          <w:p w14:paraId="0D0D3FFF">
            <w:pPr>
              <w:widowControl/>
              <w:jc w:val="left"/>
              <w:rPr>
                <w:rFonts w:ascii="仿宋" w:hAnsi="仿宋" w:eastAsia="仿宋" w:cs="仿宋"/>
                <w:sz w:val="24"/>
                <w:highlight w:val="none"/>
              </w:rPr>
            </w:pPr>
            <w:r>
              <w:rPr>
                <w:rFonts w:hint="eastAsia" w:ascii="仿宋" w:hAnsi="仿宋" w:eastAsia="仿宋" w:cs="仿宋"/>
                <w:sz w:val="24"/>
                <w:highlight w:val="none"/>
              </w:rPr>
              <w:t>网卡：≥1块双电口千兆网卡，≥1块双光口万兆网卡（含光模块）</w:t>
            </w:r>
          </w:p>
          <w:p w14:paraId="067F2F67">
            <w:pPr>
              <w:widowControl/>
              <w:jc w:val="left"/>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p w14:paraId="14EC9F52">
            <w:pPr>
              <w:widowControl/>
              <w:jc w:val="left"/>
              <w:rPr>
                <w:rFonts w:ascii="仿宋" w:hAnsi="仿宋" w:eastAsia="仿宋" w:cs="仿宋"/>
                <w:b/>
                <w:bCs/>
                <w:sz w:val="24"/>
                <w:highlight w:val="none"/>
              </w:rPr>
            </w:pPr>
            <w:r>
              <w:rPr>
                <w:rFonts w:hint="eastAsia" w:ascii="仿宋" w:hAnsi="仿宋" w:eastAsia="仿宋" w:cs="仿宋"/>
                <w:sz w:val="24"/>
                <w:highlight w:val="none"/>
              </w:rPr>
              <w:t>含国产操作系统</w:t>
            </w:r>
          </w:p>
        </w:tc>
        <w:tc>
          <w:tcPr>
            <w:tcW w:w="730" w:type="dxa"/>
            <w:noWrap/>
            <w:vAlign w:val="center"/>
          </w:tcPr>
          <w:p w14:paraId="242CB2E8">
            <w:pPr>
              <w:widowControl/>
              <w:rPr>
                <w:rFonts w:ascii="仿宋" w:hAnsi="仿宋" w:eastAsia="仿宋" w:cs="仿宋"/>
                <w:sz w:val="24"/>
                <w:highlight w:val="none"/>
              </w:rPr>
            </w:pPr>
            <w:r>
              <w:rPr>
                <w:rFonts w:hint="eastAsia" w:ascii="仿宋" w:hAnsi="仿宋" w:eastAsia="仿宋" w:cs="仿宋"/>
                <w:sz w:val="24"/>
                <w:highlight w:val="none"/>
              </w:rPr>
              <w:t>7</w:t>
            </w:r>
          </w:p>
        </w:tc>
        <w:tc>
          <w:tcPr>
            <w:tcW w:w="1000" w:type="dxa"/>
            <w:noWrap/>
            <w:vAlign w:val="center"/>
          </w:tcPr>
          <w:p w14:paraId="0A3206A5">
            <w:pPr>
              <w:widowControl/>
              <w:rPr>
                <w:rFonts w:ascii="仿宋" w:hAnsi="仿宋" w:eastAsia="仿宋" w:cs="仿宋"/>
                <w:sz w:val="24"/>
                <w:highlight w:val="none"/>
              </w:rPr>
            </w:pPr>
            <w:r>
              <w:rPr>
                <w:rFonts w:hint="eastAsia" w:ascii="仿宋" w:hAnsi="仿宋" w:eastAsia="仿宋" w:cs="仿宋"/>
                <w:sz w:val="24"/>
                <w:highlight w:val="none"/>
              </w:rPr>
              <w:t>套</w:t>
            </w:r>
          </w:p>
        </w:tc>
      </w:tr>
      <w:tr w14:paraId="403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2CFF20C2">
            <w:pPr>
              <w:widowControl/>
              <w:jc w:val="center"/>
              <w:rPr>
                <w:rFonts w:ascii="仿宋" w:hAnsi="仿宋" w:eastAsia="仿宋" w:cs="仿宋"/>
                <w:sz w:val="24"/>
                <w:highlight w:val="none"/>
              </w:rPr>
            </w:pPr>
            <w:r>
              <w:rPr>
                <w:rFonts w:hint="eastAsia" w:ascii="仿宋" w:hAnsi="仿宋" w:eastAsia="仿宋" w:cs="仿宋"/>
                <w:sz w:val="24"/>
                <w:highlight w:val="none"/>
              </w:rPr>
              <w:t>5</w:t>
            </w:r>
          </w:p>
        </w:tc>
        <w:tc>
          <w:tcPr>
            <w:tcW w:w="456" w:type="dxa"/>
            <w:vMerge w:val="continue"/>
            <w:noWrap/>
            <w:vAlign w:val="center"/>
          </w:tcPr>
          <w:p w14:paraId="3B557F76">
            <w:pPr>
              <w:rPr>
                <w:highlight w:val="none"/>
              </w:rPr>
            </w:pPr>
          </w:p>
        </w:tc>
        <w:tc>
          <w:tcPr>
            <w:tcW w:w="1058" w:type="dxa"/>
            <w:noWrap/>
            <w:vAlign w:val="center"/>
          </w:tcPr>
          <w:p w14:paraId="36F98BDA">
            <w:pPr>
              <w:widowControl/>
              <w:jc w:val="left"/>
              <w:rPr>
                <w:rFonts w:ascii="仿宋" w:hAnsi="仿宋" w:eastAsia="仿宋" w:cs="仿宋"/>
                <w:sz w:val="24"/>
                <w:highlight w:val="none"/>
              </w:rPr>
            </w:pPr>
            <w:r>
              <w:rPr>
                <w:rFonts w:hint="eastAsia" w:ascii="仿宋" w:hAnsi="仿宋" w:eastAsia="仿宋" w:cs="仿宋"/>
                <w:sz w:val="24"/>
                <w:highlight w:val="none"/>
              </w:rPr>
              <w:t>实时数据管理软件</w:t>
            </w:r>
          </w:p>
        </w:tc>
        <w:tc>
          <w:tcPr>
            <w:tcW w:w="5415" w:type="dxa"/>
            <w:noWrap/>
            <w:vAlign w:val="center"/>
          </w:tcPr>
          <w:p w14:paraId="00252D38">
            <w:pPr>
              <w:widowControl/>
              <w:jc w:val="left"/>
              <w:rPr>
                <w:rFonts w:ascii="仿宋" w:hAnsi="仿宋" w:eastAsia="仿宋" w:cs="仿宋"/>
                <w:sz w:val="24"/>
                <w:highlight w:val="none"/>
              </w:rPr>
            </w:pPr>
            <w:r>
              <w:rPr>
                <w:rFonts w:hint="eastAsia" w:ascii="仿宋" w:hAnsi="仿宋" w:eastAsia="仿宋" w:cs="仿宋"/>
                <w:sz w:val="24"/>
                <w:highlight w:val="none"/>
              </w:rPr>
              <w:t>(1)支持查看Hbase的监控信息，包括但不限于每秒请求数据信息。</w:t>
            </w:r>
          </w:p>
          <w:p w14:paraId="0AD6D99E">
            <w:pPr>
              <w:widowControl/>
              <w:jc w:val="left"/>
              <w:rPr>
                <w:rFonts w:ascii="仿宋" w:hAnsi="仿宋" w:eastAsia="仿宋" w:cs="仿宋"/>
                <w:sz w:val="24"/>
                <w:highlight w:val="none"/>
              </w:rPr>
            </w:pPr>
            <w:r>
              <w:rPr>
                <w:rFonts w:hint="eastAsia" w:ascii="仿宋" w:hAnsi="仿宋" w:eastAsia="仿宋" w:cs="仿宋"/>
                <w:sz w:val="24"/>
                <w:highlight w:val="none"/>
              </w:rPr>
              <w:t>(2)支持查看脏数据已剔除及原因信息。</w:t>
            </w:r>
          </w:p>
          <w:p w14:paraId="292A74C4">
            <w:pPr>
              <w:widowControl/>
              <w:jc w:val="left"/>
              <w:rPr>
                <w:rFonts w:ascii="仿宋" w:hAnsi="仿宋" w:eastAsia="仿宋" w:cs="仿宋"/>
                <w:sz w:val="24"/>
                <w:highlight w:val="none"/>
              </w:rPr>
            </w:pPr>
            <w:r>
              <w:rPr>
                <w:rFonts w:hint="eastAsia" w:ascii="仿宋" w:hAnsi="仿宋" w:eastAsia="仿宋" w:cs="仿宋"/>
                <w:sz w:val="24"/>
                <w:highlight w:val="none"/>
              </w:rPr>
              <w:t>(3)支持查看数据库中的库名、字段、表包含中文信息</w:t>
            </w:r>
          </w:p>
          <w:p w14:paraId="31B5AC88">
            <w:pPr>
              <w:widowControl/>
              <w:jc w:val="left"/>
              <w:rPr>
                <w:rFonts w:ascii="仿宋" w:hAnsi="仿宋" w:eastAsia="仿宋" w:cs="仿宋"/>
                <w:sz w:val="24"/>
                <w:highlight w:val="none"/>
              </w:rPr>
            </w:pPr>
            <w:r>
              <w:rPr>
                <w:rFonts w:hint="eastAsia" w:ascii="仿宋" w:hAnsi="仿宋" w:eastAsia="仿宋" w:cs="仿宋"/>
                <w:sz w:val="24"/>
                <w:highlight w:val="none"/>
              </w:rPr>
              <w:t>(4)支持SQL引擎对SQL方言支持</w:t>
            </w:r>
          </w:p>
          <w:p w14:paraId="1C7E4FA4">
            <w:pPr>
              <w:widowControl/>
              <w:jc w:val="left"/>
              <w:rPr>
                <w:rFonts w:ascii="仿宋" w:hAnsi="仿宋" w:eastAsia="仿宋" w:cs="仿宋"/>
                <w:sz w:val="24"/>
                <w:highlight w:val="none"/>
              </w:rPr>
            </w:pPr>
            <w:r>
              <w:rPr>
                <w:rFonts w:hint="eastAsia" w:ascii="仿宋" w:hAnsi="仿宋" w:eastAsia="仿宋" w:cs="仿宋"/>
                <w:sz w:val="24"/>
                <w:highlight w:val="none"/>
              </w:rPr>
              <w:t>(5)支持数据合并、不等值连接</w:t>
            </w:r>
          </w:p>
          <w:p w14:paraId="1FEA5378">
            <w:pPr>
              <w:widowControl/>
              <w:jc w:val="left"/>
              <w:rPr>
                <w:rFonts w:ascii="仿宋" w:hAnsi="仿宋" w:eastAsia="仿宋" w:cs="仿宋"/>
                <w:sz w:val="24"/>
                <w:highlight w:val="none"/>
              </w:rPr>
            </w:pPr>
            <w:r>
              <w:rPr>
                <w:rFonts w:hint="eastAsia" w:ascii="仿宋" w:hAnsi="仿宋" w:eastAsia="仿宋" w:cs="仿宋"/>
                <w:sz w:val="24"/>
                <w:highlight w:val="none"/>
              </w:rPr>
              <w:t>(6)支持原子性回滚、原子性全部提交</w:t>
            </w:r>
          </w:p>
          <w:p w14:paraId="40B1D5C2">
            <w:pPr>
              <w:widowControl/>
              <w:jc w:val="left"/>
              <w:rPr>
                <w:rFonts w:ascii="仿宋" w:hAnsi="仿宋" w:eastAsia="仿宋" w:cs="仿宋"/>
                <w:sz w:val="24"/>
                <w:highlight w:val="none"/>
              </w:rPr>
            </w:pPr>
            <w:r>
              <w:rPr>
                <w:rFonts w:hint="eastAsia" w:ascii="仿宋" w:hAnsi="仿宋" w:eastAsia="仿宋" w:cs="仿宋"/>
                <w:sz w:val="24"/>
                <w:highlight w:val="none"/>
              </w:rPr>
              <w:t>(7)支持分布式事务隔离性</w:t>
            </w:r>
          </w:p>
          <w:p w14:paraId="4F17D25D">
            <w:pPr>
              <w:widowControl/>
              <w:jc w:val="left"/>
              <w:rPr>
                <w:rFonts w:ascii="仿宋" w:hAnsi="仿宋" w:eastAsia="仿宋" w:cs="仿宋"/>
                <w:sz w:val="24"/>
                <w:highlight w:val="none"/>
              </w:rPr>
            </w:pPr>
            <w:r>
              <w:rPr>
                <w:rFonts w:hint="eastAsia" w:ascii="仿宋" w:hAnsi="仿宋" w:eastAsia="仿宋" w:cs="仿宋"/>
                <w:sz w:val="24"/>
                <w:highlight w:val="none"/>
              </w:rPr>
              <w:t>(8)支持单台服务器扫描数据性能≥1.5GB/秒</w:t>
            </w:r>
          </w:p>
          <w:p w14:paraId="0328E7C5">
            <w:pPr>
              <w:widowControl/>
              <w:jc w:val="left"/>
              <w:rPr>
                <w:rFonts w:ascii="仿宋" w:hAnsi="仿宋" w:eastAsia="仿宋" w:cs="仿宋"/>
                <w:sz w:val="24"/>
                <w:highlight w:val="none"/>
              </w:rPr>
            </w:pPr>
            <w:r>
              <w:rPr>
                <w:rFonts w:hint="eastAsia" w:ascii="仿宋" w:hAnsi="仿宋" w:eastAsia="仿宋" w:cs="仿宋"/>
                <w:sz w:val="24"/>
                <w:highlight w:val="none"/>
              </w:rPr>
              <w:t>(9)投标产品须兼容国产化服务器与国产化操作系统。</w:t>
            </w:r>
          </w:p>
          <w:p w14:paraId="0CB2FB1F">
            <w:pPr>
              <w:widowControl/>
              <w:overflowPunct/>
              <w:autoSpaceDE/>
              <w:autoSpaceDN/>
              <w:jc w:val="left"/>
              <w:textAlignment w:val="auto"/>
              <w:rPr>
                <w:rFonts w:ascii="仿宋" w:hAnsi="仿宋" w:eastAsia="仿宋" w:cs="仿宋"/>
                <w:b/>
                <w:sz w:val="24"/>
                <w:highlight w:val="none"/>
                <w:lang w:val="en-GB"/>
              </w:rPr>
            </w:pPr>
            <w:r>
              <w:rPr>
                <w:rFonts w:hint="eastAsia" w:ascii="仿宋" w:hAnsi="仿宋" w:eastAsia="仿宋" w:cs="仿宋"/>
                <w:sz w:val="24"/>
                <w:highlight w:val="none"/>
              </w:rPr>
              <w:t>(10)所投产品代码自主率（行数）大于70%。 (11)提供技术支持服务，提供5x8小时响应服务，支持400电话渠道、在线服务平台、微信公众号、邮件渠道和技术专家远程联机分析服务，提供产品/平台更新升级和升级指导，提供完整产品使用手册，远程支持年度巡检，并提供巡检报告。</w:t>
            </w:r>
          </w:p>
        </w:tc>
        <w:tc>
          <w:tcPr>
            <w:tcW w:w="730" w:type="dxa"/>
            <w:noWrap/>
            <w:vAlign w:val="center"/>
          </w:tcPr>
          <w:p w14:paraId="7D0B6DB3">
            <w:pPr>
              <w:widowControl/>
              <w:rPr>
                <w:rFonts w:ascii="仿宋" w:hAnsi="仿宋" w:eastAsia="仿宋" w:cs="仿宋"/>
                <w:sz w:val="24"/>
                <w:highlight w:val="none"/>
              </w:rPr>
            </w:pPr>
            <w:r>
              <w:rPr>
                <w:rFonts w:hint="eastAsia" w:ascii="仿宋" w:hAnsi="仿宋" w:eastAsia="仿宋" w:cs="仿宋"/>
                <w:sz w:val="24"/>
                <w:highlight w:val="none"/>
              </w:rPr>
              <w:t>7</w:t>
            </w:r>
          </w:p>
        </w:tc>
        <w:tc>
          <w:tcPr>
            <w:tcW w:w="1000" w:type="dxa"/>
            <w:noWrap/>
            <w:vAlign w:val="center"/>
          </w:tcPr>
          <w:p w14:paraId="7474C8C6">
            <w:pPr>
              <w:widowControl/>
              <w:rPr>
                <w:rFonts w:ascii="仿宋" w:hAnsi="仿宋" w:eastAsia="仿宋" w:cs="仿宋"/>
                <w:sz w:val="24"/>
                <w:highlight w:val="none"/>
              </w:rPr>
            </w:pPr>
            <w:r>
              <w:rPr>
                <w:rFonts w:hint="eastAsia" w:ascii="仿宋" w:hAnsi="仿宋" w:eastAsia="仿宋" w:cs="仿宋"/>
                <w:sz w:val="24"/>
                <w:highlight w:val="none"/>
              </w:rPr>
              <w:t>套</w:t>
            </w:r>
          </w:p>
        </w:tc>
      </w:tr>
      <w:tr w14:paraId="0524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102BBEA1">
            <w:pPr>
              <w:widowControl/>
              <w:jc w:val="center"/>
              <w:rPr>
                <w:rFonts w:ascii="仿宋" w:hAnsi="仿宋" w:eastAsia="仿宋" w:cs="仿宋"/>
                <w:sz w:val="24"/>
                <w:highlight w:val="none"/>
              </w:rPr>
            </w:pPr>
            <w:r>
              <w:rPr>
                <w:rFonts w:hint="eastAsia" w:ascii="仿宋" w:hAnsi="仿宋" w:eastAsia="仿宋" w:cs="仿宋"/>
                <w:sz w:val="24"/>
                <w:highlight w:val="none"/>
              </w:rPr>
              <w:t>6</w:t>
            </w:r>
          </w:p>
        </w:tc>
        <w:tc>
          <w:tcPr>
            <w:tcW w:w="456" w:type="dxa"/>
            <w:vMerge w:val="continue"/>
            <w:noWrap/>
            <w:vAlign w:val="center"/>
          </w:tcPr>
          <w:p w14:paraId="6A6AB56B">
            <w:pPr>
              <w:rPr>
                <w:highlight w:val="none"/>
              </w:rPr>
            </w:pPr>
          </w:p>
        </w:tc>
        <w:tc>
          <w:tcPr>
            <w:tcW w:w="1058" w:type="dxa"/>
            <w:noWrap/>
            <w:vAlign w:val="center"/>
          </w:tcPr>
          <w:p w14:paraId="201541D7">
            <w:pPr>
              <w:widowControl/>
              <w:jc w:val="left"/>
              <w:rPr>
                <w:rFonts w:ascii="仿宋" w:hAnsi="仿宋" w:eastAsia="仿宋" w:cs="仿宋"/>
                <w:sz w:val="24"/>
                <w:highlight w:val="none"/>
              </w:rPr>
            </w:pPr>
            <w:r>
              <w:rPr>
                <w:rFonts w:hint="eastAsia" w:ascii="仿宋" w:hAnsi="仿宋" w:eastAsia="仿宋" w:cs="仿宋"/>
                <w:sz w:val="24"/>
                <w:highlight w:val="none"/>
              </w:rPr>
              <w:t>现场安装调试服务</w:t>
            </w:r>
          </w:p>
        </w:tc>
        <w:tc>
          <w:tcPr>
            <w:tcW w:w="5415" w:type="dxa"/>
            <w:noWrap/>
            <w:vAlign w:val="center"/>
          </w:tcPr>
          <w:p w14:paraId="61465C27">
            <w:pPr>
              <w:widowControl/>
              <w:jc w:val="left"/>
              <w:rPr>
                <w:rFonts w:ascii="仿宋" w:hAnsi="仿宋" w:eastAsia="仿宋" w:cs="仿宋"/>
                <w:sz w:val="24"/>
                <w:highlight w:val="none"/>
              </w:rPr>
            </w:pPr>
            <w:r>
              <w:rPr>
                <w:rFonts w:hint="eastAsia" w:ascii="仿宋" w:hAnsi="仿宋" w:eastAsia="仿宋" w:cs="仿宋"/>
                <w:sz w:val="24"/>
                <w:highlight w:val="none"/>
              </w:rPr>
              <w:t>提供现场安装调试服务，提供现有历史数据转换和迁移服务，从原大数据平台运行环境迁移至新运行环境，提供系统安装部署与调试，集指应用对接等技术服务</w:t>
            </w:r>
          </w:p>
        </w:tc>
        <w:tc>
          <w:tcPr>
            <w:tcW w:w="730" w:type="dxa"/>
            <w:noWrap/>
            <w:vAlign w:val="center"/>
          </w:tcPr>
          <w:p w14:paraId="64A21C1A">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0ABF7B7A">
            <w:pPr>
              <w:widowControl/>
              <w:rPr>
                <w:rFonts w:ascii="仿宋" w:hAnsi="仿宋" w:eastAsia="仿宋" w:cs="仿宋"/>
                <w:sz w:val="24"/>
                <w:highlight w:val="none"/>
              </w:rPr>
            </w:pPr>
            <w:r>
              <w:rPr>
                <w:rFonts w:hint="eastAsia" w:ascii="仿宋" w:hAnsi="仿宋" w:eastAsia="仿宋" w:cs="仿宋"/>
                <w:sz w:val="24"/>
                <w:highlight w:val="none"/>
              </w:rPr>
              <w:t>套</w:t>
            </w:r>
          </w:p>
        </w:tc>
      </w:tr>
      <w:tr w14:paraId="756A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4A51CF10">
            <w:pPr>
              <w:widowControl/>
              <w:jc w:val="center"/>
              <w:rPr>
                <w:rFonts w:ascii="仿宋" w:hAnsi="仿宋" w:eastAsia="仿宋" w:cs="仿宋"/>
                <w:sz w:val="24"/>
                <w:highlight w:val="none"/>
              </w:rPr>
            </w:pPr>
            <w:r>
              <w:rPr>
                <w:rFonts w:hint="eastAsia" w:ascii="仿宋" w:hAnsi="仿宋" w:eastAsia="仿宋" w:cs="仿宋"/>
                <w:sz w:val="24"/>
                <w:highlight w:val="none"/>
              </w:rPr>
              <w:t>7</w:t>
            </w:r>
          </w:p>
        </w:tc>
        <w:tc>
          <w:tcPr>
            <w:tcW w:w="1514" w:type="dxa"/>
            <w:gridSpan w:val="2"/>
            <w:noWrap/>
            <w:vAlign w:val="center"/>
          </w:tcPr>
          <w:p w14:paraId="26C3B09F">
            <w:pPr>
              <w:widowControl/>
              <w:jc w:val="left"/>
              <w:rPr>
                <w:rFonts w:ascii="仿宋" w:hAnsi="仿宋" w:eastAsia="仿宋" w:cs="仿宋"/>
                <w:sz w:val="24"/>
                <w:highlight w:val="none"/>
              </w:rPr>
            </w:pPr>
            <w:r>
              <w:rPr>
                <w:rFonts w:hint="eastAsia" w:ascii="仿宋" w:hAnsi="仿宋" w:eastAsia="仿宋" w:cs="仿宋"/>
                <w:sz w:val="24"/>
                <w:highlight w:val="none"/>
              </w:rPr>
              <w:t>视频服务网关</w:t>
            </w:r>
          </w:p>
        </w:tc>
        <w:tc>
          <w:tcPr>
            <w:tcW w:w="5415" w:type="dxa"/>
            <w:noWrap/>
            <w:vAlign w:val="center"/>
          </w:tcPr>
          <w:p w14:paraId="14A023DA">
            <w:pPr>
              <w:widowControl/>
              <w:jc w:val="left"/>
              <w:rPr>
                <w:rFonts w:ascii="仿宋" w:hAnsi="仿宋" w:eastAsia="仿宋" w:cs="仿宋"/>
                <w:sz w:val="24"/>
                <w:highlight w:val="none"/>
              </w:rPr>
            </w:pPr>
            <w:r>
              <w:rPr>
                <w:rFonts w:hint="eastAsia" w:ascii="仿宋" w:hAnsi="仿宋" w:eastAsia="仿宋" w:cs="仿宋"/>
                <w:sz w:val="24"/>
                <w:highlight w:val="none"/>
              </w:rPr>
              <w:t>一、系统联网要求</w:t>
            </w:r>
          </w:p>
          <w:p w14:paraId="69B86109">
            <w:pPr>
              <w:widowControl/>
              <w:jc w:val="left"/>
              <w:rPr>
                <w:rFonts w:ascii="仿宋" w:hAnsi="仿宋" w:eastAsia="仿宋" w:cs="仿宋"/>
                <w:sz w:val="24"/>
                <w:highlight w:val="none"/>
              </w:rPr>
            </w:pPr>
            <w:r>
              <w:rPr>
                <w:rFonts w:hint="eastAsia" w:ascii="仿宋" w:hAnsi="仿宋" w:eastAsia="仿宋" w:cs="仿宋"/>
                <w:sz w:val="24"/>
                <w:highlight w:val="none"/>
              </w:rPr>
              <w:t>1、应接入“公安交通集成指挥平台”提供视频显示、控制、目录查询、录像查询和下载等服务功能；</w:t>
            </w:r>
          </w:p>
          <w:p w14:paraId="3A8D60EB">
            <w:pPr>
              <w:widowControl/>
              <w:jc w:val="left"/>
              <w:rPr>
                <w:rFonts w:ascii="仿宋" w:hAnsi="仿宋" w:eastAsia="仿宋" w:cs="仿宋"/>
                <w:sz w:val="24"/>
                <w:highlight w:val="none"/>
              </w:rPr>
            </w:pPr>
            <w:r>
              <w:rPr>
                <w:rFonts w:hint="eastAsia" w:ascii="仿宋" w:hAnsi="仿宋" w:eastAsia="仿宋" w:cs="仿宋"/>
                <w:sz w:val="24"/>
                <w:highlight w:val="none"/>
              </w:rPr>
              <w:t>2、应支持公安科信“视频图像信息综合应用平台”与“公安交通集成指挥平台”之间视频级联和资源共享，支持对不同应用平台场景化策略管理和权限控制；</w:t>
            </w:r>
          </w:p>
          <w:p w14:paraId="608BE7B1">
            <w:pPr>
              <w:widowControl/>
              <w:jc w:val="left"/>
              <w:rPr>
                <w:rFonts w:ascii="仿宋" w:hAnsi="仿宋" w:eastAsia="仿宋" w:cs="仿宋"/>
                <w:sz w:val="24"/>
                <w:highlight w:val="none"/>
              </w:rPr>
            </w:pPr>
            <w:r>
              <w:rPr>
                <w:rFonts w:hint="eastAsia" w:ascii="仿宋" w:hAnsi="仿宋" w:eastAsia="仿宋" w:cs="仿宋"/>
                <w:sz w:val="24"/>
                <w:highlight w:val="none"/>
              </w:rPr>
              <w:t>3、应支持GB/T 28181-2022标准，兼容GB/T 28181-2016标准和GB/T 28181-2011的视频接入、联网和转发，支持行业内所有监控厂商视频平台国标接入；</w:t>
            </w:r>
          </w:p>
          <w:p w14:paraId="7C27A3CC">
            <w:pPr>
              <w:widowControl/>
              <w:jc w:val="left"/>
              <w:rPr>
                <w:rFonts w:ascii="仿宋" w:hAnsi="仿宋" w:eastAsia="仿宋" w:cs="仿宋"/>
                <w:sz w:val="24"/>
                <w:highlight w:val="none"/>
              </w:rPr>
            </w:pPr>
            <w:r>
              <w:rPr>
                <w:rFonts w:hint="eastAsia" w:ascii="仿宋" w:hAnsi="仿宋" w:eastAsia="仿宋" w:cs="仿宋"/>
                <w:sz w:val="24"/>
                <w:highlight w:val="none"/>
              </w:rPr>
              <w:t>4、应支持符合GB/T28181协议标准的视频共享联网平台直接级联接入；</w:t>
            </w:r>
          </w:p>
          <w:p w14:paraId="3654617F">
            <w:pPr>
              <w:widowControl/>
              <w:jc w:val="left"/>
              <w:rPr>
                <w:rFonts w:ascii="仿宋" w:hAnsi="仿宋" w:eastAsia="仿宋" w:cs="仿宋"/>
                <w:sz w:val="24"/>
                <w:highlight w:val="none"/>
              </w:rPr>
            </w:pPr>
            <w:r>
              <w:rPr>
                <w:rFonts w:hint="eastAsia" w:ascii="仿宋" w:hAnsi="仿宋" w:eastAsia="仿宋" w:cs="仿宋"/>
                <w:sz w:val="24"/>
                <w:highlight w:val="none"/>
              </w:rPr>
              <w:t>5、应支持开放接口支持SDK、OCX、JSX多种模式视频播放控制服务，支持RTSP、RTMP、RTP/RTCP等格式；</w:t>
            </w:r>
          </w:p>
          <w:p w14:paraId="2EC9976B">
            <w:pPr>
              <w:widowControl/>
              <w:jc w:val="left"/>
              <w:rPr>
                <w:rFonts w:ascii="仿宋" w:hAnsi="仿宋" w:eastAsia="仿宋" w:cs="仿宋"/>
                <w:sz w:val="24"/>
                <w:highlight w:val="none"/>
              </w:rPr>
            </w:pPr>
            <w:r>
              <w:rPr>
                <w:rFonts w:hint="eastAsia" w:ascii="仿宋" w:hAnsi="仿宋" w:eastAsia="仿宋" w:cs="仿宋"/>
                <w:sz w:val="24"/>
                <w:highlight w:val="none"/>
              </w:rPr>
              <w:t>6、应支持H.264、H.265、SVAC编码协议的视频解码播放；</w:t>
            </w:r>
          </w:p>
          <w:p w14:paraId="6EC81811">
            <w:pPr>
              <w:widowControl/>
              <w:jc w:val="left"/>
              <w:rPr>
                <w:rFonts w:ascii="仿宋" w:hAnsi="仿宋" w:eastAsia="仿宋" w:cs="仿宋"/>
                <w:sz w:val="24"/>
                <w:highlight w:val="none"/>
              </w:rPr>
            </w:pPr>
            <w:r>
              <w:rPr>
                <w:rFonts w:hint="eastAsia" w:ascii="仿宋" w:hAnsi="仿宋" w:eastAsia="仿宋" w:cs="仿宋"/>
                <w:sz w:val="24"/>
                <w:highlight w:val="none"/>
              </w:rPr>
              <w:t>7、码流转发量：≥256路@4Mbps；</w:t>
            </w:r>
          </w:p>
          <w:p w14:paraId="0D16D96A">
            <w:pPr>
              <w:widowControl/>
              <w:jc w:val="left"/>
              <w:rPr>
                <w:rFonts w:ascii="仿宋" w:hAnsi="仿宋" w:eastAsia="仿宋" w:cs="仿宋"/>
                <w:sz w:val="24"/>
                <w:highlight w:val="none"/>
              </w:rPr>
            </w:pPr>
            <w:r>
              <w:rPr>
                <w:rFonts w:hint="eastAsia" w:ascii="仿宋" w:hAnsi="仿宋" w:eastAsia="仿宋" w:cs="仿宋"/>
                <w:sz w:val="24"/>
                <w:highlight w:val="none"/>
              </w:rPr>
              <w:t>8、监控联网平台：支持同时接入≥20个；</w:t>
            </w:r>
          </w:p>
          <w:p w14:paraId="24133094">
            <w:pPr>
              <w:widowControl/>
              <w:jc w:val="left"/>
              <w:rPr>
                <w:rFonts w:ascii="仿宋" w:hAnsi="仿宋" w:eastAsia="仿宋" w:cs="仿宋"/>
                <w:sz w:val="24"/>
                <w:highlight w:val="none"/>
              </w:rPr>
            </w:pPr>
            <w:r>
              <w:rPr>
                <w:rFonts w:hint="eastAsia" w:ascii="仿宋" w:hAnsi="仿宋" w:eastAsia="仿宋" w:cs="仿宋"/>
                <w:sz w:val="24"/>
                <w:highlight w:val="none"/>
              </w:rPr>
              <w:t>9、设备量：最大支持管理150000个；</w:t>
            </w:r>
          </w:p>
          <w:p w14:paraId="6DDB4948">
            <w:pPr>
              <w:widowControl/>
              <w:jc w:val="left"/>
              <w:rPr>
                <w:rFonts w:ascii="仿宋" w:hAnsi="仿宋" w:eastAsia="仿宋" w:cs="仿宋"/>
                <w:sz w:val="24"/>
                <w:highlight w:val="none"/>
              </w:rPr>
            </w:pPr>
            <w:r>
              <w:rPr>
                <w:rFonts w:hint="eastAsia" w:ascii="仿宋" w:hAnsi="仿宋" w:eastAsia="仿宋" w:cs="仿宋"/>
                <w:sz w:val="24"/>
                <w:highlight w:val="none"/>
              </w:rPr>
              <w:t>10、接入模式：单节点；</w:t>
            </w:r>
          </w:p>
          <w:p w14:paraId="72E51F6A">
            <w:pPr>
              <w:widowControl/>
              <w:jc w:val="left"/>
              <w:rPr>
                <w:rFonts w:ascii="仿宋" w:hAnsi="仿宋" w:eastAsia="仿宋" w:cs="仿宋"/>
                <w:sz w:val="24"/>
                <w:highlight w:val="none"/>
              </w:rPr>
            </w:pPr>
            <w:r>
              <w:rPr>
                <w:rFonts w:hint="eastAsia" w:ascii="仿宋" w:hAnsi="仿宋" w:eastAsia="仿宋" w:cs="仿宋"/>
                <w:sz w:val="24"/>
                <w:highlight w:val="none"/>
              </w:rPr>
              <w:t>二、系统功能要求</w:t>
            </w:r>
          </w:p>
          <w:p w14:paraId="355178EE">
            <w:pPr>
              <w:widowControl/>
              <w:jc w:val="left"/>
              <w:rPr>
                <w:rFonts w:ascii="仿宋" w:hAnsi="仿宋" w:eastAsia="仿宋" w:cs="仿宋"/>
                <w:sz w:val="24"/>
                <w:highlight w:val="none"/>
              </w:rPr>
            </w:pPr>
            <w:r>
              <w:rPr>
                <w:rFonts w:hint="eastAsia" w:ascii="仿宋" w:hAnsi="仿宋" w:eastAsia="仿宋" w:cs="仿宋"/>
                <w:sz w:val="24"/>
                <w:highlight w:val="none"/>
              </w:rPr>
              <w:t>1、可以提供接入设备状态检测，设备基本信息查询，支持设备实时视频浏览、录像查询可以支持接入设备按平台编号、设备编号、设备名称、设备IP、通道号、设备状态和接入方式等条件查询；</w:t>
            </w:r>
          </w:p>
          <w:p w14:paraId="42265FB9">
            <w:pPr>
              <w:widowControl/>
              <w:jc w:val="left"/>
              <w:rPr>
                <w:rFonts w:ascii="仿宋" w:hAnsi="仿宋" w:eastAsia="仿宋" w:cs="仿宋"/>
                <w:sz w:val="24"/>
                <w:highlight w:val="none"/>
              </w:rPr>
            </w:pPr>
            <w:r>
              <w:rPr>
                <w:rFonts w:hint="eastAsia" w:ascii="仿宋" w:hAnsi="仿宋" w:eastAsia="仿宋" w:cs="仿宋"/>
                <w:sz w:val="24"/>
                <w:highlight w:val="none"/>
              </w:rPr>
              <w:t>2、可以支持浏览器无插件实时视频的浏览，包括多画面浏览实现选择1,4,9,16多种画面分割模式以及全屏显示，同时能提供多种分辨率的选择；</w:t>
            </w:r>
          </w:p>
          <w:p w14:paraId="45D934A3">
            <w:pPr>
              <w:widowControl/>
              <w:jc w:val="left"/>
              <w:rPr>
                <w:rFonts w:ascii="仿宋" w:hAnsi="仿宋" w:eastAsia="仿宋" w:cs="仿宋"/>
                <w:sz w:val="24"/>
                <w:highlight w:val="none"/>
              </w:rPr>
            </w:pPr>
            <w:r>
              <w:rPr>
                <w:rFonts w:hint="eastAsia" w:ascii="仿宋" w:hAnsi="仿宋" w:eastAsia="仿宋" w:cs="仿宋"/>
                <w:sz w:val="24"/>
                <w:highlight w:val="none"/>
              </w:rPr>
              <w:t>3、可以支持多级平台级联管理，实现新增下级网关管理，提供UDP、TCP、KCP等多种级联协议模式，支持公安网和专网级联配置，可以查看下级平台推送设备目录，并支持推送设备查询及目录检索；</w:t>
            </w:r>
          </w:p>
          <w:p w14:paraId="1E81524B">
            <w:pPr>
              <w:widowControl/>
              <w:jc w:val="left"/>
              <w:rPr>
                <w:rFonts w:ascii="仿宋" w:hAnsi="仿宋" w:eastAsia="仿宋" w:cs="仿宋"/>
                <w:sz w:val="24"/>
                <w:highlight w:val="none"/>
              </w:rPr>
            </w:pPr>
            <w:r>
              <w:rPr>
                <w:rFonts w:hint="eastAsia" w:ascii="仿宋" w:hAnsi="仿宋" w:eastAsia="仿宋" w:cs="仿宋"/>
                <w:sz w:val="24"/>
                <w:highlight w:val="none"/>
              </w:rPr>
              <w:t>4、可以界面化动态配置网关接入及分发，对网关服务接口状态可视化展示。分布式子系统微服务运行状态可视化展示；</w:t>
            </w:r>
          </w:p>
          <w:p w14:paraId="6E0E6A06">
            <w:pPr>
              <w:widowControl/>
              <w:jc w:val="left"/>
              <w:rPr>
                <w:rFonts w:ascii="仿宋" w:hAnsi="仿宋" w:eastAsia="仿宋" w:cs="仿宋"/>
                <w:sz w:val="24"/>
                <w:highlight w:val="none"/>
              </w:rPr>
            </w:pPr>
            <w:r>
              <w:rPr>
                <w:rFonts w:hint="eastAsia" w:ascii="仿宋" w:hAnsi="仿宋" w:eastAsia="仿宋" w:cs="仿宋"/>
                <w:sz w:val="24"/>
                <w:highlight w:val="none"/>
              </w:rPr>
              <w:t>5、对前端云台镜头的全功能远程控制。云台控制支持客户端在图像分屏和全屏显示状态下都可进行;云台控制具有上下左右转动、巡逻功能。</w:t>
            </w:r>
          </w:p>
          <w:p w14:paraId="5205C90D">
            <w:pPr>
              <w:widowControl/>
              <w:jc w:val="left"/>
              <w:rPr>
                <w:rFonts w:ascii="仿宋" w:hAnsi="仿宋" w:eastAsia="仿宋" w:cs="仿宋"/>
                <w:sz w:val="24"/>
                <w:highlight w:val="none"/>
              </w:rPr>
            </w:pPr>
            <w:r>
              <w:rPr>
                <w:rFonts w:hint="eastAsia" w:ascii="仿宋" w:hAnsi="仿宋" w:eastAsia="仿宋" w:cs="仿宋"/>
                <w:sz w:val="24"/>
                <w:highlight w:val="none"/>
              </w:rPr>
              <w:t>6、应支持CBR/VBR两种码率控制方式，并支持高并发的视频访问能力，并且根据客户端的不同处理能力，自动探测网络状况和动态调整编码策略的机制和功能，瞬时动态调整视频的分辨率，满足用户需求的同时降低网络带宽的消耗；</w:t>
            </w:r>
          </w:p>
          <w:p w14:paraId="44120C05">
            <w:pPr>
              <w:widowControl/>
              <w:jc w:val="left"/>
              <w:rPr>
                <w:rFonts w:ascii="仿宋" w:hAnsi="仿宋" w:eastAsia="仿宋" w:cs="仿宋"/>
                <w:sz w:val="24"/>
                <w:highlight w:val="none"/>
              </w:rPr>
            </w:pPr>
            <w:r>
              <w:rPr>
                <w:rFonts w:hint="eastAsia" w:ascii="仿宋" w:hAnsi="仿宋" w:eastAsia="仿宋" w:cs="仿宋"/>
                <w:sz w:val="24"/>
                <w:highlight w:val="none"/>
              </w:rPr>
              <w:t>7、运行环境：应支持在国产化的操作系统、浏览器环境中实现资源管理及多路视频播放，建立安全可控的实时视频联网服务；</w:t>
            </w:r>
          </w:p>
          <w:p w14:paraId="61DE9C0E">
            <w:pPr>
              <w:widowControl/>
              <w:jc w:val="left"/>
              <w:rPr>
                <w:rFonts w:ascii="仿宋" w:hAnsi="仿宋" w:eastAsia="仿宋" w:cs="仿宋"/>
                <w:sz w:val="24"/>
                <w:highlight w:val="none"/>
              </w:rPr>
            </w:pPr>
            <w:r>
              <w:rPr>
                <w:rFonts w:hint="eastAsia" w:ascii="仿宋" w:hAnsi="仿宋" w:eastAsia="仿宋" w:cs="仿宋"/>
                <w:sz w:val="24"/>
                <w:highlight w:val="none"/>
              </w:rPr>
              <w:t xml:space="preserve">三、配置要求 </w:t>
            </w:r>
          </w:p>
          <w:p w14:paraId="2B5A5A8F">
            <w:pPr>
              <w:widowControl/>
              <w:jc w:val="left"/>
              <w:rPr>
                <w:rFonts w:ascii="仿宋" w:hAnsi="仿宋" w:eastAsia="仿宋" w:cs="仿宋"/>
                <w:sz w:val="24"/>
                <w:highlight w:val="none"/>
              </w:rPr>
            </w:pPr>
            <w:r>
              <w:rPr>
                <w:rFonts w:hint="eastAsia" w:ascii="仿宋" w:hAnsi="仿宋" w:eastAsia="仿宋" w:cs="仿宋"/>
                <w:sz w:val="24"/>
                <w:highlight w:val="none"/>
              </w:rPr>
              <w:t>1. 高度：2U机架式；</w:t>
            </w:r>
          </w:p>
          <w:p w14:paraId="013AADED">
            <w:pPr>
              <w:widowControl/>
              <w:jc w:val="left"/>
              <w:rPr>
                <w:rFonts w:ascii="仿宋" w:hAnsi="仿宋" w:eastAsia="仿宋" w:cs="仿宋"/>
                <w:sz w:val="24"/>
                <w:highlight w:val="none"/>
              </w:rPr>
            </w:pPr>
            <w:r>
              <w:rPr>
                <w:rFonts w:hint="eastAsia" w:ascii="仿宋" w:hAnsi="仿宋" w:eastAsia="仿宋" w:cs="仿宋"/>
                <w:sz w:val="24"/>
                <w:highlight w:val="none"/>
              </w:rPr>
              <w:t>2.国产处理器：≥2*24核，主频≥2.6GHz；</w:t>
            </w:r>
          </w:p>
          <w:p w14:paraId="35EDE487">
            <w:pPr>
              <w:widowControl/>
              <w:jc w:val="left"/>
              <w:rPr>
                <w:rFonts w:ascii="仿宋" w:hAnsi="仿宋" w:eastAsia="仿宋" w:cs="仿宋"/>
                <w:sz w:val="24"/>
                <w:highlight w:val="none"/>
              </w:rPr>
            </w:pPr>
            <w:r>
              <w:rPr>
                <w:rFonts w:hint="eastAsia" w:ascii="仿宋" w:hAnsi="仿宋" w:eastAsia="仿宋" w:cs="仿宋"/>
                <w:sz w:val="24"/>
                <w:highlight w:val="none"/>
              </w:rPr>
              <w:t>3. 内存：≥128GB DDR4；</w:t>
            </w:r>
          </w:p>
          <w:p w14:paraId="74341A80">
            <w:pPr>
              <w:widowControl/>
              <w:jc w:val="left"/>
              <w:rPr>
                <w:rFonts w:ascii="仿宋" w:hAnsi="仿宋" w:eastAsia="仿宋" w:cs="仿宋"/>
                <w:sz w:val="24"/>
                <w:highlight w:val="none"/>
              </w:rPr>
            </w:pPr>
            <w:r>
              <w:rPr>
                <w:rFonts w:hint="eastAsia" w:ascii="仿宋" w:hAnsi="仿宋" w:eastAsia="仿宋" w:cs="仿宋"/>
                <w:sz w:val="24"/>
                <w:highlight w:val="none"/>
              </w:rPr>
              <w:t>4. 硬盘：≥960GB  SSD；</w:t>
            </w:r>
          </w:p>
          <w:p w14:paraId="09DAD5C5">
            <w:pPr>
              <w:widowControl/>
              <w:jc w:val="left"/>
              <w:rPr>
                <w:rFonts w:ascii="仿宋" w:hAnsi="仿宋" w:eastAsia="仿宋" w:cs="仿宋"/>
                <w:sz w:val="24"/>
                <w:highlight w:val="none"/>
              </w:rPr>
            </w:pPr>
            <w:r>
              <w:rPr>
                <w:rFonts w:hint="eastAsia" w:ascii="仿宋" w:hAnsi="仿宋" w:eastAsia="仿宋" w:cs="仿宋"/>
                <w:sz w:val="24"/>
                <w:highlight w:val="none"/>
              </w:rPr>
              <w:t>5. 网络：≥4*千兆双口RJ45；</w:t>
            </w:r>
          </w:p>
          <w:p w14:paraId="1EEC2D2D">
            <w:pPr>
              <w:widowControl/>
              <w:jc w:val="left"/>
              <w:rPr>
                <w:rFonts w:ascii="仿宋" w:hAnsi="仿宋" w:eastAsia="仿宋" w:cs="仿宋"/>
                <w:sz w:val="24"/>
                <w:highlight w:val="none"/>
              </w:rPr>
            </w:pPr>
            <w:r>
              <w:rPr>
                <w:rFonts w:hint="eastAsia" w:ascii="仿宋" w:hAnsi="仿宋" w:eastAsia="仿宋" w:cs="仿宋"/>
                <w:sz w:val="24"/>
                <w:highlight w:val="none"/>
              </w:rPr>
              <w:t>硬件部分详细参数要求附后</w:t>
            </w:r>
          </w:p>
        </w:tc>
        <w:tc>
          <w:tcPr>
            <w:tcW w:w="730" w:type="dxa"/>
            <w:noWrap/>
            <w:vAlign w:val="center"/>
          </w:tcPr>
          <w:p w14:paraId="6CAF2173">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4A585F58">
            <w:pPr>
              <w:widowControl/>
              <w:rPr>
                <w:rFonts w:ascii="仿宋" w:hAnsi="仿宋" w:eastAsia="仿宋" w:cs="仿宋"/>
                <w:sz w:val="24"/>
                <w:highlight w:val="none"/>
              </w:rPr>
            </w:pPr>
            <w:r>
              <w:rPr>
                <w:rFonts w:hint="eastAsia" w:ascii="仿宋" w:hAnsi="仿宋" w:eastAsia="仿宋" w:cs="仿宋"/>
                <w:sz w:val="24"/>
                <w:highlight w:val="none"/>
              </w:rPr>
              <w:t>套</w:t>
            </w:r>
          </w:p>
        </w:tc>
      </w:tr>
      <w:tr w14:paraId="5C28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03D9BD45">
            <w:pPr>
              <w:widowControl/>
              <w:jc w:val="center"/>
              <w:rPr>
                <w:rFonts w:ascii="仿宋" w:hAnsi="仿宋" w:eastAsia="仿宋" w:cs="仿宋"/>
                <w:sz w:val="24"/>
                <w:highlight w:val="none"/>
              </w:rPr>
            </w:pPr>
            <w:r>
              <w:rPr>
                <w:rFonts w:hint="eastAsia" w:ascii="仿宋" w:hAnsi="仿宋" w:eastAsia="仿宋" w:cs="仿宋"/>
                <w:sz w:val="24"/>
                <w:highlight w:val="none"/>
              </w:rPr>
              <w:t>8</w:t>
            </w:r>
          </w:p>
        </w:tc>
        <w:tc>
          <w:tcPr>
            <w:tcW w:w="1514" w:type="dxa"/>
            <w:gridSpan w:val="2"/>
            <w:noWrap/>
            <w:vAlign w:val="center"/>
          </w:tcPr>
          <w:p w14:paraId="6C432525">
            <w:pPr>
              <w:widowControl/>
              <w:jc w:val="left"/>
              <w:rPr>
                <w:rFonts w:ascii="仿宋" w:hAnsi="仿宋" w:eastAsia="仿宋" w:cs="仿宋"/>
                <w:sz w:val="24"/>
                <w:highlight w:val="none"/>
              </w:rPr>
            </w:pPr>
            <w:r>
              <w:rPr>
                <w:rFonts w:hint="eastAsia" w:ascii="仿宋" w:hAnsi="仿宋" w:eastAsia="仿宋" w:cs="仿宋"/>
                <w:sz w:val="24"/>
                <w:highlight w:val="none"/>
              </w:rPr>
              <w:t>集成指挥平台升级服务一体机</w:t>
            </w:r>
          </w:p>
        </w:tc>
        <w:tc>
          <w:tcPr>
            <w:tcW w:w="5415" w:type="dxa"/>
            <w:noWrap/>
            <w:vAlign w:val="center"/>
          </w:tcPr>
          <w:p w14:paraId="39D8E6BF">
            <w:pPr>
              <w:widowControl/>
              <w:jc w:val="left"/>
              <w:rPr>
                <w:rFonts w:ascii="仿宋" w:hAnsi="仿宋" w:eastAsia="仿宋" w:cs="仿宋"/>
                <w:sz w:val="24"/>
                <w:highlight w:val="none"/>
              </w:rPr>
            </w:pPr>
            <w:r>
              <w:rPr>
                <w:rFonts w:hint="eastAsia" w:ascii="仿宋" w:hAnsi="仿宋" w:eastAsia="仿宋" w:cs="仿宋"/>
                <w:sz w:val="24"/>
                <w:highlight w:val="none"/>
              </w:rPr>
              <w:t>部署公安交通集成指挥平台应用服务，具体配置如下：</w:t>
            </w:r>
          </w:p>
          <w:p w14:paraId="76E9D033">
            <w:pPr>
              <w:widowControl/>
              <w:jc w:val="left"/>
              <w:rPr>
                <w:rFonts w:ascii="仿宋" w:hAnsi="仿宋" w:eastAsia="仿宋" w:cs="仿宋"/>
                <w:sz w:val="24"/>
                <w:highlight w:val="none"/>
              </w:rPr>
            </w:pPr>
            <w:r>
              <w:rPr>
                <w:rFonts w:hint="eastAsia" w:ascii="仿宋" w:hAnsi="仿宋" w:eastAsia="仿宋" w:cs="仿宋"/>
                <w:sz w:val="24"/>
                <w:highlight w:val="none"/>
              </w:rPr>
              <w:t>1）2U机架式</w:t>
            </w:r>
          </w:p>
          <w:p w14:paraId="6794BF2F">
            <w:pPr>
              <w:widowControl/>
              <w:jc w:val="left"/>
              <w:rPr>
                <w:rFonts w:ascii="仿宋" w:hAnsi="仿宋" w:eastAsia="仿宋" w:cs="仿宋"/>
                <w:sz w:val="24"/>
                <w:highlight w:val="none"/>
              </w:rPr>
            </w:pPr>
            <w:r>
              <w:rPr>
                <w:rFonts w:hint="eastAsia" w:ascii="仿宋" w:hAnsi="仿宋" w:eastAsia="仿宋" w:cs="仿宋"/>
                <w:sz w:val="24"/>
                <w:highlight w:val="none"/>
              </w:rPr>
              <w:t>2）国产处理器：≥2*16C，主频≥2.5GHz</w:t>
            </w:r>
          </w:p>
          <w:p w14:paraId="05722EF9">
            <w:pPr>
              <w:widowControl/>
              <w:jc w:val="left"/>
              <w:rPr>
                <w:rFonts w:ascii="仿宋" w:hAnsi="仿宋" w:eastAsia="仿宋" w:cs="仿宋"/>
                <w:sz w:val="24"/>
                <w:highlight w:val="none"/>
              </w:rPr>
            </w:pPr>
            <w:r>
              <w:rPr>
                <w:rFonts w:hint="eastAsia" w:ascii="仿宋" w:hAnsi="仿宋" w:eastAsia="仿宋" w:cs="仿宋"/>
                <w:sz w:val="24"/>
                <w:highlight w:val="none"/>
              </w:rPr>
              <w:t>3）内存：≥128GB DDR4</w:t>
            </w:r>
          </w:p>
          <w:p w14:paraId="3DA8AA48">
            <w:pPr>
              <w:widowControl/>
              <w:jc w:val="left"/>
              <w:rPr>
                <w:rFonts w:ascii="仿宋" w:hAnsi="仿宋" w:eastAsia="仿宋" w:cs="仿宋"/>
                <w:sz w:val="24"/>
                <w:highlight w:val="none"/>
              </w:rPr>
            </w:pPr>
            <w:r>
              <w:rPr>
                <w:rFonts w:hint="eastAsia" w:ascii="仿宋" w:hAnsi="仿宋" w:eastAsia="仿宋" w:cs="仿宋"/>
                <w:sz w:val="24"/>
                <w:highlight w:val="none"/>
              </w:rPr>
              <w:t>4）硬盘：≥4*600GB SAS硬盘</w:t>
            </w:r>
          </w:p>
          <w:p w14:paraId="03D1FF3B">
            <w:pPr>
              <w:widowControl/>
              <w:jc w:val="left"/>
              <w:rPr>
                <w:rFonts w:ascii="仿宋" w:hAnsi="仿宋" w:eastAsia="仿宋" w:cs="仿宋"/>
                <w:sz w:val="24"/>
                <w:highlight w:val="none"/>
              </w:rPr>
            </w:pPr>
            <w:r>
              <w:rPr>
                <w:rFonts w:hint="eastAsia" w:ascii="仿宋" w:hAnsi="仿宋" w:eastAsia="仿宋" w:cs="仿宋"/>
                <w:sz w:val="24"/>
                <w:highlight w:val="none"/>
              </w:rPr>
              <w:t>5）网络：≥2*千兆双口RJ45</w:t>
            </w:r>
          </w:p>
          <w:p w14:paraId="72DF1845">
            <w:pPr>
              <w:widowControl/>
              <w:jc w:val="left"/>
              <w:rPr>
                <w:rFonts w:ascii="仿宋" w:hAnsi="仿宋" w:eastAsia="仿宋" w:cs="仿宋"/>
                <w:sz w:val="24"/>
                <w:highlight w:val="none"/>
              </w:rPr>
            </w:pPr>
            <w:r>
              <w:rPr>
                <w:rFonts w:hint="eastAsia" w:ascii="仿宋" w:hAnsi="仿宋" w:eastAsia="仿宋" w:cs="仿宋"/>
                <w:sz w:val="24"/>
                <w:highlight w:val="none"/>
              </w:rPr>
              <w:t>6）电源：1+1冗余电源</w:t>
            </w:r>
          </w:p>
          <w:p w14:paraId="51F80705">
            <w:pPr>
              <w:widowControl/>
              <w:jc w:val="left"/>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p w14:paraId="6FB909DD">
            <w:pPr>
              <w:widowControl/>
              <w:jc w:val="left"/>
              <w:rPr>
                <w:rFonts w:ascii="仿宋" w:hAnsi="仿宋" w:eastAsia="仿宋" w:cs="仿宋"/>
                <w:sz w:val="24"/>
                <w:highlight w:val="none"/>
              </w:rPr>
            </w:pPr>
            <w:r>
              <w:rPr>
                <w:rFonts w:hint="eastAsia" w:ascii="仿宋" w:hAnsi="仿宋" w:eastAsia="仿宋" w:cs="仿宋"/>
                <w:sz w:val="24"/>
                <w:highlight w:val="none"/>
              </w:rPr>
              <w:t>含国产操作系统</w:t>
            </w:r>
          </w:p>
        </w:tc>
        <w:tc>
          <w:tcPr>
            <w:tcW w:w="730" w:type="dxa"/>
            <w:noWrap/>
            <w:vAlign w:val="center"/>
          </w:tcPr>
          <w:p w14:paraId="3A508154">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32A377AE">
            <w:pPr>
              <w:widowControl/>
              <w:rPr>
                <w:rFonts w:ascii="仿宋" w:hAnsi="仿宋" w:eastAsia="仿宋" w:cs="仿宋"/>
                <w:sz w:val="24"/>
                <w:highlight w:val="none"/>
              </w:rPr>
            </w:pPr>
            <w:r>
              <w:rPr>
                <w:rFonts w:hint="eastAsia" w:ascii="仿宋" w:hAnsi="仿宋" w:eastAsia="仿宋" w:cs="仿宋"/>
                <w:sz w:val="24"/>
                <w:highlight w:val="none"/>
              </w:rPr>
              <w:t>套</w:t>
            </w:r>
          </w:p>
        </w:tc>
      </w:tr>
      <w:tr w14:paraId="7A4A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5467F91C">
            <w:pPr>
              <w:widowControl/>
              <w:jc w:val="center"/>
              <w:rPr>
                <w:rFonts w:ascii="仿宋" w:hAnsi="仿宋" w:eastAsia="仿宋" w:cs="仿宋"/>
                <w:sz w:val="24"/>
                <w:highlight w:val="none"/>
              </w:rPr>
            </w:pPr>
            <w:r>
              <w:rPr>
                <w:rFonts w:hint="eastAsia" w:ascii="仿宋" w:hAnsi="仿宋" w:eastAsia="仿宋" w:cs="仿宋"/>
                <w:sz w:val="24"/>
                <w:highlight w:val="none"/>
              </w:rPr>
              <w:t>9</w:t>
            </w:r>
          </w:p>
        </w:tc>
        <w:tc>
          <w:tcPr>
            <w:tcW w:w="1514" w:type="dxa"/>
            <w:gridSpan w:val="2"/>
            <w:noWrap/>
            <w:vAlign w:val="center"/>
          </w:tcPr>
          <w:p w14:paraId="58F76D63">
            <w:pPr>
              <w:widowControl/>
              <w:jc w:val="left"/>
              <w:rPr>
                <w:rFonts w:ascii="仿宋" w:hAnsi="仿宋" w:eastAsia="仿宋" w:cs="仿宋"/>
                <w:sz w:val="24"/>
                <w:highlight w:val="none"/>
              </w:rPr>
            </w:pPr>
            <w:r>
              <w:rPr>
                <w:rFonts w:hint="eastAsia" w:ascii="仿宋" w:hAnsi="仿宋" w:eastAsia="仿宋" w:cs="仿宋"/>
                <w:sz w:val="24"/>
                <w:highlight w:val="none"/>
              </w:rPr>
              <w:t>负载均衡器1</w:t>
            </w:r>
          </w:p>
        </w:tc>
        <w:tc>
          <w:tcPr>
            <w:tcW w:w="5415" w:type="dxa"/>
            <w:noWrap/>
            <w:vAlign w:val="center"/>
          </w:tcPr>
          <w:p w14:paraId="4ACC4146">
            <w:pPr>
              <w:widowControl/>
              <w:jc w:val="left"/>
              <w:rPr>
                <w:rFonts w:hint="eastAsia" w:ascii="仿宋" w:hAnsi="仿宋" w:eastAsia="仿宋" w:cs="仿宋"/>
                <w:sz w:val="24"/>
                <w:highlight w:val="none"/>
              </w:rPr>
            </w:pPr>
            <w:r>
              <w:rPr>
                <w:rFonts w:hint="eastAsia" w:ascii="仿宋" w:hAnsi="仿宋" w:eastAsia="仿宋" w:cs="仿宋"/>
                <w:sz w:val="24"/>
                <w:highlight w:val="none"/>
              </w:rPr>
              <w:t>性能参数：4层吞吐量 （默认网口）：7Gbps，四层并发连接数：≥700W，4层新建连接数 CPS：≥7W，7层新建连接数 RPS：≥7W。硬件参数：规格：≥1U，内存大小：≥8G，硬盘容量：≥240GB SSD，电源：冗余电源，接口：6千兆电口+4千兆光口SFP。</w:t>
            </w:r>
          </w:p>
          <w:p w14:paraId="5996F00C">
            <w:pPr>
              <w:widowControl/>
              <w:jc w:val="left"/>
              <w:rPr>
                <w:rFonts w:hint="eastAsia" w:ascii="仿宋" w:hAnsi="仿宋" w:eastAsia="仿宋" w:cs="仿宋"/>
                <w:sz w:val="24"/>
                <w:highlight w:val="none"/>
              </w:rPr>
            </w:pPr>
            <w:r>
              <w:rPr>
                <w:rFonts w:hint="eastAsia" w:ascii="仿宋" w:hAnsi="仿宋" w:eastAsia="仿宋" w:cs="仿宋"/>
                <w:sz w:val="24"/>
                <w:highlight w:val="none"/>
              </w:rPr>
              <w:t>功能要求：</w:t>
            </w:r>
          </w:p>
          <w:p w14:paraId="70F7E5AD">
            <w:pPr>
              <w:widowControl/>
              <w:jc w:val="left"/>
              <w:rPr>
                <w:rFonts w:hint="eastAsia" w:ascii="仿宋" w:hAnsi="仿宋" w:eastAsia="仿宋" w:cs="仿宋"/>
                <w:sz w:val="24"/>
                <w:highlight w:val="none"/>
              </w:rPr>
            </w:pPr>
            <w:r>
              <w:rPr>
                <w:rFonts w:hint="eastAsia" w:ascii="仿宋" w:hAnsi="仿宋" w:eastAsia="仿宋" w:cs="仿宋"/>
                <w:sz w:val="24"/>
                <w:highlight w:val="none"/>
              </w:rPr>
              <w:t>1、多合一功能集成：单一设备可同时支持包括链路负载均衡、全局负载均衡和服务器负载均衡的功能。三种功能同时处于激活可使用状态;</w:t>
            </w:r>
          </w:p>
          <w:p w14:paraId="42060150">
            <w:pPr>
              <w:widowControl/>
              <w:jc w:val="left"/>
              <w:rPr>
                <w:rFonts w:hint="eastAsia" w:ascii="仿宋" w:hAnsi="仿宋" w:eastAsia="仿宋" w:cs="仿宋"/>
                <w:sz w:val="24"/>
                <w:highlight w:val="none"/>
              </w:rPr>
            </w:pPr>
            <w:r>
              <w:rPr>
                <w:rFonts w:hint="eastAsia" w:ascii="仿宋" w:hAnsi="仿宋" w:eastAsia="仿宋" w:cs="仿宋"/>
                <w:sz w:val="24"/>
                <w:highlight w:val="none"/>
              </w:rPr>
              <w:t>2、服务器负载均衡：</w:t>
            </w:r>
          </w:p>
          <w:p w14:paraId="51A90CD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p>
          <w:p w14:paraId="7D067E8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支持多种语言的脚本功能，包括LUA和TCL等，实现兼容主流厂商的脚本；</w:t>
            </w:r>
          </w:p>
          <w:p w14:paraId="4484C6FB">
            <w:pPr>
              <w:widowControl/>
              <w:jc w:val="left"/>
              <w:rPr>
                <w:rFonts w:hint="eastAsia" w:ascii="仿宋" w:hAnsi="仿宋" w:eastAsia="仿宋" w:cs="仿宋"/>
                <w:sz w:val="24"/>
                <w:highlight w:val="none"/>
              </w:rPr>
            </w:pPr>
            <w:r>
              <w:rPr>
                <w:rFonts w:hint="eastAsia" w:ascii="仿宋" w:hAnsi="仿宋" w:eastAsia="仿宋" w:cs="仿宋"/>
                <w:sz w:val="24"/>
                <w:highlight w:val="none"/>
              </w:rPr>
              <w:t>支持HTTP、TCP、HTTPS、SIP-TCP、SIP-UDP、8583、DNS等服务类型；</w:t>
            </w:r>
          </w:p>
          <w:p w14:paraId="14CF53AB">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支持配置每台的业务主机的并发连接数、新建连接数和每秒请求数限制，同时可配置每个虚拟服务的单个IP或所有IP的最大新建和最大并发限制；</w:t>
            </w:r>
          </w:p>
          <w:p w14:paraId="686928E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支持SIP开启/禁用插入Via头部和开启/禁用插入Record-Route 头部等策略；</w:t>
            </w:r>
          </w:p>
          <w:p w14:paraId="3DB13EE5">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图片优化技术，通过对图片格式的转换，减少传输流量，提升web页面加载速度。无需改动服务器端的图片源文件，可根据浏览器种类自动识别转换类型，将图片转换为对应支持的WebP或JPEG格式，优化加速效果；</w:t>
            </w:r>
          </w:p>
          <w:p w14:paraId="255FF18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虚拟服务地图方式展示VS和Pool与Memeber的关联关系以及对应的状态信息，可按虚拟服务名称或者状态来进行排序，同时也能根据虚拟服务/节点池/节点/主机的状态来进行过滤展示，可在不跳转页面的情况下通过对象名称快捷查看其详细配置信息，以及虚拟服务的性能压力统计数据；</w:t>
            </w:r>
          </w:p>
          <w:p w14:paraId="2DDF06CD">
            <w:pPr>
              <w:widowControl/>
              <w:jc w:val="left"/>
              <w:rPr>
                <w:rFonts w:hint="eastAsia" w:ascii="仿宋" w:hAnsi="仿宋" w:eastAsia="仿宋" w:cs="仿宋"/>
                <w:sz w:val="24"/>
                <w:highlight w:val="none"/>
              </w:rPr>
            </w:pPr>
            <w:r>
              <w:rPr>
                <w:rFonts w:hint="eastAsia" w:ascii="仿宋" w:hAnsi="仿宋" w:eastAsia="仿宋" w:cs="仿宋"/>
                <w:sz w:val="24"/>
                <w:highlight w:val="none"/>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14:paraId="2898BE7D">
            <w:pPr>
              <w:widowControl/>
              <w:jc w:val="left"/>
              <w:rPr>
                <w:rFonts w:hint="eastAsia" w:ascii="仿宋" w:hAnsi="仿宋" w:eastAsia="仿宋" w:cs="仿宋"/>
                <w:sz w:val="24"/>
                <w:highlight w:val="none"/>
              </w:rPr>
            </w:pPr>
            <w:r>
              <w:rPr>
                <w:rFonts w:hint="eastAsia" w:ascii="仿宋" w:hAnsi="仿宋" w:eastAsia="仿宋" w:cs="仿宋"/>
                <w:sz w:val="24"/>
                <w:highlight w:val="none"/>
              </w:rPr>
              <w:t>3、IPv6改造</w:t>
            </w:r>
          </w:p>
          <w:p w14:paraId="5D84CFAF">
            <w:pPr>
              <w:widowControl/>
              <w:jc w:val="left"/>
              <w:rPr>
                <w:rFonts w:hint="eastAsia" w:ascii="仿宋" w:hAnsi="仿宋" w:eastAsia="仿宋" w:cs="仿宋"/>
                <w:sz w:val="24"/>
                <w:highlight w:val="none"/>
              </w:rPr>
            </w:pPr>
            <w:r>
              <w:rPr>
                <w:rFonts w:hint="eastAsia" w:ascii="仿宋" w:hAnsi="仿宋" w:eastAsia="仿宋" w:cs="仿宋"/>
                <w:sz w:val="24"/>
                <w:highlight w:val="none"/>
              </w:rPr>
              <w:t>IPv6改造方案能够解决天窗问题，支持一条策略匹配多个外链网站，同时外链和网站子链发生修改时支持自动识别并做主动修改，不允许通过人工解析配置的方式解决天窗问题；</w:t>
            </w:r>
          </w:p>
          <w:p w14:paraId="2E6E49BC">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支持网站页面IP形式和域名形式外部链接的正常访问；支持静态和动态网站页面静态和动态引用站外内容的正常显示；支持静态和动态网站页面静态和动态外部链接的无限级正常跳转；</w:t>
            </w:r>
          </w:p>
          <w:p w14:paraId="2A146F9A">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过syslog的方式实现IPv4/IPv6协议转换日志功能，累积存储和查询3个月内数据；提供IPv6/IPv4协议翻译和互通的日志信息，包括源/目的IP地址和端口，被访问的URL等信息，并在需要的情况下，回溯查询用户信息；</w:t>
            </w:r>
          </w:p>
          <w:p w14:paraId="5A9D85C4">
            <w:pPr>
              <w:widowControl/>
              <w:jc w:val="left"/>
              <w:rPr>
                <w:rFonts w:hint="eastAsia" w:ascii="仿宋" w:hAnsi="仿宋" w:eastAsia="仿宋" w:cs="仿宋"/>
                <w:sz w:val="24"/>
                <w:highlight w:val="none"/>
              </w:rPr>
            </w:pPr>
            <w:r>
              <w:rPr>
                <w:rFonts w:hint="eastAsia" w:ascii="仿宋" w:hAnsi="仿宋" w:eastAsia="仿宋" w:cs="仿宋"/>
                <w:sz w:val="24"/>
                <w:highlight w:val="none"/>
              </w:rPr>
              <w:t>4、高可用性</w:t>
            </w:r>
          </w:p>
          <w:p w14:paraId="7DEEB9FF">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支持双机热备部署方式，可自动同步配置并提供连接会话的镜像功能，实现无缝故障切换；</w:t>
            </w:r>
          </w:p>
          <w:p w14:paraId="33F9CD5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支持基于链路流量进行有效性判断，能够在预设时间内进行主动探测；</w:t>
            </w:r>
          </w:p>
          <w:p w14:paraId="1F530B4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支持高可用集群N+M部署方式，单集群支持16台设备，可自动同步配置并提供连接会话的镜像功能，实现无缝故障切换；</w:t>
            </w:r>
          </w:p>
          <w:p w14:paraId="1A357204">
            <w:pPr>
              <w:widowControl/>
              <w:jc w:val="left"/>
              <w:rPr>
                <w:rFonts w:hint="eastAsia" w:ascii="仿宋" w:hAnsi="仿宋" w:eastAsia="仿宋" w:cs="仿宋"/>
                <w:sz w:val="24"/>
                <w:highlight w:val="none"/>
              </w:rPr>
            </w:pPr>
            <w:r>
              <w:rPr>
                <w:rFonts w:hint="eastAsia" w:ascii="仿宋" w:hAnsi="仿宋" w:eastAsia="仿宋" w:cs="仿宋"/>
                <w:sz w:val="24"/>
                <w:highlight w:val="none"/>
              </w:rPr>
              <w:t>支持会话保持表项与连接表项独立同步功能，可根据使用需要定义同步的会话保持表；</w:t>
            </w:r>
          </w:p>
          <w:p w14:paraId="66FC74B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支持基于vlan链路的零流量状态来进行高可用故障切换</w:t>
            </w:r>
          </w:p>
          <w:p w14:paraId="3DDE84A7">
            <w:pPr>
              <w:widowControl/>
              <w:jc w:val="left"/>
              <w:rPr>
                <w:rFonts w:hint="eastAsia" w:ascii="仿宋" w:hAnsi="仿宋" w:eastAsia="仿宋" w:cs="仿宋"/>
                <w:sz w:val="24"/>
                <w:highlight w:val="none"/>
              </w:rPr>
            </w:pPr>
            <w:r>
              <w:rPr>
                <w:rFonts w:hint="eastAsia" w:ascii="仿宋" w:hAnsi="仿宋" w:eastAsia="仿宋" w:cs="仿宋"/>
                <w:sz w:val="24"/>
                <w:highlight w:val="none"/>
              </w:rPr>
              <w:t>5、运维管理</w:t>
            </w:r>
          </w:p>
          <w:p w14:paraId="039D9AA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支持全中文管理界面HTTPS方式登录、SSH命令行方式管理、用户角色管理、多级授权管理，HTTPS登陆时可设置TLS协议版本SSH登陆时可设置加密算法、SSH MAC算法和SSH密钥交换算法；</w:t>
            </w:r>
          </w:p>
          <w:p w14:paraId="3C3D44F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支持大数据输出功能，输出必须包括客户端IP、x-forwarded-For IP、访问时间、访问IP、访问URL、响应时间和资源大小；</w:t>
            </w:r>
          </w:p>
          <w:p w14:paraId="4DB421FB">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支持启用RAS事件告警，当设备PCIE或内存出现硬件故障时发送RAS告警；</w:t>
            </w:r>
          </w:p>
          <w:p w14:paraId="68BF4F9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支持设备巡检功能，被检测设备无需访问互联网，实现离线巡检，并且可针对安全巡检、功能巡检以及健康巡检等多场景进行需要巡检的模块；</w:t>
            </w:r>
          </w:p>
          <w:p w14:paraId="482BB8EE">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支持端口枯竭告警功能，并支持针对告警阈值和告警间隔时间进行设置；</w:t>
            </w:r>
          </w:p>
          <w:p w14:paraId="37DEFFB4">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支持对设备的管理日志进行新旧配置对比，及时发现设备管理上的变化；</w:t>
            </w:r>
          </w:p>
          <w:p w14:paraId="52D7CAD9">
            <w:pPr>
              <w:widowControl/>
              <w:jc w:val="left"/>
              <w:rPr>
                <w:rFonts w:hint="eastAsia" w:ascii="仿宋" w:hAnsi="仿宋" w:eastAsia="仿宋" w:cs="仿宋"/>
                <w:sz w:val="24"/>
                <w:highlight w:val="none"/>
              </w:rPr>
            </w:pPr>
          </w:p>
          <w:p w14:paraId="16595613">
            <w:pPr>
              <w:widowControl/>
              <w:jc w:val="left"/>
              <w:rPr>
                <w:rFonts w:hint="eastAsia" w:ascii="仿宋" w:hAnsi="仿宋" w:eastAsia="仿宋" w:cs="仿宋"/>
                <w:sz w:val="24"/>
                <w:highlight w:val="none"/>
              </w:rPr>
            </w:pPr>
          </w:p>
        </w:tc>
        <w:tc>
          <w:tcPr>
            <w:tcW w:w="730" w:type="dxa"/>
            <w:noWrap/>
            <w:vAlign w:val="center"/>
          </w:tcPr>
          <w:p w14:paraId="48D284DB">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3512EECD">
            <w:pPr>
              <w:widowControl/>
              <w:rPr>
                <w:rFonts w:ascii="仿宋" w:hAnsi="仿宋" w:eastAsia="仿宋" w:cs="仿宋"/>
                <w:sz w:val="24"/>
                <w:highlight w:val="none"/>
              </w:rPr>
            </w:pPr>
            <w:r>
              <w:rPr>
                <w:rFonts w:hint="eastAsia" w:ascii="仿宋" w:hAnsi="仿宋" w:eastAsia="仿宋" w:cs="仿宋"/>
                <w:sz w:val="24"/>
                <w:highlight w:val="none"/>
              </w:rPr>
              <w:t>套</w:t>
            </w:r>
          </w:p>
        </w:tc>
      </w:tr>
      <w:tr w14:paraId="4507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5B3C6908">
            <w:pPr>
              <w:widowControl/>
              <w:jc w:val="center"/>
              <w:rPr>
                <w:rFonts w:ascii="仿宋" w:hAnsi="仿宋" w:eastAsia="仿宋" w:cs="仿宋"/>
                <w:sz w:val="24"/>
                <w:highlight w:val="none"/>
              </w:rPr>
            </w:pPr>
            <w:r>
              <w:rPr>
                <w:rFonts w:hint="eastAsia" w:ascii="仿宋" w:hAnsi="仿宋" w:eastAsia="仿宋" w:cs="仿宋"/>
                <w:sz w:val="24"/>
                <w:highlight w:val="none"/>
              </w:rPr>
              <w:t>10</w:t>
            </w:r>
          </w:p>
        </w:tc>
        <w:tc>
          <w:tcPr>
            <w:tcW w:w="1514" w:type="dxa"/>
            <w:gridSpan w:val="2"/>
            <w:noWrap/>
            <w:vAlign w:val="center"/>
          </w:tcPr>
          <w:p w14:paraId="543DA390">
            <w:pPr>
              <w:widowControl/>
              <w:jc w:val="left"/>
              <w:rPr>
                <w:rFonts w:ascii="仿宋" w:hAnsi="仿宋" w:eastAsia="仿宋" w:cs="仿宋"/>
                <w:sz w:val="24"/>
                <w:highlight w:val="none"/>
              </w:rPr>
            </w:pPr>
            <w:r>
              <w:rPr>
                <w:rFonts w:hint="eastAsia" w:ascii="仿宋" w:hAnsi="仿宋" w:eastAsia="仿宋" w:cs="仿宋"/>
                <w:sz w:val="24"/>
                <w:highlight w:val="none"/>
              </w:rPr>
              <w:t>负载均衡器2</w:t>
            </w:r>
          </w:p>
        </w:tc>
        <w:tc>
          <w:tcPr>
            <w:tcW w:w="5415" w:type="dxa"/>
            <w:noWrap/>
            <w:vAlign w:val="center"/>
          </w:tcPr>
          <w:p w14:paraId="57ACBCA8">
            <w:pPr>
              <w:widowControl/>
              <w:jc w:val="left"/>
              <w:rPr>
                <w:rFonts w:hint="eastAsia" w:ascii="仿宋" w:hAnsi="仿宋" w:eastAsia="仿宋" w:cs="仿宋"/>
                <w:sz w:val="24"/>
                <w:highlight w:val="none"/>
              </w:rPr>
            </w:pPr>
            <w:r>
              <w:rPr>
                <w:rFonts w:hint="eastAsia" w:ascii="仿宋" w:hAnsi="仿宋" w:eastAsia="仿宋" w:cs="仿宋"/>
                <w:sz w:val="24"/>
                <w:highlight w:val="none"/>
              </w:rPr>
              <w:t>性能参数：4层吞吐量 （默认网口）：≥20Gbps，四层并发连接数：≥2000W，4层新建连接数 CPS：≥30W，7层新建连接数 RPS：≥50W。</w:t>
            </w:r>
          </w:p>
          <w:p w14:paraId="78EF004C">
            <w:pPr>
              <w:widowControl/>
              <w:jc w:val="left"/>
              <w:rPr>
                <w:rFonts w:hint="eastAsia" w:ascii="仿宋" w:hAnsi="仿宋" w:eastAsia="仿宋" w:cs="仿宋"/>
                <w:sz w:val="24"/>
                <w:highlight w:val="none"/>
              </w:rPr>
            </w:pPr>
            <w:r>
              <w:rPr>
                <w:rFonts w:hint="eastAsia" w:ascii="仿宋" w:hAnsi="仿宋" w:eastAsia="仿宋" w:cs="仿宋"/>
                <w:sz w:val="24"/>
                <w:highlight w:val="none"/>
              </w:rPr>
              <w:t>硬件参数：规格：2U，内存大小：≥16G，硬盘容量：≥240GB SSD，电源：冗余电源，接口：6千兆电口+2万兆光口SFP+， CPU：兆芯6780A， 操作系统：麒麟V10。</w:t>
            </w:r>
          </w:p>
          <w:p w14:paraId="3192E087">
            <w:pPr>
              <w:widowControl/>
              <w:jc w:val="left"/>
              <w:rPr>
                <w:rFonts w:hint="eastAsia" w:ascii="仿宋" w:hAnsi="仿宋" w:eastAsia="仿宋" w:cs="仿宋"/>
                <w:sz w:val="24"/>
                <w:highlight w:val="none"/>
              </w:rPr>
            </w:pPr>
            <w:r>
              <w:rPr>
                <w:rFonts w:hint="eastAsia" w:ascii="仿宋" w:hAnsi="仿宋" w:eastAsia="仿宋" w:cs="仿宋"/>
                <w:sz w:val="24"/>
                <w:highlight w:val="none"/>
              </w:rPr>
              <w:t>功能要求：</w:t>
            </w:r>
          </w:p>
          <w:p w14:paraId="247AE334">
            <w:pPr>
              <w:widowControl/>
              <w:jc w:val="left"/>
              <w:rPr>
                <w:rFonts w:hint="eastAsia" w:ascii="仿宋" w:hAnsi="仿宋" w:eastAsia="仿宋" w:cs="仿宋"/>
                <w:sz w:val="24"/>
                <w:highlight w:val="none"/>
              </w:rPr>
            </w:pPr>
            <w:r>
              <w:rPr>
                <w:rFonts w:hint="eastAsia" w:ascii="仿宋" w:hAnsi="仿宋" w:eastAsia="仿宋" w:cs="仿宋"/>
                <w:sz w:val="24"/>
                <w:highlight w:val="none"/>
              </w:rPr>
              <w:t>1、多合一功能集成：单一设备可同时支持包括链路负载均衡、全局负载均衡和服务器负载均衡的功能。三种功能同时处于激活可使用状态;</w:t>
            </w:r>
          </w:p>
          <w:p w14:paraId="16B55BAD">
            <w:pPr>
              <w:widowControl/>
              <w:jc w:val="left"/>
              <w:rPr>
                <w:rFonts w:hint="eastAsia" w:ascii="仿宋" w:hAnsi="仿宋" w:eastAsia="仿宋" w:cs="仿宋"/>
                <w:sz w:val="24"/>
                <w:highlight w:val="none"/>
              </w:rPr>
            </w:pPr>
            <w:r>
              <w:rPr>
                <w:rFonts w:hint="eastAsia" w:ascii="仿宋" w:hAnsi="仿宋" w:eastAsia="仿宋" w:cs="仿宋"/>
                <w:sz w:val="24"/>
                <w:highlight w:val="none"/>
              </w:rPr>
              <w:t>2、服务器负载均衡：</w:t>
            </w:r>
          </w:p>
          <w:p w14:paraId="38D170E5">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p>
          <w:p w14:paraId="05DF6AB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支持多种语言的脚本功能，包括LUA和TCL等，实现兼容主流厂商的脚本；</w:t>
            </w:r>
          </w:p>
          <w:p w14:paraId="7C9FB3B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支持HTTP、TCP、HTTPS、SIP-TCP、SIP-UDP、8583、DNS等服务类型；</w:t>
            </w:r>
          </w:p>
          <w:p w14:paraId="1DC5863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支持配置每台的业务主机的并发连接数、新建连接数和每秒请求数限制，同时可配置每个虚拟服务的单个IP或所有IP的最大新建和最大并发限制；</w:t>
            </w:r>
          </w:p>
          <w:p w14:paraId="72D2D99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支持SIP开启/禁用插入Via头部和开启/禁用插入Record-Route 头部等策略；</w:t>
            </w:r>
          </w:p>
          <w:p w14:paraId="5299185D">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图片优化技术，通过对图片格式的转换，减少传输流量，提升web页面加载速度。无需改动服务器端的图片源文件，可根据浏览器种类自动识别转换类型，将图片转换为对应支持的WebP或JPEG格式，优化加速效果；</w:t>
            </w:r>
          </w:p>
          <w:p w14:paraId="0BAB5E3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虚拟服务地图方式展示VS和Pool与Memeber的关联关系以及对应的状态信息，可按虚拟服务名称或者状态来进行排序，同时也能根据虚拟服务/节点池/节点/主机的状态来进行过滤展示，可在不跳转页面的情况下通过对象名称快捷查看其详细配置信息，以及虚拟服务的性能压力统计数据；</w:t>
            </w:r>
          </w:p>
          <w:p w14:paraId="1F049D06">
            <w:pPr>
              <w:widowControl/>
              <w:jc w:val="left"/>
              <w:rPr>
                <w:rFonts w:hint="eastAsia" w:ascii="仿宋" w:hAnsi="仿宋" w:eastAsia="仿宋" w:cs="仿宋"/>
                <w:sz w:val="24"/>
                <w:highlight w:val="none"/>
              </w:rPr>
            </w:pPr>
            <w:r>
              <w:rPr>
                <w:rFonts w:hint="eastAsia" w:ascii="仿宋" w:hAnsi="仿宋" w:eastAsia="仿宋" w:cs="仿宋"/>
                <w:sz w:val="24"/>
                <w:highlight w:val="none"/>
              </w:rPr>
              <w:t>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14:paraId="51373131">
            <w:pPr>
              <w:widowControl/>
              <w:jc w:val="left"/>
              <w:rPr>
                <w:rFonts w:hint="eastAsia" w:ascii="仿宋" w:hAnsi="仿宋" w:eastAsia="仿宋" w:cs="仿宋"/>
                <w:sz w:val="24"/>
                <w:highlight w:val="none"/>
              </w:rPr>
            </w:pPr>
            <w:r>
              <w:rPr>
                <w:rFonts w:hint="eastAsia" w:ascii="仿宋" w:hAnsi="仿宋" w:eastAsia="仿宋" w:cs="仿宋"/>
                <w:sz w:val="24"/>
                <w:highlight w:val="none"/>
              </w:rPr>
              <w:t>3、IPv6改造</w:t>
            </w:r>
          </w:p>
          <w:p w14:paraId="461689E8">
            <w:pPr>
              <w:widowControl/>
              <w:jc w:val="left"/>
              <w:rPr>
                <w:rFonts w:hint="eastAsia" w:ascii="仿宋" w:hAnsi="仿宋" w:eastAsia="仿宋" w:cs="仿宋"/>
                <w:sz w:val="24"/>
                <w:highlight w:val="none"/>
              </w:rPr>
            </w:pPr>
            <w:r>
              <w:rPr>
                <w:rFonts w:hint="eastAsia" w:ascii="仿宋" w:hAnsi="仿宋" w:eastAsia="仿宋" w:cs="仿宋"/>
                <w:sz w:val="24"/>
                <w:highlight w:val="none"/>
              </w:rPr>
              <w:t>IPv6改造方案能够解决天窗问题，支持一条策略匹配多个外链网站，同时外链和网站子链发生修改时支持自动识别并做主动修改，不允许通过人工解析配置的方式解决天窗问题；</w:t>
            </w:r>
          </w:p>
          <w:p w14:paraId="7AF1092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支持网站页面IP形式和域名形式外部链接的正常访问；支持静态和动态网站页面静态和动态引用站外内容的正常显示；支持静态和动态网站页面静态和动态外部链接的无限级正常跳转；</w:t>
            </w:r>
          </w:p>
          <w:p w14:paraId="449C143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过syslog的方式实现IPv4/IPv6协议转换日志功能，累积存储和查询3个月内数据；提供IPv6/IPv4协议翻译和互通的日志信息，包括源/目的IP地址和端口，被访问的URL等信息，并在需要的情况下，回溯查询用户信息；</w:t>
            </w:r>
          </w:p>
          <w:p w14:paraId="1A94E5E2">
            <w:pPr>
              <w:widowControl/>
              <w:jc w:val="left"/>
              <w:rPr>
                <w:rFonts w:hint="eastAsia" w:ascii="仿宋" w:hAnsi="仿宋" w:eastAsia="仿宋" w:cs="仿宋"/>
                <w:sz w:val="24"/>
                <w:highlight w:val="none"/>
              </w:rPr>
            </w:pPr>
            <w:r>
              <w:rPr>
                <w:rFonts w:hint="eastAsia" w:ascii="仿宋" w:hAnsi="仿宋" w:eastAsia="仿宋" w:cs="仿宋"/>
                <w:sz w:val="24"/>
                <w:highlight w:val="none"/>
              </w:rPr>
              <w:t>4、高可用性</w:t>
            </w:r>
          </w:p>
          <w:p w14:paraId="1D43C2C0">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支持双机热备部署方式，可自动同步配置并提供连接会话的镜像功能，实现无缝故障切换；</w:t>
            </w:r>
          </w:p>
          <w:p w14:paraId="3AAC434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支持基于链路流量进行有效性判断，能够在预设时间内进行主动探测；</w:t>
            </w:r>
          </w:p>
          <w:p w14:paraId="0E9777CE">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支持高可用集群N+M部署方式，单集群支持16台设备，可自动同步配置并提供连接会话的镜像功能，实现无缝故障切换；</w:t>
            </w:r>
          </w:p>
          <w:p w14:paraId="70272479">
            <w:pPr>
              <w:widowControl/>
              <w:jc w:val="left"/>
              <w:rPr>
                <w:rFonts w:hint="eastAsia" w:ascii="仿宋" w:hAnsi="仿宋" w:eastAsia="仿宋" w:cs="仿宋"/>
                <w:sz w:val="24"/>
                <w:highlight w:val="none"/>
              </w:rPr>
            </w:pPr>
            <w:r>
              <w:rPr>
                <w:rFonts w:hint="eastAsia" w:ascii="仿宋" w:hAnsi="仿宋" w:eastAsia="仿宋" w:cs="仿宋"/>
                <w:sz w:val="24"/>
                <w:highlight w:val="none"/>
              </w:rPr>
              <w:t>支持会话保持表项与连接表项独立同步功能，可根据使用需要定义同步的会话保持表；</w:t>
            </w:r>
          </w:p>
          <w:p w14:paraId="41B61D02">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支持基于vlan链路的零流量状态来进行高可用故障切换</w:t>
            </w:r>
          </w:p>
          <w:p w14:paraId="168A8AC1">
            <w:pPr>
              <w:widowControl/>
              <w:jc w:val="left"/>
              <w:rPr>
                <w:rFonts w:hint="eastAsia" w:ascii="仿宋" w:hAnsi="仿宋" w:eastAsia="仿宋" w:cs="仿宋"/>
                <w:sz w:val="24"/>
                <w:highlight w:val="none"/>
              </w:rPr>
            </w:pPr>
            <w:r>
              <w:rPr>
                <w:rFonts w:hint="eastAsia" w:ascii="仿宋" w:hAnsi="仿宋" w:eastAsia="仿宋" w:cs="仿宋"/>
                <w:sz w:val="24"/>
                <w:highlight w:val="none"/>
              </w:rPr>
              <w:t>5、运维管理</w:t>
            </w:r>
          </w:p>
          <w:p w14:paraId="6B30CD87">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支持全中文管理界面HTTPS方式登录、SSH命令行方式管理、用户角色管理、多级授权管理，HTTPS登陆时可设置TLS协议版本SSH登陆时可设置加密算法、SSH MAC算法和SSH密钥交换算法；</w:t>
            </w:r>
          </w:p>
          <w:p w14:paraId="0B1E1F2C">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支持大数据输出功能，输出必须包括客户端IP、x-forwarded-For IP、访问时间、访问IP、访问URL、响应时间和资源大小；</w:t>
            </w:r>
          </w:p>
          <w:p w14:paraId="76ACE3E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支持启用RAS事件告警，当设备PCIE或内存出现硬件故障时发送RAS告警；</w:t>
            </w:r>
          </w:p>
          <w:p w14:paraId="571F8401">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支持设备巡检功能，被检测设备无需访问互联网，实现离线巡检，并且可针对安全巡检、功能巡检以及健康巡检等多场景进行需要巡检的模块；</w:t>
            </w:r>
          </w:p>
          <w:p w14:paraId="69A5E1D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支持端口枯竭告警功能，并支持针对告警阈值和告警间隔时间进行设置；</w:t>
            </w:r>
          </w:p>
          <w:p w14:paraId="565DA97C">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支持对设备的管理日志进行新旧配置对比，及时发现设备管理上的变化；</w:t>
            </w:r>
          </w:p>
        </w:tc>
        <w:tc>
          <w:tcPr>
            <w:tcW w:w="730" w:type="dxa"/>
            <w:noWrap/>
            <w:vAlign w:val="center"/>
          </w:tcPr>
          <w:p w14:paraId="7A5E9077">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73060C9C">
            <w:pPr>
              <w:widowControl/>
              <w:rPr>
                <w:rFonts w:ascii="仿宋" w:hAnsi="仿宋" w:eastAsia="仿宋" w:cs="仿宋"/>
                <w:sz w:val="24"/>
                <w:highlight w:val="none"/>
              </w:rPr>
            </w:pPr>
            <w:r>
              <w:rPr>
                <w:rFonts w:hint="eastAsia" w:ascii="仿宋" w:hAnsi="仿宋" w:eastAsia="仿宋" w:cs="仿宋"/>
                <w:sz w:val="24"/>
                <w:highlight w:val="none"/>
              </w:rPr>
              <w:t>套</w:t>
            </w:r>
          </w:p>
        </w:tc>
      </w:tr>
      <w:tr w14:paraId="037B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4E9DE777">
            <w:pPr>
              <w:widowControl/>
              <w:jc w:val="center"/>
              <w:rPr>
                <w:rFonts w:ascii="仿宋" w:hAnsi="仿宋" w:eastAsia="仿宋" w:cs="仿宋"/>
                <w:sz w:val="24"/>
                <w:highlight w:val="none"/>
              </w:rPr>
            </w:pPr>
            <w:r>
              <w:rPr>
                <w:rFonts w:hint="eastAsia" w:ascii="仿宋" w:hAnsi="仿宋" w:eastAsia="仿宋" w:cs="仿宋"/>
                <w:sz w:val="24"/>
                <w:highlight w:val="none"/>
              </w:rPr>
              <w:t>11</w:t>
            </w:r>
          </w:p>
        </w:tc>
        <w:tc>
          <w:tcPr>
            <w:tcW w:w="1514" w:type="dxa"/>
            <w:gridSpan w:val="2"/>
            <w:noWrap/>
            <w:vAlign w:val="center"/>
          </w:tcPr>
          <w:p w14:paraId="07953570">
            <w:pPr>
              <w:widowControl/>
              <w:jc w:val="left"/>
              <w:rPr>
                <w:rFonts w:ascii="仿宋" w:hAnsi="仿宋" w:eastAsia="仿宋" w:cs="仿宋"/>
                <w:sz w:val="24"/>
                <w:highlight w:val="none"/>
              </w:rPr>
            </w:pPr>
            <w:r>
              <w:rPr>
                <w:rFonts w:hint="eastAsia" w:ascii="仿宋" w:hAnsi="仿宋" w:eastAsia="仿宋" w:cs="仿宋"/>
                <w:sz w:val="24"/>
                <w:highlight w:val="none"/>
              </w:rPr>
              <w:t>融合调度网关一体机</w:t>
            </w:r>
          </w:p>
        </w:tc>
        <w:tc>
          <w:tcPr>
            <w:tcW w:w="5415" w:type="dxa"/>
            <w:noWrap/>
            <w:vAlign w:val="center"/>
          </w:tcPr>
          <w:p w14:paraId="2276035C">
            <w:pPr>
              <w:widowControl/>
              <w:jc w:val="left"/>
              <w:rPr>
                <w:rFonts w:hint="eastAsia" w:ascii="仿宋" w:hAnsi="仿宋" w:eastAsia="仿宋" w:cs="仿宋"/>
                <w:sz w:val="24"/>
                <w:highlight w:val="none"/>
              </w:rPr>
            </w:pPr>
            <w:r>
              <w:rPr>
                <w:rFonts w:hint="eastAsia" w:ascii="仿宋" w:hAnsi="仿宋" w:eastAsia="仿宋" w:cs="仿宋"/>
                <w:sz w:val="24"/>
                <w:highlight w:val="none"/>
              </w:rPr>
              <w:t>国产处理器：≥2*16C，主频≥2.5GHz;</w:t>
            </w:r>
          </w:p>
          <w:p w14:paraId="6CE98E5B">
            <w:pPr>
              <w:widowControl/>
              <w:jc w:val="left"/>
              <w:rPr>
                <w:rFonts w:hint="eastAsia" w:ascii="仿宋" w:hAnsi="仿宋" w:eastAsia="仿宋" w:cs="仿宋"/>
                <w:sz w:val="24"/>
                <w:highlight w:val="none"/>
              </w:rPr>
            </w:pPr>
            <w:r>
              <w:rPr>
                <w:rFonts w:hint="eastAsia" w:ascii="仿宋" w:hAnsi="仿宋" w:eastAsia="仿宋" w:cs="仿宋"/>
                <w:sz w:val="24"/>
                <w:highlight w:val="none"/>
              </w:rPr>
              <w:t>内存：≥128GB DDR4；</w:t>
            </w:r>
          </w:p>
          <w:p w14:paraId="659F07B8">
            <w:pPr>
              <w:widowControl/>
              <w:jc w:val="left"/>
              <w:rPr>
                <w:rFonts w:hint="eastAsia" w:ascii="仿宋" w:hAnsi="仿宋" w:eastAsia="仿宋" w:cs="仿宋"/>
                <w:sz w:val="24"/>
                <w:highlight w:val="none"/>
              </w:rPr>
            </w:pPr>
            <w:r>
              <w:rPr>
                <w:rFonts w:hint="eastAsia" w:ascii="仿宋" w:hAnsi="仿宋" w:eastAsia="仿宋" w:cs="仿宋"/>
                <w:sz w:val="24"/>
                <w:highlight w:val="none"/>
              </w:rPr>
              <w:t>硬盘：≥3*4TB SATA硬盘,支持RAID5；</w:t>
            </w:r>
          </w:p>
          <w:p w14:paraId="0A55AFCD">
            <w:pPr>
              <w:widowControl/>
              <w:jc w:val="left"/>
              <w:rPr>
                <w:rFonts w:hint="eastAsia" w:ascii="仿宋" w:hAnsi="仿宋" w:eastAsia="仿宋" w:cs="仿宋"/>
                <w:sz w:val="24"/>
                <w:highlight w:val="none"/>
              </w:rPr>
            </w:pPr>
            <w:r>
              <w:rPr>
                <w:rFonts w:hint="eastAsia" w:ascii="仿宋" w:hAnsi="仿宋" w:eastAsia="仿宋" w:cs="仿宋"/>
                <w:sz w:val="24"/>
                <w:highlight w:val="none"/>
              </w:rPr>
              <w:t>网卡：≥2*千兆网卡；</w:t>
            </w:r>
          </w:p>
          <w:p w14:paraId="5453E2A7">
            <w:pPr>
              <w:widowControl/>
              <w:jc w:val="left"/>
              <w:rPr>
                <w:rFonts w:hint="eastAsia" w:ascii="仿宋" w:hAnsi="仿宋" w:eastAsia="仿宋" w:cs="仿宋"/>
                <w:sz w:val="24"/>
                <w:highlight w:val="none"/>
              </w:rPr>
            </w:pPr>
            <w:r>
              <w:rPr>
                <w:rFonts w:hint="eastAsia" w:ascii="仿宋" w:hAnsi="仿宋" w:eastAsia="仿宋" w:cs="仿宋"/>
                <w:sz w:val="24"/>
                <w:highlight w:val="none"/>
              </w:rPr>
              <w:t>采集的音视频均按照国标GBT/28181协议或RTP格式（TCP协议）进行传输，符合公安部相关安全边界要求；</w:t>
            </w:r>
          </w:p>
          <w:p w14:paraId="7D6B328F">
            <w:pPr>
              <w:widowControl/>
              <w:jc w:val="left"/>
              <w:rPr>
                <w:rFonts w:hint="eastAsia" w:ascii="仿宋" w:hAnsi="仿宋" w:eastAsia="仿宋" w:cs="仿宋"/>
                <w:sz w:val="24"/>
                <w:highlight w:val="none"/>
              </w:rPr>
            </w:pPr>
            <w:r>
              <w:rPr>
                <w:rFonts w:hint="eastAsia" w:ascii="仿宋" w:hAnsi="仿宋" w:eastAsia="仿宋" w:cs="仿宋"/>
                <w:sz w:val="24"/>
                <w:highlight w:val="none"/>
              </w:rPr>
              <w:t>融合调度模块实现集成指挥平台标准接口对接；</w:t>
            </w:r>
          </w:p>
          <w:p w14:paraId="0C7553AA">
            <w:pPr>
              <w:widowControl/>
              <w:jc w:val="left"/>
              <w:rPr>
                <w:rFonts w:hint="eastAsia" w:ascii="仿宋" w:hAnsi="仿宋" w:eastAsia="仿宋" w:cs="仿宋"/>
                <w:sz w:val="24"/>
                <w:highlight w:val="none"/>
              </w:rPr>
            </w:pPr>
            <w:r>
              <w:rPr>
                <w:rFonts w:hint="eastAsia" w:ascii="仿宋" w:hAnsi="仿宋" w:eastAsia="仿宋" w:cs="仿宋"/>
                <w:sz w:val="24"/>
                <w:highlight w:val="none"/>
              </w:rPr>
              <w:t>提供集成指挥平台OCX插件包、移动执法终端音视频软件SDK包。与公安交通集成指挥平台无缝对接，各功能菜单在集成指挥平台展示；</w:t>
            </w:r>
          </w:p>
          <w:p w14:paraId="3015402A">
            <w:pPr>
              <w:widowControl/>
              <w:jc w:val="left"/>
              <w:rPr>
                <w:rFonts w:hint="eastAsia" w:ascii="仿宋" w:hAnsi="仿宋" w:eastAsia="仿宋" w:cs="仿宋"/>
                <w:sz w:val="24"/>
                <w:highlight w:val="none"/>
              </w:rPr>
            </w:pPr>
            <w:r>
              <w:rPr>
                <w:rFonts w:hint="eastAsia" w:ascii="仿宋" w:hAnsi="仿宋" w:eastAsia="仿宋" w:cs="仿宋"/>
                <w:sz w:val="24"/>
                <w:highlight w:val="none"/>
              </w:rPr>
              <w:t>用户容量≥2000个；</w:t>
            </w:r>
          </w:p>
          <w:p w14:paraId="17CCAF95">
            <w:pPr>
              <w:widowControl/>
              <w:jc w:val="left"/>
              <w:rPr>
                <w:rFonts w:hint="eastAsia" w:ascii="仿宋" w:hAnsi="仿宋" w:eastAsia="仿宋" w:cs="仿宋"/>
                <w:sz w:val="24"/>
                <w:highlight w:val="none"/>
              </w:rPr>
            </w:pPr>
            <w:r>
              <w:rPr>
                <w:rFonts w:hint="eastAsia" w:ascii="仿宋" w:hAnsi="仿宋" w:eastAsia="仿宋" w:cs="仿宋"/>
                <w:sz w:val="24"/>
                <w:highlight w:val="none"/>
              </w:rPr>
              <w:t>并发呼叫人数≥1024个；</w:t>
            </w:r>
          </w:p>
          <w:p w14:paraId="107EC8B7">
            <w:pPr>
              <w:widowControl/>
              <w:jc w:val="left"/>
              <w:rPr>
                <w:rFonts w:hint="eastAsia" w:ascii="仿宋" w:hAnsi="仿宋" w:eastAsia="仿宋" w:cs="仿宋"/>
                <w:sz w:val="24"/>
                <w:highlight w:val="none"/>
              </w:rPr>
            </w:pPr>
            <w:r>
              <w:rPr>
                <w:rFonts w:hint="eastAsia" w:ascii="仿宋" w:hAnsi="仿宋" w:eastAsia="仿宋" w:cs="仿宋"/>
                <w:sz w:val="24"/>
                <w:highlight w:val="none"/>
              </w:rPr>
              <w:t>音视频业务处理响应能力≤2秒；</w:t>
            </w:r>
          </w:p>
          <w:p w14:paraId="5441ABBB">
            <w:pPr>
              <w:widowControl/>
              <w:jc w:val="left"/>
              <w:rPr>
                <w:rFonts w:hint="eastAsia" w:ascii="仿宋" w:hAnsi="仿宋" w:eastAsia="仿宋" w:cs="仿宋"/>
                <w:sz w:val="24"/>
                <w:highlight w:val="none"/>
              </w:rPr>
            </w:pPr>
            <w:r>
              <w:rPr>
                <w:rFonts w:hint="eastAsia" w:ascii="仿宋" w:hAnsi="仿宋" w:eastAsia="仿宋" w:cs="仿宋"/>
                <w:sz w:val="24"/>
                <w:highlight w:val="none"/>
              </w:rPr>
              <w:t>业务处理响应能力≥1024个；</w:t>
            </w:r>
          </w:p>
          <w:p w14:paraId="5E251B5D">
            <w:pPr>
              <w:widowControl/>
              <w:jc w:val="left"/>
              <w:rPr>
                <w:rFonts w:hint="eastAsia" w:ascii="仿宋" w:hAnsi="仿宋" w:eastAsia="仿宋" w:cs="仿宋"/>
                <w:sz w:val="24"/>
                <w:highlight w:val="none"/>
              </w:rPr>
            </w:pPr>
            <w:r>
              <w:rPr>
                <w:rFonts w:hint="eastAsia" w:ascii="仿宋" w:hAnsi="仿宋" w:eastAsia="仿宋" w:cs="仿宋"/>
                <w:sz w:val="24"/>
                <w:highlight w:val="none"/>
              </w:rPr>
              <w:t>视频接口并发能力≥128路；</w:t>
            </w:r>
          </w:p>
          <w:p w14:paraId="7B1252F4">
            <w:pPr>
              <w:widowControl/>
              <w:jc w:val="left"/>
              <w:rPr>
                <w:rFonts w:hint="eastAsia" w:ascii="仿宋" w:hAnsi="仿宋" w:eastAsia="仿宋" w:cs="仿宋"/>
                <w:sz w:val="24"/>
                <w:highlight w:val="none"/>
              </w:rPr>
            </w:pPr>
            <w:r>
              <w:rPr>
                <w:rFonts w:hint="eastAsia" w:ascii="仿宋" w:hAnsi="仿宋" w:eastAsia="仿宋" w:cs="仿宋"/>
                <w:sz w:val="24"/>
                <w:highlight w:val="none"/>
              </w:rPr>
              <w:t>信息推送并发能力≥2000条/秒；</w:t>
            </w:r>
          </w:p>
          <w:p w14:paraId="4A283C24">
            <w:pPr>
              <w:widowControl/>
              <w:jc w:val="left"/>
              <w:rPr>
                <w:rFonts w:hint="eastAsia" w:ascii="仿宋" w:hAnsi="仿宋" w:eastAsia="仿宋" w:cs="仿宋"/>
                <w:sz w:val="24"/>
                <w:highlight w:val="none"/>
              </w:rPr>
            </w:pPr>
            <w:r>
              <w:rPr>
                <w:rFonts w:hint="eastAsia" w:ascii="仿宋" w:hAnsi="仿宋" w:eastAsia="仿宋" w:cs="仿宋"/>
                <w:sz w:val="24"/>
                <w:highlight w:val="none"/>
              </w:rPr>
              <w:t>创建组呼响应能力≤1秒；</w:t>
            </w:r>
          </w:p>
          <w:p w14:paraId="649A6E7E">
            <w:pPr>
              <w:widowControl/>
              <w:jc w:val="left"/>
              <w:rPr>
                <w:rFonts w:hint="eastAsia" w:ascii="仿宋" w:hAnsi="仿宋" w:eastAsia="仿宋" w:cs="仿宋"/>
                <w:sz w:val="24"/>
                <w:highlight w:val="none"/>
              </w:rPr>
            </w:pPr>
            <w:r>
              <w:rPr>
                <w:rFonts w:hint="eastAsia" w:ascii="仿宋" w:hAnsi="仿宋" w:eastAsia="仿宋" w:cs="仿宋"/>
                <w:sz w:val="24"/>
                <w:highlight w:val="none"/>
              </w:rPr>
              <w:t>音频延迟≤500ms；</w:t>
            </w:r>
          </w:p>
          <w:p w14:paraId="14903E46">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视频延迟≤500ms；</w:t>
            </w:r>
          </w:p>
          <w:p w14:paraId="46BE04D9">
            <w:pPr>
              <w:widowControl/>
              <w:jc w:val="left"/>
              <w:rPr>
                <w:rFonts w:hint="eastAsia" w:ascii="仿宋" w:hAnsi="仿宋" w:eastAsia="仿宋" w:cs="仿宋"/>
                <w:sz w:val="24"/>
                <w:highlight w:val="none"/>
              </w:rPr>
            </w:pPr>
            <w:r>
              <w:rPr>
                <w:rFonts w:hint="eastAsia" w:ascii="仿宋" w:hAnsi="仿宋" w:eastAsia="仿宋" w:cs="仿宋"/>
                <w:sz w:val="24"/>
                <w:highlight w:val="none"/>
              </w:rPr>
              <w:t>音频对讲并发≥512个；</w:t>
            </w:r>
          </w:p>
          <w:p w14:paraId="6D73F712">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视频对讲并发≥512个；</w:t>
            </w:r>
          </w:p>
          <w:p w14:paraId="3C780E51">
            <w:pPr>
              <w:widowControl/>
              <w:jc w:val="left"/>
              <w:rPr>
                <w:rFonts w:hint="eastAsia" w:ascii="仿宋" w:hAnsi="仿宋" w:eastAsia="仿宋" w:cs="仿宋"/>
                <w:sz w:val="24"/>
                <w:highlight w:val="none"/>
              </w:rPr>
            </w:pPr>
            <w:r>
              <w:rPr>
                <w:rFonts w:hint="eastAsia" w:ascii="仿宋" w:hAnsi="仿宋" w:eastAsia="仿宋" w:cs="仿宋"/>
                <w:sz w:val="24"/>
                <w:highlight w:val="none"/>
              </w:rPr>
              <w:t>视频对讲带宽占用≤100k/路。</w:t>
            </w:r>
          </w:p>
          <w:p w14:paraId="72FAFB75">
            <w:pPr>
              <w:widowControl/>
              <w:jc w:val="left"/>
              <w:rPr>
                <w:rFonts w:hint="eastAsia" w:ascii="仿宋" w:hAnsi="仿宋" w:eastAsia="仿宋" w:cs="仿宋"/>
                <w:sz w:val="24"/>
                <w:highlight w:val="none"/>
              </w:rPr>
            </w:pPr>
            <w:r>
              <w:rPr>
                <w:rFonts w:hint="eastAsia" w:ascii="仿宋" w:hAnsi="仿宋" w:eastAsia="仿宋" w:cs="仿宋"/>
                <w:sz w:val="24"/>
                <w:highlight w:val="none"/>
              </w:rPr>
              <w:t>业务属性和功能要求：</w:t>
            </w:r>
          </w:p>
          <w:p w14:paraId="244F82BF">
            <w:pPr>
              <w:widowControl/>
              <w:jc w:val="left"/>
              <w:rPr>
                <w:rFonts w:hint="eastAsia" w:ascii="仿宋" w:hAnsi="仿宋" w:eastAsia="仿宋" w:cs="仿宋"/>
                <w:sz w:val="24"/>
                <w:highlight w:val="none"/>
              </w:rPr>
            </w:pPr>
            <w:r>
              <w:rPr>
                <w:rFonts w:hint="eastAsia" w:ascii="仿宋" w:hAnsi="仿宋" w:eastAsia="仿宋" w:cs="仿宋"/>
                <w:sz w:val="24"/>
                <w:highlight w:val="none"/>
              </w:rPr>
              <w:t>1、多层级音视频调度</w:t>
            </w:r>
          </w:p>
          <w:p w14:paraId="442FC267">
            <w:pPr>
              <w:widowControl/>
              <w:jc w:val="left"/>
              <w:rPr>
                <w:rFonts w:hint="eastAsia" w:ascii="仿宋" w:hAnsi="仿宋" w:eastAsia="仿宋" w:cs="仿宋"/>
                <w:sz w:val="24"/>
                <w:highlight w:val="none"/>
              </w:rPr>
            </w:pPr>
            <w:r>
              <w:rPr>
                <w:rFonts w:hint="eastAsia" w:ascii="仿宋" w:hAnsi="仿宋" w:eastAsia="仿宋" w:cs="仿宋"/>
                <w:sz w:val="24"/>
                <w:highlight w:val="none"/>
              </w:rPr>
              <w:t>依托集成指挥平台按照部省市三级部署融合通信网关，各级网关公安网内进行网状连接，实现音视频全国联网，同时通过与视频会议系统的对接实现为部局研判室、各级指挥中心提供音视频连线服务。</w:t>
            </w:r>
          </w:p>
          <w:p w14:paraId="1A4D2285">
            <w:pPr>
              <w:widowControl/>
              <w:jc w:val="left"/>
              <w:rPr>
                <w:rFonts w:hint="eastAsia" w:ascii="仿宋" w:hAnsi="仿宋" w:eastAsia="仿宋" w:cs="仿宋"/>
                <w:sz w:val="24"/>
                <w:highlight w:val="none"/>
              </w:rPr>
            </w:pPr>
            <w:r>
              <w:rPr>
                <w:rFonts w:hint="eastAsia" w:ascii="仿宋" w:hAnsi="仿宋" w:eastAsia="仿宋" w:cs="仿宋"/>
                <w:sz w:val="24"/>
                <w:highlight w:val="none"/>
              </w:rPr>
              <w:t>2、音视频资源统一管理</w:t>
            </w:r>
          </w:p>
          <w:p w14:paraId="67738858">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对具备改造条件的路面监控视频，警务通、350M集群对讲系统、执法记录仪等个人配发执勤执法装备以及室内软视频会议系统等终端统一接入，实现终端音视频的统一管理。并可通过平台实现对各类终端选择、切换、静音开启、呼叫插入等功能。</w:t>
            </w:r>
          </w:p>
          <w:p w14:paraId="77745D66">
            <w:pPr>
              <w:widowControl/>
              <w:jc w:val="left"/>
              <w:rPr>
                <w:rFonts w:hint="eastAsia" w:ascii="仿宋" w:hAnsi="仿宋" w:eastAsia="仿宋" w:cs="仿宋"/>
                <w:sz w:val="24"/>
                <w:highlight w:val="none"/>
              </w:rPr>
            </w:pPr>
            <w:r>
              <w:rPr>
                <w:rFonts w:hint="eastAsia" w:ascii="仿宋" w:hAnsi="仿宋" w:eastAsia="仿宋" w:cs="仿宋"/>
                <w:sz w:val="24"/>
                <w:highlight w:val="none"/>
              </w:rPr>
              <w:t>3、可视化指挥调度</w:t>
            </w:r>
          </w:p>
          <w:p w14:paraId="7D7032E5">
            <w:pPr>
              <w:widowControl/>
              <w:jc w:val="left"/>
              <w:rPr>
                <w:rFonts w:hint="eastAsia" w:ascii="仿宋" w:hAnsi="仿宋" w:eastAsia="仿宋" w:cs="仿宋"/>
                <w:sz w:val="24"/>
                <w:highlight w:val="none"/>
              </w:rPr>
            </w:pPr>
            <w:r>
              <w:rPr>
                <w:rFonts w:hint="eastAsia" w:ascii="仿宋" w:hAnsi="仿宋" w:eastAsia="仿宋" w:cs="仿宋"/>
                <w:sz w:val="24"/>
                <w:highlight w:val="none"/>
              </w:rPr>
              <w:t>实现基础视频调度。支持分级部署，实现跨单位多层级音视频实时通话，构建大范围统一指挥调度体系。支持调阅指定终端用户的音视频回传，双方建立通讯临时频道，支持呼叫过程中加入终端成员。</w:t>
            </w:r>
          </w:p>
          <w:p w14:paraId="38D9D18A">
            <w:pPr>
              <w:widowControl/>
              <w:jc w:val="left"/>
              <w:rPr>
                <w:rFonts w:hint="eastAsia" w:ascii="仿宋" w:hAnsi="仿宋" w:eastAsia="仿宋" w:cs="仿宋"/>
                <w:sz w:val="24"/>
                <w:highlight w:val="none"/>
              </w:rPr>
            </w:pPr>
            <w:r>
              <w:rPr>
                <w:rFonts w:hint="eastAsia" w:ascii="仿宋" w:hAnsi="仿宋" w:eastAsia="仿宋" w:cs="仿宋"/>
                <w:sz w:val="24"/>
                <w:highlight w:val="none"/>
              </w:rPr>
              <w:t>4、可视化处警</w:t>
            </w:r>
          </w:p>
          <w:p w14:paraId="1B2A6DD1">
            <w:pPr>
              <w:widowControl/>
              <w:jc w:val="left"/>
              <w:rPr>
                <w:rFonts w:hint="eastAsia" w:ascii="仿宋" w:hAnsi="仿宋" w:eastAsia="仿宋" w:cs="仿宋"/>
                <w:sz w:val="24"/>
                <w:highlight w:val="none"/>
              </w:rPr>
            </w:pPr>
            <w:r>
              <w:rPr>
                <w:rFonts w:hint="eastAsia" w:ascii="仿宋" w:hAnsi="仿宋" w:eastAsia="仿宋" w:cs="仿宋"/>
                <w:sz w:val="24"/>
                <w:highlight w:val="none"/>
              </w:rPr>
              <w:t>实现路面民警通过警务通、车载平板调度周边路面监控视频、车载视频，支持民警音视频通话，提高处警效率。</w:t>
            </w:r>
          </w:p>
          <w:p w14:paraId="14CF65C3">
            <w:pPr>
              <w:widowControl/>
              <w:jc w:val="left"/>
              <w:rPr>
                <w:rFonts w:hint="eastAsia" w:ascii="仿宋" w:hAnsi="仿宋" w:eastAsia="仿宋" w:cs="仿宋"/>
                <w:sz w:val="24"/>
                <w:highlight w:val="none"/>
              </w:rPr>
            </w:pPr>
            <w:r>
              <w:rPr>
                <w:rFonts w:hint="eastAsia" w:ascii="仿宋" w:hAnsi="仿宋" w:eastAsia="仿宋" w:cs="仿宋"/>
                <w:sz w:val="24"/>
                <w:highlight w:val="none"/>
              </w:rPr>
              <w:t>5、可视化协助</w:t>
            </w:r>
          </w:p>
          <w:p w14:paraId="1599A180">
            <w:pPr>
              <w:widowControl/>
              <w:jc w:val="left"/>
              <w:rPr>
                <w:rFonts w:hint="eastAsia" w:ascii="仿宋" w:hAnsi="仿宋" w:eastAsia="仿宋" w:cs="仿宋"/>
                <w:sz w:val="24"/>
                <w:highlight w:val="none"/>
              </w:rPr>
            </w:pPr>
            <w:r>
              <w:rPr>
                <w:rFonts w:hint="eastAsia" w:ascii="仿宋" w:hAnsi="仿宋" w:eastAsia="仿宋" w:cs="仿宋"/>
                <w:sz w:val="24"/>
                <w:highlight w:val="none"/>
              </w:rPr>
              <w:t>实现路面民警通过警务通向指挥中心申请协助，协助可以音视频方式发起，构建路指协同体系。</w:t>
            </w:r>
          </w:p>
          <w:p w14:paraId="657A0D73">
            <w:pPr>
              <w:widowControl/>
              <w:jc w:val="left"/>
              <w:rPr>
                <w:rFonts w:hint="eastAsia" w:ascii="仿宋" w:hAnsi="仿宋" w:eastAsia="仿宋" w:cs="仿宋"/>
                <w:sz w:val="24"/>
                <w:highlight w:val="none"/>
              </w:rPr>
            </w:pPr>
            <w:r>
              <w:rPr>
                <w:rFonts w:hint="eastAsia" w:ascii="仿宋" w:hAnsi="仿宋" w:eastAsia="仿宋" w:cs="仿宋"/>
                <w:sz w:val="24"/>
                <w:highlight w:val="none"/>
              </w:rPr>
              <w:t>6、终端入会</w:t>
            </w:r>
          </w:p>
          <w:p w14:paraId="096BE3BF">
            <w:pPr>
              <w:widowControl/>
              <w:jc w:val="left"/>
              <w:rPr>
                <w:rFonts w:hint="eastAsia" w:ascii="仿宋" w:hAnsi="仿宋" w:eastAsia="仿宋" w:cs="仿宋"/>
                <w:sz w:val="24"/>
                <w:highlight w:val="none"/>
              </w:rPr>
            </w:pPr>
            <w:r>
              <w:rPr>
                <w:rFonts w:hint="eastAsia" w:ascii="仿宋" w:hAnsi="仿宋" w:eastAsia="仿宋" w:cs="仿宋"/>
                <w:sz w:val="24"/>
                <w:highlight w:val="none"/>
              </w:rPr>
              <w:t>支持将集成的音视频终端通过软硬件形式接入MCU视频会议系统，支持分级构建视频会议，支持部局研判室通过视频会议系统调度各地终端视频，支持各地监控视频终端入会。</w:t>
            </w:r>
          </w:p>
          <w:p w14:paraId="1BEDE3BE">
            <w:pPr>
              <w:widowControl/>
              <w:jc w:val="left"/>
              <w:rPr>
                <w:rFonts w:hint="eastAsia" w:ascii="仿宋" w:hAnsi="仿宋" w:eastAsia="仿宋" w:cs="仿宋"/>
                <w:sz w:val="24"/>
                <w:highlight w:val="none"/>
              </w:rPr>
            </w:pPr>
            <w:r>
              <w:rPr>
                <w:rFonts w:hint="eastAsia" w:ascii="仿宋" w:hAnsi="仿宋" w:eastAsia="仿宋" w:cs="仿宋"/>
                <w:sz w:val="24"/>
                <w:highlight w:val="none"/>
              </w:rPr>
              <w:t>7、语音接入</w:t>
            </w:r>
          </w:p>
          <w:p w14:paraId="62BDEC5E">
            <w:pPr>
              <w:widowControl/>
              <w:jc w:val="left"/>
              <w:rPr>
                <w:rFonts w:hint="eastAsia" w:ascii="仿宋" w:hAnsi="仿宋" w:eastAsia="仿宋" w:cs="仿宋"/>
                <w:sz w:val="24"/>
                <w:highlight w:val="none"/>
              </w:rPr>
            </w:pPr>
            <w:r>
              <w:rPr>
                <w:rFonts w:hint="eastAsia" w:ascii="仿宋" w:hAnsi="仿宋" w:eastAsia="仿宋" w:cs="仿宋"/>
                <w:sz w:val="24"/>
                <w:highlight w:val="none"/>
              </w:rPr>
              <w:t>集成PSTN电话网，实现移动手机与固定电话的语音接入。一个用户同时支持一路电话通讯和多路对讲机对话。可用户数与语音卡支持接入数量相关。电话通讯过程中同时支持其他终端的音视频对话。</w:t>
            </w:r>
          </w:p>
          <w:p w14:paraId="15401404">
            <w:pPr>
              <w:widowControl/>
              <w:jc w:val="left"/>
              <w:rPr>
                <w:rFonts w:hint="eastAsia" w:ascii="仿宋" w:hAnsi="仿宋" w:eastAsia="仿宋" w:cs="仿宋"/>
                <w:sz w:val="24"/>
                <w:highlight w:val="none"/>
              </w:rPr>
            </w:pPr>
            <w:r>
              <w:rPr>
                <w:rFonts w:hint="eastAsia" w:ascii="仿宋" w:hAnsi="仿宋" w:eastAsia="仿宋" w:cs="仿宋"/>
                <w:sz w:val="24"/>
                <w:highlight w:val="none"/>
              </w:rPr>
              <w:t>8、终端对接</w:t>
            </w:r>
          </w:p>
          <w:p w14:paraId="40F68006">
            <w:pPr>
              <w:widowControl/>
              <w:jc w:val="left"/>
              <w:rPr>
                <w:rFonts w:hint="eastAsia" w:ascii="仿宋" w:hAnsi="仿宋" w:eastAsia="仿宋" w:cs="仿宋"/>
                <w:sz w:val="24"/>
                <w:highlight w:val="none"/>
              </w:rPr>
            </w:pPr>
            <w:r>
              <w:rPr>
                <w:rFonts w:hint="eastAsia" w:ascii="仿宋" w:hAnsi="仿宋" w:eastAsia="仿宋" w:cs="仿宋"/>
                <w:sz w:val="24"/>
                <w:highlight w:val="none"/>
              </w:rPr>
              <w:t>支持警务通系统、执法记录仪、车载摄像视频的平台之间对接。提供接入跨网络解决方案，警务通提供集成指挥平台移动警务系统或音视频调度SDK。</w:t>
            </w:r>
          </w:p>
          <w:p w14:paraId="247A3130">
            <w:pPr>
              <w:widowControl/>
              <w:jc w:val="left"/>
              <w:rPr>
                <w:rFonts w:hint="eastAsia" w:ascii="仿宋" w:hAnsi="仿宋" w:eastAsia="仿宋" w:cs="仿宋"/>
                <w:sz w:val="24"/>
                <w:highlight w:val="none"/>
              </w:rPr>
            </w:pPr>
            <w:r>
              <w:rPr>
                <w:rFonts w:hint="eastAsia" w:ascii="仿宋" w:hAnsi="仿宋" w:eastAsia="仿宋" w:cs="仿宋"/>
                <w:sz w:val="24"/>
                <w:highlight w:val="none"/>
              </w:rPr>
              <w:t>9、录音录播</w:t>
            </w:r>
          </w:p>
          <w:p w14:paraId="4A10C903">
            <w:pPr>
              <w:widowControl/>
              <w:jc w:val="left"/>
              <w:rPr>
                <w:rFonts w:hint="eastAsia" w:ascii="仿宋" w:hAnsi="仿宋" w:eastAsia="仿宋" w:cs="仿宋"/>
                <w:sz w:val="24"/>
                <w:highlight w:val="none"/>
              </w:rPr>
            </w:pPr>
            <w:r>
              <w:rPr>
                <w:rFonts w:hint="eastAsia" w:ascii="仿宋" w:hAnsi="仿宋" w:eastAsia="仿宋" w:cs="仿宋"/>
                <w:sz w:val="24"/>
                <w:highlight w:val="none"/>
              </w:rPr>
              <w:t>支持通讯过程中的音视频录音录播功能，并提供历史录音、录像查询播放</w:t>
            </w:r>
          </w:p>
          <w:p w14:paraId="4B0F61A6">
            <w:pPr>
              <w:widowControl/>
              <w:jc w:val="left"/>
              <w:rPr>
                <w:rFonts w:hint="eastAsia" w:ascii="仿宋" w:hAnsi="仿宋" w:eastAsia="仿宋" w:cs="仿宋"/>
                <w:sz w:val="24"/>
                <w:highlight w:val="none"/>
              </w:rPr>
            </w:pPr>
            <w:r>
              <w:rPr>
                <w:rFonts w:hint="eastAsia" w:ascii="仿宋" w:hAnsi="仿宋" w:eastAsia="仿宋" w:cs="仿宋"/>
                <w:sz w:val="24"/>
                <w:highlight w:val="none"/>
              </w:rPr>
              <w:t>性能要求：</w:t>
            </w:r>
          </w:p>
          <w:p w14:paraId="2A93D417">
            <w:pPr>
              <w:widowControl/>
              <w:jc w:val="left"/>
              <w:rPr>
                <w:rFonts w:hint="eastAsia" w:ascii="仿宋" w:hAnsi="仿宋" w:eastAsia="仿宋" w:cs="仿宋"/>
                <w:sz w:val="24"/>
                <w:highlight w:val="none"/>
              </w:rPr>
            </w:pPr>
            <w:r>
              <w:rPr>
                <w:rFonts w:hint="eastAsia" w:ascii="仿宋" w:hAnsi="仿宋" w:eastAsia="仿宋" w:cs="仿宋"/>
                <w:sz w:val="24"/>
                <w:highlight w:val="none"/>
              </w:rPr>
              <w:t>1、安全性管理</w:t>
            </w:r>
          </w:p>
          <w:p w14:paraId="7D8485CB">
            <w:pPr>
              <w:widowControl/>
              <w:jc w:val="left"/>
              <w:rPr>
                <w:rFonts w:hint="eastAsia" w:ascii="仿宋" w:hAnsi="仿宋" w:eastAsia="仿宋" w:cs="仿宋"/>
                <w:sz w:val="24"/>
                <w:highlight w:val="none"/>
              </w:rPr>
            </w:pPr>
            <w:r>
              <w:rPr>
                <w:rFonts w:hint="eastAsia" w:ascii="仿宋" w:hAnsi="仿宋" w:eastAsia="仿宋" w:cs="仿宋"/>
                <w:sz w:val="24"/>
                <w:highlight w:val="none"/>
              </w:rPr>
              <w:t>系统所有通信接口均按照集成指挥平台的加解密通信要求，系统针对每路音视频调用隐藏视频调用地址的方式保证视频地址安全；每路音视频调度都通过授权码解密核验调用来源是否安全。</w:t>
            </w:r>
          </w:p>
          <w:p w14:paraId="7E817B69">
            <w:pPr>
              <w:widowControl/>
              <w:jc w:val="left"/>
              <w:rPr>
                <w:rFonts w:hint="eastAsia" w:ascii="仿宋" w:hAnsi="仿宋" w:eastAsia="仿宋" w:cs="仿宋"/>
                <w:sz w:val="24"/>
                <w:highlight w:val="none"/>
              </w:rPr>
            </w:pPr>
            <w:r>
              <w:rPr>
                <w:rFonts w:hint="eastAsia" w:ascii="仿宋" w:hAnsi="仿宋" w:eastAsia="仿宋" w:cs="仿宋"/>
                <w:sz w:val="24"/>
                <w:highlight w:val="none"/>
              </w:rPr>
              <w:t>音视频流符合公安无线安全边界要求。</w:t>
            </w:r>
          </w:p>
          <w:p w14:paraId="765FEEFD">
            <w:pPr>
              <w:widowControl/>
              <w:jc w:val="left"/>
              <w:rPr>
                <w:rFonts w:hint="eastAsia" w:ascii="仿宋" w:hAnsi="仿宋" w:eastAsia="仿宋" w:cs="仿宋"/>
                <w:sz w:val="24"/>
                <w:highlight w:val="none"/>
              </w:rPr>
            </w:pPr>
            <w:r>
              <w:rPr>
                <w:rFonts w:hint="eastAsia" w:ascii="仿宋" w:hAnsi="仿宋" w:eastAsia="仿宋" w:cs="仿宋"/>
                <w:sz w:val="24"/>
                <w:highlight w:val="none"/>
              </w:rPr>
              <w:t>2、响应能力</w:t>
            </w:r>
          </w:p>
          <w:p w14:paraId="6FE1FC44">
            <w:pPr>
              <w:widowControl/>
              <w:jc w:val="left"/>
              <w:rPr>
                <w:rFonts w:hint="eastAsia" w:ascii="仿宋" w:hAnsi="仿宋" w:eastAsia="仿宋" w:cs="仿宋"/>
                <w:sz w:val="24"/>
                <w:highlight w:val="none"/>
              </w:rPr>
            </w:pPr>
            <w:r>
              <w:rPr>
                <w:rFonts w:hint="eastAsia" w:ascii="仿宋" w:hAnsi="仿宋" w:eastAsia="仿宋" w:cs="仿宋"/>
                <w:sz w:val="24"/>
                <w:highlight w:val="none"/>
              </w:rPr>
              <w:t>系统接到集成指挥平台的指令后，立即调用所属支队的融合调度网关进行通信，从创建频道到完成单呼和组呼的视频响应。</w:t>
            </w:r>
          </w:p>
          <w:p w14:paraId="204695B0">
            <w:pPr>
              <w:widowControl/>
              <w:jc w:val="left"/>
              <w:rPr>
                <w:rFonts w:hint="eastAsia" w:ascii="仿宋" w:hAnsi="仿宋" w:eastAsia="仿宋" w:cs="仿宋"/>
                <w:sz w:val="24"/>
                <w:highlight w:val="none"/>
              </w:rPr>
            </w:pPr>
            <w:r>
              <w:rPr>
                <w:rFonts w:hint="eastAsia" w:ascii="仿宋" w:hAnsi="仿宋" w:eastAsia="仿宋" w:cs="仿宋"/>
                <w:sz w:val="24"/>
                <w:highlight w:val="none"/>
              </w:rPr>
              <w:t>调用路面监控视频时，从收到请求到完成视频响应。</w:t>
            </w:r>
          </w:p>
          <w:p w14:paraId="2A6F7AFC">
            <w:pPr>
              <w:widowControl/>
              <w:jc w:val="left"/>
              <w:rPr>
                <w:rFonts w:hint="eastAsia" w:ascii="仿宋" w:hAnsi="仿宋" w:eastAsia="仿宋" w:cs="仿宋"/>
                <w:sz w:val="24"/>
                <w:highlight w:val="none"/>
              </w:rPr>
            </w:pPr>
            <w:r>
              <w:rPr>
                <w:rFonts w:hint="eastAsia" w:ascii="仿宋" w:hAnsi="仿宋" w:eastAsia="仿宋" w:cs="仿宋"/>
                <w:sz w:val="24"/>
                <w:highlight w:val="none"/>
              </w:rPr>
              <w:t>3、自动重连机制</w:t>
            </w:r>
          </w:p>
          <w:p w14:paraId="7C679E2A">
            <w:pPr>
              <w:widowControl/>
              <w:jc w:val="left"/>
              <w:rPr>
                <w:rFonts w:hint="eastAsia" w:ascii="仿宋" w:hAnsi="仿宋" w:eastAsia="仿宋" w:cs="仿宋"/>
                <w:sz w:val="24"/>
                <w:highlight w:val="none"/>
              </w:rPr>
            </w:pPr>
            <w:r>
              <w:rPr>
                <w:rFonts w:hint="eastAsia" w:ascii="仿宋" w:hAnsi="仿宋" w:eastAsia="仿宋" w:cs="仿宋"/>
                <w:sz w:val="24"/>
                <w:highlight w:val="none"/>
              </w:rPr>
              <w:t>考虑到移动设备的网络环境相对比较复杂，融合通信指挥调度平台支持断网自动重连，为保证视频的实时性，网关根据时间戳，对断网期间的视频包只进行保存处理，不进行实时视频转发。</w:t>
            </w:r>
          </w:p>
          <w:p w14:paraId="449EBC3E">
            <w:pPr>
              <w:widowControl/>
              <w:jc w:val="left"/>
              <w:rPr>
                <w:rFonts w:hint="eastAsia" w:ascii="仿宋" w:hAnsi="仿宋" w:eastAsia="仿宋" w:cs="仿宋"/>
                <w:sz w:val="24"/>
                <w:highlight w:val="none"/>
              </w:rPr>
            </w:pPr>
            <w:r>
              <w:rPr>
                <w:rFonts w:hint="eastAsia" w:ascii="仿宋" w:hAnsi="仿宋" w:eastAsia="仿宋" w:cs="仿宋"/>
                <w:sz w:val="24"/>
                <w:highlight w:val="none"/>
              </w:rPr>
              <w:t>4、多种对接方式</w:t>
            </w:r>
          </w:p>
          <w:p w14:paraId="613BD2E2">
            <w:pPr>
              <w:widowControl/>
              <w:jc w:val="left"/>
              <w:rPr>
                <w:rFonts w:hint="eastAsia" w:ascii="仿宋" w:hAnsi="仿宋" w:eastAsia="仿宋" w:cs="仿宋"/>
                <w:sz w:val="24"/>
                <w:highlight w:val="none"/>
              </w:rPr>
            </w:pPr>
            <w:r>
              <w:rPr>
                <w:rFonts w:hint="eastAsia" w:ascii="仿宋" w:hAnsi="仿宋" w:eastAsia="仿宋" w:cs="仿宋"/>
                <w:sz w:val="24"/>
                <w:highlight w:val="none"/>
              </w:rPr>
              <w:t>网关支持多种音视频的接入和播放格式，如28181、rtsp、rtmp等格式。</w:t>
            </w:r>
          </w:p>
          <w:p w14:paraId="1C0BB01F">
            <w:pPr>
              <w:widowControl/>
              <w:jc w:val="left"/>
              <w:rPr>
                <w:rFonts w:hint="eastAsia" w:ascii="仿宋" w:hAnsi="仿宋" w:eastAsia="仿宋" w:cs="仿宋"/>
                <w:sz w:val="24"/>
                <w:highlight w:val="none"/>
              </w:rPr>
            </w:pPr>
            <w:r>
              <w:rPr>
                <w:rFonts w:hint="eastAsia" w:ascii="仿宋" w:hAnsi="仿宋" w:eastAsia="仿宋" w:cs="仿宋"/>
                <w:sz w:val="24"/>
                <w:highlight w:val="none"/>
              </w:rPr>
              <w:t>5、音频编码格式</w:t>
            </w:r>
          </w:p>
          <w:p w14:paraId="0C35EB1F">
            <w:pPr>
              <w:widowControl/>
              <w:jc w:val="left"/>
              <w:rPr>
                <w:rFonts w:hint="eastAsia" w:ascii="仿宋" w:hAnsi="仿宋" w:eastAsia="仿宋" w:cs="仿宋"/>
                <w:sz w:val="24"/>
                <w:highlight w:val="none"/>
              </w:rPr>
            </w:pPr>
            <w:r>
              <w:rPr>
                <w:rFonts w:hint="eastAsia" w:ascii="仿宋" w:hAnsi="仿宋" w:eastAsia="仿宋" w:cs="仿宋"/>
                <w:sz w:val="24"/>
                <w:highlight w:val="none"/>
              </w:rPr>
              <w:t>融合通信指挥调度平台的音频数据应支持iLBC编码</w:t>
            </w:r>
          </w:p>
        </w:tc>
        <w:tc>
          <w:tcPr>
            <w:tcW w:w="730" w:type="dxa"/>
            <w:noWrap/>
            <w:vAlign w:val="center"/>
          </w:tcPr>
          <w:p w14:paraId="597A3830">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0C8C7E3F">
            <w:pPr>
              <w:widowControl/>
              <w:rPr>
                <w:rFonts w:ascii="仿宋" w:hAnsi="仿宋" w:eastAsia="仿宋" w:cs="仿宋"/>
                <w:sz w:val="24"/>
                <w:highlight w:val="none"/>
              </w:rPr>
            </w:pPr>
            <w:r>
              <w:rPr>
                <w:rFonts w:hint="eastAsia" w:ascii="仿宋" w:hAnsi="仿宋" w:eastAsia="仿宋" w:cs="仿宋"/>
                <w:sz w:val="24"/>
                <w:highlight w:val="none"/>
              </w:rPr>
              <w:t>套</w:t>
            </w:r>
          </w:p>
        </w:tc>
      </w:tr>
      <w:tr w14:paraId="0DB2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7EECEECC">
            <w:pPr>
              <w:widowControl/>
              <w:jc w:val="center"/>
              <w:rPr>
                <w:rFonts w:ascii="仿宋" w:hAnsi="仿宋" w:eastAsia="仿宋" w:cs="仿宋"/>
                <w:sz w:val="24"/>
                <w:highlight w:val="none"/>
              </w:rPr>
            </w:pPr>
            <w:r>
              <w:rPr>
                <w:rFonts w:hint="eastAsia" w:ascii="仿宋" w:hAnsi="仿宋" w:eastAsia="仿宋" w:cs="仿宋"/>
                <w:sz w:val="24"/>
                <w:highlight w:val="none"/>
              </w:rPr>
              <w:t>12</w:t>
            </w:r>
          </w:p>
        </w:tc>
        <w:tc>
          <w:tcPr>
            <w:tcW w:w="456" w:type="dxa"/>
            <w:vMerge w:val="restart"/>
            <w:noWrap/>
            <w:vAlign w:val="center"/>
          </w:tcPr>
          <w:p w14:paraId="25E130D8">
            <w:pPr>
              <w:widowControl/>
              <w:jc w:val="left"/>
              <w:rPr>
                <w:rFonts w:ascii="仿宋" w:hAnsi="仿宋" w:eastAsia="仿宋" w:cs="仿宋"/>
                <w:sz w:val="24"/>
                <w:highlight w:val="none"/>
              </w:rPr>
            </w:pPr>
            <w:r>
              <w:rPr>
                <w:rFonts w:hint="eastAsia" w:ascii="仿宋" w:hAnsi="仿宋" w:eastAsia="仿宋" w:cs="仿宋"/>
                <w:sz w:val="24"/>
                <w:highlight w:val="none"/>
              </w:rPr>
              <w:t>数据处理一体机</w:t>
            </w:r>
          </w:p>
        </w:tc>
        <w:tc>
          <w:tcPr>
            <w:tcW w:w="1058" w:type="dxa"/>
            <w:noWrap/>
            <w:vAlign w:val="center"/>
          </w:tcPr>
          <w:p w14:paraId="6E6C399F">
            <w:pPr>
              <w:widowControl/>
              <w:jc w:val="left"/>
              <w:rPr>
                <w:rFonts w:ascii="仿宋" w:hAnsi="仿宋" w:eastAsia="仿宋" w:cs="仿宋"/>
                <w:sz w:val="24"/>
                <w:highlight w:val="none"/>
              </w:rPr>
            </w:pPr>
            <w:r>
              <w:rPr>
                <w:rFonts w:hint="eastAsia" w:ascii="仿宋" w:hAnsi="仿宋" w:eastAsia="仿宋" w:cs="仿宋"/>
                <w:sz w:val="24"/>
                <w:highlight w:val="none"/>
              </w:rPr>
              <w:t>计算节点</w:t>
            </w:r>
          </w:p>
        </w:tc>
        <w:tc>
          <w:tcPr>
            <w:tcW w:w="5415" w:type="dxa"/>
            <w:noWrap/>
            <w:vAlign w:val="center"/>
          </w:tcPr>
          <w:p w14:paraId="774F82FB">
            <w:pPr>
              <w:widowControl/>
              <w:jc w:val="left"/>
              <w:rPr>
                <w:rFonts w:ascii="仿宋" w:hAnsi="仿宋" w:eastAsia="仿宋" w:cs="仿宋"/>
                <w:sz w:val="24"/>
                <w:highlight w:val="none"/>
              </w:rPr>
            </w:pPr>
            <w:r>
              <w:rPr>
                <w:rFonts w:hint="eastAsia" w:ascii="仿宋" w:hAnsi="仿宋" w:eastAsia="仿宋" w:cs="仿宋"/>
                <w:sz w:val="24"/>
                <w:highlight w:val="none"/>
              </w:rPr>
              <w:t>2路机架式，12NVMe盘位</w:t>
            </w:r>
          </w:p>
          <w:p w14:paraId="1C740E12">
            <w:pPr>
              <w:widowControl/>
              <w:jc w:val="left"/>
              <w:rPr>
                <w:rFonts w:ascii="仿宋" w:hAnsi="仿宋" w:eastAsia="仿宋" w:cs="仿宋"/>
                <w:sz w:val="24"/>
                <w:highlight w:val="none"/>
              </w:rPr>
            </w:pPr>
            <w:r>
              <w:rPr>
                <w:rFonts w:hint="eastAsia" w:ascii="仿宋" w:hAnsi="仿宋" w:eastAsia="仿宋" w:cs="仿宋"/>
                <w:sz w:val="24"/>
                <w:highlight w:val="none"/>
              </w:rPr>
              <w:t>国产处理器：≥2*32C，主频≥2.2GHz</w:t>
            </w:r>
          </w:p>
          <w:p w14:paraId="0A9CCAF6">
            <w:pPr>
              <w:widowControl/>
              <w:jc w:val="left"/>
              <w:rPr>
                <w:rFonts w:ascii="仿宋" w:hAnsi="仿宋" w:eastAsia="仿宋" w:cs="仿宋"/>
                <w:sz w:val="24"/>
                <w:highlight w:val="none"/>
              </w:rPr>
            </w:pPr>
            <w:r>
              <w:rPr>
                <w:rFonts w:hint="eastAsia" w:ascii="仿宋" w:hAnsi="仿宋" w:eastAsia="仿宋" w:cs="仿宋"/>
                <w:sz w:val="24"/>
                <w:highlight w:val="none"/>
              </w:rPr>
              <w:t>内存：≥512GB DDR4</w:t>
            </w:r>
          </w:p>
          <w:p w14:paraId="057B4EAC">
            <w:pPr>
              <w:widowControl/>
              <w:jc w:val="left"/>
              <w:rPr>
                <w:rFonts w:ascii="仿宋" w:hAnsi="仿宋" w:eastAsia="仿宋" w:cs="仿宋"/>
                <w:sz w:val="24"/>
                <w:highlight w:val="none"/>
              </w:rPr>
            </w:pPr>
            <w:r>
              <w:rPr>
                <w:rFonts w:hint="eastAsia" w:ascii="仿宋" w:hAnsi="仿宋" w:eastAsia="仿宋" w:cs="仿宋"/>
                <w:sz w:val="24"/>
                <w:highlight w:val="none"/>
              </w:rPr>
              <w:t>硬盘：≥2*1.92TB U.2 NVMe 企业级SSD</w:t>
            </w:r>
          </w:p>
          <w:p w14:paraId="6A900DD8">
            <w:pPr>
              <w:widowControl/>
              <w:jc w:val="left"/>
              <w:rPr>
                <w:rFonts w:ascii="仿宋" w:hAnsi="仿宋" w:eastAsia="仿宋" w:cs="仿宋"/>
                <w:sz w:val="24"/>
                <w:highlight w:val="none"/>
              </w:rPr>
            </w:pPr>
            <w:r>
              <w:rPr>
                <w:rFonts w:hint="eastAsia" w:ascii="仿宋" w:hAnsi="仿宋" w:eastAsia="仿宋" w:cs="仿宋"/>
                <w:sz w:val="24"/>
                <w:highlight w:val="none"/>
              </w:rPr>
              <w:t>网卡：≥2*100GbE 双端口QSFP28光模块， PCIe3.0 x16网卡(支持 RoCE v2)；</w:t>
            </w:r>
          </w:p>
          <w:p w14:paraId="657C35AA">
            <w:pPr>
              <w:widowControl/>
              <w:jc w:val="left"/>
              <w:rPr>
                <w:rFonts w:ascii="仿宋" w:hAnsi="仿宋" w:eastAsia="仿宋" w:cs="仿宋"/>
                <w:sz w:val="24"/>
                <w:highlight w:val="none"/>
              </w:rPr>
            </w:pPr>
            <w:r>
              <w:rPr>
                <w:rFonts w:hint="eastAsia" w:ascii="仿宋" w:hAnsi="仿宋" w:eastAsia="仿宋" w:cs="仿宋"/>
                <w:sz w:val="24"/>
                <w:highlight w:val="none"/>
              </w:rPr>
              <w:t>网线：≥4*3m 100GbE QSFP28 Ethernet Cable，2*3m 10Gb SFP+ Cable；</w:t>
            </w:r>
          </w:p>
          <w:p w14:paraId="5DB2CDC4">
            <w:pPr>
              <w:widowControl/>
              <w:jc w:val="left"/>
              <w:rPr>
                <w:rFonts w:ascii="仿宋" w:hAnsi="仿宋" w:eastAsia="仿宋" w:cs="仿宋"/>
                <w:sz w:val="24"/>
                <w:highlight w:val="none"/>
              </w:rPr>
            </w:pPr>
            <w:r>
              <w:rPr>
                <w:rFonts w:hint="eastAsia" w:ascii="仿宋" w:hAnsi="仿宋" w:eastAsia="仿宋" w:cs="仿宋"/>
                <w:sz w:val="24"/>
                <w:highlight w:val="none"/>
              </w:rPr>
              <w:t>电源：≥2*1300W</w:t>
            </w:r>
          </w:p>
          <w:p w14:paraId="12E09914">
            <w:pPr>
              <w:widowControl/>
              <w:jc w:val="left"/>
              <w:rPr>
                <w:rFonts w:ascii="仿宋" w:hAnsi="仿宋" w:eastAsia="仿宋" w:cs="仿宋"/>
                <w:sz w:val="24"/>
                <w:highlight w:val="none"/>
              </w:rPr>
            </w:pPr>
            <w:r>
              <w:rPr>
                <w:rFonts w:hint="eastAsia" w:ascii="仿宋" w:hAnsi="仿宋" w:eastAsia="仿宋" w:cs="仿宋"/>
                <w:sz w:val="24"/>
                <w:highlight w:val="none"/>
              </w:rPr>
              <w:t>含国产操作系统</w:t>
            </w:r>
          </w:p>
          <w:p w14:paraId="0432642E">
            <w:pPr>
              <w:widowControl/>
              <w:jc w:val="left"/>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tc>
        <w:tc>
          <w:tcPr>
            <w:tcW w:w="730" w:type="dxa"/>
            <w:noWrap/>
            <w:vAlign w:val="center"/>
          </w:tcPr>
          <w:p w14:paraId="32F067A9">
            <w:pPr>
              <w:widowControl/>
              <w:jc w:val="left"/>
              <w:rPr>
                <w:rFonts w:ascii="仿宋" w:hAnsi="仿宋" w:eastAsia="仿宋" w:cs="仿宋"/>
                <w:sz w:val="24"/>
                <w:highlight w:val="none"/>
              </w:rPr>
            </w:pPr>
            <w:r>
              <w:rPr>
                <w:rFonts w:hint="eastAsia" w:ascii="仿宋" w:hAnsi="仿宋" w:eastAsia="仿宋" w:cs="仿宋"/>
                <w:sz w:val="24"/>
                <w:highlight w:val="none"/>
              </w:rPr>
              <w:t>2</w:t>
            </w:r>
          </w:p>
        </w:tc>
        <w:tc>
          <w:tcPr>
            <w:tcW w:w="1000" w:type="dxa"/>
            <w:noWrap/>
            <w:vAlign w:val="center"/>
          </w:tcPr>
          <w:p w14:paraId="17639C1A">
            <w:pPr>
              <w:widowControl/>
              <w:jc w:val="left"/>
              <w:rPr>
                <w:rFonts w:ascii="仿宋" w:hAnsi="仿宋" w:eastAsia="仿宋" w:cs="仿宋"/>
                <w:sz w:val="24"/>
                <w:highlight w:val="none"/>
              </w:rPr>
            </w:pPr>
            <w:r>
              <w:rPr>
                <w:rFonts w:hint="eastAsia" w:ascii="仿宋" w:hAnsi="仿宋" w:eastAsia="仿宋" w:cs="仿宋"/>
                <w:sz w:val="24"/>
                <w:highlight w:val="none"/>
              </w:rPr>
              <w:t>节点</w:t>
            </w:r>
          </w:p>
        </w:tc>
      </w:tr>
      <w:tr w14:paraId="1A75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571D10B8">
            <w:pPr>
              <w:widowControl/>
              <w:jc w:val="center"/>
              <w:rPr>
                <w:rFonts w:ascii="仿宋" w:hAnsi="仿宋" w:eastAsia="仿宋" w:cs="仿宋"/>
                <w:sz w:val="24"/>
                <w:highlight w:val="none"/>
              </w:rPr>
            </w:pPr>
            <w:r>
              <w:rPr>
                <w:rFonts w:hint="eastAsia" w:ascii="仿宋" w:hAnsi="仿宋" w:eastAsia="仿宋" w:cs="仿宋"/>
                <w:sz w:val="24"/>
                <w:highlight w:val="none"/>
              </w:rPr>
              <w:t>13</w:t>
            </w:r>
          </w:p>
        </w:tc>
        <w:tc>
          <w:tcPr>
            <w:tcW w:w="456" w:type="dxa"/>
            <w:vMerge w:val="continue"/>
            <w:noWrap/>
            <w:vAlign w:val="center"/>
          </w:tcPr>
          <w:p w14:paraId="2C04C191">
            <w:pPr>
              <w:rPr>
                <w:highlight w:val="none"/>
              </w:rPr>
            </w:pPr>
          </w:p>
        </w:tc>
        <w:tc>
          <w:tcPr>
            <w:tcW w:w="1058" w:type="dxa"/>
            <w:noWrap/>
            <w:vAlign w:val="center"/>
          </w:tcPr>
          <w:p w14:paraId="2D335A49">
            <w:pPr>
              <w:widowControl/>
              <w:jc w:val="left"/>
              <w:rPr>
                <w:rFonts w:ascii="仿宋" w:hAnsi="仿宋" w:eastAsia="仿宋" w:cs="仿宋"/>
                <w:sz w:val="24"/>
                <w:highlight w:val="none"/>
              </w:rPr>
            </w:pPr>
            <w:r>
              <w:rPr>
                <w:rFonts w:hint="eastAsia" w:ascii="仿宋" w:hAnsi="仿宋" w:eastAsia="仿宋" w:cs="仿宋"/>
                <w:sz w:val="24"/>
                <w:highlight w:val="none"/>
              </w:rPr>
              <w:t>存储节点</w:t>
            </w:r>
          </w:p>
        </w:tc>
        <w:tc>
          <w:tcPr>
            <w:tcW w:w="5415" w:type="dxa"/>
            <w:noWrap/>
            <w:vAlign w:val="center"/>
          </w:tcPr>
          <w:p w14:paraId="31243568">
            <w:pPr>
              <w:widowControl/>
              <w:rPr>
                <w:rFonts w:ascii="仿宋" w:hAnsi="仿宋" w:eastAsia="仿宋" w:cs="仿宋"/>
                <w:sz w:val="24"/>
                <w:highlight w:val="none"/>
              </w:rPr>
            </w:pPr>
            <w:r>
              <w:rPr>
                <w:rFonts w:hint="eastAsia" w:ascii="仿宋" w:hAnsi="仿宋" w:eastAsia="仿宋" w:cs="仿宋"/>
                <w:sz w:val="24"/>
                <w:highlight w:val="none"/>
              </w:rPr>
              <w:t>2路机架式，12NVMe盘位</w:t>
            </w:r>
          </w:p>
          <w:p w14:paraId="2DA0F6C1">
            <w:pPr>
              <w:widowControl/>
              <w:rPr>
                <w:rFonts w:ascii="仿宋" w:hAnsi="仿宋" w:eastAsia="仿宋" w:cs="仿宋"/>
                <w:sz w:val="24"/>
                <w:highlight w:val="none"/>
              </w:rPr>
            </w:pPr>
            <w:r>
              <w:rPr>
                <w:rFonts w:hint="eastAsia" w:ascii="仿宋" w:hAnsi="仿宋" w:eastAsia="仿宋" w:cs="仿宋"/>
                <w:sz w:val="24"/>
                <w:highlight w:val="none"/>
              </w:rPr>
              <w:t>国产处理器：≥2*24C，主频≥2.2GHz</w:t>
            </w:r>
          </w:p>
          <w:p w14:paraId="097CF294">
            <w:pPr>
              <w:widowControl/>
              <w:rPr>
                <w:rFonts w:ascii="仿宋" w:hAnsi="仿宋" w:eastAsia="仿宋" w:cs="仿宋"/>
                <w:sz w:val="24"/>
                <w:highlight w:val="none"/>
              </w:rPr>
            </w:pPr>
            <w:r>
              <w:rPr>
                <w:rFonts w:hint="eastAsia" w:ascii="仿宋" w:hAnsi="仿宋" w:eastAsia="仿宋" w:cs="仿宋"/>
                <w:sz w:val="24"/>
                <w:highlight w:val="none"/>
              </w:rPr>
              <w:t>内存：≥128GB DDR4</w:t>
            </w:r>
          </w:p>
          <w:p w14:paraId="67CF7D58">
            <w:pPr>
              <w:widowControl/>
              <w:rPr>
                <w:rFonts w:ascii="仿宋" w:hAnsi="仿宋" w:eastAsia="仿宋" w:cs="仿宋"/>
                <w:sz w:val="24"/>
                <w:highlight w:val="none"/>
              </w:rPr>
            </w:pPr>
            <w:r>
              <w:rPr>
                <w:rFonts w:hint="eastAsia" w:ascii="仿宋" w:hAnsi="仿宋" w:eastAsia="仿宋" w:cs="仿宋"/>
                <w:sz w:val="24"/>
                <w:highlight w:val="none"/>
              </w:rPr>
              <w:t>硬盘：≥2*1.92TB U.2 NVMe 企业级SSD，≥10*7.68TB 2.5英寸 U.2企业级 NVMe SSD</w:t>
            </w:r>
          </w:p>
          <w:p w14:paraId="4E1D2FFD">
            <w:pPr>
              <w:widowControl/>
              <w:rPr>
                <w:rFonts w:ascii="仿宋" w:hAnsi="仿宋" w:eastAsia="仿宋" w:cs="仿宋"/>
                <w:sz w:val="24"/>
                <w:highlight w:val="none"/>
              </w:rPr>
            </w:pPr>
            <w:r>
              <w:rPr>
                <w:rFonts w:hint="eastAsia" w:ascii="仿宋" w:hAnsi="仿宋" w:eastAsia="仿宋" w:cs="仿宋"/>
                <w:sz w:val="24"/>
                <w:highlight w:val="none"/>
              </w:rPr>
              <w:t>网卡：2*100GbE 单端口 QSFP28光模块，PCIe3.0 x16网卡(支持 RoCE v2)</w:t>
            </w:r>
          </w:p>
          <w:p w14:paraId="2EFC02CF">
            <w:pPr>
              <w:widowControl/>
              <w:rPr>
                <w:rFonts w:ascii="仿宋" w:hAnsi="仿宋" w:eastAsia="仿宋" w:cs="仿宋"/>
                <w:sz w:val="24"/>
                <w:highlight w:val="none"/>
              </w:rPr>
            </w:pPr>
            <w:r>
              <w:rPr>
                <w:rFonts w:hint="eastAsia" w:ascii="仿宋" w:hAnsi="仿宋" w:eastAsia="仿宋" w:cs="仿宋"/>
                <w:sz w:val="24"/>
                <w:highlight w:val="none"/>
              </w:rPr>
              <w:t>网线：≥2*3m 100GbE QSFP28 Ethernet Cable，2*3m 10Gb SFP+ Cable；</w:t>
            </w:r>
          </w:p>
          <w:p w14:paraId="62E50883">
            <w:pPr>
              <w:widowControl/>
              <w:rPr>
                <w:rFonts w:ascii="仿宋" w:hAnsi="仿宋" w:eastAsia="仿宋" w:cs="仿宋"/>
                <w:sz w:val="24"/>
                <w:highlight w:val="none"/>
              </w:rPr>
            </w:pPr>
            <w:r>
              <w:rPr>
                <w:rFonts w:hint="eastAsia" w:ascii="仿宋" w:hAnsi="仿宋" w:eastAsia="仿宋" w:cs="仿宋"/>
                <w:sz w:val="24"/>
                <w:highlight w:val="none"/>
              </w:rPr>
              <w:t>电源：≥2*1300W</w:t>
            </w:r>
          </w:p>
          <w:p w14:paraId="54E31487">
            <w:pPr>
              <w:widowControl/>
              <w:jc w:val="left"/>
              <w:rPr>
                <w:rFonts w:ascii="仿宋" w:hAnsi="仿宋" w:eastAsia="仿宋" w:cs="仿宋"/>
                <w:sz w:val="24"/>
                <w:highlight w:val="none"/>
              </w:rPr>
            </w:pPr>
            <w:r>
              <w:rPr>
                <w:rFonts w:hint="eastAsia" w:ascii="仿宋" w:hAnsi="仿宋" w:eastAsia="仿宋" w:cs="仿宋"/>
                <w:sz w:val="24"/>
                <w:highlight w:val="none"/>
              </w:rPr>
              <w:t>含国产操作系统</w:t>
            </w:r>
          </w:p>
          <w:p w14:paraId="73ADFC9B">
            <w:pPr>
              <w:widowControl/>
              <w:rPr>
                <w:rFonts w:ascii="仿宋" w:hAnsi="仿宋" w:eastAsia="仿宋" w:cs="仿宋"/>
                <w:b/>
                <w:bCs/>
                <w:sz w:val="24"/>
                <w:highlight w:val="none"/>
              </w:rPr>
            </w:pPr>
            <w:r>
              <w:rPr>
                <w:rFonts w:hint="eastAsia" w:ascii="仿宋" w:hAnsi="仿宋" w:eastAsia="仿宋" w:cs="仿宋"/>
                <w:b/>
                <w:bCs/>
                <w:sz w:val="24"/>
                <w:highlight w:val="none"/>
              </w:rPr>
              <w:t>硬件部分详细参数要求附后</w:t>
            </w:r>
          </w:p>
        </w:tc>
        <w:tc>
          <w:tcPr>
            <w:tcW w:w="730" w:type="dxa"/>
            <w:noWrap/>
            <w:vAlign w:val="center"/>
          </w:tcPr>
          <w:p w14:paraId="09D8D6D6">
            <w:pPr>
              <w:widowControl/>
              <w:jc w:val="left"/>
              <w:rPr>
                <w:rFonts w:ascii="仿宋" w:hAnsi="仿宋" w:eastAsia="仿宋" w:cs="仿宋"/>
                <w:sz w:val="24"/>
                <w:highlight w:val="none"/>
              </w:rPr>
            </w:pPr>
            <w:r>
              <w:rPr>
                <w:rFonts w:hint="eastAsia" w:ascii="仿宋" w:hAnsi="仿宋" w:eastAsia="仿宋" w:cs="仿宋"/>
                <w:sz w:val="24"/>
                <w:highlight w:val="none"/>
              </w:rPr>
              <w:t>3</w:t>
            </w:r>
          </w:p>
        </w:tc>
        <w:tc>
          <w:tcPr>
            <w:tcW w:w="1000" w:type="dxa"/>
            <w:noWrap/>
            <w:vAlign w:val="center"/>
          </w:tcPr>
          <w:p w14:paraId="7BCEDFEE">
            <w:pPr>
              <w:widowControl/>
              <w:jc w:val="left"/>
              <w:rPr>
                <w:rFonts w:ascii="仿宋" w:hAnsi="仿宋" w:eastAsia="仿宋" w:cs="仿宋"/>
                <w:sz w:val="24"/>
                <w:highlight w:val="none"/>
              </w:rPr>
            </w:pPr>
            <w:r>
              <w:rPr>
                <w:rFonts w:hint="eastAsia" w:ascii="仿宋" w:hAnsi="仿宋" w:eastAsia="仿宋" w:cs="仿宋"/>
                <w:sz w:val="24"/>
                <w:highlight w:val="none"/>
              </w:rPr>
              <w:t>节点</w:t>
            </w:r>
          </w:p>
        </w:tc>
      </w:tr>
      <w:tr w14:paraId="1656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2D70C37A">
            <w:pPr>
              <w:widowControl/>
              <w:jc w:val="center"/>
              <w:rPr>
                <w:rFonts w:ascii="仿宋" w:hAnsi="仿宋" w:eastAsia="仿宋" w:cs="仿宋"/>
                <w:sz w:val="24"/>
                <w:highlight w:val="none"/>
              </w:rPr>
            </w:pPr>
            <w:r>
              <w:rPr>
                <w:rFonts w:hint="eastAsia" w:ascii="仿宋" w:hAnsi="仿宋" w:eastAsia="仿宋" w:cs="仿宋"/>
                <w:sz w:val="24"/>
                <w:highlight w:val="none"/>
              </w:rPr>
              <w:t>14</w:t>
            </w:r>
          </w:p>
        </w:tc>
        <w:tc>
          <w:tcPr>
            <w:tcW w:w="456" w:type="dxa"/>
            <w:vMerge w:val="continue"/>
            <w:noWrap/>
            <w:vAlign w:val="center"/>
          </w:tcPr>
          <w:p w14:paraId="0D9F1529">
            <w:pPr>
              <w:rPr>
                <w:highlight w:val="none"/>
              </w:rPr>
            </w:pPr>
          </w:p>
        </w:tc>
        <w:tc>
          <w:tcPr>
            <w:tcW w:w="1058" w:type="dxa"/>
            <w:noWrap/>
            <w:vAlign w:val="center"/>
          </w:tcPr>
          <w:p w14:paraId="6FC52F26">
            <w:pPr>
              <w:widowControl/>
              <w:jc w:val="left"/>
              <w:rPr>
                <w:rFonts w:ascii="仿宋" w:hAnsi="仿宋" w:eastAsia="仿宋" w:cs="仿宋"/>
                <w:sz w:val="24"/>
                <w:highlight w:val="none"/>
              </w:rPr>
            </w:pPr>
            <w:r>
              <w:rPr>
                <w:rFonts w:hint="eastAsia" w:ascii="仿宋" w:hAnsi="仿宋" w:eastAsia="仿宋" w:cs="仿宋"/>
                <w:sz w:val="24"/>
                <w:highlight w:val="none"/>
              </w:rPr>
              <w:t>网络节点</w:t>
            </w:r>
          </w:p>
        </w:tc>
        <w:tc>
          <w:tcPr>
            <w:tcW w:w="5415" w:type="dxa"/>
            <w:noWrap/>
            <w:vAlign w:val="center"/>
          </w:tcPr>
          <w:p w14:paraId="38FB42FB">
            <w:pPr>
              <w:widowControl/>
              <w:jc w:val="left"/>
              <w:rPr>
                <w:rFonts w:ascii="仿宋" w:hAnsi="仿宋" w:eastAsia="仿宋" w:cs="仿宋"/>
                <w:sz w:val="24"/>
                <w:highlight w:val="none"/>
              </w:rPr>
            </w:pPr>
            <w:r>
              <w:rPr>
                <w:rFonts w:hint="eastAsia" w:ascii="仿宋" w:hAnsi="仿宋" w:eastAsia="仿宋" w:cs="仿宋"/>
                <w:sz w:val="24"/>
                <w:highlight w:val="none"/>
              </w:rPr>
              <w:t>≥32端口 100GbE 以太交换机，双电源，带管理，支持RoCE</w:t>
            </w:r>
          </w:p>
        </w:tc>
        <w:tc>
          <w:tcPr>
            <w:tcW w:w="730" w:type="dxa"/>
            <w:noWrap/>
            <w:vAlign w:val="center"/>
          </w:tcPr>
          <w:p w14:paraId="655BE009">
            <w:pPr>
              <w:widowControl/>
              <w:rPr>
                <w:rFonts w:ascii="仿宋" w:hAnsi="仿宋" w:eastAsia="仿宋" w:cs="仿宋"/>
                <w:sz w:val="24"/>
                <w:highlight w:val="none"/>
              </w:rPr>
            </w:pPr>
            <w:r>
              <w:rPr>
                <w:rFonts w:hint="eastAsia" w:ascii="仿宋" w:hAnsi="仿宋" w:eastAsia="仿宋" w:cs="仿宋"/>
                <w:sz w:val="24"/>
                <w:highlight w:val="none"/>
              </w:rPr>
              <w:t>2</w:t>
            </w:r>
          </w:p>
        </w:tc>
        <w:tc>
          <w:tcPr>
            <w:tcW w:w="1000" w:type="dxa"/>
            <w:noWrap/>
            <w:vAlign w:val="center"/>
          </w:tcPr>
          <w:p w14:paraId="255EE36E">
            <w:pPr>
              <w:widowControl/>
              <w:rPr>
                <w:rFonts w:ascii="仿宋" w:hAnsi="仿宋" w:eastAsia="仿宋" w:cs="仿宋"/>
                <w:sz w:val="24"/>
                <w:highlight w:val="none"/>
              </w:rPr>
            </w:pPr>
            <w:r>
              <w:rPr>
                <w:rFonts w:hint="eastAsia" w:ascii="仿宋" w:hAnsi="仿宋" w:eastAsia="仿宋" w:cs="仿宋"/>
                <w:sz w:val="24"/>
                <w:highlight w:val="none"/>
              </w:rPr>
              <w:t>节点</w:t>
            </w:r>
          </w:p>
        </w:tc>
      </w:tr>
      <w:tr w14:paraId="1DB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208A057B">
            <w:pPr>
              <w:widowControl/>
              <w:jc w:val="center"/>
              <w:rPr>
                <w:rFonts w:ascii="仿宋" w:hAnsi="仿宋" w:eastAsia="仿宋" w:cs="仿宋"/>
                <w:sz w:val="24"/>
                <w:highlight w:val="none"/>
              </w:rPr>
            </w:pPr>
            <w:r>
              <w:rPr>
                <w:rFonts w:hint="eastAsia" w:ascii="仿宋" w:hAnsi="仿宋" w:eastAsia="仿宋" w:cs="仿宋"/>
                <w:sz w:val="24"/>
                <w:highlight w:val="none"/>
              </w:rPr>
              <w:t>15</w:t>
            </w:r>
          </w:p>
        </w:tc>
        <w:tc>
          <w:tcPr>
            <w:tcW w:w="456" w:type="dxa"/>
            <w:vMerge w:val="continue"/>
            <w:noWrap/>
            <w:vAlign w:val="center"/>
          </w:tcPr>
          <w:p w14:paraId="6F636AAB">
            <w:pPr>
              <w:rPr>
                <w:highlight w:val="none"/>
              </w:rPr>
            </w:pPr>
          </w:p>
        </w:tc>
        <w:tc>
          <w:tcPr>
            <w:tcW w:w="1058" w:type="dxa"/>
            <w:noWrap/>
            <w:vAlign w:val="center"/>
          </w:tcPr>
          <w:p w14:paraId="546CB507">
            <w:pPr>
              <w:widowControl/>
              <w:jc w:val="left"/>
              <w:rPr>
                <w:rFonts w:ascii="仿宋" w:hAnsi="仿宋" w:eastAsia="仿宋" w:cs="仿宋"/>
                <w:sz w:val="24"/>
                <w:highlight w:val="none"/>
              </w:rPr>
            </w:pPr>
            <w:r>
              <w:rPr>
                <w:rFonts w:hint="eastAsia" w:ascii="仿宋" w:hAnsi="仿宋" w:eastAsia="仿宋" w:cs="仿宋"/>
                <w:sz w:val="24"/>
                <w:highlight w:val="none"/>
              </w:rPr>
              <w:t>管理软件</w:t>
            </w:r>
          </w:p>
        </w:tc>
        <w:tc>
          <w:tcPr>
            <w:tcW w:w="5415" w:type="dxa"/>
            <w:noWrap/>
            <w:vAlign w:val="center"/>
          </w:tcPr>
          <w:p w14:paraId="2027DC05">
            <w:pPr>
              <w:widowControl/>
              <w:jc w:val="left"/>
              <w:rPr>
                <w:rFonts w:ascii="仿宋" w:hAnsi="仿宋" w:eastAsia="仿宋" w:cs="仿宋"/>
                <w:sz w:val="24"/>
                <w:highlight w:val="none"/>
              </w:rPr>
            </w:pPr>
            <w:r>
              <w:rPr>
                <w:rFonts w:hint="eastAsia" w:ascii="仿宋" w:hAnsi="仿宋" w:eastAsia="仿宋" w:cs="仿宋"/>
                <w:sz w:val="24"/>
                <w:highlight w:val="none"/>
              </w:rPr>
              <w:t>软件功能：提供达梦/人大金仓/GaussDB/OceanBase/TiDB等多类型数据库RDS服务；包含自动构建数据库集群的高可用架构；弹性扩展；资源隔离；S3/NAS对象备份；自定义备份策略；带压缩功能；统一监控管理平台、自动告警等功能。</w:t>
            </w:r>
          </w:p>
          <w:p w14:paraId="00AF96C3">
            <w:pPr>
              <w:widowControl/>
              <w:jc w:val="left"/>
              <w:rPr>
                <w:rFonts w:ascii="仿宋" w:hAnsi="仿宋" w:eastAsia="仿宋" w:cs="仿宋"/>
                <w:sz w:val="24"/>
                <w:highlight w:val="none"/>
              </w:rPr>
            </w:pPr>
            <w:r>
              <w:rPr>
                <w:rFonts w:hint="eastAsia" w:ascii="仿宋" w:hAnsi="仿宋" w:eastAsia="仿宋" w:cs="仿宋"/>
                <w:sz w:val="24"/>
                <w:highlight w:val="none"/>
              </w:rPr>
              <w:t>采用开放架构软硬件集成设计，通过高速网络，将服务器计算节点和配置高性能闪存介质的存储节点服务器等设备组件进行互连，完成软硬件的集成和专项优化设计；通过对主流数据库系统预集成与配置，为OLTP交易、OLAP分析和混合工作负载等数据库场景提供强劲性能、海量吞吐、微秒时延和智能统一可视化监控管理。</w:t>
            </w:r>
          </w:p>
          <w:p w14:paraId="0C00B85E">
            <w:pPr>
              <w:widowControl/>
              <w:jc w:val="left"/>
              <w:rPr>
                <w:rFonts w:ascii="仿宋" w:hAnsi="仿宋" w:eastAsia="仿宋" w:cs="仿宋"/>
                <w:sz w:val="24"/>
                <w:highlight w:val="none"/>
              </w:rPr>
            </w:pPr>
            <w:r>
              <w:rPr>
                <w:rFonts w:hint="eastAsia" w:ascii="仿宋" w:hAnsi="仿宋" w:eastAsia="仿宋" w:cs="仿宋"/>
                <w:sz w:val="24"/>
                <w:highlight w:val="none"/>
              </w:rPr>
              <w:t>1、架构要求：</w:t>
            </w:r>
          </w:p>
          <w:p w14:paraId="60FCE24B">
            <w:pPr>
              <w:widowControl/>
              <w:jc w:val="left"/>
              <w:rPr>
                <w:rFonts w:ascii="仿宋" w:hAnsi="仿宋" w:eastAsia="仿宋" w:cs="仿宋"/>
                <w:sz w:val="24"/>
                <w:highlight w:val="none"/>
              </w:rPr>
            </w:pPr>
            <w:r>
              <w:rPr>
                <w:rFonts w:hint="eastAsia" w:ascii="仿宋" w:hAnsi="仿宋" w:eastAsia="仿宋" w:cs="仿宋"/>
                <w:sz w:val="24"/>
                <w:highlight w:val="none"/>
              </w:rPr>
              <w:t>1）采用基于国产化架构设计的数据库管理平台，对关键数据库业务可以实现计存分离架构，计算资源服务器与存储资源服务器的互联支持100Gb以上带宽的RoCE网络或者Infiniband网络。为OLTP交易、OLAP分析和混合工作负载等数据库场景提供强劲性能、海量吞吐、微秒时延和智能统一可视化监控管理。</w:t>
            </w:r>
          </w:p>
          <w:p w14:paraId="54DB2E32">
            <w:pPr>
              <w:widowControl/>
              <w:jc w:val="left"/>
              <w:rPr>
                <w:rFonts w:ascii="仿宋" w:hAnsi="仿宋" w:eastAsia="仿宋" w:cs="仿宋"/>
                <w:sz w:val="24"/>
                <w:highlight w:val="none"/>
              </w:rPr>
            </w:pPr>
            <w:r>
              <w:rPr>
                <w:rFonts w:hint="eastAsia" w:ascii="仿宋" w:hAnsi="仿宋" w:eastAsia="仿宋" w:cs="仿宋"/>
                <w:sz w:val="24"/>
                <w:highlight w:val="none"/>
              </w:rPr>
              <w:t>2）数据库平台需要具备超过5个9（99.999%）的可靠性，并通过第三方专业机构认证；</w:t>
            </w:r>
          </w:p>
          <w:p w14:paraId="657BD9A1">
            <w:pPr>
              <w:widowControl/>
              <w:jc w:val="left"/>
              <w:rPr>
                <w:rFonts w:ascii="仿宋" w:hAnsi="仿宋" w:eastAsia="仿宋" w:cs="仿宋"/>
                <w:sz w:val="24"/>
                <w:highlight w:val="none"/>
              </w:rPr>
            </w:pPr>
            <w:r>
              <w:rPr>
                <w:rFonts w:hint="eastAsia" w:ascii="仿宋" w:hAnsi="仿宋" w:eastAsia="仿宋" w:cs="仿宋"/>
                <w:sz w:val="24"/>
                <w:highlight w:val="none"/>
              </w:rPr>
              <w:t>3）提供数据库恢复软件支持能力，支持多种数据导出方式，包括ASM文件直接读取，EXPDP逻辑备份文件直接读取导出，针对PL/SQL勒索程序，提供一键恢复命令，恢复删除的tab$, bootstrap$等字典表能力。</w:t>
            </w:r>
          </w:p>
          <w:p w14:paraId="4591D38E">
            <w:pPr>
              <w:widowControl/>
              <w:jc w:val="left"/>
              <w:rPr>
                <w:rFonts w:ascii="仿宋" w:hAnsi="仿宋" w:eastAsia="仿宋" w:cs="仿宋"/>
                <w:sz w:val="24"/>
                <w:highlight w:val="none"/>
              </w:rPr>
            </w:pPr>
            <w:r>
              <w:rPr>
                <w:rFonts w:hint="eastAsia" w:ascii="仿宋" w:hAnsi="仿宋" w:eastAsia="仿宋" w:cs="仿宋"/>
                <w:sz w:val="24"/>
                <w:highlight w:val="none"/>
              </w:rPr>
              <w:t>2、性能要求：</w:t>
            </w:r>
          </w:p>
          <w:p w14:paraId="00A3DBB2">
            <w:pPr>
              <w:widowControl/>
              <w:jc w:val="left"/>
              <w:rPr>
                <w:rFonts w:ascii="仿宋" w:hAnsi="仿宋" w:eastAsia="仿宋" w:cs="仿宋"/>
                <w:sz w:val="24"/>
                <w:highlight w:val="none"/>
              </w:rPr>
            </w:pPr>
            <w:r>
              <w:rPr>
                <w:rFonts w:hint="eastAsia" w:ascii="仿宋" w:hAnsi="仿宋" w:eastAsia="仿宋" w:cs="仿宋"/>
                <w:sz w:val="24"/>
                <w:highlight w:val="none"/>
              </w:rPr>
              <w:t>1）一体机架构，双计算节点IO吞吐不低于400GB/秒，8k IOPS &gt;= 4000w, 单机吞吐 &gt;= 200GB/秒、对1TB的大表进行全表扫描，IO总吞吐可达到200GB/秒,每分钟处理事务数（TPM）可以达到1500万以上。提供具有CMA资质的第三方检测机构或国家认可的检测机构出具的检测报告证明</w:t>
            </w:r>
          </w:p>
          <w:p w14:paraId="3D855063">
            <w:pPr>
              <w:widowControl/>
              <w:jc w:val="left"/>
              <w:rPr>
                <w:rFonts w:ascii="仿宋" w:hAnsi="仿宋" w:eastAsia="仿宋" w:cs="仿宋"/>
                <w:sz w:val="24"/>
                <w:highlight w:val="none"/>
              </w:rPr>
            </w:pPr>
            <w:r>
              <w:rPr>
                <w:rFonts w:hint="eastAsia" w:ascii="仿宋" w:hAnsi="仿宋" w:eastAsia="仿宋" w:cs="仿宋"/>
                <w:sz w:val="24"/>
                <w:highlight w:val="none"/>
              </w:rPr>
              <w:t>3、功能要求：</w:t>
            </w:r>
          </w:p>
          <w:p w14:paraId="07DF6C82">
            <w:pPr>
              <w:widowControl/>
              <w:jc w:val="left"/>
              <w:rPr>
                <w:rFonts w:ascii="仿宋" w:hAnsi="仿宋" w:eastAsia="仿宋" w:cs="仿宋"/>
                <w:sz w:val="24"/>
                <w:highlight w:val="none"/>
              </w:rPr>
            </w:pPr>
            <w:r>
              <w:rPr>
                <w:rFonts w:hint="eastAsia" w:ascii="仿宋" w:hAnsi="仿宋" w:eastAsia="仿宋" w:cs="仿宋"/>
                <w:sz w:val="24"/>
                <w:highlight w:val="none"/>
              </w:rPr>
              <w:t>1）支持主流的linux操作系统，支持国产芯片、操作系统；</w:t>
            </w:r>
          </w:p>
          <w:p w14:paraId="759E64CA">
            <w:pPr>
              <w:widowControl/>
              <w:jc w:val="left"/>
              <w:rPr>
                <w:rFonts w:ascii="仿宋" w:hAnsi="仿宋" w:eastAsia="仿宋" w:cs="仿宋"/>
                <w:sz w:val="24"/>
                <w:highlight w:val="none"/>
              </w:rPr>
            </w:pPr>
            <w:r>
              <w:rPr>
                <w:rFonts w:hint="eastAsia" w:ascii="仿宋" w:hAnsi="仿宋" w:eastAsia="仿宋" w:cs="仿宋"/>
                <w:sz w:val="24"/>
                <w:highlight w:val="none"/>
              </w:rPr>
              <w:t>2）支持国产数据库的云数据库监控管理能力（包括但不限于达梦，人大金仓，GaussDB，VastBase,TiDB，OceanBase），通过可视化平台可以实现以上所列种类数据库集群和实例的申请搭建功能。</w:t>
            </w:r>
          </w:p>
          <w:p w14:paraId="12996AB6">
            <w:pPr>
              <w:widowControl/>
              <w:jc w:val="left"/>
              <w:rPr>
                <w:rFonts w:hint="eastAsia" w:ascii="仿宋" w:hAnsi="仿宋" w:eastAsia="仿宋" w:cs="仿宋"/>
                <w:sz w:val="24"/>
                <w:highlight w:val="none"/>
              </w:rPr>
            </w:pPr>
            <w:r>
              <w:rPr>
                <w:rFonts w:hint="eastAsia" w:ascii="仿宋" w:hAnsi="仿宋" w:eastAsia="仿宋" w:cs="仿宋"/>
                <w:sz w:val="24"/>
                <w:highlight w:val="none"/>
              </w:rPr>
              <w:t>3）支持开源数据库的云数据库监控管理能力（包括但不限于MySql、PostgreSQL、Redis、MongoDB、PostgreSQL、ClickHouse、InfluxDB、Kafka、RocketMQ、RabbitMQ）等,通过可视化平台可以实现以上所列种类数据库集群和实例的申请搭建功能。</w:t>
            </w:r>
          </w:p>
          <w:p w14:paraId="5EB6A395">
            <w:pPr>
              <w:widowControl/>
              <w:jc w:val="left"/>
              <w:rPr>
                <w:rFonts w:ascii="仿宋" w:hAnsi="仿宋" w:eastAsia="仿宋" w:cs="仿宋"/>
                <w:sz w:val="24"/>
                <w:highlight w:val="none"/>
              </w:rPr>
            </w:pPr>
          </w:p>
          <w:p w14:paraId="53BC5B7D">
            <w:pPr>
              <w:widowControl/>
              <w:jc w:val="left"/>
              <w:rPr>
                <w:rFonts w:ascii="仿宋" w:hAnsi="仿宋" w:eastAsia="仿宋" w:cs="仿宋"/>
                <w:sz w:val="24"/>
                <w:highlight w:val="none"/>
              </w:rPr>
            </w:pPr>
            <w:r>
              <w:rPr>
                <w:rFonts w:hint="eastAsia" w:ascii="仿宋" w:hAnsi="仿宋" w:eastAsia="仿宋" w:cs="仿宋"/>
                <w:sz w:val="24"/>
                <w:highlight w:val="none"/>
              </w:rPr>
              <w:t>4）资源管理能力：通过数据库管理平台可以在数据库实例创建时对所有支持的数据库类型的数据库实例的CPU，内存，存储资源进行选择并实现资源的限定，在后期运行中实现资源的弹性伸缩，可以通过管理平台实现CPU，内存，存储容量的资源变更操作。</w:t>
            </w:r>
          </w:p>
          <w:p w14:paraId="44C8DFE6">
            <w:pPr>
              <w:widowControl/>
              <w:jc w:val="left"/>
              <w:rPr>
                <w:rFonts w:ascii="仿宋" w:hAnsi="仿宋" w:eastAsia="仿宋" w:cs="仿宋"/>
                <w:sz w:val="24"/>
                <w:highlight w:val="none"/>
              </w:rPr>
            </w:pPr>
            <w:r>
              <w:rPr>
                <w:rFonts w:hint="eastAsia" w:ascii="仿宋" w:hAnsi="仿宋" w:eastAsia="仿宋" w:cs="仿宋"/>
                <w:sz w:val="24"/>
                <w:highlight w:val="none"/>
              </w:rPr>
              <w:t>5）整个管理平台可以实现CPU及本地存储超分设置，可以实现4倍的超分设置。</w:t>
            </w:r>
          </w:p>
          <w:p w14:paraId="66619A3D">
            <w:pPr>
              <w:widowControl/>
              <w:jc w:val="left"/>
              <w:rPr>
                <w:rFonts w:ascii="仿宋" w:hAnsi="仿宋" w:eastAsia="仿宋" w:cs="仿宋"/>
                <w:sz w:val="24"/>
                <w:highlight w:val="none"/>
              </w:rPr>
            </w:pPr>
            <w:r>
              <w:rPr>
                <w:rFonts w:hint="eastAsia" w:ascii="仿宋" w:hAnsi="仿宋" w:eastAsia="仿宋" w:cs="仿宋"/>
                <w:sz w:val="24"/>
                <w:highlight w:val="none"/>
              </w:rPr>
              <w:t>6）具备SQL审核功能，支持线上数据库SQL扫描，或提供xml/ibatis文件直接扫描，提供SQL审核结果报表。</w:t>
            </w:r>
          </w:p>
          <w:p w14:paraId="334E3AFD">
            <w:pPr>
              <w:widowControl/>
              <w:jc w:val="left"/>
              <w:rPr>
                <w:rFonts w:ascii="仿宋" w:hAnsi="仿宋" w:eastAsia="仿宋" w:cs="仿宋"/>
                <w:sz w:val="24"/>
                <w:highlight w:val="none"/>
              </w:rPr>
            </w:pPr>
            <w:r>
              <w:rPr>
                <w:rFonts w:hint="eastAsia" w:ascii="仿宋" w:hAnsi="仿宋" w:eastAsia="仿宋" w:cs="仿宋"/>
                <w:sz w:val="24"/>
                <w:highlight w:val="none"/>
              </w:rPr>
              <w:t>7）具有大屏展示模块设计，在大屏监控页面高度集成主要的监控指标项，需可满足多种数据库健康状态信息的展示能力。</w:t>
            </w:r>
          </w:p>
          <w:p w14:paraId="1AC4FA9B">
            <w:pPr>
              <w:widowControl/>
              <w:jc w:val="left"/>
              <w:rPr>
                <w:rFonts w:ascii="仿宋" w:hAnsi="仿宋" w:eastAsia="仿宋" w:cs="仿宋"/>
                <w:sz w:val="24"/>
                <w:highlight w:val="none"/>
              </w:rPr>
            </w:pPr>
            <w:r>
              <w:rPr>
                <w:rFonts w:hint="eastAsia" w:ascii="仿宋" w:hAnsi="仿宋" w:eastAsia="仿宋" w:cs="仿宋"/>
                <w:sz w:val="24"/>
                <w:highlight w:val="none"/>
              </w:rPr>
              <w:t>8）具备云化租户管理能力，提供单独的多租户管理页面和用户管理页面，配置权限角色，支持根据不同的租户配置（或限制）cpu、存储等资源。</w:t>
            </w:r>
          </w:p>
          <w:p w14:paraId="430D0A92">
            <w:pPr>
              <w:widowControl/>
              <w:jc w:val="left"/>
              <w:rPr>
                <w:rFonts w:ascii="仿宋" w:hAnsi="仿宋" w:eastAsia="仿宋" w:cs="仿宋"/>
                <w:sz w:val="24"/>
                <w:highlight w:val="none"/>
              </w:rPr>
            </w:pPr>
            <w:r>
              <w:rPr>
                <w:rFonts w:hint="eastAsia" w:ascii="仿宋" w:hAnsi="仿宋" w:eastAsia="仿宋" w:cs="仿宋"/>
                <w:sz w:val="24"/>
                <w:highlight w:val="none"/>
              </w:rPr>
              <w:t>9）平台具有事件管理和审计功能，对平台的操作进行日志记录和审计。</w:t>
            </w:r>
          </w:p>
          <w:p w14:paraId="6DD4A3D8">
            <w:pPr>
              <w:widowControl/>
              <w:jc w:val="left"/>
              <w:rPr>
                <w:rFonts w:ascii="仿宋" w:hAnsi="仿宋" w:eastAsia="仿宋" w:cs="仿宋"/>
                <w:sz w:val="24"/>
                <w:highlight w:val="none"/>
              </w:rPr>
            </w:pPr>
            <w:r>
              <w:rPr>
                <w:rFonts w:hint="eastAsia" w:ascii="仿宋" w:hAnsi="仿宋" w:eastAsia="仿宋" w:cs="仿宋"/>
                <w:sz w:val="24"/>
                <w:highlight w:val="none"/>
              </w:rPr>
              <w:t>10）支持在管理界面对硬盘替换进行恢复，恢复过程中可视化向导完成，无需人工命令，提高存储节点的可维护性。</w:t>
            </w:r>
          </w:p>
          <w:p w14:paraId="17B01553">
            <w:pPr>
              <w:widowControl/>
              <w:jc w:val="left"/>
              <w:rPr>
                <w:rFonts w:ascii="仿宋" w:hAnsi="仿宋" w:eastAsia="仿宋" w:cs="仿宋"/>
                <w:sz w:val="24"/>
                <w:highlight w:val="none"/>
              </w:rPr>
            </w:pPr>
            <w:r>
              <w:rPr>
                <w:rFonts w:hint="eastAsia" w:ascii="仿宋" w:hAnsi="仿宋" w:eastAsia="仿宋" w:cs="仿宋"/>
                <w:sz w:val="24"/>
                <w:highlight w:val="none"/>
              </w:rPr>
              <w:t>11）支持网页上一键自动化巡检功能，可自定义巡检策略包括巡检方式、巡检频率及时间、巡检报告接收组等，支持一体机集群进行手动/自动巡检，巡检完成后，巡检报告自动发送到指定接收组；</w:t>
            </w:r>
          </w:p>
          <w:p w14:paraId="4B45E879">
            <w:pPr>
              <w:widowControl/>
              <w:jc w:val="left"/>
              <w:rPr>
                <w:rFonts w:ascii="仿宋" w:hAnsi="仿宋" w:eastAsia="仿宋" w:cs="仿宋"/>
                <w:sz w:val="24"/>
                <w:highlight w:val="none"/>
              </w:rPr>
            </w:pPr>
            <w:r>
              <w:rPr>
                <w:rFonts w:hint="eastAsia" w:ascii="仿宋" w:hAnsi="仿宋" w:eastAsia="仿宋" w:cs="仿宋"/>
                <w:sz w:val="24"/>
                <w:highlight w:val="none"/>
              </w:rPr>
              <w:t>12）软件厂家拥有完全自主知识产权证明，能提供可持续更新升级服务，不采用国外厂商或OEM厂商的产品。</w:t>
            </w:r>
          </w:p>
        </w:tc>
        <w:tc>
          <w:tcPr>
            <w:tcW w:w="730" w:type="dxa"/>
            <w:noWrap/>
            <w:vAlign w:val="center"/>
          </w:tcPr>
          <w:p w14:paraId="1ADDE7C8">
            <w:pPr>
              <w:widowControl/>
              <w:rPr>
                <w:rFonts w:ascii="仿宋" w:hAnsi="仿宋" w:eastAsia="仿宋" w:cs="仿宋"/>
                <w:sz w:val="24"/>
                <w:highlight w:val="none"/>
              </w:rPr>
            </w:pPr>
            <w:r>
              <w:rPr>
                <w:rFonts w:hint="eastAsia" w:ascii="仿宋" w:hAnsi="仿宋" w:eastAsia="仿宋" w:cs="仿宋"/>
                <w:sz w:val="24"/>
                <w:highlight w:val="none"/>
              </w:rPr>
              <w:t>5</w:t>
            </w:r>
          </w:p>
        </w:tc>
        <w:tc>
          <w:tcPr>
            <w:tcW w:w="1000" w:type="dxa"/>
            <w:noWrap/>
            <w:vAlign w:val="center"/>
          </w:tcPr>
          <w:p w14:paraId="6E6A8B53">
            <w:pPr>
              <w:widowControl/>
              <w:rPr>
                <w:rFonts w:ascii="仿宋" w:hAnsi="仿宋" w:eastAsia="仿宋" w:cs="仿宋"/>
                <w:sz w:val="24"/>
                <w:highlight w:val="none"/>
              </w:rPr>
            </w:pPr>
            <w:r>
              <w:rPr>
                <w:rFonts w:hint="eastAsia" w:ascii="仿宋" w:hAnsi="仿宋" w:eastAsia="仿宋" w:cs="仿宋"/>
                <w:sz w:val="24"/>
                <w:highlight w:val="none"/>
              </w:rPr>
              <w:t>节点</w:t>
            </w:r>
          </w:p>
        </w:tc>
      </w:tr>
      <w:tr w14:paraId="274A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6DA09120">
            <w:pPr>
              <w:widowControl/>
              <w:jc w:val="center"/>
              <w:rPr>
                <w:rFonts w:ascii="仿宋" w:hAnsi="仿宋" w:eastAsia="仿宋" w:cs="仿宋"/>
                <w:sz w:val="24"/>
                <w:highlight w:val="none"/>
              </w:rPr>
            </w:pPr>
            <w:r>
              <w:rPr>
                <w:rFonts w:hint="eastAsia" w:ascii="仿宋" w:hAnsi="仿宋" w:eastAsia="仿宋" w:cs="仿宋"/>
                <w:sz w:val="24"/>
                <w:highlight w:val="none"/>
              </w:rPr>
              <w:t>16</w:t>
            </w:r>
          </w:p>
        </w:tc>
        <w:tc>
          <w:tcPr>
            <w:tcW w:w="1514" w:type="dxa"/>
            <w:gridSpan w:val="2"/>
            <w:noWrap/>
            <w:vAlign w:val="center"/>
          </w:tcPr>
          <w:p w14:paraId="12E4A67F">
            <w:pPr>
              <w:widowControl/>
              <w:jc w:val="left"/>
              <w:rPr>
                <w:rFonts w:ascii="仿宋" w:hAnsi="仿宋" w:eastAsia="仿宋" w:cs="仿宋"/>
                <w:sz w:val="24"/>
                <w:highlight w:val="none"/>
              </w:rPr>
            </w:pPr>
            <w:r>
              <w:rPr>
                <w:rFonts w:hint="eastAsia" w:ascii="仿宋" w:hAnsi="仿宋" w:eastAsia="仿宋" w:cs="仿宋"/>
                <w:sz w:val="24"/>
                <w:highlight w:val="none"/>
              </w:rPr>
              <w:t>数据库备份一体机</w:t>
            </w:r>
          </w:p>
        </w:tc>
        <w:tc>
          <w:tcPr>
            <w:tcW w:w="5415" w:type="dxa"/>
            <w:noWrap/>
            <w:vAlign w:val="center"/>
          </w:tcPr>
          <w:p w14:paraId="1421B63D">
            <w:pPr>
              <w:widowControl/>
              <w:jc w:val="left"/>
              <w:rPr>
                <w:rFonts w:ascii="仿宋" w:hAnsi="仿宋" w:eastAsia="仿宋" w:cs="仿宋"/>
                <w:sz w:val="24"/>
                <w:highlight w:val="none"/>
              </w:rPr>
            </w:pPr>
            <w:r>
              <w:rPr>
                <w:rFonts w:hint="eastAsia" w:ascii="仿宋" w:hAnsi="仿宋" w:eastAsia="仿宋" w:cs="仿宋"/>
                <w:sz w:val="24"/>
                <w:highlight w:val="none"/>
              </w:rPr>
              <w:t>2路机架式，12NVMe盘位</w:t>
            </w:r>
          </w:p>
          <w:p w14:paraId="476F3F12">
            <w:pPr>
              <w:widowControl/>
              <w:jc w:val="left"/>
              <w:rPr>
                <w:rFonts w:ascii="仿宋" w:hAnsi="仿宋" w:eastAsia="仿宋" w:cs="仿宋"/>
                <w:sz w:val="24"/>
                <w:highlight w:val="none"/>
              </w:rPr>
            </w:pPr>
            <w:r>
              <w:rPr>
                <w:rFonts w:hint="eastAsia" w:ascii="仿宋" w:hAnsi="仿宋" w:eastAsia="仿宋" w:cs="仿宋"/>
                <w:sz w:val="24"/>
                <w:highlight w:val="none"/>
              </w:rPr>
              <w:t>国产处理器：≥2*32C，主频≥2.2GHz</w:t>
            </w:r>
          </w:p>
          <w:p w14:paraId="52DED200">
            <w:pPr>
              <w:widowControl/>
              <w:jc w:val="left"/>
              <w:rPr>
                <w:rFonts w:ascii="仿宋" w:hAnsi="仿宋" w:eastAsia="仿宋" w:cs="仿宋"/>
                <w:sz w:val="24"/>
                <w:highlight w:val="none"/>
              </w:rPr>
            </w:pPr>
            <w:r>
              <w:rPr>
                <w:rFonts w:hint="eastAsia" w:ascii="仿宋" w:hAnsi="仿宋" w:eastAsia="仿宋" w:cs="仿宋"/>
                <w:sz w:val="24"/>
                <w:highlight w:val="none"/>
              </w:rPr>
              <w:t>内存：≥512GB DDR4</w:t>
            </w:r>
          </w:p>
          <w:p w14:paraId="2DD9B6FF">
            <w:pPr>
              <w:widowControl/>
              <w:jc w:val="left"/>
              <w:rPr>
                <w:rFonts w:ascii="仿宋" w:hAnsi="仿宋" w:eastAsia="仿宋" w:cs="仿宋"/>
                <w:sz w:val="24"/>
                <w:highlight w:val="none"/>
              </w:rPr>
            </w:pPr>
            <w:r>
              <w:rPr>
                <w:rFonts w:hint="eastAsia" w:ascii="仿宋" w:hAnsi="仿宋" w:eastAsia="仿宋" w:cs="仿宋"/>
                <w:sz w:val="24"/>
                <w:highlight w:val="none"/>
              </w:rPr>
              <w:t>硬盘：≥2*1.92TB U.2 NVMe 企业级SSD，10*7.68TB 2.5英寸 U.2企业级 NVMe SSD</w:t>
            </w:r>
          </w:p>
          <w:p w14:paraId="0588171C">
            <w:pPr>
              <w:widowControl/>
              <w:jc w:val="left"/>
              <w:rPr>
                <w:rFonts w:ascii="仿宋" w:hAnsi="仿宋" w:eastAsia="仿宋" w:cs="仿宋"/>
                <w:sz w:val="24"/>
                <w:highlight w:val="none"/>
              </w:rPr>
            </w:pPr>
            <w:r>
              <w:rPr>
                <w:rFonts w:hint="eastAsia" w:ascii="仿宋" w:hAnsi="仿宋" w:eastAsia="仿宋" w:cs="仿宋"/>
                <w:sz w:val="24"/>
                <w:highlight w:val="none"/>
              </w:rPr>
              <w:t>网卡：≥1*100GbE 双端口QSFP28光模块，PCIe3.0 x16网卡(支持 RoCE v2)</w:t>
            </w:r>
          </w:p>
          <w:p w14:paraId="70E797CD">
            <w:pPr>
              <w:widowControl/>
              <w:jc w:val="left"/>
              <w:rPr>
                <w:rFonts w:ascii="仿宋" w:hAnsi="仿宋" w:eastAsia="仿宋" w:cs="仿宋"/>
                <w:sz w:val="24"/>
                <w:highlight w:val="none"/>
              </w:rPr>
            </w:pPr>
            <w:r>
              <w:rPr>
                <w:rFonts w:hint="eastAsia" w:ascii="仿宋" w:hAnsi="仿宋" w:eastAsia="仿宋" w:cs="仿宋"/>
                <w:sz w:val="24"/>
                <w:highlight w:val="none"/>
              </w:rPr>
              <w:t>网线：≥2*3m 100GbE QSFP28 Ethernet Cable，2*3m 10Gb SFP+ Cable；</w:t>
            </w:r>
          </w:p>
          <w:p w14:paraId="18BB36E9">
            <w:pPr>
              <w:widowControl/>
              <w:jc w:val="left"/>
              <w:rPr>
                <w:rFonts w:ascii="仿宋" w:hAnsi="仿宋" w:eastAsia="仿宋" w:cs="仿宋"/>
                <w:sz w:val="24"/>
                <w:highlight w:val="none"/>
              </w:rPr>
            </w:pPr>
            <w:r>
              <w:rPr>
                <w:rFonts w:hint="eastAsia" w:ascii="仿宋" w:hAnsi="仿宋" w:eastAsia="仿宋" w:cs="仿宋"/>
                <w:sz w:val="24"/>
                <w:highlight w:val="none"/>
              </w:rPr>
              <w:t>电源：≥2*1300W</w:t>
            </w:r>
          </w:p>
          <w:p w14:paraId="494D96A5">
            <w:pPr>
              <w:widowControl/>
              <w:jc w:val="left"/>
              <w:rPr>
                <w:rFonts w:ascii="仿宋" w:hAnsi="仿宋" w:eastAsia="仿宋" w:cs="仿宋"/>
                <w:sz w:val="24"/>
                <w:highlight w:val="none"/>
              </w:rPr>
            </w:pPr>
            <w:r>
              <w:rPr>
                <w:rFonts w:hint="eastAsia" w:ascii="仿宋" w:hAnsi="仿宋" w:eastAsia="仿宋" w:cs="仿宋"/>
                <w:sz w:val="24"/>
                <w:highlight w:val="none"/>
              </w:rPr>
              <w:t>硬件部分详细参数要求附后</w:t>
            </w:r>
          </w:p>
          <w:p w14:paraId="2BB247C5">
            <w:pPr>
              <w:widowControl/>
              <w:jc w:val="left"/>
              <w:rPr>
                <w:rFonts w:ascii="仿宋" w:hAnsi="仿宋" w:eastAsia="仿宋" w:cs="仿宋"/>
                <w:sz w:val="24"/>
                <w:highlight w:val="none"/>
              </w:rPr>
            </w:pPr>
            <w:r>
              <w:rPr>
                <w:rFonts w:hint="eastAsia" w:ascii="仿宋" w:hAnsi="仿宋" w:eastAsia="仿宋" w:cs="仿宋"/>
                <w:sz w:val="24"/>
                <w:highlight w:val="none"/>
              </w:rPr>
              <w:t>含平台软件License许可：5个数据库备份授权</w:t>
            </w:r>
          </w:p>
          <w:p w14:paraId="28ADC5C9">
            <w:pPr>
              <w:widowControl/>
              <w:jc w:val="left"/>
              <w:rPr>
                <w:rFonts w:ascii="仿宋" w:hAnsi="仿宋" w:eastAsia="仿宋" w:cs="仿宋"/>
                <w:sz w:val="24"/>
                <w:highlight w:val="none"/>
              </w:rPr>
            </w:pPr>
            <w:r>
              <w:rPr>
                <w:rFonts w:hint="eastAsia" w:ascii="仿宋" w:hAnsi="仿宋" w:eastAsia="仿宋" w:cs="仿宋"/>
                <w:sz w:val="24"/>
                <w:highlight w:val="none"/>
              </w:rPr>
              <w:t>含数据备份模块、数据恢复模块、智能存储池、文件备份模块等</w:t>
            </w:r>
          </w:p>
          <w:p w14:paraId="6BA3A86F">
            <w:pPr>
              <w:widowControl/>
              <w:jc w:val="left"/>
              <w:rPr>
                <w:rFonts w:ascii="仿宋" w:hAnsi="仿宋" w:eastAsia="仿宋" w:cs="仿宋"/>
                <w:sz w:val="24"/>
                <w:highlight w:val="none"/>
              </w:rPr>
            </w:pPr>
            <w:r>
              <w:rPr>
                <w:rFonts w:hint="eastAsia" w:ascii="仿宋" w:hAnsi="仿宋" w:eastAsia="仿宋" w:cs="仿宋"/>
                <w:sz w:val="24"/>
                <w:highlight w:val="none"/>
              </w:rPr>
              <w:t>1、须支持实时接收数据库备份对象的事务日志进行持续备份；无需在生产库上安装Agent；</w:t>
            </w:r>
          </w:p>
          <w:p w14:paraId="36B9181E">
            <w:pPr>
              <w:widowControl/>
              <w:jc w:val="left"/>
              <w:rPr>
                <w:rFonts w:ascii="仿宋" w:hAnsi="仿宋" w:eastAsia="仿宋" w:cs="仿宋"/>
                <w:sz w:val="24"/>
                <w:highlight w:val="none"/>
              </w:rPr>
            </w:pPr>
            <w:r>
              <w:rPr>
                <w:rFonts w:hint="eastAsia" w:ascii="仿宋" w:hAnsi="仿宋" w:eastAsia="仿宋" w:cs="仿宋"/>
                <w:sz w:val="24"/>
                <w:highlight w:val="none"/>
              </w:rPr>
              <w:t xml:space="preserve">2、须支持一套平台同时备份多个MySQL/SqlServer/GaussDB/OceanBase等数据库客户端； </w:t>
            </w:r>
          </w:p>
          <w:p w14:paraId="40094EC2">
            <w:pPr>
              <w:widowControl/>
              <w:jc w:val="left"/>
              <w:rPr>
                <w:rFonts w:ascii="仿宋" w:hAnsi="仿宋" w:eastAsia="仿宋" w:cs="仿宋"/>
                <w:sz w:val="24"/>
                <w:highlight w:val="none"/>
              </w:rPr>
            </w:pPr>
            <w:r>
              <w:rPr>
                <w:rFonts w:hint="eastAsia" w:ascii="仿宋" w:hAnsi="仿宋" w:eastAsia="仿宋" w:cs="仿宋"/>
                <w:sz w:val="24"/>
                <w:highlight w:val="none"/>
              </w:rPr>
              <w:t xml:space="preserve">3、支持数据库备份对象的快照库（COW）功能。在备份一体机上可启用主库的多个快照库，不依赖于外部主机，支持应用测试和预发布等应用场景； </w:t>
            </w:r>
          </w:p>
          <w:p w14:paraId="78ABE75B">
            <w:pPr>
              <w:widowControl/>
              <w:jc w:val="left"/>
              <w:rPr>
                <w:rFonts w:ascii="仿宋" w:hAnsi="仿宋" w:eastAsia="仿宋" w:cs="仿宋"/>
                <w:sz w:val="24"/>
                <w:highlight w:val="none"/>
              </w:rPr>
            </w:pPr>
            <w:r>
              <w:rPr>
                <w:rFonts w:hint="eastAsia" w:ascii="仿宋" w:hAnsi="仿宋" w:eastAsia="仿宋" w:cs="仿宋"/>
                <w:sz w:val="24"/>
                <w:highlight w:val="none"/>
              </w:rPr>
              <w:t xml:space="preserve">4、支持自定义创建开发测试环境，包括任务的创建、停用、启用、删除、更新等，可根据需求自定义测试环境创建时间； </w:t>
            </w:r>
          </w:p>
          <w:p w14:paraId="3D30A857">
            <w:pPr>
              <w:widowControl/>
              <w:jc w:val="left"/>
              <w:rPr>
                <w:rFonts w:ascii="仿宋" w:hAnsi="仿宋" w:eastAsia="仿宋" w:cs="仿宋"/>
                <w:sz w:val="24"/>
                <w:highlight w:val="none"/>
              </w:rPr>
            </w:pPr>
            <w:r>
              <w:rPr>
                <w:rFonts w:hint="eastAsia" w:ascii="仿宋" w:hAnsi="仿宋" w:eastAsia="仿宋" w:cs="仿宋"/>
                <w:sz w:val="24"/>
                <w:highlight w:val="none"/>
              </w:rPr>
              <w:t>5、支持数据库备份对象的容灾切换功能。提供一键切换功能，能实现主库宕机后的快速切换和业务支撑； 6、数据库逻辑故障安全与恢复支持5分钟内快速恢复（例如具体某张表），恢复过程不依赖于外部主机，支持指定任意时间点恢复功能，可精确到秒级和SCN级别（某一笔事务）；7、平台内支持对备份存储资源的超分配置能力，在实际备份业务中可以对备份数据开启压缩功能，需要支持在备份云平台管理页面上进行存储资源的超分配置，并可在图形界面中观测到备份存储资源的超分配置结果。</w:t>
            </w:r>
          </w:p>
          <w:p w14:paraId="396939B9">
            <w:pPr>
              <w:widowControl/>
              <w:jc w:val="left"/>
              <w:rPr>
                <w:rFonts w:ascii="仿宋" w:hAnsi="仿宋" w:eastAsia="仿宋" w:cs="仿宋"/>
                <w:sz w:val="24"/>
                <w:highlight w:val="none"/>
              </w:rPr>
            </w:pPr>
            <w:r>
              <w:rPr>
                <w:rFonts w:hint="eastAsia" w:ascii="仿宋" w:hAnsi="仿宋" w:eastAsia="仿宋" w:cs="仿宋"/>
                <w:sz w:val="24"/>
                <w:highlight w:val="none"/>
              </w:rPr>
              <w:t>8、支持智能化实时告警功能，提供了宿主机硬件状态、主机系统负载、日志应用延迟、GAP检测、数据库状态在内的多类告警对象进行事件告警9、统一的可视化全中文管理配置平台，通过同一个控制台界面即可集中管理所有功能，为数据库数据统一运维系统提供了全栈式、端到端的监控和拓扑视图；</w:t>
            </w:r>
          </w:p>
          <w:p w14:paraId="75FBAA77">
            <w:pPr>
              <w:widowControl/>
              <w:jc w:val="left"/>
              <w:rPr>
                <w:rFonts w:ascii="仿宋" w:hAnsi="仿宋" w:eastAsia="仿宋" w:cs="仿宋"/>
                <w:sz w:val="24"/>
                <w:highlight w:val="none"/>
              </w:rPr>
            </w:pPr>
            <w:r>
              <w:rPr>
                <w:rFonts w:hint="eastAsia" w:ascii="仿宋" w:hAnsi="仿宋" w:eastAsia="仿宋" w:cs="仿宋"/>
                <w:sz w:val="24"/>
                <w:highlight w:val="none"/>
              </w:rPr>
              <w:t xml:space="preserve">10、平台内置完善的用户管理功能，能按用户进行细致的操作权限作划分，满足企业级客户多用户管理需求，以提高核心数据的管理安全性； </w:t>
            </w:r>
          </w:p>
          <w:p w14:paraId="50638484">
            <w:pPr>
              <w:widowControl/>
              <w:jc w:val="left"/>
              <w:rPr>
                <w:rFonts w:ascii="仿宋" w:hAnsi="仿宋" w:eastAsia="仿宋" w:cs="仿宋"/>
                <w:sz w:val="24"/>
                <w:highlight w:val="none"/>
              </w:rPr>
            </w:pPr>
            <w:r>
              <w:rPr>
                <w:rFonts w:hint="eastAsia" w:ascii="仿宋" w:hAnsi="仿宋" w:eastAsia="仿宋" w:cs="仿宋"/>
                <w:sz w:val="24"/>
                <w:highlight w:val="none"/>
              </w:rPr>
              <w:t>11、软件厂家拥有完全自主知识产权证明，能提供可持续更新升级服务，不采用国外厂商或OEM厂商的产品。</w:t>
            </w:r>
          </w:p>
        </w:tc>
        <w:tc>
          <w:tcPr>
            <w:tcW w:w="730" w:type="dxa"/>
            <w:noWrap/>
            <w:vAlign w:val="center"/>
          </w:tcPr>
          <w:p w14:paraId="52DBC5D4">
            <w:pPr>
              <w:widowControl/>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14D91571">
            <w:pPr>
              <w:widowControl/>
              <w:rPr>
                <w:rFonts w:ascii="仿宋" w:hAnsi="仿宋" w:eastAsia="仿宋" w:cs="仿宋"/>
                <w:sz w:val="24"/>
                <w:highlight w:val="none"/>
              </w:rPr>
            </w:pPr>
            <w:r>
              <w:rPr>
                <w:rFonts w:hint="eastAsia" w:ascii="仿宋" w:hAnsi="仿宋" w:eastAsia="仿宋" w:cs="仿宋"/>
                <w:sz w:val="24"/>
                <w:highlight w:val="none"/>
              </w:rPr>
              <w:t>套</w:t>
            </w:r>
          </w:p>
        </w:tc>
      </w:tr>
      <w:tr w14:paraId="201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62FF645B">
            <w:pPr>
              <w:widowControl/>
              <w:jc w:val="center"/>
              <w:rPr>
                <w:rFonts w:ascii="仿宋" w:hAnsi="仿宋" w:eastAsia="仿宋" w:cs="仿宋"/>
                <w:sz w:val="24"/>
                <w:highlight w:val="none"/>
              </w:rPr>
            </w:pPr>
            <w:r>
              <w:rPr>
                <w:rFonts w:hint="eastAsia" w:ascii="仿宋" w:hAnsi="仿宋" w:eastAsia="仿宋" w:cs="仿宋"/>
                <w:sz w:val="24"/>
                <w:highlight w:val="none"/>
              </w:rPr>
              <w:t>17</w:t>
            </w:r>
          </w:p>
        </w:tc>
        <w:tc>
          <w:tcPr>
            <w:tcW w:w="1514" w:type="dxa"/>
            <w:gridSpan w:val="2"/>
            <w:noWrap/>
            <w:vAlign w:val="center"/>
          </w:tcPr>
          <w:p w14:paraId="1F2C1398">
            <w:pPr>
              <w:widowControl/>
              <w:jc w:val="left"/>
              <w:rPr>
                <w:rFonts w:ascii="仿宋" w:hAnsi="仿宋" w:eastAsia="仿宋" w:cs="仿宋"/>
                <w:sz w:val="24"/>
                <w:highlight w:val="none"/>
              </w:rPr>
            </w:pPr>
            <w:r>
              <w:rPr>
                <w:rFonts w:hint="eastAsia" w:ascii="仿宋" w:hAnsi="仿宋" w:eastAsia="仿宋" w:cs="仿宋"/>
                <w:sz w:val="24"/>
                <w:highlight w:val="none"/>
              </w:rPr>
              <w:t>48口万兆交换机</w:t>
            </w:r>
          </w:p>
        </w:tc>
        <w:tc>
          <w:tcPr>
            <w:tcW w:w="5415" w:type="dxa"/>
            <w:noWrap/>
            <w:vAlign w:val="center"/>
          </w:tcPr>
          <w:p w14:paraId="324174AD">
            <w:pPr>
              <w:widowControl/>
              <w:jc w:val="left"/>
              <w:rPr>
                <w:rFonts w:ascii="仿宋" w:hAnsi="仿宋" w:eastAsia="仿宋" w:cs="仿宋"/>
                <w:sz w:val="24"/>
                <w:highlight w:val="none"/>
              </w:rPr>
            </w:pPr>
            <w:r>
              <w:rPr>
                <w:rFonts w:hint="eastAsia" w:ascii="仿宋" w:hAnsi="仿宋" w:eastAsia="仿宋" w:cs="仿宋"/>
                <w:sz w:val="24"/>
                <w:highlight w:val="none"/>
              </w:rPr>
              <w:t>支持48个万兆SFP+端口；支持最大可支持 6 个 40G/100G QSFP28 端口；交换容量：2.56 Tbps/25.6Tbps；包转发率：1260Mpps；二层功能：支持 MAC 地址≥288K；支持 ARP 表项≥100K；支持 4K 个 VLAN，支持 Guest VLAN、Voice VLAN，支持基于 MAC/协议/IP子网/策略/端口的VLAN；支持1:1和N:1VLAN交换功能（含光模块）</w:t>
            </w:r>
          </w:p>
        </w:tc>
        <w:tc>
          <w:tcPr>
            <w:tcW w:w="730" w:type="dxa"/>
            <w:noWrap/>
            <w:vAlign w:val="center"/>
          </w:tcPr>
          <w:p w14:paraId="227F02CE">
            <w:pPr>
              <w:widowControl/>
              <w:rPr>
                <w:rFonts w:ascii="仿宋" w:hAnsi="仿宋" w:eastAsia="仿宋" w:cs="仿宋"/>
                <w:sz w:val="24"/>
                <w:highlight w:val="none"/>
              </w:rPr>
            </w:pPr>
            <w:r>
              <w:rPr>
                <w:rFonts w:hint="eastAsia" w:ascii="仿宋" w:hAnsi="仿宋" w:eastAsia="仿宋" w:cs="仿宋"/>
                <w:sz w:val="24"/>
                <w:highlight w:val="none"/>
              </w:rPr>
              <w:t>2</w:t>
            </w:r>
          </w:p>
        </w:tc>
        <w:tc>
          <w:tcPr>
            <w:tcW w:w="1000" w:type="dxa"/>
            <w:noWrap/>
            <w:vAlign w:val="center"/>
          </w:tcPr>
          <w:p w14:paraId="6848A453">
            <w:pPr>
              <w:widowControl/>
              <w:rPr>
                <w:rFonts w:ascii="仿宋" w:hAnsi="仿宋" w:eastAsia="仿宋" w:cs="仿宋"/>
                <w:sz w:val="24"/>
                <w:highlight w:val="none"/>
              </w:rPr>
            </w:pPr>
            <w:r>
              <w:rPr>
                <w:rFonts w:hint="eastAsia" w:ascii="仿宋" w:hAnsi="仿宋" w:eastAsia="仿宋" w:cs="仿宋"/>
                <w:sz w:val="24"/>
                <w:highlight w:val="none"/>
              </w:rPr>
              <w:t>台</w:t>
            </w:r>
          </w:p>
        </w:tc>
      </w:tr>
      <w:tr w14:paraId="4B7B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090F1651">
            <w:pPr>
              <w:widowControl/>
              <w:jc w:val="center"/>
              <w:rPr>
                <w:rFonts w:ascii="仿宋" w:hAnsi="仿宋" w:eastAsia="仿宋" w:cs="仿宋"/>
                <w:sz w:val="24"/>
                <w:highlight w:val="none"/>
              </w:rPr>
            </w:pPr>
            <w:r>
              <w:rPr>
                <w:rFonts w:hint="eastAsia" w:ascii="仿宋" w:hAnsi="仿宋" w:eastAsia="仿宋" w:cs="仿宋"/>
                <w:sz w:val="24"/>
                <w:highlight w:val="none"/>
              </w:rPr>
              <w:t>18</w:t>
            </w:r>
          </w:p>
        </w:tc>
        <w:tc>
          <w:tcPr>
            <w:tcW w:w="1514" w:type="dxa"/>
            <w:gridSpan w:val="2"/>
            <w:noWrap/>
            <w:vAlign w:val="center"/>
          </w:tcPr>
          <w:p w14:paraId="0DC67569">
            <w:pPr>
              <w:widowControl/>
              <w:jc w:val="left"/>
              <w:rPr>
                <w:rFonts w:ascii="仿宋" w:hAnsi="仿宋" w:eastAsia="仿宋" w:cs="仿宋"/>
                <w:sz w:val="24"/>
                <w:highlight w:val="none"/>
              </w:rPr>
            </w:pPr>
            <w:r>
              <w:rPr>
                <w:rFonts w:hint="eastAsia" w:ascii="仿宋" w:hAnsi="仿宋" w:eastAsia="仿宋" w:cs="仿宋"/>
                <w:sz w:val="24"/>
                <w:highlight w:val="none"/>
              </w:rPr>
              <w:t>路由器</w:t>
            </w:r>
          </w:p>
        </w:tc>
        <w:tc>
          <w:tcPr>
            <w:tcW w:w="5415" w:type="dxa"/>
            <w:noWrap/>
            <w:vAlign w:val="center"/>
          </w:tcPr>
          <w:p w14:paraId="4747B7AE">
            <w:pPr>
              <w:widowControl/>
              <w:jc w:val="left"/>
              <w:rPr>
                <w:rFonts w:ascii="仿宋" w:hAnsi="仿宋" w:eastAsia="仿宋" w:cs="仿宋"/>
                <w:sz w:val="24"/>
                <w:highlight w:val="none"/>
              </w:rPr>
            </w:pPr>
            <w:r>
              <w:rPr>
                <w:rFonts w:hint="eastAsia" w:ascii="仿宋" w:hAnsi="仿宋" w:eastAsia="仿宋" w:cs="仿宋"/>
                <w:sz w:val="24"/>
                <w:highlight w:val="none"/>
              </w:rPr>
              <w:t>1) 固定接口数目:3GE（1Combo）</w:t>
            </w:r>
            <w:r>
              <w:rPr>
                <w:rFonts w:hint="eastAsia" w:ascii="仿宋" w:hAnsi="仿宋" w:eastAsia="仿宋" w:cs="仿宋"/>
                <w:sz w:val="24"/>
                <w:highlight w:val="none"/>
              </w:rPr>
              <w:br w:type="textWrapping"/>
            </w:r>
            <w:r>
              <w:rPr>
                <w:rFonts w:hint="eastAsia" w:ascii="仿宋" w:hAnsi="仿宋" w:eastAsia="仿宋" w:cs="仿宋"/>
                <w:sz w:val="24"/>
                <w:highlight w:val="none"/>
              </w:rPr>
              <w:t>2) IPv4包转发≥5Mpps</w:t>
            </w:r>
            <w:r>
              <w:rPr>
                <w:rFonts w:hint="eastAsia" w:ascii="仿宋" w:hAnsi="仿宋" w:eastAsia="仿宋" w:cs="仿宋"/>
                <w:sz w:val="24"/>
                <w:highlight w:val="none"/>
              </w:rPr>
              <w:br w:type="textWrapping"/>
            </w:r>
            <w:r>
              <w:rPr>
                <w:rFonts w:hint="eastAsia" w:ascii="仿宋" w:hAnsi="仿宋" w:eastAsia="仿宋" w:cs="仿宋"/>
                <w:sz w:val="24"/>
                <w:highlight w:val="none"/>
              </w:rPr>
              <w:t>3) 带业务的IPv4性能（IMIX）≥1.5Gbps</w:t>
            </w:r>
          </w:p>
        </w:tc>
        <w:tc>
          <w:tcPr>
            <w:tcW w:w="730" w:type="dxa"/>
            <w:noWrap/>
            <w:vAlign w:val="center"/>
          </w:tcPr>
          <w:p w14:paraId="3AA410DC">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1000" w:type="dxa"/>
            <w:noWrap/>
            <w:vAlign w:val="center"/>
          </w:tcPr>
          <w:p w14:paraId="50B278FA">
            <w:pPr>
              <w:widowControl/>
              <w:jc w:val="center"/>
              <w:rPr>
                <w:rFonts w:ascii="仿宋" w:hAnsi="仿宋" w:eastAsia="仿宋" w:cs="仿宋"/>
                <w:sz w:val="24"/>
                <w:highlight w:val="none"/>
              </w:rPr>
            </w:pPr>
            <w:r>
              <w:rPr>
                <w:rFonts w:hint="eastAsia" w:ascii="仿宋" w:hAnsi="仿宋" w:eastAsia="仿宋" w:cs="仿宋"/>
                <w:sz w:val="24"/>
                <w:highlight w:val="none"/>
              </w:rPr>
              <w:t>台</w:t>
            </w:r>
          </w:p>
        </w:tc>
      </w:tr>
      <w:tr w14:paraId="30FE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68CC95A1">
            <w:pPr>
              <w:widowControl/>
              <w:jc w:val="center"/>
              <w:rPr>
                <w:rFonts w:ascii="仿宋" w:hAnsi="仿宋" w:eastAsia="仿宋" w:cs="仿宋"/>
                <w:sz w:val="24"/>
                <w:highlight w:val="none"/>
              </w:rPr>
            </w:pPr>
            <w:r>
              <w:rPr>
                <w:rFonts w:hint="eastAsia" w:ascii="仿宋" w:hAnsi="仿宋" w:eastAsia="仿宋" w:cs="仿宋"/>
                <w:sz w:val="24"/>
                <w:highlight w:val="none"/>
              </w:rPr>
              <w:t>19</w:t>
            </w:r>
          </w:p>
        </w:tc>
        <w:tc>
          <w:tcPr>
            <w:tcW w:w="1514" w:type="dxa"/>
            <w:gridSpan w:val="2"/>
            <w:noWrap/>
            <w:vAlign w:val="center"/>
          </w:tcPr>
          <w:p w14:paraId="298CA60A">
            <w:pPr>
              <w:widowControl/>
              <w:jc w:val="left"/>
              <w:rPr>
                <w:rFonts w:ascii="仿宋" w:hAnsi="仿宋" w:eastAsia="仿宋" w:cs="仿宋"/>
                <w:sz w:val="24"/>
                <w:highlight w:val="none"/>
              </w:rPr>
            </w:pPr>
            <w:r>
              <w:rPr>
                <w:rFonts w:hint="eastAsia" w:ascii="仿宋" w:hAnsi="仿宋" w:eastAsia="仿宋" w:cs="仿宋"/>
                <w:sz w:val="24"/>
                <w:highlight w:val="none"/>
              </w:rPr>
              <w:t>万兆交换机</w:t>
            </w:r>
          </w:p>
        </w:tc>
        <w:tc>
          <w:tcPr>
            <w:tcW w:w="5415" w:type="dxa"/>
            <w:noWrap/>
            <w:vAlign w:val="center"/>
          </w:tcPr>
          <w:p w14:paraId="72ED9383">
            <w:pPr>
              <w:widowControl/>
              <w:jc w:val="left"/>
              <w:rPr>
                <w:rFonts w:ascii="仿宋" w:hAnsi="仿宋" w:eastAsia="仿宋" w:cs="仿宋"/>
                <w:sz w:val="24"/>
                <w:highlight w:val="none"/>
              </w:rPr>
            </w:pPr>
            <w:r>
              <w:rPr>
                <w:rFonts w:hint="eastAsia" w:ascii="仿宋" w:hAnsi="仿宋" w:eastAsia="仿宋" w:cs="仿宋"/>
                <w:sz w:val="24"/>
                <w:highlight w:val="none"/>
              </w:rPr>
              <w:t>1） 整机交换容量≥2.56Tbps</w:t>
            </w:r>
            <w:r>
              <w:rPr>
                <w:rFonts w:hint="eastAsia" w:ascii="仿宋" w:hAnsi="仿宋" w:eastAsia="仿宋" w:cs="仿宋"/>
                <w:sz w:val="24"/>
                <w:highlight w:val="none"/>
              </w:rPr>
              <w:br w:type="textWrapping"/>
            </w:r>
            <w:r>
              <w:rPr>
                <w:rFonts w:hint="eastAsia" w:ascii="仿宋" w:hAnsi="仿宋" w:eastAsia="仿宋" w:cs="仿宋"/>
                <w:sz w:val="24"/>
                <w:highlight w:val="none"/>
              </w:rPr>
              <w:t>2） ≥48个1/10GBase-T端口+6个QSFP+端口（每个QSFP+端口可拆分为4个万兆端口）</w:t>
            </w:r>
            <w:r>
              <w:rPr>
                <w:rFonts w:hint="eastAsia" w:ascii="仿宋" w:hAnsi="仿宋" w:eastAsia="仿宋" w:cs="仿宋"/>
                <w:sz w:val="24"/>
                <w:highlight w:val="none"/>
              </w:rPr>
              <w:br w:type="textWrapping"/>
            </w:r>
            <w:r>
              <w:rPr>
                <w:rFonts w:hint="eastAsia" w:ascii="仿宋" w:hAnsi="仿宋" w:eastAsia="仿宋" w:cs="仿宋"/>
                <w:sz w:val="24"/>
                <w:highlight w:val="none"/>
              </w:rPr>
              <w:t>3）≥2个电源插槽</w:t>
            </w:r>
            <w:r>
              <w:rPr>
                <w:rFonts w:hint="eastAsia" w:ascii="仿宋" w:hAnsi="仿宋" w:eastAsia="仿宋" w:cs="仿宋"/>
                <w:sz w:val="24"/>
                <w:highlight w:val="none"/>
              </w:rPr>
              <w:br w:type="textWrapping"/>
            </w:r>
            <w:r>
              <w:rPr>
                <w:rFonts w:hint="eastAsia" w:ascii="仿宋" w:hAnsi="仿宋" w:eastAsia="仿宋" w:cs="仿宋"/>
                <w:sz w:val="24"/>
                <w:highlight w:val="none"/>
              </w:rPr>
              <w:t>4）≥2个风扇插槽</w:t>
            </w:r>
            <w:r>
              <w:rPr>
                <w:rFonts w:hint="eastAsia" w:ascii="仿宋" w:hAnsi="仿宋" w:eastAsia="仿宋" w:cs="仿宋"/>
                <w:sz w:val="24"/>
                <w:highlight w:val="none"/>
              </w:rPr>
              <w:br w:type="textWrapping"/>
            </w:r>
            <w:r>
              <w:rPr>
                <w:rFonts w:hint="eastAsia" w:ascii="仿宋" w:hAnsi="仿宋" w:eastAsia="仿宋" w:cs="仿宋"/>
                <w:sz w:val="24"/>
                <w:highlight w:val="none"/>
              </w:rPr>
              <w:t>5）≥1个带外管理网口及1个USB3.0接口</w:t>
            </w:r>
          </w:p>
        </w:tc>
        <w:tc>
          <w:tcPr>
            <w:tcW w:w="730" w:type="dxa"/>
            <w:noWrap/>
            <w:vAlign w:val="center"/>
          </w:tcPr>
          <w:p w14:paraId="2FFBBD88">
            <w:pPr>
              <w:widowControl/>
              <w:jc w:val="center"/>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1CB34ADC">
            <w:pPr>
              <w:widowControl/>
              <w:jc w:val="center"/>
              <w:rPr>
                <w:rFonts w:ascii="仿宋" w:hAnsi="仿宋" w:eastAsia="仿宋" w:cs="仿宋"/>
                <w:sz w:val="24"/>
                <w:highlight w:val="none"/>
              </w:rPr>
            </w:pPr>
            <w:r>
              <w:rPr>
                <w:rFonts w:hint="eastAsia" w:ascii="仿宋" w:hAnsi="仿宋" w:eastAsia="仿宋" w:cs="仿宋"/>
                <w:sz w:val="24"/>
                <w:highlight w:val="none"/>
              </w:rPr>
              <w:t>台</w:t>
            </w:r>
          </w:p>
        </w:tc>
      </w:tr>
      <w:tr w14:paraId="13CA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47F45453">
            <w:pPr>
              <w:widowControl/>
              <w:jc w:val="center"/>
              <w:rPr>
                <w:rFonts w:ascii="仿宋" w:hAnsi="仿宋" w:eastAsia="仿宋" w:cs="仿宋"/>
                <w:sz w:val="24"/>
                <w:highlight w:val="none"/>
              </w:rPr>
            </w:pPr>
            <w:r>
              <w:rPr>
                <w:rFonts w:hint="eastAsia" w:ascii="仿宋" w:hAnsi="仿宋" w:eastAsia="仿宋" w:cs="仿宋"/>
                <w:sz w:val="24"/>
                <w:highlight w:val="none"/>
              </w:rPr>
              <w:t>20</w:t>
            </w:r>
          </w:p>
        </w:tc>
        <w:tc>
          <w:tcPr>
            <w:tcW w:w="1514" w:type="dxa"/>
            <w:gridSpan w:val="2"/>
            <w:noWrap/>
            <w:vAlign w:val="center"/>
          </w:tcPr>
          <w:p w14:paraId="7B5AAA69">
            <w:pPr>
              <w:widowControl/>
              <w:jc w:val="left"/>
              <w:rPr>
                <w:rFonts w:ascii="仿宋" w:hAnsi="仿宋" w:eastAsia="仿宋" w:cs="仿宋"/>
                <w:sz w:val="24"/>
                <w:highlight w:val="none"/>
              </w:rPr>
            </w:pPr>
            <w:r>
              <w:rPr>
                <w:rFonts w:hint="eastAsia" w:ascii="仿宋" w:hAnsi="仿宋" w:eastAsia="仿宋" w:cs="仿宋"/>
                <w:sz w:val="24"/>
                <w:highlight w:val="none"/>
              </w:rPr>
              <w:t>IP千兆交换机1（千兆）</w:t>
            </w:r>
          </w:p>
        </w:tc>
        <w:tc>
          <w:tcPr>
            <w:tcW w:w="5415" w:type="dxa"/>
            <w:noWrap/>
            <w:vAlign w:val="center"/>
          </w:tcPr>
          <w:p w14:paraId="14E9CB1E">
            <w:pPr>
              <w:widowControl/>
              <w:jc w:val="left"/>
              <w:rPr>
                <w:rFonts w:ascii="仿宋" w:hAnsi="仿宋" w:eastAsia="仿宋" w:cs="仿宋"/>
                <w:sz w:val="24"/>
                <w:highlight w:val="none"/>
              </w:rPr>
            </w:pPr>
            <w:r>
              <w:rPr>
                <w:rFonts w:hint="eastAsia" w:ascii="仿宋" w:hAnsi="仿宋" w:eastAsia="仿宋" w:cs="仿宋"/>
                <w:sz w:val="24"/>
                <w:highlight w:val="none"/>
              </w:rPr>
              <w:t>1）整机交换容量≥256Gbps</w:t>
            </w:r>
            <w:r>
              <w:rPr>
                <w:rFonts w:hint="eastAsia" w:ascii="仿宋" w:hAnsi="仿宋" w:eastAsia="仿宋" w:cs="仿宋"/>
                <w:sz w:val="24"/>
                <w:highlight w:val="none"/>
              </w:rPr>
              <w:br w:type="textWrapping"/>
            </w:r>
            <w:r>
              <w:rPr>
                <w:rFonts w:hint="eastAsia" w:ascii="仿宋" w:hAnsi="仿宋" w:eastAsia="仿宋" w:cs="仿宋"/>
                <w:sz w:val="24"/>
                <w:highlight w:val="none"/>
              </w:rPr>
              <w:t>2）≥48个10/100/1000M电口+4个万兆光端口</w:t>
            </w:r>
          </w:p>
        </w:tc>
        <w:tc>
          <w:tcPr>
            <w:tcW w:w="730" w:type="dxa"/>
            <w:noWrap/>
            <w:vAlign w:val="center"/>
          </w:tcPr>
          <w:p w14:paraId="19C236B1">
            <w:pPr>
              <w:widowControl/>
              <w:jc w:val="center"/>
              <w:rPr>
                <w:rFonts w:ascii="仿宋" w:hAnsi="仿宋" w:eastAsia="仿宋" w:cs="仿宋"/>
                <w:sz w:val="24"/>
                <w:highlight w:val="none"/>
              </w:rPr>
            </w:pPr>
            <w:r>
              <w:rPr>
                <w:rFonts w:hint="eastAsia" w:ascii="仿宋" w:hAnsi="仿宋" w:eastAsia="仿宋" w:cs="仿宋"/>
                <w:sz w:val="24"/>
                <w:highlight w:val="none"/>
              </w:rPr>
              <w:t>3</w:t>
            </w:r>
          </w:p>
        </w:tc>
        <w:tc>
          <w:tcPr>
            <w:tcW w:w="1000" w:type="dxa"/>
            <w:noWrap/>
            <w:vAlign w:val="center"/>
          </w:tcPr>
          <w:p w14:paraId="376EE953">
            <w:pPr>
              <w:widowControl/>
              <w:jc w:val="center"/>
              <w:rPr>
                <w:rFonts w:ascii="仿宋" w:hAnsi="仿宋" w:eastAsia="仿宋" w:cs="仿宋"/>
                <w:sz w:val="24"/>
                <w:highlight w:val="none"/>
              </w:rPr>
            </w:pPr>
            <w:r>
              <w:rPr>
                <w:rFonts w:hint="eastAsia" w:ascii="仿宋" w:hAnsi="仿宋" w:eastAsia="仿宋" w:cs="仿宋"/>
                <w:sz w:val="24"/>
                <w:highlight w:val="none"/>
              </w:rPr>
              <w:t>台</w:t>
            </w:r>
          </w:p>
        </w:tc>
      </w:tr>
      <w:tr w14:paraId="3531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63DB9E10">
            <w:pPr>
              <w:widowControl/>
              <w:jc w:val="center"/>
              <w:rPr>
                <w:rFonts w:ascii="仿宋" w:hAnsi="仿宋" w:eastAsia="仿宋" w:cs="仿宋"/>
                <w:sz w:val="24"/>
                <w:highlight w:val="none"/>
              </w:rPr>
            </w:pPr>
            <w:r>
              <w:rPr>
                <w:rFonts w:hint="eastAsia" w:ascii="仿宋" w:hAnsi="仿宋" w:eastAsia="仿宋" w:cs="仿宋"/>
                <w:sz w:val="24"/>
                <w:highlight w:val="none"/>
              </w:rPr>
              <w:t>21</w:t>
            </w:r>
          </w:p>
        </w:tc>
        <w:tc>
          <w:tcPr>
            <w:tcW w:w="1514" w:type="dxa"/>
            <w:gridSpan w:val="2"/>
            <w:noWrap/>
            <w:vAlign w:val="center"/>
          </w:tcPr>
          <w:p w14:paraId="04276FD8">
            <w:pPr>
              <w:widowControl/>
              <w:jc w:val="left"/>
              <w:rPr>
                <w:rFonts w:ascii="仿宋" w:hAnsi="仿宋" w:eastAsia="仿宋" w:cs="仿宋"/>
                <w:sz w:val="24"/>
                <w:highlight w:val="none"/>
              </w:rPr>
            </w:pPr>
            <w:r>
              <w:rPr>
                <w:rFonts w:hint="eastAsia" w:ascii="仿宋" w:hAnsi="仿宋" w:eastAsia="仿宋" w:cs="仿宋"/>
                <w:sz w:val="24"/>
                <w:highlight w:val="none"/>
              </w:rPr>
              <w:t>IP千兆交换机2</w:t>
            </w:r>
          </w:p>
        </w:tc>
        <w:tc>
          <w:tcPr>
            <w:tcW w:w="5415" w:type="dxa"/>
            <w:noWrap/>
            <w:vAlign w:val="center"/>
          </w:tcPr>
          <w:p w14:paraId="339DB37D">
            <w:pPr>
              <w:widowControl/>
              <w:jc w:val="left"/>
              <w:rPr>
                <w:rFonts w:ascii="仿宋" w:hAnsi="仿宋" w:eastAsia="仿宋" w:cs="仿宋"/>
                <w:sz w:val="24"/>
                <w:highlight w:val="none"/>
              </w:rPr>
            </w:pPr>
            <w:r>
              <w:rPr>
                <w:rFonts w:hint="eastAsia" w:ascii="仿宋" w:hAnsi="仿宋" w:eastAsia="仿宋" w:cs="仿宋"/>
                <w:sz w:val="24"/>
                <w:highlight w:val="none"/>
              </w:rPr>
              <w:t>1） 整机交换容量≥256Gbps</w:t>
            </w:r>
            <w:r>
              <w:rPr>
                <w:rFonts w:hint="eastAsia" w:ascii="仿宋" w:hAnsi="仿宋" w:eastAsia="仿宋" w:cs="仿宋"/>
                <w:sz w:val="24"/>
                <w:highlight w:val="none"/>
              </w:rPr>
              <w:br w:type="textWrapping"/>
            </w:r>
            <w:r>
              <w:rPr>
                <w:rFonts w:hint="eastAsia" w:ascii="仿宋" w:hAnsi="仿宋" w:eastAsia="仿宋" w:cs="仿宋"/>
                <w:sz w:val="24"/>
                <w:highlight w:val="none"/>
              </w:rPr>
              <w:t>2） ≥28个可用千兆接口数量，4个非复用上行千兆光接口</w:t>
            </w:r>
          </w:p>
        </w:tc>
        <w:tc>
          <w:tcPr>
            <w:tcW w:w="730" w:type="dxa"/>
            <w:noWrap/>
            <w:vAlign w:val="center"/>
          </w:tcPr>
          <w:p w14:paraId="0F3A9ED0">
            <w:pPr>
              <w:widowControl/>
              <w:jc w:val="center"/>
              <w:rPr>
                <w:rFonts w:ascii="仿宋" w:hAnsi="仿宋" w:eastAsia="仿宋" w:cs="仿宋"/>
                <w:sz w:val="24"/>
                <w:highlight w:val="none"/>
              </w:rPr>
            </w:pPr>
            <w:r>
              <w:rPr>
                <w:rFonts w:hint="eastAsia" w:ascii="仿宋" w:hAnsi="仿宋" w:eastAsia="仿宋" w:cs="仿宋"/>
                <w:sz w:val="24"/>
                <w:highlight w:val="none"/>
              </w:rPr>
              <w:t>2</w:t>
            </w:r>
          </w:p>
        </w:tc>
        <w:tc>
          <w:tcPr>
            <w:tcW w:w="1000" w:type="dxa"/>
            <w:noWrap/>
            <w:vAlign w:val="center"/>
          </w:tcPr>
          <w:p w14:paraId="515317DD">
            <w:pPr>
              <w:widowControl/>
              <w:jc w:val="center"/>
              <w:rPr>
                <w:rFonts w:ascii="仿宋" w:hAnsi="仿宋" w:eastAsia="仿宋" w:cs="仿宋"/>
                <w:sz w:val="24"/>
                <w:highlight w:val="none"/>
              </w:rPr>
            </w:pPr>
            <w:r>
              <w:rPr>
                <w:rFonts w:hint="eastAsia" w:ascii="仿宋" w:hAnsi="仿宋" w:eastAsia="仿宋" w:cs="仿宋"/>
                <w:sz w:val="24"/>
                <w:highlight w:val="none"/>
              </w:rPr>
              <w:t>台</w:t>
            </w:r>
          </w:p>
        </w:tc>
      </w:tr>
      <w:tr w14:paraId="3C3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9" w:type="dxa"/>
            <w:noWrap/>
            <w:vAlign w:val="center"/>
          </w:tcPr>
          <w:p w14:paraId="4940EB63">
            <w:pPr>
              <w:widowControl/>
              <w:jc w:val="center"/>
              <w:rPr>
                <w:rFonts w:ascii="仿宋" w:hAnsi="仿宋" w:eastAsia="仿宋" w:cs="仿宋"/>
                <w:sz w:val="24"/>
                <w:highlight w:val="none"/>
              </w:rPr>
            </w:pPr>
            <w:r>
              <w:rPr>
                <w:rFonts w:hint="eastAsia" w:ascii="仿宋" w:hAnsi="仿宋" w:eastAsia="仿宋" w:cs="仿宋"/>
                <w:sz w:val="24"/>
                <w:highlight w:val="none"/>
              </w:rPr>
              <w:t>22</w:t>
            </w:r>
          </w:p>
        </w:tc>
        <w:tc>
          <w:tcPr>
            <w:tcW w:w="1514" w:type="dxa"/>
            <w:gridSpan w:val="2"/>
            <w:noWrap/>
            <w:vAlign w:val="center"/>
          </w:tcPr>
          <w:p w14:paraId="4CA145B2">
            <w:pPr>
              <w:widowControl/>
              <w:jc w:val="left"/>
              <w:rPr>
                <w:rFonts w:ascii="仿宋" w:hAnsi="仿宋" w:eastAsia="仿宋" w:cs="仿宋"/>
                <w:sz w:val="24"/>
                <w:highlight w:val="none"/>
              </w:rPr>
            </w:pPr>
            <w:r>
              <w:rPr>
                <w:rFonts w:hint="eastAsia" w:ascii="仿宋" w:hAnsi="仿宋" w:eastAsia="仿宋" w:cs="仿宋"/>
                <w:sz w:val="24"/>
                <w:highlight w:val="none"/>
              </w:rPr>
              <w:t>SAN交换机</w:t>
            </w:r>
          </w:p>
        </w:tc>
        <w:tc>
          <w:tcPr>
            <w:tcW w:w="5415" w:type="dxa"/>
            <w:noWrap/>
            <w:vAlign w:val="center"/>
          </w:tcPr>
          <w:p w14:paraId="3E928F0D">
            <w:pPr>
              <w:widowControl/>
              <w:jc w:val="left"/>
              <w:rPr>
                <w:rFonts w:ascii="仿宋" w:hAnsi="仿宋" w:eastAsia="仿宋" w:cs="仿宋"/>
                <w:sz w:val="24"/>
                <w:highlight w:val="none"/>
              </w:rPr>
            </w:pPr>
            <w:r>
              <w:rPr>
                <w:rFonts w:hint="eastAsia" w:ascii="仿宋" w:hAnsi="仿宋" w:eastAsia="仿宋" w:cs="仿宋"/>
                <w:sz w:val="24"/>
                <w:highlight w:val="none"/>
              </w:rPr>
              <w:t>1）≥24口SAN交换机</w:t>
            </w:r>
          </w:p>
          <w:p w14:paraId="5C3297C0">
            <w:pPr>
              <w:widowControl/>
              <w:jc w:val="left"/>
              <w:rPr>
                <w:rFonts w:ascii="仿宋" w:hAnsi="仿宋" w:eastAsia="仿宋" w:cs="仿宋"/>
                <w:sz w:val="24"/>
                <w:highlight w:val="none"/>
              </w:rPr>
            </w:pPr>
            <w:r>
              <w:rPr>
                <w:rFonts w:hint="eastAsia" w:ascii="仿宋" w:hAnsi="仿宋" w:eastAsia="仿宋" w:cs="仿宋"/>
                <w:sz w:val="24"/>
                <w:highlight w:val="none"/>
              </w:rPr>
              <w:t>2）传输速率≥8Gb</w:t>
            </w:r>
          </w:p>
        </w:tc>
        <w:tc>
          <w:tcPr>
            <w:tcW w:w="730" w:type="dxa"/>
            <w:noWrap/>
            <w:vAlign w:val="center"/>
          </w:tcPr>
          <w:p w14:paraId="1AEBCA50">
            <w:pPr>
              <w:widowControl/>
              <w:jc w:val="center"/>
              <w:rPr>
                <w:rFonts w:ascii="仿宋" w:hAnsi="仿宋" w:eastAsia="仿宋" w:cs="仿宋"/>
                <w:sz w:val="24"/>
                <w:highlight w:val="none"/>
              </w:rPr>
            </w:pPr>
            <w:r>
              <w:rPr>
                <w:rFonts w:hint="eastAsia" w:ascii="仿宋" w:hAnsi="仿宋" w:eastAsia="仿宋" w:cs="仿宋"/>
                <w:sz w:val="24"/>
                <w:highlight w:val="none"/>
              </w:rPr>
              <w:t>1</w:t>
            </w:r>
          </w:p>
        </w:tc>
        <w:tc>
          <w:tcPr>
            <w:tcW w:w="1000" w:type="dxa"/>
            <w:noWrap/>
            <w:vAlign w:val="center"/>
          </w:tcPr>
          <w:p w14:paraId="130E4649">
            <w:pPr>
              <w:widowControl/>
              <w:jc w:val="center"/>
              <w:rPr>
                <w:rFonts w:ascii="仿宋" w:hAnsi="仿宋" w:eastAsia="仿宋" w:cs="仿宋"/>
                <w:sz w:val="24"/>
                <w:highlight w:val="none"/>
              </w:rPr>
            </w:pPr>
            <w:r>
              <w:rPr>
                <w:rFonts w:hint="eastAsia" w:ascii="仿宋" w:hAnsi="仿宋" w:eastAsia="仿宋" w:cs="仿宋"/>
                <w:sz w:val="24"/>
                <w:highlight w:val="none"/>
              </w:rPr>
              <w:t>台</w:t>
            </w:r>
          </w:p>
        </w:tc>
      </w:tr>
    </w:tbl>
    <w:p w14:paraId="1786F5BE">
      <w:pPr>
        <w:rPr>
          <w:rFonts w:hint="eastAsia" w:ascii="仿宋" w:hAnsi="仿宋" w:eastAsia="仿宋" w:cs="仿宋"/>
          <w:b/>
          <w:bCs/>
          <w:kern w:val="0"/>
          <w:sz w:val="24"/>
          <w:highlight w:val="none"/>
        </w:rPr>
      </w:pPr>
    </w:p>
    <w:p w14:paraId="08F15010">
      <w:pPr>
        <w:rPr>
          <w:rFonts w:ascii="仿宋" w:hAnsi="仿宋" w:eastAsia="仿宋" w:cs="仿宋"/>
          <w:b/>
          <w:bCs/>
          <w:kern w:val="0"/>
          <w:sz w:val="24"/>
          <w:highlight w:val="none"/>
        </w:rPr>
      </w:pPr>
      <w:r>
        <w:rPr>
          <w:rFonts w:hint="eastAsia" w:ascii="仿宋" w:hAnsi="仿宋" w:eastAsia="仿宋" w:cs="仿宋"/>
          <w:b/>
          <w:bCs/>
          <w:kern w:val="0"/>
          <w:sz w:val="24"/>
          <w:highlight w:val="none"/>
        </w:rPr>
        <w:t>附1：“超融合应用服务一体机”硬件部分详细参数配置要求：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339"/>
        <w:gridCol w:w="1662"/>
        <w:gridCol w:w="5637"/>
      </w:tblGrid>
      <w:tr w14:paraId="1B3E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4BCDDA2C">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339" w:type="dxa"/>
            <w:vAlign w:val="center"/>
          </w:tcPr>
          <w:p w14:paraId="51809D6E">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一级性能参数指标</w:t>
            </w:r>
          </w:p>
        </w:tc>
        <w:tc>
          <w:tcPr>
            <w:tcW w:w="1662" w:type="dxa"/>
            <w:vAlign w:val="center"/>
          </w:tcPr>
          <w:p w14:paraId="4B2C40EC">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二级性能参数指标</w:t>
            </w:r>
          </w:p>
        </w:tc>
        <w:tc>
          <w:tcPr>
            <w:tcW w:w="5637" w:type="dxa"/>
            <w:vAlign w:val="center"/>
          </w:tcPr>
          <w:p w14:paraId="029D24EE">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详细参数配置要求</w:t>
            </w:r>
          </w:p>
        </w:tc>
      </w:tr>
      <w:tr w14:paraId="428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48" w:type="dxa"/>
            <w:vAlign w:val="center"/>
          </w:tcPr>
          <w:p w14:paraId="33091F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339" w:type="dxa"/>
            <w:vAlign w:val="center"/>
          </w:tcPr>
          <w:p w14:paraId="3E1DE7F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662" w:type="dxa"/>
            <w:vAlign w:val="center"/>
          </w:tcPr>
          <w:p w14:paraId="2C03A5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637" w:type="dxa"/>
            <w:vAlign w:val="center"/>
          </w:tcPr>
          <w:p w14:paraId="7B931C6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（2）单颗CPU物理核心数≥32核、主频≥2.0GHz、末级缓存容量≥64MB、线程数≥64、热设计功耗≥140W、支持内存的最高速率≥3200MHz、通道数≥8、位宽≥64位；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1BEA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1AE961A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339" w:type="dxa"/>
            <w:vMerge w:val="restart"/>
            <w:vAlign w:val="center"/>
          </w:tcPr>
          <w:p w14:paraId="3D9C8B2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662" w:type="dxa"/>
            <w:vAlign w:val="center"/>
          </w:tcPr>
          <w:p w14:paraId="248890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637" w:type="dxa"/>
            <w:vAlign w:val="center"/>
          </w:tcPr>
          <w:p w14:paraId="46DD2D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5A44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5FE6DB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339" w:type="dxa"/>
            <w:vMerge w:val="continue"/>
            <w:vAlign w:val="center"/>
          </w:tcPr>
          <w:p w14:paraId="64FC4C0E">
            <w:pPr>
              <w:rPr>
                <w:highlight w:val="none"/>
              </w:rPr>
            </w:pPr>
          </w:p>
        </w:tc>
        <w:tc>
          <w:tcPr>
            <w:tcW w:w="1662" w:type="dxa"/>
            <w:vAlign w:val="center"/>
          </w:tcPr>
          <w:p w14:paraId="28EE2E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637" w:type="dxa"/>
            <w:vAlign w:val="center"/>
          </w:tcPr>
          <w:p w14:paraId="222B28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097E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1E5939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339" w:type="dxa"/>
            <w:vMerge w:val="continue"/>
            <w:vAlign w:val="center"/>
          </w:tcPr>
          <w:p w14:paraId="5ED73C0B">
            <w:pPr>
              <w:rPr>
                <w:highlight w:val="none"/>
              </w:rPr>
            </w:pPr>
          </w:p>
        </w:tc>
        <w:tc>
          <w:tcPr>
            <w:tcW w:w="1662" w:type="dxa"/>
            <w:vAlign w:val="center"/>
          </w:tcPr>
          <w:p w14:paraId="709825A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637" w:type="dxa"/>
            <w:vAlign w:val="center"/>
          </w:tcPr>
          <w:p w14:paraId="3DF6DA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（2）板载支持≥12个SATA/SAS盘；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0586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6E9D2A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339" w:type="dxa"/>
            <w:vMerge w:val="continue"/>
            <w:vAlign w:val="center"/>
          </w:tcPr>
          <w:p w14:paraId="6774B19A">
            <w:pPr>
              <w:rPr>
                <w:highlight w:val="none"/>
              </w:rPr>
            </w:pPr>
          </w:p>
        </w:tc>
        <w:tc>
          <w:tcPr>
            <w:tcW w:w="1662" w:type="dxa"/>
            <w:vAlign w:val="center"/>
          </w:tcPr>
          <w:p w14:paraId="580B61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637" w:type="dxa"/>
            <w:vAlign w:val="center"/>
          </w:tcPr>
          <w:p w14:paraId="02D16B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60EE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0D577E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339" w:type="dxa"/>
            <w:vMerge w:val="continue"/>
            <w:vAlign w:val="center"/>
          </w:tcPr>
          <w:p w14:paraId="4050C7AD">
            <w:pPr>
              <w:rPr>
                <w:highlight w:val="none"/>
              </w:rPr>
            </w:pPr>
          </w:p>
        </w:tc>
        <w:tc>
          <w:tcPr>
            <w:tcW w:w="1662" w:type="dxa"/>
            <w:vAlign w:val="center"/>
          </w:tcPr>
          <w:p w14:paraId="44FBFC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637" w:type="dxa"/>
            <w:vAlign w:val="center"/>
          </w:tcPr>
          <w:p w14:paraId="7EA86D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5BBB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450AEB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339" w:type="dxa"/>
            <w:vMerge w:val="restart"/>
            <w:vAlign w:val="center"/>
          </w:tcPr>
          <w:p w14:paraId="4B5EBB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662" w:type="dxa"/>
            <w:vAlign w:val="center"/>
          </w:tcPr>
          <w:p w14:paraId="0A2E73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637" w:type="dxa"/>
            <w:vAlign w:val="center"/>
          </w:tcPr>
          <w:p w14:paraId="74E1E2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内存数量≥8</w:t>
            </w:r>
          </w:p>
        </w:tc>
      </w:tr>
      <w:tr w14:paraId="11A5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EB982B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339" w:type="dxa"/>
            <w:vMerge w:val="continue"/>
            <w:vAlign w:val="center"/>
          </w:tcPr>
          <w:p w14:paraId="5FCFD497">
            <w:pPr>
              <w:rPr>
                <w:highlight w:val="none"/>
              </w:rPr>
            </w:pPr>
          </w:p>
        </w:tc>
        <w:tc>
          <w:tcPr>
            <w:tcW w:w="1662" w:type="dxa"/>
            <w:vAlign w:val="center"/>
          </w:tcPr>
          <w:p w14:paraId="48B51F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637" w:type="dxa"/>
            <w:vAlign w:val="center"/>
          </w:tcPr>
          <w:p w14:paraId="598852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496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303245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339" w:type="dxa"/>
            <w:vMerge w:val="continue"/>
            <w:vAlign w:val="center"/>
          </w:tcPr>
          <w:p w14:paraId="38F405F3">
            <w:pPr>
              <w:rPr>
                <w:highlight w:val="none"/>
              </w:rPr>
            </w:pPr>
          </w:p>
        </w:tc>
        <w:tc>
          <w:tcPr>
            <w:tcW w:w="1662" w:type="dxa"/>
            <w:vAlign w:val="center"/>
          </w:tcPr>
          <w:p w14:paraId="45E5E9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637" w:type="dxa"/>
            <w:vAlign w:val="center"/>
          </w:tcPr>
          <w:p w14:paraId="61CBB1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4E22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19BCB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339" w:type="dxa"/>
            <w:vMerge w:val="restart"/>
            <w:vAlign w:val="center"/>
          </w:tcPr>
          <w:p w14:paraId="4ED4CC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662" w:type="dxa"/>
            <w:vAlign w:val="center"/>
          </w:tcPr>
          <w:p w14:paraId="54EE01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637" w:type="dxa"/>
            <w:vAlign w:val="center"/>
          </w:tcPr>
          <w:p w14:paraId="6B8453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实配≥2*480GB SATA SSD；≥2*480G SSD；≥3*2.4TB SAS盘</w:t>
            </w:r>
          </w:p>
        </w:tc>
      </w:tr>
      <w:tr w14:paraId="3D39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EBB50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339" w:type="dxa"/>
            <w:vMerge w:val="continue"/>
            <w:vAlign w:val="center"/>
          </w:tcPr>
          <w:p w14:paraId="0A84284A">
            <w:pPr>
              <w:rPr>
                <w:highlight w:val="none"/>
              </w:rPr>
            </w:pPr>
          </w:p>
        </w:tc>
        <w:tc>
          <w:tcPr>
            <w:tcW w:w="1662" w:type="dxa"/>
            <w:vAlign w:val="center"/>
          </w:tcPr>
          <w:p w14:paraId="30F5F8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637" w:type="dxa"/>
            <w:vAlign w:val="center"/>
          </w:tcPr>
          <w:p w14:paraId="7BBF0D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实配≥2*SATA SSD；≥2* SSD；≥3*SAS盘</w:t>
            </w:r>
          </w:p>
        </w:tc>
      </w:tr>
      <w:tr w14:paraId="0008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58460E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339" w:type="dxa"/>
            <w:vMerge w:val="continue"/>
            <w:vAlign w:val="center"/>
          </w:tcPr>
          <w:p w14:paraId="68E0A724">
            <w:pPr>
              <w:rPr>
                <w:highlight w:val="none"/>
              </w:rPr>
            </w:pPr>
          </w:p>
        </w:tc>
        <w:tc>
          <w:tcPr>
            <w:tcW w:w="1662" w:type="dxa"/>
            <w:vAlign w:val="center"/>
          </w:tcPr>
          <w:p w14:paraId="777607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637" w:type="dxa"/>
            <w:vAlign w:val="center"/>
          </w:tcPr>
          <w:p w14:paraId="63998A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5DB4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00DFDA7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339" w:type="dxa"/>
            <w:vAlign w:val="center"/>
          </w:tcPr>
          <w:p w14:paraId="1AE0D1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662" w:type="dxa"/>
            <w:vAlign w:val="center"/>
          </w:tcPr>
          <w:p w14:paraId="438D41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637" w:type="dxa"/>
            <w:vAlign w:val="center"/>
          </w:tcPr>
          <w:p w14:paraId="58F617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≥2*千兆电口，≥2*双光口万兆网卡（含光模块）</w:t>
            </w:r>
          </w:p>
        </w:tc>
      </w:tr>
      <w:tr w14:paraId="097D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62510A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339" w:type="dxa"/>
            <w:vMerge w:val="restart"/>
            <w:vAlign w:val="center"/>
          </w:tcPr>
          <w:p w14:paraId="582CD2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662" w:type="dxa"/>
            <w:vAlign w:val="center"/>
          </w:tcPr>
          <w:p w14:paraId="2EF53A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637" w:type="dxa"/>
            <w:vAlign w:val="center"/>
          </w:tcPr>
          <w:p w14:paraId="5C5EA0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3F77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2AAB5F7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339" w:type="dxa"/>
            <w:vMerge w:val="continue"/>
            <w:vAlign w:val="center"/>
          </w:tcPr>
          <w:p w14:paraId="12FA3926">
            <w:pPr>
              <w:rPr>
                <w:highlight w:val="none"/>
              </w:rPr>
            </w:pPr>
          </w:p>
        </w:tc>
        <w:tc>
          <w:tcPr>
            <w:tcW w:w="1662" w:type="dxa"/>
            <w:vAlign w:val="center"/>
          </w:tcPr>
          <w:p w14:paraId="3C632F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637" w:type="dxa"/>
            <w:vAlign w:val="center"/>
          </w:tcPr>
          <w:p w14:paraId="1BE5ED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79FF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74DE3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339" w:type="dxa"/>
            <w:vMerge w:val="restart"/>
            <w:vAlign w:val="center"/>
          </w:tcPr>
          <w:p w14:paraId="72183E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662" w:type="dxa"/>
            <w:vAlign w:val="center"/>
          </w:tcPr>
          <w:p w14:paraId="53A045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637" w:type="dxa"/>
            <w:vAlign w:val="center"/>
          </w:tcPr>
          <w:p w14:paraId="0D672D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33F1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3AB30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339" w:type="dxa"/>
            <w:vMerge w:val="continue"/>
            <w:vAlign w:val="center"/>
          </w:tcPr>
          <w:p w14:paraId="03DBF97C">
            <w:pPr>
              <w:rPr>
                <w:highlight w:val="none"/>
              </w:rPr>
            </w:pPr>
          </w:p>
        </w:tc>
        <w:tc>
          <w:tcPr>
            <w:tcW w:w="1662" w:type="dxa"/>
            <w:vAlign w:val="center"/>
          </w:tcPr>
          <w:p w14:paraId="18013F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637" w:type="dxa"/>
            <w:vAlign w:val="center"/>
          </w:tcPr>
          <w:p w14:paraId="6C905A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60A6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777153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339" w:type="dxa"/>
            <w:vMerge w:val="restart"/>
            <w:vAlign w:val="center"/>
          </w:tcPr>
          <w:p w14:paraId="0B9B8A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662" w:type="dxa"/>
            <w:vAlign w:val="center"/>
          </w:tcPr>
          <w:p w14:paraId="68F780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637" w:type="dxa"/>
            <w:vAlign w:val="center"/>
          </w:tcPr>
          <w:p w14:paraId="4FA0CAB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6A80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05C5E0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339" w:type="dxa"/>
            <w:vMerge w:val="continue"/>
            <w:vAlign w:val="center"/>
          </w:tcPr>
          <w:p w14:paraId="047380C9">
            <w:pPr>
              <w:rPr>
                <w:highlight w:val="none"/>
              </w:rPr>
            </w:pPr>
          </w:p>
        </w:tc>
        <w:tc>
          <w:tcPr>
            <w:tcW w:w="1662" w:type="dxa"/>
            <w:vAlign w:val="center"/>
          </w:tcPr>
          <w:p w14:paraId="10C95B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637" w:type="dxa"/>
            <w:vAlign w:val="center"/>
          </w:tcPr>
          <w:p w14:paraId="46F8C7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2558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48" w:type="dxa"/>
            <w:vAlign w:val="center"/>
          </w:tcPr>
          <w:p w14:paraId="51D936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339" w:type="dxa"/>
            <w:vMerge w:val="continue"/>
            <w:vAlign w:val="center"/>
          </w:tcPr>
          <w:p w14:paraId="1F4619F7">
            <w:pPr>
              <w:rPr>
                <w:highlight w:val="none"/>
              </w:rPr>
            </w:pPr>
          </w:p>
        </w:tc>
        <w:tc>
          <w:tcPr>
            <w:tcW w:w="1662" w:type="dxa"/>
            <w:vAlign w:val="center"/>
          </w:tcPr>
          <w:p w14:paraId="35C7BB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637" w:type="dxa"/>
            <w:vAlign w:val="center"/>
          </w:tcPr>
          <w:p w14:paraId="086B96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0CD4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2FCB50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339" w:type="dxa"/>
            <w:vMerge w:val="continue"/>
            <w:vAlign w:val="center"/>
          </w:tcPr>
          <w:p w14:paraId="21C17159">
            <w:pPr>
              <w:rPr>
                <w:highlight w:val="none"/>
              </w:rPr>
            </w:pPr>
          </w:p>
        </w:tc>
        <w:tc>
          <w:tcPr>
            <w:tcW w:w="1662" w:type="dxa"/>
            <w:vAlign w:val="center"/>
          </w:tcPr>
          <w:p w14:paraId="7ABC35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637" w:type="dxa"/>
            <w:vAlign w:val="center"/>
          </w:tcPr>
          <w:p w14:paraId="34F02A0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7E06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2FC14B2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339" w:type="dxa"/>
            <w:vMerge w:val="continue"/>
            <w:vAlign w:val="center"/>
          </w:tcPr>
          <w:p w14:paraId="32807A79">
            <w:pPr>
              <w:rPr>
                <w:highlight w:val="none"/>
              </w:rPr>
            </w:pPr>
          </w:p>
        </w:tc>
        <w:tc>
          <w:tcPr>
            <w:tcW w:w="1662" w:type="dxa"/>
            <w:vAlign w:val="center"/>
          </w:tcPr>
          <w:p w14:paraId="7B82F1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637" w:type="dxa"/>
            <w:vAlign w:val="center"/>
          </w:tcPr>
          <w:p w14:paraId="6DF6BF3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6B7F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09C00A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339" w:type="dxa"/>
            <w:vAlign w:val="center"/>
          </w:tcPr>
          <w:p w14:paraId="4137CD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662" w:type="dxa"/>
            <w:vAlign w:val="center"/>
          </w:tcPr>
          <w:p w14:paraId="22BF94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637" w:type="dxa"/>
            <w:vAlign w:val="center"/>
          </w:tcPr>
          <w:p w14:paraId="0A5C3D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4E8E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5AF6FE7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339" w:type="dxa"/>
            <w:vAlign w:val="center"/>
          </w:tcPr>
          <w:p w14:paraId="6B145B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662" w:type="dxa"/>
            <w:vAlign w:val="center"/>
          </w:tcPr>
          <w:p w14:paraId="36AB0E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637" w:type="dxa"/>
            <w:vAlign w:val="center"/>
          </w:tcPr>
          <w:p w14:paraId="6BD25A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516E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334B1E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339" w:type="dxa"/>
            <w:vAlign w:val="center"/>
          </w:tcPr>
          <w:p w14:paraId="082C7B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662" w:type="dxa"/>
            <w:vAlign w:val="center"/>
          </w:tcPr>
          <w:p w14:paraId="33832B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637" w:type="dxa"/>
            <w:vAlign w:val="center"/>
          </w:tcPr>
          <w:p w14:paraId="3B5B53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087F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2855B0F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339" w:type="dxa"/>
            <w:vMerge w:val="restart"/>
            <w:vAlign w:val="center"/>
          </w:tcPr>
          <w:p w14:paraId="25113D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662" w:type="dxa"/>
            <w:vAlign w:val="center"/>
          </w:tcPr>
          <w:p w14:paraId="72EFDC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637" w:type="dxa"/>
            <w:vAlign w:val="center"/>
          </w:tcPr>
          <w:p w14:paraId="1D0E47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65F7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58DA97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339" w:type="dxa"/>
            <w:vMerge w:val="continue"/>
            <w:vAlign w:val="center"/>
          </w:tcPr>
          <w:p w14:paraId="3D18EB57">
            <w:pPr>
              <w:rPr>
                <w:highlight w:val="none"/>
              </w:rPr>
            </w:pPr>
          </w:p>
        </w:tc>
        <w:tc>
          <w:tcPr>
            <w:tcW w:w="1662" w:type="dxa"/>
            <w:vAlign w:val="center"/>
          </w:tcPr>
          <w:p w14:paraId="0444EE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637" w:type="dxa"/>
            <w:vAlign w:val="center"/>
          </w:tcPr>
          <w:p w14:paraId="4A4DA6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3351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725CB2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339" w:type="dxa"/>
            <w:vMerge w:val="restart"/>
            <w:vAlign w:val="center"/>
          </w:tcPr>
          <w:p w14:paraId="153B53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662" w:type="dxa"/>
            <w:vAlign w:val="center"/>
          </w:tcPr>
          <w:p w14:paraId="6FAD6E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637" w:type="dxa"/>
            <w:vAlign w:val="center"/>
          </w:tcPr>
          <w:p w14:paraId="0321391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1513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C8E38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339" w:type="dxa"/>
            <w:vMerge w:val="continue"/>
            <w:vAlign w:val="center"/>
          </w:tcPr>
          <w:p w14:paraId="57D24581">
            <w:pPr>
              <w:rPr>
                <w:highlight w:val="none"/>
              </w:rPr>
            </w:pPr>
          </w:p>
        </w:tc>
        <w:tc>
          <w:tcPr>
            <w:tcW w:w="1662" w:type="dxa"/>
            <w:vAlign w:val="center"/>
          </w:tcPr>
          <w:p w14:paraId="532F43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637" w:type="dxa"/>
            <w:vAlign w:val="center"/>
          </w:tcPr>
          <w:p w14:paraId="25228E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1AFB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03E207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339" w:type="dxa"/>
            <w:vAlign w:val="center"/>
          </w:tcPr>
          <w:p w14:paraId="0D1B9A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662" w:type="dxa"/>
            <w:vAlign w:val="center"/>
          </w:tcPr>
          <w:p w14:paraId="7E108F9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637" w:type="dxa"/>
            <w:vAlign w:val="center"/>
          </w:tcPr>
          <w:p w14:paraId="3C0BEF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7883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6B0BE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339" w:type="dxa"/>
            <w:vMerge w:val="restart"/>
            <w:vAlign w:val="center"/>
          </w:tcPr>
          <w:p w14:paraId="63EBFC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662" w:type="dxa"/>
            <w:vAlign w:val="center"/>
          </w:tcPr>
          <w:p w14:paraId="39CA31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637" w:type="dxa"/>
            <w:vAlign w:val="center"/>
          </w:tcPr>
          <w:p w14:paraId="44AA25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0B18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2D344D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339" w:type="dxa"/>
            <w:vMerge w:val="continue"/>
            <w:vAlign w:val="center"/>
          </w:tcPr>
          <w:p w14:paraId="434013C1">
            <w:pPr>
              <w:rPr>
                <w:highlight w:val="none"/>
              </w:rPr>
            </w:pPr>
          </w:p>
        </w:tc>
        <w:tc>
          <w:tcPr>
            <w:tcW w:w="1662" w:type="dxa"/>
            <w:vAlign w:val="center"/>
          </w:tcPr>
          <w:p w14:paraId="5B0FCD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637" w:type="dxa"/>
            <w:vAlign w:val="center"/>
          </w:tcPr>
          <w:p w14:paraId="46120F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179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617B27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339" w:type="dxa"/>
            <w:vMerge w:val="continue"/>
            <w:vAlign w:val="center"/>
          </w:tcPr>
          <w:p w14:paraId="1CC5192F">
            <w:pPr>
              <w:rPr>
                <w:highlight w:val="none"/>
              </w:rPr>
            </w:pPr>
          </w:p>
        </w:tc>
        <w:tc>
          <w:tcPr>
            <w:tcW w:w="1662" w:type="dxa"/>
            <w:vAlign w:val="center"/>
          </w:tcPr>
          <w:p w14:paraId="36D4304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637" w:type="dxa"/>
            <w:vAlign w:val="center"/>
          </w:tcPr>
          <w:p w14:paraId="51EECC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4DCF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20CF48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339" w:type="dxa"/>
            <w:vMerge w:val="restart"/>
            <w:vAlign w:val="center"/>
          </w:tcPr>
          <w:p w14:paraId="6C7A881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662" w:type="dxa"/>
            <w:vAlign w:val="center"/>
          </w:tcPr>
          <w:p w14:paraId="7B7D5E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637" w:type="dxa"/>
            <w:vAlign w:val="center"/>
          </w:tcPr>
          <w:p w14:paraId="270BED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410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7865DF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339" w:type="dxa"/>
            <w:vMerge w:val="continue"/>
            <w:vAlign w:val="center"/>
          </w:tcPr>
          <w:p w14:paraId="62829EC1">
            <w:pPr>
              <w:rPr>
                <w:highlight w:val="none"/>
              </w:rPr>
            </w:pPr>
          </w:p>
        </w:tc>
        <w:tc>
          <w:tcPr>
            <w:tcW w:w="1662" w:type="dxa"/>
            <w:vAlign w:val="center"/>
          </w:tcPr>
          <w:p w14:paraId="24C74F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637" w:type="dxa"/>
            <w:vAlign w:val="center"/>
          </w:tcPr>
          <w:p w14:paraId="4937D1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217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2E4A2F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339" w:type="dxa"/>
            <w:vAlign w:val="center"/>
          </w:tcPr>
          <w:p w14:paraId="5E0AF2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662" w:type="dxa"/>
            <w:vAlign w:val="center"/>
          </w:tcPr>
          <w:p w14:paraId="7574D5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637" w:type="dxa"/>
            <w:vAlign w:val="center"/>
          </w:tcPr>
          <w:p w14:paraId="14BF6F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75A7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626A22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339" w:type="dxa"/>
            <w:vAlign w:val="center"/>
          </w:tcPr>
          <w:p w14:paraId="517A10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662" w:type="dxa"/>
            <w:vAlign w:val="center"/>
          </w:tcPr>
          <w:p w14:paraId="6E65DFC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637" w:type="dxa"/>
            <w:vAlign w:val="center"/>
          </w:tcPr>
          <w:p w14:paraId="57303D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0908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2AAC2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339" w:type="dxa"/>
            <w:vAlign w:val="center"/>
          </w:tcPr>
          <w:p w14:paraId="4EDD76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662" w:type="dxa"/>
            <w:vAlign w:val="center"/>
          </w:tcPr>
          <w:p w14:paraId="2A677E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637" w:type="dxa"/>
            <w:vAlign w:val="center"/>
          </w:tcPr>
          <w:p w14:paraId="5F8E16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06E6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04B241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339" w:type="dxa"/>
            <w:vMerge w:val="restart"/>
            <w:vAlign w:val="center"/>
          </w:tcPr>
          <w:p w14:paraId="04A7F0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662" w:type="dxa"/>
            <w:vAlign w:val="center"/>
          </w:tcPr>
          <w:p w14:paraId="351E4E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637" w:type="dxa"/>
            <w:vAlign w:val="center"/>
          </w:tcPr>
          <w:p w14:paraId="740609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517C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425119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339" w:type="dxa"/>
            <w:vMerge w:val="continue"/>
            <w:vAlign w:val="center"/>
          </w:tcPr>
          <w:p w14:paraId="2C91EA04">
            <w:pPr>
              <w:rPr>
                <w:highlight w:val="none"/>
              </w:rPr>
            </w:pPr>
          </w:p>
        </w:tc>
        <w:tc>
          <w:tcPr>
            <w:tcW w:w="1662" w:type="dxa"/>
            <w:vAlign w:val="center"/>
          </w:tcPr>
          <w:p w14:paraId="7EAD68E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637" w:type="dxa"/>
            <w:vAlign w:val="center"/>
          </w:tcPr>
          <w:p w14:paraId="3D7BBA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17FF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48392E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339" w:type="dxa"/>
            <w:vMerge w:val="continue"/>
            <w:vAlign w:val="center"/>
          </w:tcPr>
          <w:p w14:paraId="475EACD0">
            <w:pPr>
              <w:rPr>
                <w:highlight w:val="none"/>
              </w:rPr>
            </w:pPr>
          </w:p>
        </w:tc>
        <w:tc>
          <w:tcPr>
            <w:tcW w:w="1662" w:type="dxa"/>
            <w:vAlign w:val="center"/>
          </w:tcPr>
          <w:p w14:paraId="790891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637" w:type="dxa"/>
            <w:vAlign w:val="center"/>
          </w:tcPr>
          <w:p w14:paraId="48FED5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4E90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2F1F9F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339" w:type="dxa"/>
            <w:vMerge w:val="continue"/>
            <w:vAlign w:val="center"/>
          </w:tcPr>
          <w:p w14:paraId="2F283515">
            <w:pPr>
              <w:rPr>
                <w:highlight w:val="none"/>
              </w:rPr>
            </w:pPr>
          </w:p>
        </w:tc>
        <w:tc>
          <w:tcPr>
            <w:tcW w:w="1662" w:type="dxa"/>
            <w:vAlign w:val="center"/>
          </w:tcPr>
          <w:p w14:paraId="0ECC44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637" w:type="dxa"/>
            <w:vAlign w:val="center"/>
          </w:tcPr>
          <w:p w14:paraId="6F77D3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05FE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22B6AA4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339" w:type="dxa"/>
            <w:vMerge w:val="continue"/>
            <w:vAlign w:val="center"/>
          </w:tcPr>
          <w:p w14:paraId="18232624">
            <w:pPr>
              <w:rPr>
                <w:highlight w:val="none"/>
              </w:rPr>
            </w:pPr>
          </w:p>
        </w:tc>
        <w:tc>
          <w:tcPr>
            <w:tcW w:w="1662" w:type="dxa"/>
            <w:vAlign w:val="center"/>
          </w:tcPr>
          <w:p w14:paraId="40D235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637" w:type="dxa"/>
            <w:vAlign w:val="center"/>
          </w:tcPr>
          <w:p w14:paraId="30BD4F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6076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48" w:type="dxa"/>
            <w:vAlign w:val="center"/>
          </w:tcPr>
          <w:p w14:paraId="2F882D9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339" w:type="dxa"/>
            <w:vAlign w:val="center"/>
          </w:tcPr>
          <w:p w14:paraId="4B3616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662" w:type="dxa"/>
            <w:vAlign w:val="center"/>
          </w:tcPr>
          <w:p w14:paraId="76519C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637" w:type="dxa"/>
            <w:vAlign w:val="center"/>
          </w:tcPr>
          <w:p w14:paraId="37ABD96B">
            <w:pPr>
              <w:widowControl/>
              <w:overflowPunct/>
              <w:autoSpaceDE/>
              <w:autoSpaceDN/>
              <w:jc w:val="center"/>
              <w:textAlignment w:val="auto"/>
              <w:rPr>
                <w:rFonts w:ascii="仿宋" w:hAnsi="仿宋" w:eastAsia="仿宋" w:cs="仿宋"/>
                <w:b/>
                <w:kern w:val="0"/>
                <w:sz w:val="24"/>
                <w:highlight w:val="none"/>
                <w:lang w:val="en-GB"/>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0DAB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3BD6A9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339" w:type="dxa"/>
            <w:vAlign w:val="center"/>
          </w:tcPr>
          <w:p w14:paraId="40568B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662" w:type="dxa"/>
            <w:vAlign w:val="center"/>
          </w:tcPr>
          <w:p w14:paraId="61F7231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637" w:type="dxa"/>
            <w:vAlign w:val="center"/>
          </w:tcPr>
          <w:p w14:paraId="69A5BE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1CE2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625171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339" w:type="dxa"/>
            <w:vAlign w:val="center"/>
          </w:tcPr>
          <w:p w14:paraId="2597374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求</w:t>
            </w:r>
          </w:p>
        </w:tc>
        <w:tc>
          <w:tcPr>
            <w:tcW w:w="1662" w:type="dxa"/>
            <w:vAlign w:val="center"/>
          </w:tcPr>
          <w:p w14:paraId="406A25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637" w:type="dxa"/>
            <w:vAlign w:val="center"/>
          </w:tcPr>
          <w:p w14:paraId="1C1924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52A4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373BC0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339" w:type="dxa"/>
            <w:vMerge w:val="restart"/>
            <w:vAlign w:val="center"/>
          </w:tcPr>
          <w:p w14:paraId="5CEFF5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662" w:type="dxa"/>
            <w:vAlign w:val="center"/>
          </w:tcPr>
          <w:p w14:paraId="19B7CA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637" w:type="dxa"/>
            <w:vAlign w:val="center"/>
          </w:tcPr>
          <w:p w14:paraId="077A3D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≥2.0GHz</w:t>
            </w:r>
          </w:p>
        </w:tc>
      </w:tr>
      <w:tr w14:paraId="2C9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A4BE5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339" w:type="dxa"/>
            <w:vMerge w:val="continue"/>
            <w:vAlign w:val="center"/>
          </w:tcPr>
          <w:p w14:paraId="089FC859">
            <w:pPr>
              <w:rPr>
                <w:highlight w:val="none"/>
              </w:rPr>
            </w:pPr>
          </w:p>
        </w:tc>
        <w:tc>
          <w:tcPr>
            <w:tcW w:w="1662" w:type="dxa"/>
            <w:vAlign w:val="center"/>
          </w:tcPr>
          <w:p w14:paraId="50EA028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637" w:type="dxa"/>
            <w:vAlign w:val="center"/>
          </w:tcPr>
          <w:p w14:paraId="088501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r>
      <w:tr w14:paraId="2174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2E6122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339" w:type="dxa"/>
            <w:vMerge w:val="continue"/>
            <w:vAlign w:val="center"/>
          </w:tcPr>
          <w:p w14:paraId="54531BA3">
            <w:pPr>
              <w:rPr>
                <w:highlight w:val="none"/>
              </w:rPr>
            </w:pPr>
          </w:p>
        </w:tc>
        <w:tc>
          <w:tcPr>
            <w:tcW w:w="1662" w:type="dxa"/>
            <w:vAlign w:val="center"/>
          </w:tcPr>
          <w:p w14:paraId="1EBCCA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637" w:type="dxa"/>
            <w:vAlign w:val="center"/>
          </w:tcPr>
          <w:p w14:paraId="3C340C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≥64MB</w:t>
            </w:r>
          </w:p>
        </w:tc>
      </w:tr>
      <w:tr w14:paraId="181E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655DAB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339" w:type="dxa"/>
            <w:vAlign w:val="center"/>
          </w:tcPr>
          <w:p w14:paraId="72CF79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662" w:type="dxa"/>
            <w:vAlign w:val="center"/>
          </w:tcPr>
          <w:p w14:paraId="3970F0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637" w:type="dxa"/>
            <w:vAlign w:val="center"/>
          </w:tcPr>
          <w:p w14:paraId="57B306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5F1A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0BED55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339" w:type="dxa"/>
            <w:vAlign w:val="center"/>
          </w:tcPr>
          <w:p w14:paraId="723F4E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能耗</w:t>
            </w:r>
          </w:p>
        </w:tc>
        <w:tc>
          <w:tcPr>
            <w:tcW w:w="1662" w:type="dxa"/>
            <w:vAlign w:val="center"/>
          </w:tcPr>
          <w:p w14:paraId="57FF10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637" w:type="dxa"/>
            <w:vAlign w:val="center"/>
          </w:tcPr>
          <w:p w14:paraId="2F7149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70E7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908CF9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339" w:type="dxa"/>
            <w:vMerge w:val="restart"/>
            <w:vAlign w:val="center"/>
          </w:tcPr>
          <w:p w14:paraId="2FD092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662" w:type="dxa"/>
            <w:vAlign w:val="center"/>
          </w:tcPr>
          <w:p w14:paraId="4EC8C0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637" w:type="dxa"/>
            <w:vAlign w:val="center"/>
          </w:tcPr>
          <w:p w14:paraId="35BB79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5322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F6C28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339" w:type="dxa"/>
            <w:vMerge w:val="continue"/>
            <w:vAlign w:val="center"/>
          </w:tcPr>
          <w:p w14:paraId="33E0288B">
            <w:pPr>
              <w:rPr>
                <w:highlight w:val="none"/>
              </w:rPr>
            </w:pPr>
          </w:p>
        </w:tc>
        <w:tc>
          <w:tcPr>
            <w:tcW w:w="1662" w:type="dxa"/>
            <w:vAlign w:val="center"/>
          </w:tcPr>
          <w:p w14:paraId="7CDA6D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637" w:type="dxa"/>
            <w:vAlign w:val="center"/>
          </w:tcPr>
          <w:p w14:paraId="318E8F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7396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7FA4C66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339" w:type="dxa"/>
            <w:vMerge w:val="continue"/>
            <w:vAlign w:val="center"/>
          </w:tcPr>
          <w:p w14:paraId="2A8E1AEB">
            <w:pPr>
              <w:rPr>
                <w:highlight w:val="none"/>
              </w:rPr>
            </w:pPr>
          </w:p>
        </w:tc>
        <w:tc>
          <w:tcPr>
            <w:tcW w:w="1662" w:type="dxa"/>
            <w:vAlign w:val="center"/>
          </w:tcPr>
          <w:p w14:paraId="49319A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637" w:type="dxa"/>
            <w:vAlign w:val="center"/>
          </w:tcPr>
          <w:p w14:paraId="56F96F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2E7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30C99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339" w:type="dxa"/>
            <w:vMerge w:val="continue"/>
            <w:vAlign w:val="center"/>
          </w:tcPr>
          <w:p w14:paraId="0F437BDC">
            <w:pPr>
              <w:rPr>
                <w:highlight w:val="none"/>
              </w:rPr>
            </w:pPr>
          </w:p>
        </w:tc>
        <w:tc>
          <w:tcPr>
            <w:tcW w:w="1662" w:type="dxa"/>
            <w:vAlign w:val="center"/>
          </w:tcPr>
          <w:p w14:paraId="5BE2C3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637" w:type="dxa"/>
            <w:vAlign w:val="center"/>
          </w:tcPr>
          <w:p w14:paraId="134733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6355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48" w:type="dxa"/>
            <w:vAlign w:val="center"/>
          </w:tcPr>
          <w:p w14:paraId="2EAFCE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339" w:type="dxa"/>
            <w:vAlign w:val="center"/>
          </w:tcPr>
          <w:p w14:paraId="5DF93A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662" w:type="dxa"/>
            <w:vAlign w:val="center"/>
          </w:tcPr>
          <w:p w14:paraId="473C44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637" w:type="dxa"/>
            <w:vAlign w:val="center"/>
          </w:tcPr>
          <w:p w14:paraId="37609F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32A0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A36CD2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339" w:type="dxa"/>
            <w:vMerge w:val="restart"/>
            <w:vAlign w:val="center"/>
          </w:tcPr>
          <w:p w14:paraId="0E95608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662" w:type="dxa"/>
            <w:vAlign w:val="center"/>
          </w:tcPr>
          <w:p w14:paraId="6C6018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容</w:t>
            </w:r>
          </w:p>
        </w:tc>
        <w:tc>
          <w:tcPr>
            <w:tcW w:w="5637" w:type="dxa"/>
            <w:vAlign w:val="center"/>
          </w:tcPr>
          <w:p w14:paraId="15CC39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34F0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6A05976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339" w:type="dxa"/>
            <w:vMerge w:val="continue"/>
            <w:vAlign w:val="center"/>
          </w:tcPr>
          <w:p w14:paraId="043A8D24">
            <w:pPr>
              <w:rPr>
                <w:highlight w:val="none"/>
              </w:rPr>
            </w:pPr>
          </w:p>
        </w:tc>
        <w:tc>
          <w:tcPr>
            <w:tcW w:w="1662" w:type="dxa"/>
            <w:vAlign w:val="center"/>
          </w:tcPr>
          <w:p w14:paraId="0C8266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637" w:type="dxa"/>
            <w:vAlign w:val="center"/>
          </w:tcPr>
          <w:p w14:paraId="27D9AE6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273F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70C1D7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339" w:type="dxa"/>
            <w:vMerge w:val="continue"/>
            <w:vAlign w:val="center"/>
          </w:tcPr>
          <w:p w14:paraId="6A973529">
            <w:pPr>
              <w:rPr>
                <w:highlight w:val="none"/>
              </w:rPr>
            </w:pPr>
          </w:p>
        </w:tc>
        <w:tc>
          <w:tcPr>
            <w:tcW w:w="1662" w:type="dxa"/>
            <w:vAlign w:val="center"/>
          </w:tcPr>
          <w:p w14:paraId="419405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637" w:type="dxa"/>
            <w:vAlign w:val="center"/>
          </w:tcPr>
          <w:p w14:paraId="44DCC9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5E4C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532BCB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339" w:type="dxa"/>
            <w:vMerge w:val="restart"/>
            <w:vAlign w:val="center"/>
          </w:tcPr>
          <w:p w14:paraId="1B0638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662" w:type="dxa"/>
            <w:vAlign w:val="center"/>
          </w:tcPr>
          <w:p w14:paraId="71CC00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637" w:type="dxa"/>
            <w:vAlign w:val="center"/>
          </w:tcPr>
          <w:p w14:paraId="47E6CF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6F8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562965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339" w:type="dxa"/>
            <w:vMerge w:val="continue"/>
            <w:vAlign w:val="center"/>
          </w:tcPr>
          <w:p w14:paraId="10A71D95">
            <w:pPr>
              <w:rPr>
                <w:highlight w:val="none"/>
              </w:rPr>
            </w:pPr>
          </w:p>
        </w:tc>
        <w:tc>
          <w:tcPr>
            <w:tcW w:w="1662" w:type="dxa"/>
            <w:vAlign w:val="center"/>
          </w:tcPr>
          <w:p w14:paraId="582404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637" w:type="dxa"/>
            <w:vAlign w:val="center"/>
          </w:tcPr>
          <w:p w14:paraId="0706C86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2445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1C6FA6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339" w:type="dxa"/>
            <w:vMerge w:val="continue"/>
            <w:vAlign w:val="center"/>
          </w:tcPr>
          <w:p w14:paraId="7F9092B8">
            <w:pPr>
              <w:rPr>
                <w:highlight w:val="none"/>
              </w:rPr>
            </w:pPr>
          </w:p>
        </w:tc>
        <w:tc>
          <w:tcPr>
            <w:tcW w:w="1662" w:type="dxa"/>
            <w:vAlign w:val="center"/>
          </w:tcPr>
          <w:p w14:paraId="586230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637" w:type="dxa"/>
            <w:vAlign w:val="center"/>
          </w:tcPr>
          <w:p w14:paraId="7AC726C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1E24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553CD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339" w:type="dxa"/>
            <w:vAlign w:val="center"/>
          </w:tcPr>
          <w:p w14:paraId="6EFAB3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662" w:type="dxa"/>
            <w:vAlign w:val="center"/>
          </w:tcPr>
          <w:p w14:paraId="6622CA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637" w:type="dxa"/>
            <w:vAlign w:val="center"/>
          </w:tcPr>
          <w:p w14:paraId="7394DB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501C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48" w:type="dxa"/>
            <w:vAlign w:val="center"/>
          </w:tcPr>
          <w:p w14:paraId="518126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339" w:type="dxa"/>
            <w:vMerge w:val="restart"/>
            <w:vAlign w:val="center"/>
          </w:tcPr>
          <w:p w14:paraId="4F8218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662" w:type="dxa"/>
            <w:vAlign w:val="center"/>
          </w:tcPr>
          <w:p w14:paraId="541279F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637" w:type="dxa"/>
            <w:vAlign w:val="center"/>
          </w:tcPr>
          <w:p w14:paraId="451CB2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0F8D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135A5F1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339" w:type="dxa"/>
            <w:vMerge w:val="continue"/>
            <w:vAlign w:val="center"/>
          </w:tcPr>
          <w:p w14:paraId="5C571738">
            <w:pPr>
              <w:rPr>
                <w:highlight w:val="none"/>
              </w:rPr>
            </w:pPr>
          </w:p>
        </w:tc>
        <w:tc>
          <w:tcPr>
            <w:tcW w:w="1662" w:type="dxa"/>
            <w:vAlign w:val="center"/>
          </w:tcPr>
          <w:p w14:paraId="303DB2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637" w:type="dxa"/>
            <w:vAlign w:val="center"/>
          </w:tcPr>
          <w:p w14:paraId="679908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39BF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648" w:type="dxa"/>
            <w:vAlign w:val="center"/>
          </w:tcPr>
          <w:p w14:paraId="78CB35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339" w:type="dxa"/>
            <w:vAlign w:val="center"/>
          </w:tcPr>
          <w:p w14:paraId="39A4EC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662" w:type="dxa"/>
            <w:vAlign w:val="center"/>
          </w:tcPr>
          <w:p w14:paraId="13999D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637" w:type="dxa"/>
            <w:vAlign w:val="center"/>
          </w:tcPr>
          <w:p w14:paraId="2D15FA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78B5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32EC00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339" w:type="dxa"/>
            <w:vMerge w:val="restart"/>
            <w:vAlign w:val="center"/>
          </w:tcPr>
          <w:p w14:paraId="4B930D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662" w:type="dxa"/>
            <w:vAlign w:val="center"/>
          </w:tcPr>
          <w:p w14:paraId="1E9B64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637" w:type="dxa"/>
            <w:vAlign w:val="center"/>
          </w:tcPr>
          <w:p w14:paraId="61CE19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3C6C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1737CF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339" w:type="dxa"/>
            <w:vMerge w:val="continue"/>
            <w:vAlign w:val="center"/>
          </w:tcPr>
          <w:p w14:paraId="025D2684">
            <w:pPr>
              <w:rPr>
                <w:highlight w:val="none"/>
              </w:rPr>
            </w:pPr>
          </w:p>
        </w:tc>
        <w:tc>
          <w:tcPr>
            <w:tcW w:w="1662" w:type="dxa"/>
            <w:vAlign w:val="center"/>
          </w:tcPr>
          <w:p w14:paraId="5BD492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637" w:type="dxa"/>
            <w:vAlign w:val="center"/>
          </w:tcPr>
          <w:p w14:paraId="7416B3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39AA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625BA6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339" w:type="dxa"/>
            <w:vMerge w:val="continue"/>
            <w:vAlign w:val="center"/>
          </w:tcPr>
          <w:p w14:paraId="693BE91C">
            <w:pPr>
              <w:rPr>
                <w:highlight w:val="none"/>
              </w:rPr>
            </w:pPr>
          </w:p>
        </w:tc>
        <w:tc>
          <w:tcPr>
            <w:tcW w:w="1662" w:type="dxa"/>
            <w:vAlign w:val="center"/>
          </w:tcPr>
          <w:p w14:paraId="443D92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637" w:type="dxa"/>
            <w:vAlign w:val="center"/>
          </w:tcPr>
          <w:p w14:paraId="3ACEEAB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6857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28AECE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339" w:type="dxa"/>
            <w:vMerge w:val="restart"/>
            <w:vAlign w:val="center"/>
          </w:tcPr>
          <w:p w14:paraId="6C2DFE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662" w:type="dxa"/>
            <w:vAlign w:val="center"/>
          </w:tcPr>
          <w:p w14:paraId="0E874D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637" w:type="dxa"/>
            <w:vAlign w:val="center"/>
          </w:tcPr>
          <w:p w14:paraId="60AB40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3B62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vAlign w:val="center"/>
          </w:tcPr>
          <w:p w14:paraId="7066B0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339" w:type="dxa"/>
            <w:vMerge w:val="continue"/>
            <w:vAlign w:val="center"/>
          </w:tcPr>
          <w:p w14:paraId="339E2B3B">
            <w:pPr>
              <w:rPr>
                <w:highlight w:val="none"/>
              </w:rPr>
            </w:pPr>
          </w:p>
        </w:tc>
        <w:tc>
          <w:tcPr>
            <w:tcW w:w="1662" w:type="dxa"/>
            <w:vAlign w:val="center"/>
          </w:tcPr>
          <w:p w14:paraId="180CCB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637" w:type="dxa"/>
            <w:vAlign w:val="center"/>
          </w:tcPr>
          <w:p w14:paraId="52AD8E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2D5E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8" w:type="dxa"/>
            <w:vAlign w:val="center"/>
          </w:tcPr>
          <w:p w14:paraId="6ABB0F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339" w:type="dxa"/>
            <w:vMerge w:val="restart"/>
            <w:vAlign w:val="center"/>
          </w:tcPr>
          <w:p w14:paraId="532EB6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662" w:type="dxa"/>
            <w:vAlign w:val="center"/>
          </w:tcPr>
          <w:p w14:paraId="48E99E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637" w:type="dxa"/>
            <w:vAlign w:val="center"/>
          </w:tcPr>
          <w:p w14:paraId="1702D45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4AA1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8" w:type="dxa"/>
            <w:vAlign w:val="center"/>
          </w:tcPr>
          <w:p w14:paraId="5FB118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339" w:type="dxa"/>
            <w:vMerge w:val="continue"/>
            <w:vAlign w:val="center"/>
          </w:tcPr>
          <w:p w14:paraId="1441B4F4">
            <w:pPr>
              <w:rPr>
                <w:highlight w:val="none"/>
              </w:rPr>
            </w:pPr>
          </w:p>
        </w:tc>
        <w:tc>
          <w:tcPr>
            <w:tcW w:w="1662" w:type="dxa"/>
            <w:vAlign w:val="center"/>
          </w:tcPr>
          <w:p w14:paraId="2E409D4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637" w:type="dxa"/>
            <w:vAlign w:val="center"/>
          </w:tcPr>
          <w:p w14:paraId="2428F4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77DAB03B">
      <w:pPr>
        <w:rPr>
          <w:rFonts w:ascii="仿宋" w:hAnsi="仿宋" w:eastAsia="仿宋" w:cs="仿宋"/>
          <w:b/>
          <w:bCs/>
          <w:kern w:val="0"/>
          <w:sz w:val="24"/>
          <w:highlight w:val="none"/>
        </w:rPr>
      </w:pPr>
      <w:r>
        <w:rPr>
          <w:rFonts w:hint="eastAsia" w:ascii="仿宋" w:hAnsi="仿宋" w:eastAsia="仿宋" w:cs="仿宋"/>
          <w:b/>
          <w:bCs/>
          <w:kern w:val="0"/>
          <w:sz w:val="24"/>
          <w:highlight w:val="none"/>
        </w:rPr>
        <w:t>附2：“大数据平台流式计算服务一体机”硬件部分详细参数配置要求：</w:t>
      </w:r>
    </w:p>
    <w:tbl>
      <w:tblPr>
        <w:tblStyle w:val="80"/>
        <w:tblW w:w="5000" w:type="pct"/>
        <w:tblInd w:w="0" w:type="dxa"/>
        <w:tblLayout w:type="autofit"/>
        <w:tblCellMar>
          <w:top w:w="0" w:type="dxa"/>
          <w:left w:w="108" w:type="dxa"/>
          <w:bottom w:w="0" w:type="dxa"/>
          <w:right w:w="108" w:type="dxa"/>
        </w:tblCellMar>
      </w:tblPr>
      <w:tblGrid>
        <w:gridCol w:w="724"/>
        <w:gridCol w:w="1309"/>
        <w:gridCol w:w="1824"/>
        <w:gridCol w:w="5429"/>
      </w:tblGrid>
      <w:tr w14:paraId="220ED873">
        <w:tblPrEx>
          <w:tblCellMar>
            <w:top w:w="0" w:type="dxa"/>
            <w:left w:w="108" w:type="dxa"/>
            <w:bottom w:w="0" w:type="dxa"/>
            <w:right w:w="108" w:type="dxa"/>
          </w:tblCellMar>
        </w:tblPrEx>
        <w:trPr>
          <w:trHeight w:val="50" w:hRule="atLeast"/>
        </w:trPr>
        <w:tc>
          <w:tcPr>
            <w:tcW w:w="724" w:type="dxa"/>
            <w:tcBorders>
              <w:top w:val="single" w:color="000000" w:sz="4" w:space="0"/>
              <w:left w:val="single" w:color="000000" w:sz="4" w:space="0"/>
              <w:bottom w:val="single" w:color="000000" w:sz="4" w:space="0"/>
              <w:right w:val="nil"/>
            </w:tcBorders>
            <w:vAlign w:val="center"/>
          </w:tcPr>
          <w:p w14:paraId="6B3AEB8F">
            <w:pPr>
              <w:widowControl/>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309" w:type="dxa"/>
            <w:tcBorders>
              <w:top w:val="single" w:color="000000" w:sz="4" w:space="0"/>
              <w:left w:val="single" w:color="000000" w:sz="4" w:space="0"/>
              <w:bottom w:val="single" w:color="000000" w:sz="4" w:space="0"/>
              <w:right w:val="single" w:color="000000" w:sz="4" w:space="0"/>
            </w:tcBorders>
            <w:vAlign w:val="center"/>
          </w:tcPr>
          <w:p w14:paraId="7AC20C08">
            <w:pPr>
              <w:widowControl/>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一级性能参数指标</w:t>
            </w:r>
          </w:p>
        </w:tc>
        <w:tc>
          <w:tcPr>
            <w:tcW w:w="1824" w:type="dxa"/>
            <w:tcBorders>
              <w:top w:val="single" w:color="000000" w:sz="4" w:space="0"/>
              <w:left w:val="nil"/>
              <w:bottom w:val="single" w:color="000000" w:sz="4" w:space="0"/>
              <w:right w:val="single" w:color="000000" w:sz="4" w:space="0"/>
            </w:tcBorders>
            <w:vAlign w:val="center"/>
          </w:tcPr>
          <w:p w14:paraId="28473AFA">
            <w:pPr>
              <w:widowControl/>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二级性能参数指标</w:t>
            </w:r>
          </w:p>
        </w:tc>
        <w:tc>
          <w:tcPr>
            <w:tcW w:w="5429" w:type="dxa"/>
            <w:tcBorders>
              <w:top w:val="single" w:color="000000" w:sz="4" w:space="0"/>
              <w:left w:val="nil"/>
              <w:bottom w:val="single" w:color="000000" w:sz="4" w:space="0"/>
              <w:right w:val="single" w:color="000000" w:sz="4" w:space="0"/>
            </w:tcBorders>
            <w:vAlign w:val="center"/>
          </w:tcPr>
          <w:p w14:paraId="74BA9B94">
            <w:pPr>
              <w:widowControl/>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详细参数配置要求</w:t>
            </w:r>
          </w:p>
        </w:tc>
      </w:tr>
      <w:tr w14:paraId="229F7B6A">
        <w:tblPrEx>
          <w:tblCellMar>
            <w:top w:w="0" w:type="dxa"/>
            <w:left w:w="108" w:type="dxa"/>
            <w:bottom w:w="0" w:type="dxa"/>
            <w:right w:w="108" w:type="dxa"/>
          </w:tblCellMar>
        </w:tblPrEx>
        <w:trPr>
          <w:trHeight w:val="2480" w:hRule="atLeast"/>
        </w:trPr>
        <w:tc>
          <w:tcPr>
            <w:tcW w:w="724" w:type="dxa"/>
            <w:tcBorders>
              <w:top w:val="nil"/>
              <w:left w:val="single" w:color="000000" w:sz="4" w:space="0"/>
              <w:bottom w:val="single" w:color="000000" w:sz="4" w:space="0"/>
              <w:right w:val="nil"/>
            </w:tcBorders>
            <w:vAlign w:val="center"/>
          </w:tcPr>
          <w:p w14:paraId="6D9E090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309" w:type="dxa"/>
            <w:tcBorders>
              <w:top w:val="nil"/>
              <w:left w:val="single" w:color="000000" w:sz="4" w:space="0"/>
              <w:bottom w:val="single" w:color="000000" w:sz="4" w:space="0"/>
              <w:right w:val="single" w:color="000000" w:sz="4" w:space="0"/>
            </w:tcBorders>
            <w:vAlign w:val="center"/>
          </w:tcPr>
          <w:p w14:paraId="333E2EE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824" w:type="dxa"/>
            <w:tcBorders>
              <w:top w:val="nil"/>
              <w:left w:val="nil"/>
              <w:bottom w:val="single" w:color="000000" w:sz="4" w:space="0"/>
              <w:right w:val="single" w:color="000000" w:sz="4" w:space="0"/>
            </w:tcBorders>
            <w:vAlign w:val="center"/>
          </w:tcPr>
          <w:p w14:paraId="7BB4959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429" w:type="dxa"/>
            <w:tcBorders>
              <w:top w:val="nil"/>
              <w:left w:val="nil"/>
              <w:bottom w:val="single" w:color="000000" w:sz="4" w:space="0"/>
              <w:right w:val="single" w:color="000000" w:sz="4" w:space="0"/>
            </w:tcBorders>
            <w:vAlign w:val="center"/>
          </w:tcPr>
          <w:p w14:paraId="01FAA65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（2）单颗CPU物理核心数≥16核、主频≥2.5GHz、末级缓存容量≥32MB、线程数≥32、热设计功耗≥135W、支持内存的最高速率≥3200MHz、通道数≥4、位宽≥64位；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201546ED">
        <w:tblPrEx>
          <w:tblCellMar>
            <w:top w:w="0" w:type="dxa"/>
            <w:left w:w="108" w:type="dxa"/>
            <w:bottom w:w="0" w:type="dxa"/>
            <w:right w:w="108" w:type="dxa"/>
          </w:tblCellMar>
        </w:tblPrEx>
        <w:trPr>
          <w:trHeight w:val="1240" w:hRule="atLeast"/>
        </w:trPr>
        <w:tc>
          <w:tcPr>
            <w:tcW w:w="724" w:type="dxa"/>
            <w:tcBorders>
              <w:top w:val="nil"/>
              <w:left w:val="single" w:color="000000" w:sz="4" w:space="0"/>
              <w:bottom w:val="single" w:color="000000" w:sz="4" w:space="0"/>
              <w:right w:val="nil"/>
            </w:tcBorders>
            <w:vAlign w:val="center"/>
          </w:tcPr>
          <w:p w14:paraId="5ED98B2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309" w:type="dxa"/>
            <w:vMerge w:val="restart"/>
            <w:tcBorders>
              <w:top w:val="nil"/>
              <w:left w:val="single" w:color="000000" w:sz="4" w:space="0"/>
              <w:bottom w:val="single" w:color="000000" w:sz="4" w:space="0"/>
              <w:right w:val="single" w:color="000000" w:sz="4" w:space="0"/>
            </w:tcBorders>
            <w:vAlign w:val="center"/>
          </w:tcPr>
          <w:p w14:paraId="2FE104E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824" w:type="dxa"/>
            <w:tcBorders>
              <w:top w:val="nil"/>
              <w:left w:val="nil"/>
              <w:bottom w:val="single" w:color="000000" w:sz="4" w:space="0"/>
              <w:right w:val="single" w:color="000000" w:sz="4" w:space="0"/>
            </w:tcBorders>
            <w:vAlign w:val="center"/>
          </w:tcPr>
          <w:p w14:paraId="114290B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429" w:type="dxa"/>
            <w:tcBorders>
              <w:top w:val="nil"/>
              <w:left w:val="nil"/>
              <w:bottom w:val="single" w:color="000000" w:sz="4" w:space="0"/>
              <w:right w:val="single" w:color="000000" w:sz="4" w:space="0"/>
            </w:tcBorders>
            <w:vAlign w:val="center"/>
          </w:tcPr>
          <w:p w14:paraId="7991932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4CBE84A1">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2E95FE0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309" w:type="dxa"/>
            <w:vMerge w:val="continue"/>
            <w:tcBorders>
              <w:top w:val="nil"/>
              <w:left w:val="single" w:color="000000" w:sz="4" w:space="0"/>
              <w:bottom w:val="single" w:color="000000" w:sz="4" w:space="0"/>
              <w:right w:val="single" w:color="000000" w:sz="4" w:space="0"/>
            </w:tcBorders>
            <w:vAlign w:val="center"/>
          </w:tcPr>
          <w:p w14:paraId="7897F4A6">
            <w:pPr>
              <w:rPr>
                <w:highlight w:val="none"/>
              </w:rPr>
            </w:pPr>
          </w:p>
        </w:tc>
        <w:tc>
          <w:tcPr>
            <w:tcW w:w="1824" w:type="dxa"/>
            <w:tcBorders>
              <w:top w:val="nil"/>
              <w:left w:val="nil"/>
              <w:bottom w:val="single" w:color="000000" w:sz="4" w:space="0"/>
              <w:right w:val="single" w:color="000000" w:sz="4" w:space="0"/>
            </w:tcBorders>
            <w:vAlign w:val="center"/>
          </w:tcPr>
          <w:p w14:paraId="72B5F6E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429" w:type="dxa"/>
            <w:tcBorders>
              <w:top w:val="nil"/>
              <w:left w:val="nil"/>
              <w:bottom w:val="single" w:color="000000" w:sz="4" w:space="0"/>
              <w:right w:val="single" w:color="000000" w:sz="4" w:space="0"/>
            </w:tcBorders>
            <w:vAlign w:val="center"/>
          </w:tcPr>
          <w:p w14:paraId="451D6D3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1381E55E">
        <w:tblPrEx>
          <w:tblCellMar>
            <w:top w:w="0" w:type="dxa"/>
            <w:left w:w="108" w:type="dxa"/>
            <w:bottom w:w="0" w:type="dxa"/>
            <w:right w:w="108" w:type="dxa"/>
          </w:tblCellMar>
        </w:tblPrEx>
        <w:trPr>
          <w:trHeight w:val="1240" w:hRule="atLeast"/>
        </w:trPr>
        <w:tc>
          <w:tcPr>
            <w:tcW w:w="724" w:type="dxa"/>
            <w:tcBorders>
              <w:top w:val="nil"/>
              <w:left w:val="single" w:color="000000" w:sz="4" w:space="0"/>
              <w:bottom w:val="single" w:color="000000" w:sz="4" w:space="0"/>
              <w:right w:val="nil"/>
            </w:tcBorders>
            <w:vAlign w:val="center"/>
          </w:tcPr>
          <w:p w14:paraId="6AD39FA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309" w:type="dxa"/>
            <w:vMerge w:val="continue"/>
            <w:tcBorders>
              <w:top w:val="nil"/>
              <w:left w:val="single" w:color="000000" w:sz="4" w:space="0"/>
              <w:bottom w:val="single" w:color="000000" w:sz="4" w:space="0"/>
              <w:right w:val="single" w:color="000000" w:sz="4" w:space="0"/>
            </w:tcBorders>
            <w:vAlign w:val="center"/>
          </w:tcPr>
          <w:p w14:paraId="518FBDF0">
            <w:pPr>
              <w:rPr>
                <w:highlight w:val="none"/>
              </w:rPr>
            </w:pPr>
          </w:p>
        </w:tc>
        <w:tc>
          <w:tcPr>
            <w:tcW w:w="1824" w:type="dxa"/>
            <w:tcBorders>
              <w:top w:val="nil"/>
              <w:left w:val="nil"/>
              <w:bottom w:val="single" w:color="000000" w:sz="4" w:space="0"/>
              <w:right w:val="single" w:color="000000" w:sz="4" w:space="0"/>
            </w:tcBorders>
            <w:vAlign w:val="center"/>
          </w:tcPr>
          <w:p w14:paraId="54E6ABB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429" w:type="dxa"/>
            <w:tcBorders>
              <w:top w:val="nil"/>
              <w:left w:val="nil"/>
              <w:bottom w:val="single" w:color="000000" w:sz="4" w:space="0"/>
              <w:right w:val="single" w:color="000000" w:sz="4" w:space="0"/>
            </w:tcBorders>
            <w:vAlign w:val="center"/>
          </w:tcPr>
          <w:p w14:paraId="2F07096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（2）板载支持≥12个SATA/SAS盘；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78B484DE">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00989C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309" w:type="dxa"/>
            <w:vMerge w:val="continue"/>
            <w:tcBorders>
              <w:top w:val="nil"/>
              <w:left w:val="single" w:color="000000" w:sz="4" w:space="0"/>
              <w:bottom w:val="single" w:color="000000" w:sz="4" w:space="0"/>
              <w:right w:val="single" w:color="000000" w:sz="4" w:space="0"/>
            </w:tcBorders>
            <w:vAlign w:val="center"/>
          </w:tcPr>
          <w:p w14:paraId="73BBD294">
            <w:pPr>
              <w:rPr>
                <w:highlight w:val="none"/>
              </w:rPr>
            </w:pPr>
          </w:p>
        </w:tc>
        <w:tc>
          <w:tcPr>
            <w:tcW w:w="1824" w:type="dxa"/>
            <w:tcBorders>
              <w:top w:val="nil"/>
              <w:left w:val="nil"/>
              <w:bottom w:val="single" w:color="000000" w:sz="4" w:space="0"/>
              <w:right w:val="single" w:color="000000" w:sz="4" w:space="0"/>
            </w:tcBorders>
            <w:vAlign w:val="center"/>
          </w:tcPr>
          <w:p w14:paraId="58B02C2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429" w:type="dxa"/>
            <w:tcBorders>
              <w:top w:val="nil"/>
              <w:left w:val="nil"/>
              <w:bottom w:val="single" w:color="000000" w:sz="4" w:space="0"/>
              <w:right w:val="single" w:color="000000" w:sz="4" w:space="0"/>
            </w:tcBorders>
            <w:vAlign w:val="center"/>
          </w:tcPr>
          <w:p w14:paraId="5784217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0D36A772">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1B5326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309" w:type="dxa"/>
            <w:vMerge w:val="continue"/>
            <w:tcBorders>
              <w:top w:val="nil"/>
              <w:left w:val="single" w:color="000000" w:sz="4" w:space="0"/>
              <w:bottom w:val="single" w:color="000000" w:sz="4" w:space="0"/>
              <w:right w:val="single" w:color="000000" w:sz="4" w:space="0"/>
            </w:tcBorders>
            <w:vAlign w:val="center"/>
          </w:tcPr>
          <w:p w14:paraId="22873E3B">
            <w:pPr>
              <w:rPr>
                <w:highlight w:val="none"/>
              </w:rPr>
            </w:pPr>
          </w:p>
        </w:tc>
        <w:tc>
          <w:tcPr>
            <w:tcW w:w="1824" w:type="dxa"/>
            <w:tcBorders>
              <w:top w:val="nil"/>
              <w:left w:val="nil"/>
              <w:bottom w:val="single" w:color="000000" w:sz="4" w:space="0"/>
              <w:right w:val="single" w:color="000000" w:sz="4" w:space="0"/>
            </w:tcBorders>
            <w:vAlign w:val="center"/>
          </w:tcPr>
          <w:p w14:paraId="5EB78DC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429" w:type="dxa"/>
            <w:tcBorders>
              <w:top w:val="nil"/>
              <w:left w:val="nil"/>
              <w:bottom w:val="single" w:color="000000" w:sz="4" w:space="0"/>
              <w:right w:val="single" w:color="000000" w:sz="4" w:space="0"/>
            </w:tcBorders>
            <w:vAlign w:val="center"/>
          </w:tcPr>
          <w:p w14:paraId="7F67BC2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3214DC3E">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02885BC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309" w:type="dxa"/>
            <w:vMerge w:val="restart"/>
            <w:tcBorders>
              <w:top w:val="nil"/>
              <w:left w:val="single" w:color="000000" w:sz="4" w:space="0"/>
              <w:bottom w:val="single" w:color="000000" w:sz="4" w:space="0"/>
              <w:right w:val="single" w:color="000000" w:sz="4" w:space="0"/>
            </w:tcBorders>
            <w:vAlign w:val="center"/>
          </w:tcPr>
          <w:p w14:paraId="4271DFF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824" w:type="dxa"/>
            <w:tcBorders>
              <w:top w:val="nil"/>
              <w:left w:val="nil"/>
              <w:bottom w:val="single" w:color="000000" w:sz="4" w:space="0"/>
              <w:right w:val="single" w:color="000000" w:sz="4" w:space="0"/>
            </w:tcBorders>
            <w:vAlign w:val="center"/>
          </w:tcPr>
          <w:p w14:paraId="6933FF0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429" w:type="dxa"/>
            <w:tcBorders>
              <w:top w:val="nil"/>
              <w:left w:val="nil"/>
              <w:bottom w:val="single" w:color="000000" w:sz="4" w:space="0"/>
              <w:right w:val="single" w:color="000000" w:sz="4" w:space="0"/>
            </w:tcBorders>
            <w:vAlign w:val="center"/>
          </w:tcPr>
          <w:p w14:paraId="4633FB8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内存数量≥8</w:t>
            </w:r>
          </w:p>
        </w:tc>
      </w:tr>
      <w:tr w14:paraId="4EF0D366">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4165D2B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309" w:type="dxa"/>
            <w:vMerge w:val="continue"/>
            <w:tcBorders>
              <w:top w:val="nil"/>
              <w:left w:val="single" w:color="000000" w:sz="4" w:space="0"/>
              <w:bottom w:val="single" w:color="000000" w:sz="4" w:space="0"/>
              <w:right w:val="single" w:color="000000" w:sz="4" w:space="0"/>
            </w:tcBorders>
            <w:vAlign w:val="center"/>
          </w:tcPr>
          <w:p w14:paraId="07336BCF">
            <w:pPr>
              <w:rPr>
                <w:highlight w:val="none"/>
              </w:rPr>
            </w:pPr>
          </w:p>
        </w:tc>
        <w:tc>
          <w:tcPr>
            <w:tcW w:w="1824" w:type="dxa"/>
            <w:tcBorders>
              <w:top w:val="nil"/>
              <w:left w:val="nil"/>
              <w:bottom w:val="single" w:color="000000" w:sz="4" w:space="0"/>
              <w:right w:val="single" w:color="000000" w:sz="4" w:space="0"/>
            </w:tcBorders>
            <w:vAlign w:val="center"/>
          </w:tcPr>
          <w:p w14:paraId="4816668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429" w:type="dxa"/>
            <w:tcBorders>
              <w:top w:val="nil"/>
              <w:left w:val="nil"/>
              <w:bottom w:val="single" w:color="000000" w:sz="4" w:space="0"/>
              <w:right w:val="single" w:color="000000" w:sz="4" w:space="0"/>
            </w:tcBorders>
            <w:vAlign w:val="center"/>
          </w:tcPr>
          <w:p w14:paraId="38FDDA4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389D0F20">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3624939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309" w:type="dxa"/>
            <w:vMerge w:val="continue"/>
            <w:tcBorders>
              <w:top w:val="nil"/>
              <w:left w:val="single" w:color="000000" w:sz="4" w:space="0"/>
              <w:bottom w:val="single" w:color="000000" w:sz="4" w:space="0"/>
              <w:right w:val="single" w:color="000000" w:sz="4" w:space="0"/>
            </w:tcBorders>
            <w:vAlign w:val="center"/>
          </w:tcPr>
          <w:p w14:paraId="69137F56">
            <w:pPr>
              <w:rPr>
                <w:highlight w:val="none"/>
              </w:rPr>
            </w:pPr>
          </w:p>
        </w:tc>
        <w:tc>
          <w:tcPr>
            <w:tcW w:w="1824" w:type="dxa"/>
            <w:tcBorders>
              <w:top w:val="nil"/>
              <w:left w:val="nil"/>
              <w:bottom w:val="single" w:color="000000" w:sz="4" w:space="0"/>
              <w:right w:val="single" w:color="000000" w:sz="4" w:space="0"/>
            </w:tcBorders>
            <w:vAlign w:val="center"/>
          </w:tcPr>
          <w:p w14:paraId="778845F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429" w:type="dxa"/>
            <w:tcBorders>
              <w:top w:val="nil"/>
              <w:left w:val="nil"/>
              <w:bottom w:val="single" w:color="000000" w:sz="4" w:space="0"/>
              <w:right w:val="single" w:color="000000" w:sz="4" w:space="0"/>
            </w:tcBorders>
            <w:vAlign w:val="center"/>
          </w:tcPr>
          <w:p w14:paraId="6B28B43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70D5D951">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40709E0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309" w:type="dxa"/>
            <w:vMerge w:val="restart"/>
            <w:tcBorders>
              <w:top w:val="nil"/>
              <w:left w:val="single" w:color="000000" w:sz="4" w:space="0"/>
              <w:bottom w:val="single" w:color="000000" w:sz="4" w:space="0"/>
              <w:right w:val="single" w:color="000000" w:sz="4" w:space="0"/>
            </w:tcBorders>
            <w:vAlign w:val="center"/>
          </w:tcPr>
          <w:p w14:paraId="3B9372E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824" w:type="dxa"/>
            <w:tcBorders>
              <w:top w:val="nil"/>
              <w:left w:val="nil"/>
              <w:bottom w:val="single" w:color="000000" w:sz="4" w:space="0"/>
              <w:right w:val="single" w:color="000000" w:sz="4" w:space="0"/>
            </w:tcBorders>
            <w:vAlign w:val="center"/>
          </w:tcPr>
          <w:p w14:paraId="174FA46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429" w:type="dxa"/>
            <w:tcBorders>
              <w:top w:val="nil"/>
              <w:left w:val="nil"/>
              <w:bottom w:val="single" w:color="000000" w:sz="4" w:space="0"/>
              <w:right w:val="single" w:color="000000" w:sz="4" w:space="0"/>
            </w:tcBorders>
            <w:vAlign w:val="center"/>
          </w:tcPr>
          <w:p w14:paraId="32F796F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实配≥2块480G SATA企业级SSD；≥2块4TB SATA 7200RPM 3.5寸企业级硬盘</w:t>
            </w:r>
          </w:p>
        </w:tc>
      </w:tr>
      <w:tr w14:paraId="095D7A05">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AD1367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309" w:type="dxa"/>
            <w:vMerge w:val="continue"/>
            <w:tcBorders>
              <w:top w:val="nil"/>
              <w:left w:val="single" w:color="000000" w:sz="4" w:space="0"/>
              <w:bottom w:val="single" w:color="000000" w:sz="4" w:space="0"/>
              <w:right w:val="single" w:color="000000" w:sz="4" w:space="0"/>
            </w:tcBorders>
            <w:vAlign w:val="center"/>
          </w:tcPr>
          <w:p w14:paraId="45C5372A">
            <w:pPr>
              <w:rPr>
                <w:highlight w:val="none"/>
              </w:rPr>
            </w:pPr>
          </w:p>
        </w:tc>
        <w:tc>
          <w:tcPr>
            <w:tcW w:w="1824" w:type="dxa"/>
            <w:tcBorders>
              <w:top w:val="nil"/>
              <w:left w:val="nil"/>
              <w:bottom w:val="single" w:color="000000" w:sz="4" w:space="0"/>
              <w:right w:val="single" w:color="000000" w:sz="4" w:space="0"/>
            </w:tcBorders>
            <w:vAlign w:val="center"/>
          </w:tcPr>
          <w:p w14:paraId="764B6B2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429" w:type="dxa"/>
            <w:tcBorders>
              <w:top w:val="nil"/>
              <w:left w:val="nil"/>
              <w:bottom w:val="single" w:color="000000" w:sz="4" w:space="0"/>
              <w:right w:val="single" w:color="000000" w:sz="4" w:space="0"/>
            </w:tcBorders>
            <w:vAlign w:val="center"/>
          </w:tcPr>
          <w:p w14:paraId="4D1373E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实配≥2块SATA企业级SSD；≥2块SATA 7200RPM 3.5寸企业级硬盘</w:t>
            </w:r>
          </w:p>
        </w:tc>
      </w:tr>
      <w:tr w14:paraId="5B1DF075">
        <w:tblPrEx>
          <w:tblCellMar>
            <w:top w:w="0" w:type="dxa"/>
            <w:left w:w="108" w:type="dxa"/>
            <w:bottom w:w="0" w:type="dxa"/>
            <w:right w:w="108" w:type="dxa"/>
          </w:tblCellMar>
        </w:tblPrEx>
        <w:trPr>
          <w:trHeight w:val="1550" w:hRule="atLeast"/>
        </w:trPr>
        <w:tc>
          <w:tcPr>
            <w:tcW w:w="724" w:type="dxa"/>
            <w:tcBorders>
              <w:top w:val="nil"/>
              <w:left w:val="single" w:color="000000" w:sz="4" w:space="0"/>
              <w:bottom w:val="single" w:color="000000" w:sz="4" w:space="0"/>
              <w:right w:val="nil"/>
            </w:tcBorders>
            <w:vAlign w:val="center"/>
          </w:tcPr>
          <w:p w14:paraId="505CA12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309" w:type="dxa"/>
            <w:vMerge w:val="continue"/>
            <w:tcBorders>
              <w:top w:val="nil"/>
              <w:left w:val="single" w:color="000000" w:sz="4" w:space="0"/>
              <w:bottom w:val="single" w:color="000000" w:sz="4" w:space="0"/>
              <w:right w:val="single" w:color="000000" w:sz="4" w:space="0"/>
            </w:tcBorders>
            <w:vAlign w:val="center"/>
          </w:tcPr>
          <w:p w14:paraId="4388C2D7">
            <w:pPr>
              <w:rPr>
                <w:highlight w:val="none"/>
              </w:rPr>
            </w:pPr>
          </w:p>
        </w:tc>
        <w:tc>
          <w:tcPr>
            <w:tcW w:w="1824" w:type="dxa"/>
            <w:tcBorders>
              <w:top w:val="nil"/>
              <w:left w:val="nil"/>
              <w:bottom w:val="single" w:color="000000" w:sz="4" w:space="0"/>
              <w:right w:val="single" w:color="000000" w:sz="4" w:space="0"/>
            </w:tcBorders>
            <w:vAlign w:val="center"/>
          </w:tcPr>
          <w:p w14:paraId="31171FC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429" w:type="dxa"/>
            <w:tcBorders>
              <w:top w:val="nil"/>
              <w:left w:val="nil"/>
              <w:bottom w:val="single" w:color="000000" w:sz="4" w:space="0"/>
              <w:right w:val="single" w:color="000000" w:sz="4" w:space="0"/>
            </w:tcBorders>
            <w:vAlign w:val="center"/>
          </w:tcPr>
          <w:p w14:paraId="4D50405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1C9A7ED8">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0ED44B8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309" w:type="dxa"/>
            <w:tcBorders>
              <w:top w:val="nil"/>
              <w:left w:val="single" w:color="000000" w:sz="4" w:space="0"/>
              <w:bottom w:val="single" w:color="000000" w:sz="4" w:space="0"/>
              <w:right w:val="single" w:color="000000" w:sz="4" w:space="0"/>
            </w:tcBorders>
            <w:vAlign w:val="center"/>
          </w:tcPr>
          <w:p w14:paraId="12573D4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824" w:type="dxa"/>
            <w:tcBorders>
              <w:top w:val="nil"/>
              <w:left w:val="nil"/>
              <w:bottom w:val="single" w:color="000000" w:sz="4" w:space="0"/>
              <w:right w:val="single" w:color="000000" w:sz="4" w:space="0"/>
            </w:tcBorders>
            <w:vAlign w:val="center"/>
          </w:tcPr>
          <w:p w14:paraId="42FA121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429" w:type="dxa"/>
            <w:tcBorders>
              <w:top w:val="nil"/>
              <w:left w:val="nil"/>
              <w:bottom w:val="single" w:color="000000" w:sz="4" w:space="0"/>
              <w:right w:val="single" w:color="000000" w:sz="4" w:space="0"/>
            </w:tcBorders>
            <w:vAlign w:val="center"/>
          </w:tcPr>
          <w:p w14:paraId="7B74B0D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≥1块双电口千兆网卡，≥1块双光口万兆网卡（含光模块）</w:t>
            </w:r>
          </w:p>
        </w:tc>
      </w:tr>
      <w:tr w14:paraId="6E7BCF13">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74B6BB0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309" w:type="dxa"/>
            <w:vMerge w:val="restart"/>
            <w:tcBorders>
              <w:top w:val="nil"/>
              <w:left w:val="single" w:color="000000" w:sz="4" w:space="0"/>
              <w:bottom w:val="single" w:color="000000" w:sz="4" w:space="0"/>
              <w:right w:val="single" w:color="000000" w:sz="4" w:space="0"/>
            </w:tcBorders>
            <w:vAlign w:val="center"/>
          </w:tcPr>
          <w:p w14:paraId="634E5F3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824" w:type="dxa"/>
            <w:tcBorders>
              <w:top w:val="nil"/>
              <w:left w:val="nil"/>
              <w:bottom w:val="single" w:color="000000" w:sz="4" w:space="0"/>
              <w:right w:val="single" w:color="000000" w:sz="4" w:space="0"/>
            </w:tcBorders>
            <w:vAlign w:val="center"/>
          </w:tcPr>
          <w:p w14:paraId="0C9FFDA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429" w:type="dxa"/>
            <w:tcBorders>
              <w:top w:val="nil"/>
              <w:left w:val="nil"/>
              <w:bottom w:val="single" w:color="000000" w:sz="4" w:space="0"/>
              <w:right w:val="single" w:color="000000" w:sz="4" w:space="0"/>
            </w:tcBorders>
            <w:vAlign w:val="center"/>
          </w:tcPr>
          <w:p w14:paraId="288F291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1D3CE5E3">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07232EA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309" w:type="dxa"/>
            <w:vMerge w:val="continue"/>
            <w:tcBorders>
              <w:top w:val="nil"/>
              <w:left w:val="single" w:color="000000" w:sz="4" w:space="0"/>
              <w:bottom w:val="single" w:color="000000" w:sz="4" w:space="0"/>
              <w:right w:val="single" w:color="000000" w:sz="4" w:space="0"/>
            </w:tcBorders>
            <w:vAlign w:val="center"/>
          </w:tcPr>
          <w:p w14:paraId="781A3199">
            <w:pPr>
              <w:rPr>
                <w:highlight w:val="none"/>
              </w:rPr>
            </w:pPr>
          </w:p>
        </w:tc>
        <w:tc>
          <w:tcPr>
            <w:tcW w:w="1824" w:type="dxa"/>
            <w:tcBorders>
              <w:top w:val="nil"/>
              <w:left w:val="nil"/>
              <w:bottom w:val="single" w:color="000000" w:sz="4" w:space="0"/>
              <w:right w:val="single" w:color="000000" w:sz="4" w:space="0"/>
            </w:tcBorders>
            <w:vAlign w:val="center"/>
          </w:tcPr>
          <w:p w14:paraId="460603E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429" w:type="dxa"/>
            <w:tcBorders>
              <w:top w:val="nil"/>
              <w:left w:val="nil"/>
              <w:bottom w:val="single" w:color="000000" w:sz="4" w:space="0"/>
              <w:right w:val="single" w:color="000000" w:sz="4" w:space="0"/>
            </w:tcBorders>
            <w:vAlign w:val="center"/>
          </w:tcPr>
          <w:p w14:paraId="084AA9E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配置≥4个USB 3.0接口，2个位于机箱后部，2个位于机箱前部。</w:t>
            </w:r>
          </w:p>
        </w:tc>
      </w:tr>
      <w:tr w14:paraId="77B137A5">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4AB8F68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309" w:type="dxa"/>
            <w:vMerge w:val="restart"/>
            <w:tcBorders>
              <w:top w:val="nil"/>
              <w:left w:val="single" w:color="000000" w:sz="4" w:space="0"/>
              <w:bottom w:val="single" w:color="000000" w:sz="4" w:space="0"/>
              <w:right w:val="single" w:color="000000" w:sz="4" w:space="0"/>
            </w:tcBorders>
            <w:vAlign w:val="center"/>
          </w:tcPr>
          <w:p w14:paraId="6C809BF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824" w:type="dxa"/>
            <w:tcBorders>
              <w:top w:val="nil"/>
              <w:left w:val="nil"/>
              <w:bottom w:val="single" w:color="000000" w:sz="4" w:space="0"/>
              <w:right w:val="single" w:color="000000" w:sz="4" w:space="0"/>
            </w:tcBorders>
            <w:vAlign w:val="center"/>
          </w:tcPr>
          <w:p w14:paraId="6712E17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429" w:type="dxa"/>
            <w:tcBorders>
              <w:top w:val="nil"/>
              <w:left w:val="nil"/>
              <w:bottom w:val="single" w:color="000000" w:sz="4" w:space="0"/>
              <w:right w:val="single" w:color="000000" w:sz="4" w:space="0"/>
            </w:tcBorders>
            <w:vAlign w:val="center"/>
          </w:tcPr>
          <w:p w14:paraId="32B23AD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7B8A64EB">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6D01F04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309" w:type="dxa"/>
            <w:vMerge w:val="continue"/>
            <w:tcBorders>
              <w:top w:val="nil"/>
              <w:left w:val="single" w:color="000000" w:sz="4" w:space="0"/>
              <w:bottom w:val="single" w:color="000000" w:sz="4" w:space="0"/>
              <w:right w:val="single" w:color="000000" w:sz="4" w:space="0"/>
            </w:tcBorders>
            <w:vAlign w:val="center"/>
          </w:tcPr>
          <w:p w14:paraId="58ABE328">
            <w:pPr>
              <w:rPr>
                <w:highlight w:val="none"/>
              </w:rPr>
            </w:pPr>
          </w:p>
        </w:tc>
        <w:tc>
          <w:tcPr>
            <w:tcW w:w="1824" w:type="dxa"/>
            <w:tcBorders>
              <w:top w:val="nil"/>
              <w:left w:val="nil"/>
              <w:bottom w:val="single" w:color="000000" w:sz="4" w:space="0"/>
              <w:right w:val="single" w:color="000000" w:sz="4" w:space="0"/>
            </w:tcBorders>
            <w:vAlign w:val="center"/>
          </w:tcPr>
          <w:p w14:paraId="783F4F3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429" w:type="dxa"/>
            <w:tcBorders>
              <w:top w:val="nil"/>
              <w:left w:val="nil"/>
              <w:bottom w:val="single" w:color="000000" w:sz="4" w:space="0"/>
              <w:right w:val="single" w:color="000000" w:sz="4" w:space="0"/>
            </w:tcBorders>
            <w:vAlign w:val="center"/>
          </w:tcPr>
          <w:p w14:paraId="78897BB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5D7892F2">
        <w:tblPrEx>
          <w:tblCellMar>
            <w:top w:w="0" w:type="dxa"/>
            <w:left w:w="108" w:type="dxa"/>
            <w:bottom w:w="0" w:type="dxa"/>
            <w:right w:w="108" w:type="dxa"/>
          </w:tblCellMar>
        </w:tblPrEx>
        <w:trPr>
          <w:trHeight w:val="403" w:hRule="atLeast"/>
        </w:trPr>
        <w:tc>
          <w:tcPr>
            <w:tcW w:w="724" w:type="dxa"/>
            <w:tcBorders>
              <w:top w:val="nil"/>
              <w:left w:val="single" w:color="000000" w:sz="4" w:space="0"/>
              <w:bottom w:val="single" w:color="000000" w:sz="4" w:space="0"/>
              <w:right w:val="nil"/>
            </w:tcBorders>
            <w:vAlign w:val="center"/>
          </w:tcPr>
          <w:p w14:paraId="4EB79E9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309" w:type="dxa"/>
            <w:vMerge w:val="restart"/>
            <w:tcBorders>
              <w:top w:val="nil"/>
              <w:left w:val="single" w:color="000000" w:sz="4" w:space="0"/>
              <w:bottom w:val="single" w:color="000000" w:sz="4" w:space="0"/>
              <w:right w:val="single" w:color="000000" w:sz="4" w:space="0"/>
            </w:tcBorders>
            <w:vAlign w:val="center"/>
          </w:tcPr>
          <w:p w14:paraId="5397603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824" w:type="dxa"/>
            <w:tcBorders>
              <w:top w:val="nil"/>
              <w:left w:val="nil"/>
              <w:bottom w:val="single" w:color="000000" w:sz="4" w:space="0"/>
              <w:right w:val="single" w:color="000000" w:sz="4" w:space="0"/>
            </w:tcBorders>
            <w:vAlign w:val="center"/>
          </w:tcPr>
          <w:p w14:paraId="5A7F4A3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429" w:type="dxa"/>
            <w:tcBorders>
              <w:top w:val="nil"/>
              <w:left w:val="nil"/>
              <w:bottom w:val="single" w:color="000000" w:sz="4" w:space="0"/>
              <w:right w:val="single" w:color="000000" w:sz="4" w:space="0"/>
            </w:tcBorders>
            <w:vAlign w:val="center"/>
          </w:tcPr>
          <w:p w14:paraId="52F6E80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252C12BE">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B48D38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309" w:type="dxa"/>
            <w:vMerge w:val="continue"/>
            <w:tcBorders>
              <w:top w:val="nil"/>
              <w:left w:val="single" w:color="000000" w:sz="4" w:space="0"/>
              <w:bottom w:val="single" w:color="000000" w:sz="4" w:space="0"/>
              <w:right w:val="single" w:color="000000" w:sz="4" w:space="0"/>
            </w:tcBorders>
            <w:vAlign w:val="center"/>
          </w:tcPr>
          <w:p w14:paraId="5E5153C9">
            <w:pPr>
              <w:rPr>
                <w:highlight w:val="none"/>
              </w:rPr>
            </w:pPr>
          </w:p>
        </w:tc>
        <w:tc>
          <w:tcPr>
            <w:tcW w:w="1824" w:type="dxa"/>
            <w:tcBorders>
              <w:top w:val="nil"/>
              <w:left w:val="nil"/>
              <w:bottom w:val="single" w:color="000000" w:sz="4" w:space="0"/>
              <w:right w:val="single" w:color="000000" w:sz="4" w:space="0"/>
            </w:tcBorders>
            <w:vAlign w:val="center"/>
          </w:tcPr>
          <w:p w14:paraId="6D4046E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429" w:type="dxa"/>
            <w:tcBorders>
              <w:top w:val="nil"/>
              <w:left w:val="nil"/>
              <w:bottom w:val="single" w:color="000000" w:sz="4" w:space="0"/>
              <w:right w:val="single" w:color="000000" w:sz="4" w:space="0"/>
            </w:tcBorders>
            <w:vAlign w:val="center"/>
          </w:tcPr>
          <w:p w14:paraId="668DD6A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712CB137">
        <w:tblPrEx>
          <w:tblCellMar>
            <w:top w:w="0" w:type="dxa"/>
            <w:left w:w="108" w:type="dxa"/>
            <w:bottom w:w="0" w:type="dxa"/>
            <w:right w:w="108" w:type="dxa"/>
          </w:tblCellMar>
        </w:tblPrEx>
        <w:trPr>
          <w:trHeight w:val="1550" w:hRule="atLeast"/>
        </w:trPr>
        <w:tc>
          <w:tcPr>
            <w:tcW w:w="724" w:type="dxa"/>
            <w:tcBorders>
              <w:top w:val="nil"/>
              <w:left w:val="single" w:color="000000" w:sz="4" w:space="0"/>
              <w:bottom w:val="single" w:color="000000" w:sz="4" w:space="0"/>
              <w:right w:val="nil"/>
            </w:tcBorders>
            <w:vAlign w:val="center"/>
          </w:tcPr>
          <w:p w14:paraId="5501DF6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309" w:type="dxa"/>
            <w:vMerge w:val="continue"/>
            <w:tcBorders>
              <w:top w:val="nil"/>
              <w:left w:val="single" w:color="000000" w:sz="4" w:space="0"/>
              <w:bottom w:val="single" w:color="000000" w:sz="4" w:space="0"/>
              <w:right w:val="single" w:color="000000" w:sz="4" w:space="0"/>
            </w:tcBorders>
            <w:vAlign w:val="center"/>
          </w:tcPr>
          <w:p w14:paraId="4159FE04">
            <w:pPr>
              <w:rPr>
                <w:highlight w:val="none"/>
              </w:rPr>
            </w:pPr>
          </w:p>
        </w:tc>
        <w:tc>
          <w:tcPr>
            <w:tcW w:w="1824" w:type="dxa"/>
            <w:tcBorders>
              <w:top w:val="nil"/>
              <w:left w:val="nil"/>
              <w:bottom w:val="single" w:color="000000" w:sz="4" w:space="0"/>
              <w:right w:val="single" w:color="000000" w:sz="4" w:space="0"/>
            </w:tcBorders>
            <w:vAlign w:val="center"/>
          </w:tcPr>
          <w:p w14:paraId="1EC8F08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429" w:type="dxa"/>
            <w:tcBorders>
              <w:top w:val="nil"/>
              <w:left w:val="nil"/>
              <w:bottom w:val="single" w:color="000000" w:sz="4" w:space="0"/>
              <w:right w:val="single" w:color="000000" w:sz="4" w:space="0"/>
            </w:tcBorders>
            <w:vAlign w:val="center"/>
          </w:tcPr>
          <w:p w14:paraId="7A799E6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605906F1">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47EE7A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309" w:type="dxa"/>
            <w:vMerge w:val="continue"/>
            <w:tcBorders>
              <w:top w:val="nil"/>
              <w:left w:val="single" w:color="000000" w:sz="4" w:space="0"/>
              <w:bottom w:val="single" w:color="000000" w:sz="4" w:space="0"/>
              <w:right w:val="single" w:color="000000" w:sz="4" w:space="0"/>
            </w:tcBorders>
            <w:vAlign w:val="center"/>
          </w:tcPr>
          <w:p w14:paraId="3B2B0F95">
            <w:pPr>
              <w:rPr>
                <w:highlight w:val="none"/>
              </w:rPr>
            </w:pPr>
          </w:p>
        </w:tc>
        <w:tc>
          <w:tcPr>
            <w:tcW w:w="1824" w:type="dxa"/>
            <w:tcBorders>
              <w:top w:val="nil"/>
              <w:left w:val="nil"/>
              <w:bottom w:val="single" w:color="000000" w:sz="4" w:space="0"/>
              <w:right w:val="single" w:color="000000" w:sz="4" w:space="0"/>
            </w:tcBorders>
            <w:vAlign w:val="center"/>
          </w:tcPr>
          <w:p w14:paraId="339C8EE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429" w:type="dxa"/>
            <w:tcBorders>
              <w:top w:val="nil"/>
              <w:left w:val="nil"/>
              <w:bottom w:val="single" w:color="000000" w:sz="4" w:space="0"/>
              <w:right w:val="single" w:color="000000" w:sz="4" w:space="0"/>
            </w:tcBorders>
            <w:vAlign w:val="center"/>
          </w:tcPr>
          <w:p w14:paraId="02B7C8E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1B7620CD">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78C7AEF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309" w:type="dxa"/>
            <w:vMerge w:val="continue"/>
            <w:tcBorders>
              <w:top w:val="nil"/>
              <w:left w:val="single" w:color="000000" w:sz="4" w:space="0"/>
              <w:bottom w:val="single" w:color="000000" w:sz="4" w:space="0"/>
              <w:right w:val="single" w:color="000000" w:sz="4" w:space="0"/>
            </w:tcBorders>
            <w:vAlign w:val="center"/>
          </w:tcPr>
          <w:p w14:paraId="1E7714AE">
            <w:pPr>
              <w:rPr>
                <w:highlight w:val="none"/>
              </w:rPr>
            </w:pPr>
          </w:p>
        </w:tc>
        <w:tc>
          <w:tcPr>
            <w:tcW w:w="1824" w:type="dxa"/>
            <w:tcBorders>
              <w:top w:val="nil"/>
              <w:left w:val="nil"/>
              <w:bottom w:val="single" w:color="000000" w:sz="4" w:space="0"/>
              <w:right w:val="single" w:color="000000" w:sz="4" w:space="0"/>
            </w:tcBorders>
            <w:vAlign w:val="center"/>
          </w:tcPr>
          <w:p w14:paraId="7AB769F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429" w:type="dxa"/>
            <w:tcBorders>
              <w:top w:val="nil"/>
              <w:left w:val="nil"/>
              <w:bottom w:val="single" w:color="000000" w:sz="4" w:space="0"/>
              <w:right w:val="single" w:color="000000" w:sz="4" w:space="0"/>
            </w:tcBorders>
            <w:vAlign w:val="center"/>
          </w:tcPr>
          <w:p w14:paraId="4FB3B70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2DB3E466">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25F1942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309" w:type="dxa"/>
            <w:tcBorders>
              <w:top w:val="nil"/>
              <w:left w:val="single" w:color="000000" w:sz="4" w:space="0"/>
              <w:bottom w:val="nil"/>
              <w:right w:val="single" w:color="000000" w:sz="4" w:space="0"/>
            </w:tcBorders>
            <w:vAlign w:val="center"/>
          </w:tcPr>
          <w:p w14:paraId="38F7AD4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824" w:type="dxa"/>
            <w:tcBorders>
              <w:top w:val="nil"/>
              <w:left w:val="nil"/>
              <w:bottom w:val="single" w:color="000000" w:sz="4" w:space="0"/>
              <w:right w:val="single" w:color="000000" w:sz="4" w:space="0"/>
            </w:tcBorders>
            <w:vAlign w:val="center"/>
          </w:tcPr>
          <w:p w14:paraId="492A907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429" w:type="dxa"/>
            <w:tcBorders>
              <w:top w:val="nil"/>
              <w:left w:val="nil"/>
              <w:bottom w:val="single" w:color="000000" w:sz="4" w:space="0"/>
              <w:right w:val="single" w:color="000000" w:sz="4" w:space="0"/>
            </w:tcBorders>
            <w:vAlign w:val="center"/>
          </w:tcPr>
          <w:p w14:paraId="62D9B58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65BE12FB">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3776B86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309" w:type="dxa"/>
            <w:tcBorders>
              <w:top w:val="single" w:color="000000" w:sz="4" w:space="0"/>
              <w:left w:val="single" w:color="000000" w:sz="4" w:space="0"/>
              <w:bottom w:val="single" w:color="000000" w:sz="4" w:space="0"/>
              <w:right w:val="single" w:color="000000" w:sz="4" w:space="0"/>
            </w:tcBorders>
            <w:vAlign w:val="center"/>
          </w:tcPr>
          <w:p w14:paraId="1A43749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824" w:type="dxa"/>
            <w:tcBorders>
              <w:top w:val="nil"/>
              <w:left w:val="nil"/>
              <w:bottom w:val="single" w:color="000000" w:sz="4" w:space="0"/>
              <w:right w:val="single" w:color="000000" w:sz="4" w:space="0"/>
            </w:tcBorders>
            <w:vAlign w:val="center"/>
          </w:tcPr>
          <w:p w14:paraId="3200A49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429" w:type="dxa"/>
            <w:tcBorders>
              <w:top w:val="nil"/>
              <w:left w:val="nil"/>
              <w:bottom w:val="single" w:color="000000" w:sz="4" w:space="0"/>
              <w:right w:val="single" w:color="000000" w:sz="4" w:space="0"/>
            </w:tcBorders>
            <w:vAlign w:val="center"/>
          </w:tcPr>
          <w:p w14:paraId="666CA7A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767F7734">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13E8F1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309" w:type="dxa"/>
            <w:tcBorders>
              <w:top w:val="nil"/>
              <w:left w:val="single" w:color="000000" w:sz="4" w:space="0"/>
              <w:bottom w:val="single" w:color="000000" w:sz="4" w:space="0"/>
              <w:right w:val="single" w:color="000000" w:sz="4" w:space="0"/>
            </w:tcBorders>
            <w:vAlign w:val="center"/>
          </w:tcPr>
          <w:p w14:paraId="381EB57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824" w:type="dxa"/>
            <w:tcBorders>
              <w:top w:val="nil"/>
              <w:left w:val="nil"/>
              <w:bottom w:val="single" w:color="000000" w:sz="4" w:space="0"/>
              <w:right w:val="single" w:color="000000" w:sz="4" w:space="0"/>
            </w:tcBorders>
            <w:vAlign w:val="center"/>
          </w:tcPr>
          <w:p w14:paraId="4EFF898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429" w:type="dxa"/>
            <w:tcBorders>
              <w:top w:val="nil"/>
              <w:left w:val="nil"/>
              <w:bottom w:val="single" w:color="000000" w:sz="4" w:space="0"/>
              <w:right w:val="single" w:color="000000" w:sz="4" w:space="0"/>
            </w:tcBorders>
            <w:vAlign w:val="center"/>
          </w:tcPr>
          <w:p w14:paraId="3F36F88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72759346">
        <w:tblPrEx>
          <w:tblCellMar>
            <w:top w:w="0" w:type="dxa"/>
            <w:left w:w="108" w:type="dxa"/>
            <w:bottom w:w="0" w:type="dxa"/>
            <w:right w:w="108" w:type="dxa"/>
          </w:tblCellMar>
        </w:tblPrEx>
        <w:trPr>
          <w:trHeight w:val="1550" w:hRule="atLeast"/>
        </w:trPr>
        <w:tc>
          <w:tcPr>
            <w:tcW w:w="724" w:type="dxa"/>
            <w:tcBorders>
              <w:top w:val="nil"/>
              <w:left w:val="single" w:color="000000" w:sz="4" w:space="0"/>
              <w:bottom w:val="single" w:color="000000" w:sz="4" w:space="0"/>
              <w:right w:val="nil"/>
            </w:tcBorders>
            <w:vAlign w:val="center"/>
          </w:tcPr>
          <w:p w14:paraId="3DEB9FA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309" w:type="dxa"/>
            <w:vMerge w:val="restart"/>
            <w:tcBorders>
              <w:top w:val="nil"/>
              <w:left w:val="single" w:color="000000" w:sz="4" w:space="0"/>
              <w:bottom w:val="single" w:color="000000" w:sz="4" w:space="0"/>
              <w:right w:val="single" w:color="000000" w:sz="4" w:space="0"/>
            </w:tcBorders>
            <w:vAlign w:val="center"/>
          </w:tcPr>
          <w:p w14:paraId="65E6518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824" w:type="dxa"/>
            <w:tcBorders>
              <w:top w:val="nil"/>
              <w:left w:val="nil"/>
              <w:bottom w:val="single" w:color="000000" w:sz="4" w:space="0"/>
              <w:right w:val="single" w:color="000000" w:sz="4" w:space="0"/>
            </w:tcBorders>
            <w:vAlign w:val="center"/>
          </w:tcPr>
          <w:p w14:paraId="6979348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429" w:type="dxa"/>
            <w:tcBorders>
              <w:top w:val="nil"/>
              <w:left w:val="nil"/>
              <w:bottom w:val="single" w:color="000000" w:sz="4" w:space="0"/>
              <w:right w:val="single" w:color="000000" w:sz="4" w:space="0"/>
            </w:tcBorders>
            <w:vAlign w:val="center"/>
          </w:tcPr>
          <w:p w14:paraId="5652328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DD09DC8">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2041F80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309" w:type="dxa"/>
            <w:vMerge w:val="continue"/>
            <w:tcBorders>
              <w:top w:val="nil"/>
              <w:left w:val="single" w:color="000000" w:sz="4" w:space="0"/>
              <w:bottom w:val="single" w:color="000000" w:sz="4" w:space="0"/>
              <w:right w:val="single" w:color="000000" w:sz="4" w:space="0"/>
            </w:tcBorders>
            <w:vAlign w:val="center"/>
          </w:tcPr>
          <w:p w14:paraId="63AADE0A">
            <w:pPr>
              <w:rPr>
                <w:highlight w:val="none"/>
              </w:rPr>
            </w:pPr>
          </w:p>
        </w:tc>
        <w:tc>
          <w:tcPr>
            <w:tcW w:w="1824" w:type="dxa"/>
            <w:tcBorders>
              <w:top w:val="nil"/>
              <w:left w:val="nil"/>
              <w:bottom w:val="single" w:color="000000" w:sz="4" w:space="0"/>
              <w:right w:val="single" w:color="000000" w:sz="4" w:space="0"/>
            </w:tcBorders>
            <w:vAlign w:val="center"/>
          </w:tcPr>
          <w:p w14:paraId="0DE734D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429" w:type="dxa"/>
            <w:tcBorders>
              <w:top w:val="nil"/>
              <w:left w:val="nil"/>
              <w:bottom w:val="single" w:color="000000" w:sz="4" w:space="0"/>
              <w:right w:val="single" w:color="000000" w:sz="4" w:space="0"/>
            </w:tcBorders>
            <w:vAlign w:val="center"/>
          </w:tcPr>
          <w:p w14:paraId="657110D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1EDBF0A8">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1748755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309" w:type="dxa"/>
            <w:vMerge w:val="restart"/>
            <w:tcBorders>
              <w:top w:val="nil"/>
              <w:left w:val="single" w:color="000000" w:sz="4" w:space="0"/>
              <w:bottom w:val="single" w:color="000000" w:sz="4" w:space="0"/>
              <w:right w:val="single" w:color="000000" w:sz="4" w:space="0"/>
            </w:tcBorders>
            <w:vAlign w:val="center"/>
          </w:tcPr>
          <w:p w14:paraId="6D72036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824" w:type="dxa"/>
            <w:tcBorders>
              <w:top w:val="nil"/>
              <w:left w:val="nil"/>
              <w:bottom w:val="single" w:color="000000" w:sz="4" w:space="0"/>
              <w:right w:val="single" w:color="000000" w:sz="4" w:space="0"/>
            </w:tcBorders>
            <w:vAlign w:val="center"/>
          </w:tcPr>
          <w:p w14:paraId="129ADFE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429" w:type="dxa"/>
            <w:tcBorders>
              <w:top w:val="nil"/>
              <w:left w:val="nil"/>
              <w:bottom w:val="single" w:color="000000" w:sz="4" w:space="0"/>
              <w:right w:val="single" w:color="000000" w:sz="4" w:space="0"/>
            </w:tcBorders>
            <w:vAlign w:val="center"/>
          </w:tcPr>
          <w:p w14:paraId="192B75D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219CCFE1">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3A5718E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309" w:type="dxa"/>
            <w:vMerge w:val="continue"/>
            <w:tcBorders>
              <w:top w:val="nil"/>
              <w:left w:val="single" w:color="000000" w:sz="4" w:space="0"/>
              <w:bottom w:val="single" w:color="000000" w:sz="4" w:space="0"/>
              <w:right w:val="single" w:color="000000" w:sz="4" w:space="0"/>
            </w:tcBorders>
            <w:vAlign w:val="center"/>
          </w:tcPr>
          <w:p w14:paraId="47A7DB02">
            <w:pPr>
              <w:rPr>
                <w:highlight w:val="none"/>
              </w:rPr>
            </w:pPr>
          </w:p>
        </w:tc>
        <w:tc>
          <w:tcPr>
            <w:tcW w:w="1824" w:type="dxa"/>
            <w:tcBorders>
              <w:top w:val="nil"/>
              <w:left w:val="nil"/>
              <w:bottom w:val="single" w:color="000000" w:sz="4" w:space="0"/>
              <w:right w:val="single" w:color="000000" w:sz="4" w:space="0"/>
            </w:tcBorders>
            <w:vAlign w:val="center"/>
          </w:tcPr>
          <w:p w14:paraId="3234AE6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429" w:type="dxa"/>
            <w:tcBorders>
              <w:top w:val="nil"/>
              <w:left w:val="nil"/>
              <w:bottom w:val="single" w:color="000000" w:sz="4" w:space="0"/>
              <w:right w:val="single" w:color="000000" w:sz="4" w:space="0"/>
            </w:tcBorders>
            <w:vAlign w:val="center"/>
          </w:tcPr>
          <w:p w14:paraId="7A65A4E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5E69D726">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DA7138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309" w:type="dxa"/>
            <w:tcBorders>
              <w:top w:val="nil"/>
              <w:left w:val="single" w:color="000000" w:sz="4" w:space="0"/>
              <w:bottom w:val="single" w:color="000000" w:sz="4" w:space="0"/>
              <w:right w:val="single" w:color="000000" w:sz="4" w:space="0"/>
            </w:tcBorders>
            <w:vAlign w:val="center"/>
          </w:tcPr>
          <w:p w14:paraId="2D4FEC5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824" w:type="dxa"/>
            <w:tcBorders>
              <w:top w:val="nil"/>
              <w:left w:val="nil"/>
              <w:bottom w:val="single" w:color="000000" w:sz="4" w:space="0"/>
              <w:right w:val="single" w:color="000000" w:sz="4" w:space="0"/>
            </w:tcBorders>
            <w:vAlign w:val="center"/>
          </w:tcPr>
          <w:p w14:paraId="3B0449E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429" w:type="dxa"/>
            <w:tcBorders>
              <w:top w:val="nil"/>
              <w:left w:val="nil"/>
              <w:bottom w:val="single" w:color="000000" w:sz="4" w:space="0"/>
              <w:right w:val="single" w:color="000000" w:sz="4" w:space="0"/>
            </w:tcBorders>
            <w:vAlign w:val="center"/>
          </w:tcPr>
          <w:p w14:paraId="651AB35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1654D9F2">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463C43F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309" w:type="dxa"/>
            <w:vMerge w:val="restart"/>
            <w:tcBorders>
              <w:top w:val="nil"/>
              <w:left w:val="single" w:color="000000" w:sz="4" w:space="0"/>
              <w:bottom w:val="single" w:color="000000" w:sz="4" w:space="0"/>
              <w:right w:val="single" w:color="000000" w:sz="4" w:space="0"/>
            </w:tcBorders>
            <w:vAlign w:val="center"/>
          </w:tcPr>
          <w:p w14:paraId="6D4951E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824" w:type="dxa"/>
            <w:tcBorders>
              <w:top w:val="nil"/>
              <w:left w:val="nil"/>
              <w:bottom w:val="single" w:color="000000" w:sz="4" w:space="0"/>
              <w:right w:val="single" w:color="000000" w:sz="4" w:space="0"/>
            </w:tcBorders>
            <w:vAlign w:val="center"/>
          </w:tcPr>
          <w:p w14:paraId="59F0BB7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429" w:type="dxa"/>
            <w:tcBorders>
              <w:top w:val="nil"/>
              <w:left w:val="nil"/>
              <w:bottom w:val="single" w:color="000000" w:sz="4" w:space="0"/>
              <w:right w:val="single" w:color="000000" w:sz="4" w:space="0"/>
            </w:tcBorders>
            <w:vAlign w:val="center"/>
          </w:tcPr>
          <w:p w14:paraId="5C8C58D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29F692B5">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8756BE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309" w:type="dxa"/>
            <w:vMerge w:val="continue"/>
            <w:tcBorders>
              <w:top w:val="nil"/>
              <w:left w:val="single" w:color="000000" w:sz="4" w:space="0"/>
              <w:bottom w:val="single" w:color="000000" w:sz="4" w:space="0"/>
              <w:right w:val="single" w:color="000000" w:sz="4" w:space="0"/>
            </w:tcBorders>
            <w:vAlign w:val="center"/>
          </w:tcPr>
          <w:p w14:paraId="5CA73C85">
            <w:pPr>
              <w:rPr>
                <w:highlight w:val="none"/>
              </w:rPr>
            </w:pPr>
          </w:p>
        </w:tc>
        <w:tc>
          <w:tcPr>
            <w:tcW w:w="1824" w:type="dxa"/>
            <w:tcBorders>
              <w:top w:val="nil"/>
              <w:left w:val="nil"/>
              <w:bottom w:val="single" w:color="000000" w:sz="4" w:space="0"/>
              <w:right w:val="single" w:color="000000" w:sz="4" w:space="0"/>
            </w:tcBorders>
            <w:vAlign w:val="center"/>
          </w:tcPr>
          <w:p w14:paraId="7D7D368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429" w:type="dxa"/>
            <w:tcBorders>
              <w:top w:val="nil"/>
              <w:left w:val="nil"/>
              <w:bottom w:val="single" w:color="000000" w:sz="4" w:space="0"/>
              <w:right w:val="single" w:color="000000" w:sz="4" w:space="0"/>
            </w:tcBorders>
            <w:vAlign w:val="center"/>
          </w:tcPr>
          <w:p w14:paraId="7DD9C59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30B19057">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7EE0D12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309" w:type="dxa"/>
            <w:vMerge w:val="continue"/>
            <w:tcBorders>
              <w:top w:val="nil"/>
              <w:left w:val="single" w:color="000000" w:sz="4" w:space="0"/>
              <w:bottom w:val="single" w:color="000000" w:sz="4" w:space="0"/>
              <w:right w:val="single" w:color="000000" w:sz="4" w:space="0"/>
            </w:tcBorders>
            <w:vAlign w:val="center"/>
          </w:tcPr>
          <w:p w14:paraId="3BB4A35C">
            <w:pPr>
              <w:rPr>
                <w:highlight w:val="none"/>
              </w:rPr>
            </w:pPr>
          </w:p>
        </w:tc>
        <w:tc>
          <w:tcPr>
            <w:tcW w:w="1824" w:type="dxa"/>
            <w:tcBorders>
              <w:top w:val="nil"/>
              <w:left w:val="nil"/>
              <w:bottom w:val="single" w:color="000000" w:sz="4" w:space="0"/>
              <w:right w:val="single" w:color="000000" w:sz="4" w:space="0"/>
            </w:tcBorders>
            <w:vAlign w:val="center"/>
          </w:tcPr>
          <w:p w14:paraId="6B19743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429" w:type="dxa"/>
            <w:tcBorders>
              <w:top w:val="nil"/>
              <w:left w:val="nil"/>
              <w:bottom w:val="single" w:color="000000" w:sz="4" w:space="0"/>
              <w:right w:val="single" w:color="000000" w:sz="4" w:space="0"/>
            </w:tcBorders>
            <w:vAlign w:val="center"/>
          </w:tcPr>
          <w:p w14:paraId="5437D97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05D43CBF">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F75E9E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309" w:type="dxa"/>
            <w:vMerge w:val="restart"/>
            <w:tcBorders>
              <w:top w:val="nil"/>
              <w:left w:val="single" w:color="000000" w:sz="4" w:space="0"/>
              <w:bottom w:val="single" w:color="000000" w:sz="4" w:space="0"/>
              <w:right w:val="single" w:color="000000" w:sz="4" w:space="0"/>
            </w:tcBorders>
            <w:vAlign w:val="center"/>
          </w:tcPr>
          <w:p w14:paraId="03B9959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824" w:type="dxa"/>
            <w:tcBorders>
              <w:top w:val="nil"/>
              <w:left w:val="nil"/>
              <w:bottom w:val="single" w:color="000000" w:sz="4" w:space="0"/>
              <w:right w:val="single" w:color="000000" w:sz="4" w:space="0"/>
            </w:tcBorders>
            <w:vAlign w:val="center"/>
          </w:tcPr>
          <w:p w14:paraId="5F7966C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429" w:type="dxa"/>
            <w:tcBorders>
              <w:top w:val="nil"/>
              <w:left w:val="nil"/>
              <w:bottom w:val="single" w:color="000000" w:sz="4" w:space="0"/>
              <w:right w:val="single" w:color="000000" w:sz="4" w:space="0"/>
            </w:tcBorders>
            <w:vAlign w:val="center"/>
          </w:tcPr>
          <w:p w14:paraId="14ED032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06AEABFD">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925A33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309" w:type="dxa"/>
            <w:vMerge w:val="continue"/>
            <w:tcBorders>
              <w:top w:val="nil"/>
              <w:left w:val="single" w:color="000000" w:sz="4" w:space="0"/>
              <w:bottom w:val="single" w:color="000000" w:sz="4" w:space="0"/>
              <w:right w:val="single" w:color="000000" w:sz="4" w:space="0"/>
            </w:tcBorders>
            <w:vAlign w:val="center"/>
          </w:tcPr>
          <w:p w14:paraId="0882E6BF">
            <w:pPr>
              <w:rPr>
                <w:highlight w:val="none"/>
              </w:rPr>
            </w:pPr>
          </w:p>
        </w:tc>
        <w:tc>
          <w:tcPr>
            <w:tcW w:w="1824" w:type="dxa"/>
            <w:tcBorders>
              <w:top w:val="nil"/>
              <w:left w:val="nil"/>
              <w:bottom w:val="single" w:color="000000" w:sz="4" w:space="0"/>
              <w:right w:val="single" w:color="000000" w:sz="4" w:space="0"/>
            </w:tcBorders>
            <w:vAlign w:val="center"/>
          </w:tcPr>
          <w:p w14:paraId="3B09DD4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429" w:type="dxa"/>
            <w:tcBorders>
              <w:top w:val="nil"/>
              <w:left w:val="nil"/>
              <w:bottom w:val="single" w:color="000000" w:sz="4" w:space="0"/>
              <w:right w:val="single" w:color="000000" w:sz="4" w:space="0"/>
            </w:tcBorders>
            <w:vAlign w:val="center"/>
          </w:tcPr>
          <w:p w14:paraId="25BE409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2402E41C">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07BA08B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309" w:type="dxa"/>
            <w:tcBorders>
              <w:top w:val="nil"/>
              <w:left w:val="single" w:color="000000" w:sz="4" w:space="0"/>
              <w:bottom w:val="single" w:color="000000" w:sz="4" w:space="0"/>
              <w:right w:val="single" w:color="000000" w:sz="4" w:space="0"/>
            </w:tcBorders>
            <w:vAlign w:val="center"/>
          </w:tcPr>
          <w:p w14:paraId="5E3ADEA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824" w:type="dxa"/>
            <w:tcBorders>
              <w:top w:val="nil"/>
              <w:left w:val="nil"/>
              <w:bottom w:val="single" w:color="000000" w:sz="4" w:space="0"/>
              <w:right w:val="single" w:color="000000" w:sz="4" w:space="0"/>
            </w:tcBorders>
            <w:vAlign w:val="center"/>
          </w:tcPr>
          <w:p w14:paraId="5B32C11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429" w:type="dxa"/>
            <w:tcBorders>
              <w:top w:val="nil"/>
              <w:left w:val="nil"/>
              <w:bottom w:val="single" w:color="000000" w:sz="4" w:space="0"/>
              <w:right w:val="single" w:color="000000" w:sz="4" w:space="0"/>
            </w:tcBorders>
            <w:vAlign w:val="center"/>
          </w:tcPr>
          <w:p w14:paraId="6EFB1CF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4B261C4D">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691196F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309" w:type="dxa"/>
            <w:tcBorders>
              <w:top w:val="nil"/>
              <w:left w:val="single" w:color="000000" w:sz="4" w:space="0"/>
              <w:bottom w:val="single" w:color="000000" w:sz="4" w:space="0"/>
              <w:right w:val="single" w:color="000000" w:sz="4" w:space="0"/>
            </w:tcBorders>
            <w:vAlign w:val="center"/>
          </w:tcPr>
          <w:p w14:paraId="03613AB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824" w:type="dxa"/>
            <w:tcBorders>
              <w:top w:val="nil"/>
              <w:left w:val="nil"/>
              <w:bottom w:val="single" w:color="000000" w:sz="4" w:space="0"/>
              <w:right w:val="single" w:color="000000" w:sz="4" w:space="0"/>
            </w:tcBorders>
            <w:vAlign w:val="center"/>
          </w:tcPr>
          <w:p w14:paraId="2405BFF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429" w:type="dxa"/>
            <w:tcBorders>
              <w:top w:val="nil"/>
              <w:left w:val="nil"/>
              <w:bottom w:val="single" w:color="000000" w:sz="4" w:space="0"/>
              <w:right w:val="single" w:color="000000" w:sz="4" w:space="0"/>
            </w:tcBorders>
            <w:vAlign w:val="center"/>
          </w:tcPr>
          <w:p w14:paraId="06AA735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67604ED9">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AC30C2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309" w:type="dxa"/>
            <w:tcBorders>
              <w:top w:val="nil"/>
              <w:left w:val="single" w:color="000000" w:sz="4" w:space="0"/>
              <w:bottom w:val="single" w:color="000000" w:sz="4" w:space="0"/>
              <w:right w:val="single" w:color="000000" w:sz="4" w:space="0"/>
            </w:tcBorders>
            <w:vAlign w:val="center"/>
          </w:tcPr>
          <w:p w14:paraId="44B97CF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824" w:type="dxa"/>
            <w:tcBorders>
              <w:top w:val="nil"/>
              <w:left w:val="nil"/>
              <w:bottom w:val="single" w:color="000000" w:sz="4" w:space="0"/>
              <w:right w:val="single" w:color="000000" w:sz="4" w:space="0"/>
            </w:tcBorders>
            <w:vAlign w:val="center"/>
          </w:tcPr>
          <w:p w14:paraId="441BF3D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429" w:type="dxa"/>
            <w:tcBorders>
              <w:top w:val="nil"/>
              <w:left w:val="nil"/>
              <w:bottom w:val="single" w:color="000000" w:sz="4" w:space="0"/>
              <w:right w:val="single" w:color="000000" w:sz="4" w:space="0"/>
            </w:tcBorders>
            <w:vAlign w:val="center"/>
          </w:tcPr>
          <w:p w14:paraId="779259A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340ECF23">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3B43824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309" w:type="dxa"/>
            <w:vMerge w:val="restart"/>
            <w:tcBorders>
              <w:top w:val="nil"/>
              <w:left w:val="single" w:color="000000" w:sz="4" w:space="0"/>
              <w:bottom w:val="single" w:color="000000" w:sz="4" w:space="0"/>
              <w:right w:val="single" w:color="000000" w:sz="4" w:space="0"/>
            </w:tcBorders>
            <w:vAlign w:val="center"/>
          </w:tcPr>
          <w:p w14:paraId="04F0BA4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824" w:type="dxa"/>
            <w:tcBorders>
              <w:top w:val="nil"/>
              <w:left w:val="nil"/>
              <w:bottom w:val="single" w:color="000000" w:sz="4" w:space="0"/>
              <w:right w:val="single" w:color="000000" w:sz="4" w:space="0"/>
            </w:tcBorders>
            <w:vAlign w:val="center"/>
          </w:tcPr>
          <w:p w14:paraId="5F163F6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429" w:type="dxa"/>
            <w:tcBorders>
              <w:top w:val="nil"/>
              <w:left w:val="nil"/>
              <w:bottom w:val="single" w:color="000000" w:sz="4" w:space="0"/>
              <w:right w:val="single" w:color="000000" w:sz="4" w:space="0"/>
            </w:tcBorders>
            <w:vAlign w:val="center"/>
          </w:tcPr>
          <w:p w14:paraId="38BB4C7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107C659C">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4CC4AA6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309" w:type="dxa"/>
            <w:vMerge w:val="continue"/>
            <w:tcBorders>
              <w:top w:val="nil"/>
              <w:left w:val="single" w:color="000000" w:sz="4" w:space="0"/>
              <w:bottom w:val="single" w:color="000000" w:sz="4" w:space="0"/>
              <w:right w:val="single" w:color="000000" w:sz="4" w:space="0"/>
            </w:tcBorders>
            <w:vAlign w:val="center"/>
          </w:tcPr>
          <w:p w14:paraId="5264013C">
            <w:pPr>
              <w:rPr>
                <w:highlight w:val="none"/>
              </w:rPr>
            </w:pPr>
          </w:p>
        </w:tc>
        <w:tc>
          <w:tcPr>
            <w:tcW w:w="1824" w:type="dxa"/>
            <w:tcBorders>
              <w:top w:val="nil"/>
              <w:left w:val="nil"/>
              <w:bottom w:val="single" w:color="000000" w:sz="4" w:space="0"/>
              <w:right w:val="single" w:color="000000" w:sz="4" w:space="0"/>
            </w:tcBorders>
            <w:vAlign w:val="center"/>
          </w:tcPr>
          <w:p w14:paraId="4F1E4C1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429" w:type="dxa"/>
            <w:tcBorders>
              <w:top w:val="nil"/>
              <w:left w:val="nil"/>
              <w:bottom w:val="single" w:color="000000" w:sz="4" w:space="0"/>
              <w:right w:val="single" w:color="000000" w:sz="4" w:space="0"/>
            </w:tcBorders>
            <w:vAlign w:val="center"/>
          </w:tcPr>
          <w:p w14:paraId="4EDFEA9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20A383C2">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2CAD6E9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309" w:type="dxa"/>
            <w:vMerge w:val="continue"/>
            <w:tcBorders>
              <w:top w:val="nil"/>
              <w:left w:val="single" w:color="000000" w:sz="4" w:space="0"/>
              <w:bottom w:val="single" w:color="000000" w:sz="4" w:space="0"/>
              <w:right w:val="single" w:color="000000" w:sz="4" w:space="0"/>
            </w:tcBorders>
            <w:vAlign w:val="center"/>
          </w:tcPr>
          <w:p w14:paraId="1DC1561E">
            <w:pPr>
              <w:rPr>
                <w:highlight w:val="none"/>
              </w:rPr>
            </w:pPr>
          </w:p>
        </w:tc>
        <w:tc>
          <w:tcPr>
            <w:tcW w:w="1824" w:type="dxa"/>
            <w:tcBorders>
              <w:top w:val="nil"/>
              <w:left w:val="nil"/>
              <w:bottom w:val="single" w:color="000000" w:sz="4" w:space="0"/>
              <w:right w:val="single" w:color="000000" w:sz="4" w:space="0"/>
            </w:tcBorders>
            <w:vAlign w:val="center"/>
          </w:tcPr>
          <w:p w14:paraId="2090500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429" w:type="dxa"/>
            <w:tcBorders>
              <w:top w:val="nil"/>
              <w:left w:val="nil"/>
              <w:bottom w:val="single" w:color="000000" w:sz="4" w:space="0"/>
              <w:right w:val="single" w:color="000000" w:sz="4" w:space="0"/>
            </w:tcBorders>
            <w:vAlign w:val="center"/>
          </w:tcPr>
          <w:p w14:paraId="20C6775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459B5249">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0655E42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309" w:type="dxa"/>
            <w:vMerge w:val="continue"/>
            <w:tcBorders>
              <w:top w:val="nil"/>
              <w:left w:val="single" w:color="000000" w:sz="4" w:space="0"/>
              <w:bottom w:val="single" w:color="000000" w:sz="4" w:space="0"/>
              <w:right w:val="single" w:color="000000" w:sz="4" w:space="0"/>
            </w:tcBorders>
            <w:vAlign w:val="center"/>
          </w:tcPr>
          <w:p w14:paraId="2DA6D6C0">
            <w:pPr>
              <w:rPr>
                <w:highlight w:val="none"/>
              </w:rPr>
            </w:pPr>
          </w:p>
        </w:tc>
        <w:tc>
          <w:tcPr>
            <w:tcW w:w="1824" w:type="dxa"/>
            <w:tcBorders>
              <w:top w:val="nil"/>
              <w:left w:val="nil"/>
              <w:bottom w:val="single" w:color="000000" w:sz="4" w:space="0"/>
              <w:right w:val="single" w:color="000000" w:sz="4" w:space="0"/>
            </w:tcBorders>
            <w:vAlign w:val="center"/>
          </w:tcPr>
          <w:p w14:paraId="2424897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429" w:type="dxa"/>
            <w:tcBorders>
              <w:top w:val="nil"/>
              <w:left w:val="nil"/>
              <w:bottom w:val="single" w:color="000000" w:sz="4" w:space="0"/>
              <w:right w:val="single" w:color="000000" w:sz="4" w:space="0"/>
            </w:tcBorders>
            <w:vAlign w:val="center"/>
          </w:tcPr>
          <w:p w14:paraId="5E67B1A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0448CA95">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200065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309" w:type="dxa"/>
            <w:vMerge w:val="continue"/>
            <w:tcBorders>
              <w:top w:val="nil"/>
              <w:left w:val="single" w:color="000000" w:sz="4" w:space="0"/>
              <w:bottom w:val="single" w:color="000000" w:sz="4" w:space="0"/>
              <w:right w:val="single" w:color="000000" w:sz="4" w:space="0"/>
            </w:tcBorders>
            <w:vAlign w:val="center"/>
          </w:tcPr>
          <w:p w14:paraId="575E2692">
            <w:pPr>
              <w:rPr>
                <w:highlight w:val="none"/>
              </w:rPr>
            </w:pPr>
          </w:p>
        </w:tc>
        <w:tc>
          <w:tcPr>
            <w:tcW w:w="1824" w:type="dxa"/>
            <w:tcBorders>
              <w:top w:val="nil"/>
              <w:left w:val="nil"/>
              <w:bottom w:val="single" w:color="000000" w:sz="4" w:space="0"/>
              <w:right w:val="single" w:color="000000" w:sz="4" w:space="0"/>
            </w:tcBorders>
            <w:vAlign w:val="center"/>
          </w:tcPr>
          <w:p w14:paraId="53E018A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429" w:type="dxa"/>
            <w:tcBorders>
              <w:top w:val="nil"/>
              <w:left w:val="nil"/>
              <w:bottom w:val="single" w:color="000000" w:sz="4" w:space="0"/>
              <w:right w:val="single" w:color="000000" w:sz="4" w:space="0"/>
            </w:tcBorders>
            <w:vAlign w:val="center"/>
          </w:tcPr>
          <w:p w14:paraId="6133BFE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70600EC8">
        <w:tblPrEx>
          <w:tblCellMar>
            <w:top w:w="0" w:type="dxa"/>
            <w:left w:w="108" w:type="dxa"/>
            <w:bottom w:w="0" w:type="dxa"/>
            <w:right w:w="108" w:type="dxa"/>
          </w:tblCellMar>
        </w:tblPrEx>
        <w:trPr>
          <w:trHeight w:val="1070" w:hRule="atLeast"/>
        </w:trPr>
        <w:tc>
          <w:tcPr>
            <w:tcW w:w="724" w:type="dxa"/>
            <w:tcBorders>
              <w:top w:val="nil"/>
              <w:left w:val="single" w:color="000000" w:sz="4" w:space="0"/>
              <w:bottom w:val="single" w:color="000000" w:sz="4" w:space="0"/>
              <w:right w:val="nil"/>
            </w:tcBorders>
            <w:vAlign w:val="center"/>
          </w:tcPr>
          <w:p w14:paraId="5934AC4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309" w:type="dxa"/>
            <w:tcBorders>
              <w:top w:val="nil"/>
              <w:left w:val="single" w:color="000000" w:sz="4" w:space="0"/>
              <w:bottom w:val="single" w:color="000000" w:sz="4" w:space="0"/>
              <w:right w:val="single" w:color="000000" w:sz="4" w:space="0"/>
            </w:tcBorders>
            <w:vAlign w:val="center"/>
          </w:tcPr>
          <w:p w14:paraId="11773FE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824" w:type="dxa"/>
            <w:tcBorders>
              <w:top w:val="nil"/>
              <w:left w:val="nil"/>
              <w:bottom w:val="single" w:color="000000" w:sz="4" w:space="0"/>
              <w:right w:val="single" w:color="000000" w:sz="4" w:space="0"/>
            </w:tcBorders>
            <w:vAlign w:val="center"/>
          </w:tcPr>
          <w:p w14:paraId="1484E6C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429" w:type="dxa"/>
            <w:tcBorders>
              <w:top w:val="nil"/>
              <w:left w:val="nil"/>
              <w:bottom w:val="single" w:color="000000" w:sz="4" w:space="0"/>
              <w:right w:val="single" w:color="000000" w:sz="4" w:space="0"/>
            </w:tcBorders>
            <w:vAlign w:val="center"/>
          </w:tcPr>
          <w:p w14:paraId="0E5C04B6">
            <w:pPr>
              <w:widowControl/>
              <w:overflowPunct/>
              <w:autoSpaceDE/>
              <w:autoSpaceDN/>
              <w:jc w:val="left"/>
              <w:textAlignment w:val="auto"/>
              <w:rPr>
                <w:rFonts w:ascii="仿宋" w:hAnsi="仿宋" w:eastAsia="仿宋" w:cs="仿宋"/>
                <w:b/>
                <w:kern w:val="0"/>
                <w:sz w:val="24"/>
                <w:highlight w:val="none"/>
                <w:lang w:val="en-GB"/>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5DD9A109">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7B643A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309" w:type="dxa"/>
            <w:tcBorders>
              <w:top w:val="nil"/>
              <w:left w:val="single" w:color="000000" w:sz="4" w:space="0"/>
              <w:bottom w:val="single" w:color="000000" w:sz="4" w:space="0"/>
              <w:right w:val="single" w:color="000000" w:sz="4" w:space="0"/>
            </w:tcBorders>
            <w:vAlign w:val="center"/>
          </w:tcPr>
          <w:p w14:paraId="750E8D4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824" w:type="dxa"/>
            <w:tcBorders>
              <w:top w:val="nil"/>
              <w:left w:val="nil"/>
              <w:bottom w:val="single" w:color="000000" w:sz="4" w:space="0"/>
              <w:right w:val="single" w:color="000000" w:sz="4" w:space="0"/>
            </w:tcBorders>
            <w:vAlign w:val="center"/>
          </w:tcPr>
          <w:p w14:paraId="74EBDD9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429" w:type="dxa"/>
            <w:tcBorders>
              <w:top w:val="nil"/>
              <w:left w:val="nil"/>
              <w:bottom w:val="single" w:color="000000" w:sz="4" w:space="0"/>
              <w:right w:val="single" w:color="000000" w:sz="4" w:space="0"/>
            </w:tcBorders>
            <w:vAlign w:val="center"/>
          </w:tcPr>
          <w:p w14:paraId="2E9FCC9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020FF5D4">
        <w:tblPrEx>
          <w:tblCellMar>
            <w:top w:w="0" w:type="dxa"/>
            <w:left w:w="108" w:type="dxa"/>
            <w:bottom w:w="0" w:type="dxa"/>
            <w:right w:w="108" w:type="dxa"/>
          </w:tblCellMar>
        </w:tblPrEx>
        <w:trPr>
          <w:trHeight w:val="1240" w:hRule="atLeast"/>
        </w:trPr>
        <w:tc>
          <w:tcPr>
            <w:tcW w:w="724" w:type="dxa"/>
            <w:tcBorders>
              <w:top w:val="nil"/>
              <w:left w:val="single" w:color="000000" w:sz="4" w:space="0"/>
              <w:bottom w:val="single" w:color="000000" w:sz="4" w:space="0"/>
              <w:right w:val="nil"/>
            </w:tcBorders>
            <w:vAlign w:val="center"/>
          </w:tcPr>
          <w:p w14:paraId="1C09EA7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309" w:type="dxa"/>
            <w:tcBorders>
              <w:top w:val="nil"/>
              <w:left w:val="single" w:color="000000" w:sz="4" w:space="0"/>
              <w:bottom w:val="single" w:color="000000" w:sz="4" w:space="0"/>
              <w:right w:val="single" w:color="000000" w:sz="4" w:space="0"/>
            </w:tcBorders>
            <w:vAlign w:val="center"/>
          </w:tcPr>
          <w:p w14:paraId="3534779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824" w:type="dxa"/>
            <w:tcBorders>
              <w:top w:val="nil"/>
              <w:left w:val="nil"/>
              <w:bottom w:val="single" w:color="000000" w:sz="4" w:space="0"/>
              <w:right w:val="single" w:color="000000" w:sz="4" w:space="0"/>
            </w:tcBorders>
            <w:vAlign w:val="center"/>
          </w:tcPr>
          <w:p w14:paraId="6B6964F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429" w:type="dxa"/>
            <w:tcBorders>
              <w:top w:val="nil"/>
              <w:left w:val="nil"/>
              <w:bottom w:val="single" w:color="000000" w:sz="4" w:space="0"/>
              <w:right w:val="single" w:color="000000" w:sz="4" w:space="0"/>
            </w:tcBorders>
            <w:vAlign w:val="center"/>
          </w:tcPr>
          <w:p w14:paraId="2C0DB64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639CB1D2">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4695F8C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309" w:type="dxa"/>
            <w:vMerge w:val="restart"/>
            <w:tcBorders>
              <w:top w:val="nil"/>
              <w:left w:val="single" w:color="000000" w:sz="4" w:space="0"/>
              <w:bottom w:val="single" w:color="000000" w:sz="4" w:space="0"/>
              <w:right w:val="single" w:color="000000" w:sz="4" w:space="0"/>
            </w:tcBorders>
            <w:vAlign w:val="center"/>
          </w:tcPr>
          <w:p w14:paraId="473818D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824" w:type="dxa"/>
            <w:tcBorders>
              <w:top w:val="nil"/>
              <w:left w:val="nil"/>
              <w:bottom w:val="single" w:color="000000" w:sz="4" w:space="0"/>
              <w:right w:val="single" w:color="000000" w:sz="4" w:space="0"/>
            </w:tcBorders>
            <w:vAlign w:val="center"/>
          </w:tcPr>
          <w:p w14:paraId="6A8DA40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429" w:type="dxa"/>
            <w:tcBorders>
              <w:top w:val="nil"/>
              <w:left w:val="nil"/>
              <w:bottom w:val="single" w:color="000000" w:sz="4" w:space="0"/>
              <w:right w:val="single" w:color="000000" w:sz="4" w:space="0"/>
            </w:tcBorders>
            <w:vAlign w:val="center"/>
          </w:tcPr>
          <w:p w14:paraId="6036FB3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≥2.5GHz</w:t>
            </w:r>
          </w:p>
        </w:tc>
      </w:tr>
      <w:tr w14:paraId="31883E21">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74B5493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309" w:type="dxa"/>
            <w:vMerge w:val="continue"/>
            <w:tcBorders>
              <w:top w:val="nil"/>
              <w:left w:val="single" w:color="000000" w:sz="4" w:space="0"/>
              <w:bottom w:val="single" w:color="000000" w:sz="4" w:space="0"/>
              <w:right w:val="single" w:color="000000" w:sz="4" w:space="0"/>
            </w:tcBorders>
            <w:vAlign w:val="center"/>
          </w:tcPr>
          <w:p w14:paraId="4B702562">
            <w:pPr>
              <w:rPr>
                <w:highlight w:val="none"/>
              </w:rPr>
            </w:pPr>
          </w:p>
        </w:tc>
        <w:tc>
          <w:tcPr>
            <w:tcW w:w="1824" w:type="dxa"/>
            <w:tcBorders>
              <w:top w:val="nil"/>
              <w:left w:val="nil"/>
              <w:bottom w:val="single" w:color="000000" w:sz="4" w:space="0"/>
              <w:right w:val="single" w:color="000000" w:sz="4" w:space="0"/>
            </w:tcBorders>
            <w:vAlign w:val="center"/>
          </w:tcPr>
          <w:p w14:paraId="6CDD6ED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429" w:type="dxa"/>
            <w:tcBorders>
              <w:top w:val="nil"/>
              <w:left w:val="nil"/>
              <w:bottom w:val="single" w:color="000000" w:sz="4" w:space="0"/>
              <w:right w:val="single" w:color="000000" w:sz="4" w:space="0"/>
            </w:tcBorders>
            <w:vAlign w:val="center"/>
          </w:tcPr>
          <w:p w14:paraId="228ED2F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≥16</w:t>
            </w:r>
          </w:p>
        </w:tc>
      </w:tr>
      <w:tr w14:paraId="3689CE7E">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6C00ECD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309" w:type="dxa"/>
            <w:vMerge w:val="continue"/>
            <w:tcBorders>
              <w:top w:val="nil"/>
              <w:left w:val="single" w:color="000000" w:sz="4" w:space="0"/>
              <w:bottom w:val="single" w:color="000000" w:sz="4" w:space="0"/>
              <w:right w:val="single" w:color="000000" w:sz="4" w:space="0"/>
            </w:tcBorders>
            <w:vAlign w:val="center"/>
          </w:tcPr>
          <w:p w14:paraId="70466FA1">
            <w:pPr>
              <w:rPr>
                <w:highlight w:val="none"/>
              </w:rPr>
            </w:pPr>
          </w:p>
        </w:tc>
        <w:tc>
          <w:tcPr>
            <w:tcW w:w="1824" w:type="dxa"/>
            <w:tcBorders>
              <w:top w:val="nil"/>
              <w:left w:val="nil"/>
              <w:bottom w:val="single" w:color="000000" w:sz="4" w:space="0"/>
              <w:right w:val="single" w:color="000000" w:sz="4" w:space="0"/>
            </w:tcBorders>
            <w:vAlign w:val="center"/>
          </w:tcPr>
          <w:p w14:paraId="533279B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429" w:type="dxa"/>
            <w:tcBorders>
              <w:top w:val="nil"/>
              <w:left w:val="nil"/>
              <w:bottom w:val="single" w:color="000000" w:sz="4" w:space="0"/>
              <w:right w:val="single" w:color="000000" w:sz="4" w:space="0"/>
            </w:tcBorders>
            <w:vAlign w:val="center"/>
          </w:tcPr>
          <w:p w14:paraId="70600EB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≥32MB</w:t>
            </w:r>
          </w:p>
        </w:tc>
      </w:tr>
      <w:tr w14:paraId="24274C98">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7DD1D45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309" w:type="dxa"/>
            <w:tcBorders>
              <w:top w:val="nil"/>
              <w:left w:val="single" w:color="000000" w:sz="4" w:space="0"/>
              <w:bottom w:val="single" w:color="000000" w:sz="4" w:space="0"/>
              <w:right w:val="single" w:color="000000" w:sz="4" w:space="0"/>
            </w:tcBorders>
            <w:vAlign w:val="center"/>
          </w:tcPr>
          <w:p w14:paraId="218260E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824" w:type="dxa"/>
            <w:tcBorders>
              <w:top w:val="nil"/>
              <w:left w:val="nil"/>
              <w:bottom w:val="single" w:color="000000" w:sz="4" w:space="0"/>
              <w:right w:val="single" w:color="000000" w:sz="4" w:space="0"/>
            </w:tcBorders>
            <w:vAlign w:val="center"/>
          </w:tcPr>
          <w:p w14:paraId="67BB10B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429" w:type="dxa"/>
            <w:tcBorders>
              <w:top w:val="nil"/>
              <w:left w:val="nil"/>
              <w:bottom w:val="single" w:color="000000" w:sz="4" w:space="0"/>
              <w:right w:val="single" w:color="000000" w:sz="4" w:space="0"/>
            </w:tcBorders>
            <w:vAlign w:val="center"/>
          </w:tcPr>
          <w:p w14:paraId="7AF64B8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06F4A9C2">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59F5D8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309" w:type="dxa"/>
            <w:tcBorders>
              <w:top w:val="nil"/>
              <w:left w:val="single" w:color="000000" w:sz="4" w:space="0"/>
              <w:bottom w:val="single" w:color="000000" w:sz="4" w:space="0"/>
              <w:right w:val="single" w:color="000000" w:sz="4" w:space="0"/>
            </w:tcBorders>
            <w:vAlign w:val="center"/>
          </w:tcPr>
          <w:p w14:paraId="35C5B7E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824" w:type="dxa"/>
            <w:tcBorders>
              <w:top w:val="nil"/>
              <w:left w:val="nil"/>
              <w:bottom w:val="single" w:color="000000" w:sz="4" w:space="0"/>
              <w:right w:val="single" w:color="000000" w:sz="4" w:space="0"/>
            </w:tcBorders>
            <w:vAlign w:val="center"/>
          </w:tcPr>
          <w:p w14:paraId="782185B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429" w:type="dxa"/>
            <w:tcBorders>
              <w:top w:val="nil"/>
              <w:left w:val="nil"/>
              <w:bottom w:val="single" w:color="000000" w:sz="4" w:space="0"/>
              <w:right w:val="single" w:color="000000" w:sz="4" w:space="0"/>
            </w:tcBorders>
            <w:vAlign w:val="center"/>
          </w:tcPr>
          <w:p w14:paraId="22833E3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472DE4FF">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2D8E3D8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309" w:type="dxa"/>
            <w:vMerge w:val="restart"/>
            <w:tcBorders>
              <w:top w:val="nil"/>
              <w:left w:val="single" w:color="000000" w:sz="4" w:space="0"/>
              <w:bottom w:val="single" w:color="000000" w:sz="4" w:space="0"/>
              <w:right w:val="single" w:color="000000" w:sz="4" w:space="0"/>
            </w:tcBorders>
            <w:vAlign w:val="center"/>
          </w:tcPr>
          <w:p w14:paraId="63EA221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824" w:type="dxa"/>
            <w:tcBorders>
              <w:top w:val="nil"/>
              <w:left w:val="nil"/>
              <w:bottom w:val="single" w:color="000000" w:sz="4" w:space="0"/>
              <w:right w:val="single" w:color="000000" w:sz="4" w:space="0"/>
            </w:tcBorders>
            <w:vAlign w:val="center"/>
          </w:tcPr>
          <w:p w14:paraId="762AB8D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429" w:type="dxa"/>
            <w:tcBorders>
              <w:top w:val="nil"/>
              <w:left w:val="nil"/>
              <w:bottom w:val="single" w:color="000000" w:sz="4" w:space="0"/>
              <w:right w:val="single" w:color="000000" w:sz="4" w:space="0"/>
            </w:tcBorders>
            <w:vAlign w:val="center"/>
          </w:tcPr>
          <w:p w14:paraId="53C2794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5995D6B8">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C199C2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309" w:type="dxa"/>
            <w:vMerge w:val="continue"/>
            <w:tcBorders>
              <w:top w:val="nil"/>
              <w:left w:val="single" w:color="000000" w:sz="4" w:space="0"/>
              <w:bottom w:val="single" w:color="000000" w:sz="4" w:space="0"/>
              <w:right w:val="single" w:color="000000" w:sz="4" w:space="0"/>
            </w:tcBorders>
            <w:vAlign w:val="center"/>
          </w:tcPr>
          <w:p w14:paraId="45325C41">
            <w:pPr>
              <w:rPr>
                <w:highlight w:val="none"/>
              </w:rPr>
            </w:pPr>
          </w:p>
        </w:tc>
        <w:tc>
          <w:tcPr>
            <w:tcW w:w="1824" w:type="dxa"/>
            <w:tcBorders>
              <w:top w:val="nil"/>
              <w:left w:val="nil"/>
              <w:bottom w:val="single" w:color="000000" w:sz="4" w:space="0"/>
              <w:right w:val="single" w:color="000000" w:sz="4" w:space="0"/>
            </w:tcBorders>
            <w:vAlign w:val="center"/>
          </w:tcPr>
          <w:p w14:paraId="1241813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429" w:type="dxa"/>
            <w:tcBorders>
              <w:top w:val="nil"/>
              <w:left w:val="nil"/>
              <w:bottom w:val="single" w:color="000000" w:sz="4" w:space="0"/>
              <w:right w:val="single" w:color="000000" w:sz="4" w:space="0"/>
            </w:tcBorders>
            <w:vAlign w:val="center"/>
          </w:tcPr>
          <w:p w14:paraId="795DDC0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44098073">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1442487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309" w:type="dxa"/>
            <w:vMerge w:val="continue"/>
            <w:tcBorders>
              <w:top w:val="nil"/>
              <w:left w:val="single" w:color="000000" w:sz="4" w:space="0"/>
              <w:bottom w:val="single" w:color="000000" w:sz="4" w:space="0"/>
              <w:right w:val="single" w:color="000000" w:sz="4" w:space="0"/>
            </w:tcBorders>
            <w:vAlign w:val="center"/>
          </w:tcPr>
          <w:p w14:paraId="143C1F79">
            <w:pPr>
              <w:rPr>
                <w:highlight w:val="none"/>
              </w:rPr>
            </w:pPr>
          </w:p>
        </w:tc>
        <w:tc>
          <w:tcPr>
            <w:tcW w:w="1824" w:type="dxa"/>
            <w:tcBorders>
              <w:top w:val="nil"/>
              <w:left w:val="nil"/>
              <w:bottom w:val="single" w:color="000000" w:sz="4" w:space="0"/>
              <w:right w:val="single" w:color="000000" w:sz="4" w:space="0"/>
            </w:tcBorders>
            <w:vAlign w:val="center"/>
          </w:tcPr>
          <w:p w14:paraId="44CF43B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429" w:type="dxa"/>
            <w:tcBorders>
              <w:top w:val="nil"/>
              <w:left w:val="nil"/>
              <w:bottom w:val="single" w:color="000000" w:sz="4" w:space="0"/>
              <w:right w:val="single" w:color="000000" w:sz="4" w:space="0"/>
            </w:tcBorders>
            <w:vAlign w:val="center"/>
          </w:tcPr>
          <w:p w14:paraId="46C7C47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68978762">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FCC4E2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309" w:type="dxa"/>
            <w:vMerge w:val="continue"/>
            <w:tcBorders>
              <w:top w:val="nil"/>
              <w:left w:val="single" w:color="000000" w:sz="4" w:space="0"/>
              <w:bottom w:val="single" w:color="000000" w:sz="4" w:space="0"/>
              <w:right w:val="single" w:color="000000" w:sz="4" w:space="0"/>
            </w:tcBorders>
            <w:vAlign w:val="center"/>
          </w:tcPr>
          <w:p w14:paraId="5BD23CD8">
            <w:pPr>
              <w:rPr>
                <w:highlight w:val="none"/>
              </w:rPr>
            </w:pPr>
          </w:p>
        </w:tc>
        <w:tc>
          <w:tcPr>
            <w:tcW w:w="1824" w:type="dxa"/>
            <w:tcBorders>
              <w:top w:val="nil"/>
              <w:left w:val="nil"/>
              <w:bottom w:val="single" w:color="000000" w:sz="4" w:space="0"/>
              <w:right w:val="single" w:color="000000" w:sz="4" w:space="0"/>
            </w:tcBorders>
            <w:vAlign w:val="center"/>
          </w:tcPr>
          <w:p w14:paraId="701C911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429" w:type="dxa"/>
            <w:tcBorders>
              <w:top w:val="nil"/>
              <w:left w:val="nil"/>
              <w:bottom w:val="single" w:color="000000" w:sz="4" w:space="0"/>
              <w:right w:val="single" w:color="000000" w:sz="4" w:space="0"/>
            </w:tcBorders>
            <w:vAlign w:val="center"/>
          </w:tcPr>
          <w:p w14:paraId="4A5E3CC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4A8D88EE">
        <w:tblPrEx>
          <w:tblCellMar>
            <w:top w:w="0" w:type="dxa"/>
            <w:left w:w="108" w:type="dxa"/>
            <w:bottom w:w="0" w:type="dxa"/>
            <w:right w:w="108" w:type="dxa"/>
          </w:tblCellMar>
        </w:tblPrEx>
        <w:trPr>
          <w:trHeight w:val="1550" w:hRule="atLeast"/>
        </w:trPr>
        <w:tc>
          <w:tcPr>
            <w:tcW w:w="724" w:type="dxa"/>
            <w:tcBorders>
              <w:top w:val="nil"/>
              <w:left w:val="single" w:color="000000" w:sz="4" w:space="0"/>
              <w:bottom w:val="single" w:color="000000" w:sz="4" w:space="0"/>
              <w:right w:val="nil"/>
            </w:tcBorders>
            <w:vAlign w:val="center"/>
          </w:tcPr>
          <w:p w14:paraId="2011EB2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309" w:type="dxa"/>
            <w:tcBorders>
              <w:top w:val="nil"/>
              <w:left w:val="single" w:color="000000" w:sz="4" w:space="0"/>
              <w:bottom w:val="single" w:color="000000" w:sz="4" w:space="0"/>
              <w:right w:val="single" w:color="000000" w:sz="4" w:space="0"/>
            </w:tcBorders>
            <w:vAlign w:val="center"/>
          </w:tcPr>
          <w:p w14:paraId="54BCFCE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824" w:type="dxa"/>
            <w:tcBorders>
              <w:top w:val="nil"/>
              <w:left w:val="nil"/>
              <w:bottom w:val="single" w:color="000000" w:sz="4" w:space="0"/>
              <w:right w:val="single" w:color="000000" w:sz="4" w:space="0"/>
            </w:tcBorders>
            <w:vAlign w:val="center"/>
          </w:tcPr>
          <w:p w14:paraId="0322145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429" w:type="dxa"/>
            <w:tcBorders>
              <w:top w:val="nil"/>
              <w:left w:val="nil"/>
              <w:bottom w:val="single" w:color="000000" w:sz="4" w:space="0"/>
              <w:right w:val="single" w:color="000000" w:sz="4" w:space="0"/>
            </w:tcBorders>
            <w:vAlign w:val="center"/>
          </w:tcPr>
          <w:p w14:paraId="16E06C0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39547A30">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4755BEA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309" w:type="dxa"/>
            <w:vMerge w:val="restart"/>
            <w:tcBorders>
              <w:top w:val="nil"/>
              <w:left w:val="single" w:color="000000" w:sz="4" w:space="0"/>
              <w:bottom w:val="single" w:color="000000" w:sz="4" w:space="0"/>
              <w:right w:val="single" w:color="000000" w:sz="4" w:space="0"/>
            </w:tcBorders>
            <w:vAlign w:val="center"/>
          </w:tcPr>
          <w:p w14:paraId="00A88ED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824" w:type="dxa"/>
            <w:tcBorders>
              <w:top w:val="nil"/>
              <w:left w:val="nil"/>
              <w:bottom w:val="single" w:color="000000" w:sz="4" w:space="0"/>
              <w:right w:val="single" w:color="000000" w:sz="4" w:space="0"/>
            </w:tcBorders>
            <w:vAlign w:val="center"/>
          </w:tcPr>
          <w:p w14:paraId="097755B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429" w:type="dxa"/>
            <w:tcBorders>
              <w:top w:val="nil"/>
              <w:left w:val="nil"/>
              <w:bottom w:val="single" w:color="000000" w:sz="4" w:space="0"/>
              <w:right w:val="single" w:color="000000" w:sz="4" w:space="0"/>
            </w:tcBorders>
            <w:vAlign w:val="center"/>
          </w:tcPr>
          <w:p w14:paraId="03C7BF4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7A856E8F">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52068FE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309" w:type="dxa"/>
            <w:vMerge w:val="continue"/>
            <w:tcBorders>
              <w:top w:val="nil"/>
              <w:left w:val="single" w:color="000000" w:sz="4" w:space="0"/>
              <w:bottom w:val="single" w:color="000000" w:sz="4" w:space="0"/>
              <w:right w:val="single" w:color="000000" w:sz="4" w:space="0"/>
            </w:tcBorders>
            <w:vAlign w:val="center"/>
          </w:tcPr>
          <w:p w14:paraId="268F637E">
            <w:pPr>
              <w:rPr>
                <w:highlight w:val="none"/>
              </w:rPr>
            </w:pPr>
          </w:p>
        </w:tc>
        <w:tc>
          <w:tcPr>
            <w:tcW w:w="1824" w:type="dxa"/>
            <w:tcBorders>
              <w:top w:val="nil"/>
              <w:left w:val="nil"/>
              <w:bottom w:val="single" w:color="000000" w:sz="4" w:space="0"/>
              <w:right w:val="single" w:color="000000" w:sz="4" w:space="0"/>
            </w:tcBorders>
            <w:vAlign w:val="center"/>
          </w:tcPr>
          <w:p w14:paraId="6499291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429" w:type="dxa"/>
            <w:tcBorders>
              <w:top w:val="nil"/>
              <w:left w:val="nil"/>
              <w:bottom w:val="single" w:color="000000" w:sz="4" w:space="0"/>
              <w:right w:val="single" w:color="000000" w:sz="4" w:space="0"/>
            </w:tcBorders>
            <w:vAlign w:val="center"/>
          </w:tcPr>
          <w:p w14:paraId="265F47B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0B1381C9">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262007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309" w:type="dxa"/>
            <w:vMerge w:val="continue"/>
            <w:tcBorders>
              <w:top w:val="nil"/>
              <w:left w:val="single" w:color="000000" w:sz="4" w:space="0"/>
              <w:bottom w:val="single" w:color="000000" w:sz="4" w:space="0"/>
              <w:right w:val="single" w:color="000000" w:sz="4" w:space="0"/>
            </w:tcBorders>
            <w:vAlign w:val="center"/>
          </w:tcPr>
          <w:p w14:paraId="37558603">
            <w:pPr>
              <w:rPr>
                <w:highlight w:val="none"/>
              </w:rPr>
            </w:pPr>
          </w:p>
        </w:tc>
        <w:tc>
          <w:tcPr>
            <w:tcW w:w="1824" w:type="dxa"/>
            <w:tcBorders>
              <w:top w:val="nil"/>
              <w:left w:val="nil"/>
              <w:bottom w:val="single" w:color="000000" w:sz="4" w:space="0"/>
              <w:right w:val="single" w:color="000000" w:sz="4" w:space="0"/>
            </w:tcBorders>
            <w:vAlign w:val="center"/>
          </w:tcPr>
          <w:p w14:paraId="3F37665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429" w:type="dxa"/>
            <w:tcBorders>
              <w:top w:val="nil"/>
              <w:left w:val="nil"/>
              <w:bottom w:val="single" w:color="000000" w:sz="4" w:space="0"/>
              <w:right w:val="single" w:color="000000" w:sz="4" w:space="0"/>
            </w:tcBorders>
            <w:vAlign w:val="center"/>
          </w:tcPr>
          <w:p w14:paraId="36110EE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7007678C">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8161D1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309" w:type="dxa"/>
            <w:vMerge w:val="restart"/>
            <w:tcBorders>
              <w:top w:val="nil"/>
              <w:left w:val="single" w:color="000000" w:sz="4" w:space="0"/>
              <w:bottom w:val="single" w:color="000000" w:sz="4" w:space="0"/>
              <w:right w:val="single" w:color="000000" w:sz="4" w:space="0"/>
            </w:tcBorders>
            <w:vAlign w:val="center"/>
          </w:tcPr>
          <w:p w14:paraId="1E08A84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824" w:type="dxa"/>
            <w:tcBorders>
              <w:top w:val="nil"/>
              <w:left w:val="nil"/>
              <w:bottom w:val="single" w:color="000000" w:sz="4" w:space="0"/>
              <w:right w:val="single" w:color="000000" w:sz="4" w:space="0"/>
            </w:tcBorders>
            <w:vAlign w:val="center"/>
          </w:tcPr>
          <w:p w14:paraId="3F4A42F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429" w:type="dxa"/>
            <w:tcBorders>
              <w:top w:val="nil"/>
              <w:left w:val="nil"/>
              <w:bottom w:val="single" w:color="000000" w:sz="4" w:space="0"/>
              <w:right w:val="single" w:color="000000" w:sz="4" w:space="0"/>
            </w:tcBorders>
            <w:vAlign w:val="center"/>
          </w:tcPr>
          <w:p w14:paraId="595C585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46706FE3">
        <w:tblPrEx>
          <w:tblCellMar>
            <w:top w:w="0" w:type="dxa"/>
            <w:left w:w="108" w:type="dxa"/>
            <w:bottom w:w="0" w:type="dxa"/>
            <w:right w:w="108" w:type="dxa"/>
          </w:tblCellMar>
        </w:tblPrEx>
        <w:trPr>
          <w:trHeight w:val="310" w:hRule="atLeast"/>
        </w:trPr>
        <w:tc>
          <w:tcPr>
            <w:tcW w:w="724" w:type="dxa"/>
            <w:tcBorders>
              <w:top w:val="nil"/>
              <w:left w:val="single" w:color="000000" w:sz="4" w:space="0"/>
              <w:bottom w:val="single" w:color="000000" w:sz="4" w:space="0"/>
              <w:right w:val="nil"/>
            </w:tcBorders>
            <w:vAlign w:val="center"/>
          </w:tcPr>
          <w:p w14:paraId="0286FDA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309" w:type="dxa"/>
            <w:vMerge w:val="continue"/>
            <w:tcBorders>
              <w:top w:val="nil"/>
              <w:left w:val="single" w:color="000000" w:sz="4" w:space="0"/>
              <w:bottom w:val="single" w:color="000000" w:sz="4" w:space="0"/>
              <w:right w:val="single" w:color="000000" w:sz="4" w:space="0"/>
            </w:tcBorders>
            <w:vAlign w:val="center"/>
          </w:tcPr>
          <w:p w14:paraId="17C61C0D">
            <w:pPr>
              <w:rPr>
                <w:highlight w:val="none"/>
              </w:rPr>
            </w:pPr>
          </w:p>
        </w:tc>
        <w:tc>
          <w:tcPr>
            <w:tcW w:w="1824" w:type="dxa"/>
            <w:tcBorders>
              <w:top w:val="nil"/>
              <w:left w:val="nil"/>
              <w:bottom w:val="single" w:color="000000" w:sz="4" w:space="0"/>
              <w:right w:val="single" w:color="000000" w:sz="4" w:space="0"/>
            </w:tcBorders>
            <w:vAlign w:val="center"/>
          </w:tcPr>
          <w:p w14:paraId="7A5115D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429" w:type="dxa"/>
            <w:tcBorders>
              <w:top w:val="nil"/>
              <w:left w:val="nil"/>
              <w:bottom w:val="single" w:color="000000" w:sz="4" w:space="0"/>
              <w:right w:val="single" w:color="000000" w:sz="4" w:space="0"/>
            </w:tcBorders>
            <w:vAlign w:val="center"/>
          </w:tcPr>
          <w:p w14:paraId="2A33C21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4132104D">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2BBCE0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309" w:type="dxa"/>
            <w:vMerge w:val="continue"/>
            <w:tcBorders>
              <w:top w:val="nil"/>
              <w:left w:val="single" w:color="000000" w:sz="4" w:space="0"/>
              <w:bottom w:val="single" w:color="000000" w:sz="4" w:space="0"/>
              <w:right w:val="single" w:color="000000" w:sz="4" w:space="0"/>
            </w:tcBorders>
            <w:vAlign w:val="center"/>
          </w:tcPr>
          <w:p w14:paraId="61447E83">
            <w:pPr>
              <w:rPr>
                <w:highlight w:val="none"/>
              </w:rPr>
            </w:pPr>
          </w:p>
        </w:tc>
        <w:tc>
          <w:tcPr>
            <w:tcW w:w="1824" w:type="dxa"/>
            <w:tcBorders>
              <w:top w:val="nil"/>
              <w:left w:val="nil"/>
              <w:bottom w:val="single" w:color="000000" w:sz="4" w:space="0"/>
              <w:right w:val="single" w:color="000000" w:sz="4" w:space="0"/>
            </w:tcBorders>
            <w:vAlign w:val="center"/>
          </w:tcPr>
          <w:p w14:paraId="7CDD36F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429" w:type="dxa"/>
            <w:tcBorders>
              <w:top w:val="nil"/>
              <w:left w:val="nil"/>
              <w:bottom w:val="single" w:color="000000" w:sz="4" w:space="0"/>
              <w:right w:val="single" w:color="000000" w:sz="4" w:space="0"/>
            </w:tcBorders>
            <w:vAlign w:val="center"/>
          </w:tcPr>
          <w:p w14:paraId="7FD4331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3419EB0D">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257FC13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309" w:type="dxa"/>
            <w:tcBorders>
              <w:top w:val="nil"/>
              <w:left w:val="single" w:color="000000" w:sz="4" w:space="0"/>
              <w:bottom w:val="single" w:color="000000" w:sz="4" w:space="0"/>
              <w:right w:val="single" w:color="000000" w:sz="4" w:space="0"/>
            </w:tcBorders>
            <w:vAlign w:val="center"/>
          </w:tcPr>
          <w:p w14:paraId="3884C9A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824" w:type="dxa"/>
            <w:tcBorders>
              <w:top w:val="nil"/>
              <w:left w:val="nil"/>
              <w:bottom w:val="single" w:color="000000" w:sz="4" w:space="0"/>
              <w:right w:val="single" w:color="000000" w:sz="4" w:space="0"/>
            </w:tcBorders>
            <w:vAlign w:val="center"/>
          </w:tcPr>
          <w:p w14:paraId="6CA60FB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429" w:type="dxa"/>
            <w:tcBorders>
              <w:top w:val="nil"/>
              <w:left w:val="nil"/>
              <w:bottom w:val="single" w:color="000000" w:sz="4" w:space="0"/>
              <w:right w:val="single" w:color="000000" w:sz="4" w:space="0"/>
            </w:tcBorders>
            <w:vAlign w:val="center"/>
          </w:tcPr>
          <w:p w14:paraId="56D2F66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25B3D10F">
        <w:tblPrEx>
          <w:tblCellMar>
            <w:top w:w="0" w:type="dxa"/>
            <w:left w:w="108" w:type="dxa"/>
            <w:bottom w:w="0" w:type="dxa"/>
            <w:right w:w="108" w:type="dxa"/>
          </w:tblCellMar>
        </w:tblPrEx>
        <w:trPr>
          <w:trHeight w:val="3410" w:hRule="atLeast"/>
        </w:trPr>
        <w:tc>
          <w:tcPr>
            <w:tcW w:w="724" w:type="dxa"/>
            <w:tcBorders>
              <w:top w:val="nil"/>
              <w:left w:val="single" w:color="000000" w:sz="4" w:space="0"/>
              <w:bottom w:val="single" w:color="000000" w:sz="4" w:space="0"/>
              <w:right w:val="nil"/>
            </w:tcBorders>
            <w:vAlign w:val="center"/>
          </w:tcPr>
          <w:p w14:paraId="491AE5F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309" w:type="dxa"/>
            <w:vMerge w:val="restart"/>
            <w:tcBorders>
              <w:top w:val="nil"/>
              <w:left w:val="single" w:color="000000" w:sz="4" w:space="0"/>
              <w:bottom w:val="single" w:color="000000" w:sz="4" w:space="0"/>
              <w:right w:val="single" w:color="000000" w:sz="4" w:space="0"/>
            </w:tcBorders>
            <w:vAlign w:val="center"/>
          </w:tcPr>
          <w:p w14:paraId="4426005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824" w:type="dxa"/>
            <w:tcBorders>
              <w:top w:val="nil"/>
              <w:left w:val="nil"/>
              <w:bottom w:val="single" w:color="000000" w:sz="4" w:space="0"/>
              <w:right w:val="single" w:color="000000" w:sz="4" w:space="0"/>
            </w:tcBorders>
            <w:vAlign w:val="center"/>
          </w:tcPr>
          <w:p w14:paraId="68ED989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429" w:type="dxa"/>
            <w:tcBorders>
              <w:top w:val="nil"/>
              <w:left w:val="nil"/>
              <w:bottom w:val="single" w:color="000000" w:sz="4" w:space="0"/>
              <w:right w:val="single" w:color="000000" w:sz="4" w:space="0"/>
            </w:tcBorders>
            <w:vAlign w:val="center"/>
          </w:tcPr>
          <w:p w14:paraId="2C5604C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173E9DC2">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0D1E61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309" w:type="dxa"/>
            <w:vMerge w:val="continue"/>
            <w:tcBorders>
              <w:top w:val="nil"/>
              <w:left w:val="single" w:color="000000" w:sz="4" w:space="0"/>
              <w:bottom w:val="single" w:color="000000" w:sz="4" w:space="0"/>
              <w:right w:val="single" w:color="000000" w:sz="4" w:space="0"/>
            </w:tcBorders>
            <w:vAlign w:val="center"/>
          </w:tcPr>
          <w:p w14:paraId="374B175E">
            <w:pPr>
              <w:rPr>
                <w:highlight w:val="none"/>
              </w:rPr>
            </w:pPr>
          </w:p>
        </w:tc>
        <w:tc>
          <w:tcPr>
            <w:tcW w:w="1824" w:type="dxa"/>
            <w:tcBorders>
              <w:top w:val="nil"/>
              <w:left w:val="nil"/>
              <w:bottom w:val="single" w:color="000000" w:sz="4" w:space="0"/>
              <w:right w:val="single" w:color="000000" w:sz="4" w:space="0"/>
            </w:tcBorders>
            <w:vAlign w:val="center"/>
          </w:tcPr>
          <w:p w14:paraId="12EF8FD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429" w:type="dxa"/>
            <w:tcBorders>
              <w:top w:val="nil"/>
              <w:left w:val="nil"/>
              <w:bottom w:val="single" w:color="000000" w:sz="4" w:space="0"/>
              <w:right w:val="single" w:color="000000" w:sz="4" w:space="0"/>
            </w:tcBorders>
            <w:vAlign w:val="center"/>
          </w:tcPr>
          <w:p w14:paraId="634522A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213B151B">
        <w:tblPrEx>
          <w:tblCellMar>
            <w:top w:w="0" w:type="dxa"/>
            <w:left w:w="108" w:type="dxa"/>
            <w:bottom w:w="0" w:type="dxa"/>
            <w:right w:w="108" w:type="dxa"/>
          </w:tblCellMar>
        </w:tblPrEx>
        <w:trPr>
          <w:trHeight w:val="727" w:hRule="atLeast"/>
        </w:trPr>
        <w:tc>
          <w:tcPr>
            <w:tcW w:w="724" w:type="dxa"/>
            <w:tcBorders>
              <w:top w:val="nil"/>
              <w:left w:val="single" w:color="000000" w:sz="4" w:space="0"/>
              <w:bottom w:val="single" w:color="000000" w:sz="4" w:space="0"/>
              <w:right w:val="nil"/>
            </w:tcBorders>
            <w:vAlign w:val="center"/>
          </w:tcPr>
          <w:p w14:paraId="4440F2B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309" w:type="dxa"/>
            <w:tcBorders>
              <w:top w:val="nil"/>
              <w:left w:val="single" w:color="000000" w:sz="4" w:space="0"/>
              <w:bottom w:val="single" w:color="000000" w:sz="4" w:space="0"/>
              <w:right w:val="single" w:color="000000" w:sz="4" w:space="0"/>
            </w:tcBorders>
            <w:vAlign w:val="center"/>
          </w:tcPr>
          <w:p w14:paraId="22CC60F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824" w:type="dxa"/>
            <w:tcBorders>
              <w:top w:val="nil"/>
              <w:left w:val="nil"/>
              <w:bottom w:val="single" w:color="000000" w:sz="4" w:space="0"/>
              <w:right w:val="single" w:color="000000" w:sz="4" w:space="0"/>
            </w:tcBorders>
            <w:vAlign w:val="center"/>
          </w:tcPr>
          <w:p w14:paraId="434289A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429" w:type="dxa"/>
            <w:tcBorders>
              <w:top w:val="nil"/>
              <w:left w:val="nil"/>
              <w:bottom w:val="single" w:color="000000" w:sz="4" w:space="0"/>
              <w:right w:val="single" w:color="000000" w:sz="4" w:space="0"/>
            </w:tcBorders>
            <w:vAlign w:val="center"/>
          </w:tcPr>
          <w:p w14:paraId="2CF37458">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74AFF750">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7D1F5B0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309" w:type="dxa"/>
            <w:vMerge w:val="restart"/>
            <w:tcBorders>
              <w:top w:val="nil"/>
              <w:left w:val="single" w:color="000000" w:sz="4" w:space="0"/>
              <w:bottom w:val="single" w:color="000000" w:sz="4" w:space="0"/>
              <w:right w:val="single" w:color="000000" w:sz="4" w:space="0"/>
            </w:tcBorders>
            <w:vAlign w:val="center"/>
          </w:tcPr>
          <w:p w14:paraId="1B69259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824" w:type="dxa"/>
            <w:tcBorders>
              <w:top w:val="nil"/>
              <w:left w:val="nil"/>
              <w:bottom w:val="single" w:color="000000" w:sz="4" w:space="0"/>
              <w:right w:val="single" w:color="000000" w:sz="4" w:space="0"/>
            </w:tcBorders>
            <w:vAlign w:val="center"/>
          </w:tcPr>
          <w:p w14:paraId="4D262BF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429" w:type="dxa"/>
            <w:tcBorders>
              <w:top w:val="nil"/>
              <w:left w:val="nil"/>
              <w:bottom w:val="single" w:color="000000" w:sz="4" w:space="0"/>
              <w:right w:val="single" w:color="000000" w:sz="4" w:space="0"/>
            </w:tcBorders>
            <w:vAlign w:val="center"/>
          </w:tcPr>
          <w:p w14:paraId="1726E002">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5007CE1B">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5509B12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309" w:type="dxa"/>
            <w:vMerge w:val="continue"/>
            <w:tcBorders>
              <w:top w:val="nil"/>
              <w:left w:val="single" w:color="000000" w:sz="4" w:space="0"/>
              <w:bottom w:val="single" w:color="000000" w:sz="4" w:space="0"/>
              <w:right w:val="single" w:color="000000" w:sz="4" w:space="0"/>
            </w:tcBorders>
            <w:vAlign w:val="center"/>
          </w:tcPr>
          <w:p w14:paraId="3864D471">
            <w:pPr>
              <w:rPr>
                <w:highlight w:val="none"/>
              </w:rPr>
            </w:pPr>
          </w:p>
        </w:tc>
        <w:tc>
          <w:tcPr>
            <w:tcW w:w="1824" w:type="dxa"/>
            <w:tcBorders>
              <w:top w:val="nil"/>
              <w:left w:val="nil"/>
              <w:bottom w:val="single" w:color="000000" w:sz="4" w:space="0"/>
              <w:right w:val="single" w:color="000000" w:sz="4" w:space="0"/>
            </w:tcBorders>
            <w:vAlign w:val="center"/>
          </w:tcPr>
          <w:p w14:paraId="5795F00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429" w:type="dxa"/>
            <w:tcBorders>
              <w:top w:val="nil"/>
              <w:left w:val="nil"/>
              <w:bottom w:val="single" w:color="000000" w:sz="4" w:space="0"/>
              <w:right w:val="single" w:color="000000" w:sz="4" w:space="0"/>
            </w:tcBorders>
            <w:vAlign w:val="center"/>
          </w:tcPr>
          <w:p w14:paraId="538DF48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7979C4C9">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11C883A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309" w:type="dxa"/>
            <w:vMerge w:val="continue"/>
            <w:tcBorders>
              <w:top w:val="nil"/>
              <w:left w:val="single" w:color="000000" w:sz="4" w:space="0"/>
              <w:bottom w:val="single" w:color="000000" w:sz="4" w:space="0"/>
              <w:right w:val="single" w:color="000000" w:sz="4" w:space="0"/>
            </w:tcBorders>
            <w:vAlign w:val="center"/>
          </w:tcPr>
          <w:p w14:paraId="1E92566C">
            <w:pPr>
              <w:rPr>
                <w:highlight w:val="none"/>
              </w:rPr>
            </w:pPr>
          </w:p>
        </w:tc>
        <w:tc>
          <w:tcPr>
            <w:tcW w:w="1824" w:type="dxa"/>
            <w:tcBorders>
              <w:top w:val="nil"/>
              <w:left w:val="nil"/>
              <w:bottom w:val="single" w:color="000000" w:sz="4" w:space="0"/>
              <w:right w:val="single" w:color="000000" w:sz="4" w:space="0"/>
            </w:tcBorders>
            <w:vAlign w:val="center"/>
          </w:tcPr>
          <w:p w14:paraId="77A375C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429" w:type="dxa"/>
            <w:tcBorders>
              <w:top w:val="nil"/>
              <w:left w:val="nil"/>
              <w:bottom w:val="single" w:color="000000" w:sz="4" w:space="0"/>
              <w:right w:val="single" w:color="000000" w:sz="4" w:space="0"/>
            </w:tcBorders>
            <w:vAlign w:val="center"/>
          </w:tcPr>
          <w:p w14:paraId="622CFA5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27E196D0">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4AF91D9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309" w:type="dxa"/>
            <w:vMerge w:val="restart"/>
            <w:tcBorders>
              <w:top w:val="nil"/>
              <w:left w:val="single" w:color="000000" w:sz="4" w:space="0"/>
              <w:bottom w:val="single" w:color="000000" w:sz="4" w:space="0"/>
              <w:right w:val="single" w:color="000000" w:sz="4" w:space="0"/>
            </w:tcBorders>
            <w:vAlign w:val="center"/>
          </w:tcPr>
          <w:p w14:paraId="6E53BEE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824" w:type="dxa"/>
            <w:tcBorders>
              <w:top w:val="nil"/>
              <w:left w:val="nil"/>
              <w:bottom w:val="single" w:color="000000" w:sz="4" w:space="0"/>
              <w:right w:val="single" w:color="000000" w:sz="4" w:space="0"/>
            </w:tcBorders>
            <w:vAlign w:val="center"/>
          </w:tcPr>
          <w:p w14:paraId="4C9FD0C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429" w:type="dxa"/>
            <w:tcBorders>
              <w:top w:val="nil"/>
              <w:left w:val="nil"/>
              <w:bottom w:val="single" w:color="000000" w:sz="4" w:space="0"/>
              <w:right w:val="single" w:color="000000" w:sz="4" w:space="0"/>
            </w:tcBorders>
            <w:vAlign w:val="center"/>
          </w:tcPr>
          <w:p w14:paraId="28F4A19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28B21911">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604DAE0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309" w:type="dxa"/>
            <w:vMerge w:val="continue"/>
            <w:tcBorders>
              <w:top w:val="nil"/>
              <w:left w:val="single" w:color="000000" w:sz="4" w:space="0"/>
              <w:bottom w:val="single" w:color="000000" w:sz="4" w:space="0"/>
              <w:right w:val="single" w:color="000000" w:sz="4" w:space="0"/>
            </w:tcBorders>
            <w:vAlign w:val="center"/>
          </w:tcPr>
          <w:p w14:paraId="7C543C24">
            <w:pPr>
              <w:rPr>
                <w:highlight w:val="none"/>
              </w:rPr>
            </w:pPr>
          </w:p>
        </w:tc>
        <w:tc>
          <w:tcPr>
            <w:tcW w:w="1824" w:type="dxa"/>
            <w:tcBorders>
              <w:top w:val="nil"/>
              <w:left w:val="nil"/>
              <w:bottom w:val="single" w:color="000000" w:sz="4" w:space="0"/>
              <w:right w:val="single" w:color="000000" w:sz="4" w:space="0"/>
            </w:tcBorders>
            <w:vAlign w:val="center"/>
          </w:tcPr>
          <w:p w14:paraId="065297B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429" w:type="dxa"/>
            <w:tcBorders>
              <w:top w:val="nil"/>
              <w:left w:val="nil"/>
              <w:bottom w:val="single" w:color="000000" w:sz="4" w:space="0"/>
              <w:right w:val="single" w:color="000000" w:sz="4" w:space="0"/>
            </w:tcBorders>
            <w:vAlign w:val="center"/>
          </w:tcPr>
          <w:p w14:paraId="537B84F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6AEE6682">
        <w:tblPrEx>
          <w:tblCellMar>
            <w:top w:w="0" w:type="dxa"/>
            <w:left w:w="108" w:type="dxa"/>
            <w:bottom w:w="0" w:type="dxa"/>
            <w:right w:w="108" w:type="dxa"/>
          </w:tblCellMar>
        </w:tblPrEx>
        <w:trPr>
          <w:trHeight w:val="930" w:hRule="atLeast"/>
        </w:trPr>
        <w:tc>
          <w:tcPr>
            <w:tcW w:w="724" w:type="dxa"/>
            <w:tcBorders>
              <w:top w:val="nil"/>
              <w:left w:val="single" w:color="000000" w:sz="4" w:space="0"/>
              <w:bottom w:val="single" w:color="000000" w:sz="4" w:space="0"/>
              <w:right w:val="nil"/>
            </w:tcBorders>
            <w:vAlign w:val="center"/>
          </w:tcPr>
          <w:p w14:paraId="1AA559E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309" w:type="dxa"/>
            <w:vMerge w:val="restart"/>
            <w:tcBorders>
              <w:top w:val="nil"/>
              <w:left w:val="single" w:color="000000" w:sz="4" w:space="0"/>
              <w:bottom w:val="single" w:color="000000" w:sz="4" w:space="0"/>
              <w:right w:val="single" w:color="000000" w:sz="4" w:space="0"/>
            </w:tcBorders>
            <w:vAlign w:val="center"/>
          </w:tcPr>
          <w:p w14:paraId="7AEACEA5">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824" w:type="dxa"/>
            <w:tcBorders>
              <w:top w:val="nil"/>
              <w:left w:val="nil"/>
              <w:bottom w:val="single" w:color="000000" w:sz="4" w:space="0"/>
              <w:right w:val="single" w:color="000000" w:sz="4" w:space="0"/>
            </w:tcBorders>
            <w:vAlign w:val="center"/>
          </w:tcPr>
          <w:p w14:paraId="6AC225F1">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429" w:type="dxa"/>
            <w:tcBorders>
              <w:top w:val="nil"/>
              <w:left w:val="nil"/>
              <w:bottom w:val="single" w:color="000000" w:sz="4" w:space="0"/>
              <w:right w:val="single" w:color="000000" w:sz="4" w:space="0"/>
            </w:tcBorders>
            <w:vAlign w:val="center"/>
          </w:tcPr>
          <w:p w14:paraId="0904D91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6A1A24D6">
        <w:tblPrEx>
          <w:tblCellMar>
            <w:top w:w="0" w:type="dxa"/>
            <w:left w:w="108" w:type="dxa"/>
            <w:bottom w:w="0" w:type="dxa"/>
            <w:right w:w="108" w:type="dxa"/>
          </w:tblCellMar>
        </w:tblPrEx>
        <w:trPr>
          <w:trHeight w:val="620" w:hRule="atLeast"/>
        </w:trPr>
        <w:tc>
          <w:tcPr>
            <w:tcW w:w="724" w:type="dxa"/>
            <w:tcBorders>
              <w:top w:val="nil"/>
              <w:left w:val="single" w:color="000000" w:sz="4" w:space="0"/>
              <w:bottom w:val="single" w:color="000000" w:sz="4" w:space="0"/>
              <w:right w:val="nil"/>
            </w:tcBorders>
            <w:vAlign w:val="center"/>
          </w:tcPr>
          <w:p w14:paraId="7F5E59B4">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309" w:type="dxa"/>
            <w:vMerge w:val="continue"/>
            <w:tcBorders>
              <w:top w:val="nil"/>
              <w:left w:val="single" w:color="000000" w:sz="4" w:space="0"/>
              <w:bottom w:val="single" w:color="000000" w:sz="4" w:space="0"/>
              <w:right w:val="single" w:color="000000" w:sz="4" w:space="0"/>
            </w:tcBorders>
            <w:vAlign w:val="center"/>
          </w:tcPr>
          <w:p w14:paraId="58782E61">
            <w:pPr>
              <w:rPr>
                <w:highlight w:val="none"/>
              </w:rPr>
            </w:pPr>
          </w:p>
        </w:tc>
        <w:tc>
          <w:tcPr>
            <w:tcW w:w="1824" w:type="dxa"/>
            <w:tcBorders>
              <w:top w:val="nil"/>
              <w:left w:val="nil"/>
              <w:bottom w:val="single" w:color="000000" w:sz="4" w:space="0"/>
              <w:right w:val="single" w:color="000000" w:sz="4" w:space="0"/>
            </w:tcBorders>
            <w:vAlign w:val="center"/>
          </w:tcPr>
          <w:p w14:paraId="2586147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429" w:type="dxa"/>
            <w:tcBorders>
              <w:top w:val="nil"/>
              <w:left w:val="nil"/>
              <w:bottom w:val="single" w:color="000000" w:sz="4" w:space="0"/>
              <w:right w:val="single" w:color="000000" w:sz="4" w:space="0"/>
            </w:tcBorders>
            <w:vAlign w:val="center"/>
          </w:tcPr>
          <w:p w14:paraId="12F9795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15BC6E73">
      <w:pPr>
        <w:rPr>
          <w:rFonts w:ascii="仿宋" w:hAnsi="仿宋" w:eastAsia="仿宋" w:cs="仿宋"/>
          <w:b/>
          <w:bCs/>
          <w:kern w:val="0"/>
          <w:sz w:val="24"/>
          <w:highlight w:val="none"/>
        </w:rPr>
      </w:pPr>
      <w:r>
        <w:rPr>
          <w:rFonts w:hint="eastAsia" w:ascii="仿宋" w:hAnsi="仿宋" w:eastAsia="仿宋" w:cs="仿宋"/>
          <w:b/>
          <w:bCs/>
          <w:kern w:val="0"/>
          <w:sz w:val="24"/>
          <w:highlight w:val="none"/>
        </w:rPr>
        <w:t>附3：“大数据平台数据存储服务一体机”硬件部分详细参数配置要求：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740"/>
        <w:gridCol w:w="1655"/>
        <w:gridCol w:w="5050"/>
      </w:tblGrid>
      <w:tr w14:paraId="593B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EF7E6B8">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740" w:type="dxa"/>
            <w:vAlign w:val="center"/>
          </w:tcPr>
          <w:p w14:paraId="2E71B4F2">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一级性能参数指标</w:t>
            </w:r>
          </w:p>
        </w:tc>
        <w:tc>
          <w:tcPr>
            <w:tcW w:w="1655" w:type="dxa"/>
            <w:vAlign w:val="center"/>
          </w:tcPr>
          <w:p w14:paraId="1557B2B2">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二级性能参数指标</w:t>
            </w:r>
          </w:p>
        </w:tc>
        <w:tc>
          <w:tcPr>
            <w:tcW w:w="5050" w:type="dxa"/>
            <w:vAlign w:val="center"/>
          </w:tcPr>
          <w:p w14:paraId="7E73B2E3">
            <w:pPr>
              <w:widowControl/>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详细参数配置要求</w:t>
            </w:r>
          </w:p>
        </w:tc>
      </w:tr>
      <w:tr w14:paraId="4343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841" w:type="dxa"/>
            <w:vAlign w:val="center"/>
          </w:tcPr>
          <w:p w14:paraId="5F2019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740" w:type="dxa"/>
            <w:vAlign w:val="center"/>
          </w:tcPr>
          <w:p w14:paraId="7A19721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655" w:type="dxa"/>
            <w:vAlign w:val="center"/>
          </w:tcPr>
          <w:p w14:paraId="7A22506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050" w:type="dxa"/>
            <w:vAlign w:val="center"/>
          </w:tcPr>
          <w:p w14:paraId="0D4BCF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（2）单颗CPU物理核心数≥16核、主频≥2.5GHz、末级缓存容量≥32MB、线程数≥32、热设计功耗≥135W、支持内存的最高速率≥3200MHz、通道数≥4、位宽≥64位；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365A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0E8A64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740" w:type="dxa"/>
            <w:vMerge w:val="restart"/>
            <w:vAlign w:val="center"/>
          </w:tcPr>
          <w:p w14:paraId="67EF01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655" w:type="dxa"/>
            <w:vAlign w:val="center"/>
          </w:tcPr>
          <w:p w14:paraId="505BA5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050" w:type="dxa"/>
            <w:vAlign w:val="center"/>
          </w:tcPr>
          <w:p w14:paraId="6DEF82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3342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F0DDA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740" w:type="dxa"/>
            <w:vMerge w:val="continue"/>
            <w:vAlign w:val="center"/>
          </w:tcPr>
          <w:p w14:paraId="7CA3DE64">
            <w:pPr>
              <w:rPr>
                <w:highlight w:val="none"/>
              </w:rPr>
            </w:pPr>
          </w:p>
        </w:tc>
        <w:tc>
          <w:tcPr>
            <w:tcW w:w="1655" w:type="dxa"/>
            <w:vAlign w:val="center"/>
          </w:tcPr>
          <w:p w14:paraId="797F6F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050" w:type="dxa"/>
            <w:vAlign w:val="center"/>
          </w:tcPr>
          <w:p w14:paraId="6921E7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099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41" w:type="dxa"/>
            <w:vAlign w:val="center"/>
          </w:tcPr>
          <w:p w14:paraId="154CF4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740" w:type="dxa"/>
            <w:vMerge w:val="continue"/>
            <w:vAlign w:val="center"/>
          </w:tcPr>
          <w:p w14:paraId="497A565C">
            <w:pPr>
              <w:rPr>
                <w:highlight w:val="none"/>
              </w:rPr>
            </w:pPr>
          </w:p>
        </w:tc>
        <w:tc>
          <w:tcPr>
            <w:tcW w:w="1655" w:type="dxa"/>
            <w:vAlign w:val="center"/>
          </w:tcPr>
          <w:p w14:paraId="5C256A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050" w:type="dxa"/>
            <w:vAlign w:val="center"/>
          </w:tcPr>
          <w:p w14:paraId="4E831D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（2）板载支持≥12个SATA/SAS盘；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056A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9DAB2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740" w:type="dxa"/>
            <w:vMerge w:val="continue"/>
            <w:vAlign w:val="center"/>
          </w:tcPr>
          <w:p w14:paraId="31D6F910">
            <w:pPr>
              <w:rPr>
                <w:highlight w:val="none"/>
              </w:rPr>
            </w:pPr>
          </w:p>
        </w:tc>
        <w:tc>
          <w:tcPr>
            <w:tcW w:w="1655" w:type="dxa"/>
            <w:vAlign w:val="center"/>
          </w:tcPr>
          <w:p w14:paraId="2784A37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050" w:type="dxa"/>
            <w:vAlign w:val="center"/>
          </w:tcPr>
          <w:p w14:paraId="1C6E98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2352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1F41D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740" w:type="dxa"/>
            <w:vMerge w:val="continue"/>
            <w:vAlign w:val="center"/>
          </w:tcPr>
          <w:p w14:paraId="3D7BD28E">
            <w:pPr>
              <w:rPr>
                <w:highlight w:val="none"/>
              </w:rPr>
            </w:pPr>
          </w:p>
        </w:tc>
        <w:tc>
          <w:tcPr>
            <w:tcW w:w="1655" w:type="dxa"/>
            <w:vAlign w:val="center"/>
          </w:tcPr>
          <w:p w14:paraId="240196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050" w:type="dxa"/>
            <w:vAlign w:val="center"/>
          </w:tcPr>
          <w:p w14:paraId="1FE2A9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04A1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1D8E54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740" w:type="dxa"/>
            <w:vMerge w:val="restart"/>
            <w:vAlign w:val="center"/>
          </w:tcPr>
          <w:p w14:paraId="75A9C3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655" w:type="dxa"/>
            <w:vAlign w:val="center"/>
          </w:tcPr>
          <w:p w14:paraId="09447B6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050" w:type="dxa"/>
            <w:vAlign w:val="center"/>
          </w:tcPr>
          <w:p w14:paraId="2FEA90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内存数量≥8</w:t>
            </w:r>
          </w:p>
        </w:tc>
      </w:tr>
      <w:tr w14:paraId="4CDE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22437C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740" w:type="dxa"/>
            <w:vMerge w:val="continue"/>
            <w:vAlign w:val="center"/>
          </w:tcPr>
          <w:p w14:paraId="2F8326D5">
            <w:pPr>
              <w:rPr>
                <w:highlight w:val="none"/>
              </w:rPr>
            </w:pPr>
          </w:p>
        </w:tc>
        <w:tc>
          <w:tcPr>
            <w:tcW w:w="1655" w:type="dxa"/>
            <w:vAlign w:val="center"/>
          </w:tcPr>
          <w:p w14:paraId="4DB651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050" w:type="dxa"/>
            <w:vAlign w:val="center"/>
          </w:tcPr>
          <w:p w14:paraId="1A0C77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233B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53A1BE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740" w:type="dxa"/>
            <w:vMerge w:val="continue"/>
            <w:vAlign w:val="center"/>
          </w:tcPr>
          <w:p w14:paraId="051C0A17">
            <w:pPr>
              <w:rPr>
                <w:highlight w:val="none"/>
              </w:rPr>
            </w:pPr>
          </w:p>
        </w:tc>
        <w:tc>
          <w:tcPr>
            <w:tcW w:w="1655" w:type="dxa"/>
            <w:vAlign w:val="center"/>
          </w:tcPr>
          <w:p w14:paraId="37B931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050" w:type="dxa"/>
            <w:vAlign w:val="center"/>
          </w:tcPr>
          <w:p w14:paraId="7B7EA3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117E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38C158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740" w:type="dxa"/>
            <w:vMerge w:val="restart"/>
            <w:vAlign w:val="center"/>
          </w:tcPr>
          <w:p w14:paraId="7045A3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655" w:type="dxa"/>
            <w:vAlign w:val="center"/>
          </w:tcPr>
          <w:p w14:paraId="1028A5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050" w:type="dxa"/>
            <w:vAlign w:val="center"/>
          </w:tcPr>
          <w:p w14:paraId="2C5DC1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实配≥2块480G SATA企业级SSD；≥10块6TB SATA 7200RPM 3.5寸企业级硬盘</w:t>
            </w:r>
          </w:p>
        </w:tc>
      </w:tr>
      <w:tr w14:paraId="5BA0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F94A1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740" w:type="dxa"/>
            <w:vMerge w:val="continue"/>
            <w:vAlign w:val="center"/>
          </w:tcPr>
          <w:p w14:paraId="41EAD06F">
            <w:pPr>
              <w:rPr>
                <w:highlight w:val="none"/>
              </w:rPr>
            </w:pPr>
          </w:p>
        </w:tc>
        <w:tc>
          <w:tcPr>
            <w:tcW w:w="1655" w:type="dxa"/>
            <w:vAlign w:val="center"/>
          </w:tcPr>
          <w:p w14:paraId="521FD6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050" w:type="dxa"/>
            <w:vAlign w:val="center"/>
          </w:tcPr>
          <w:p w14:paraId="7C21D5B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实配≥2块SATA企业级SSD；≥10块SATA 7200RPM 3.5寸企业级硬盘</w:t>
            </w:r>
          </w:p>
        </w:tc>
      </w:tr>
      <w:tr w14:paraId="1BC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1" w:type="dxa"/>
            <w:vAlign w:val="center"/>
          </w:tcPr>
          <w:p w14:paraId="039A8F8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740" w:type="dxa"/>
            <w:vMerge w:val="continue"/>
            <w:vAlign w:val="center"/>
          </w:tcPr>
          <w:p w14:paraId="1433AC69">
            <w:pPr>
              <w:rPr>
                <w:highlight w:val="none"/>
              </w:rPr>
            </w:pPr>
          </w:p>
        </w:tc>
        <w:tc>
          <w:tcPr>
            <w:tcW w:w="1655" w:type="dxa"/>
            <w:vAlign w:val="center"/>
          </w:tcPr>
          <w:p w14:paraId="17EB87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050" w:type="dxa"/>
            <w:vAlign w:val="center"/>
          </w:tcPr>
          <w:p w14:paraId="656C1A4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7480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B8637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740" w:type="dxa"/>
            <w:vAlign w:val="center"/>
          </w:tcPr>
          <w:p w14:paraId="0F483F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655" w:type="dxa"/>
            <w:vAlign w:val="center"/>
          </w:tcPr>
          <w:p w14:paraId="034F80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050" w:type="dxa"/>
            <w:vAlign w:val="center"/>
          </w:tcPr>
          <w:p w14:paraId="223C09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≥1块双电口千兆网卡，≥1块双光口万兆网卡（含光模块）</w:t>
            </w:r>
          </w:p>
        </w:tc>
      </w:tr>
      <w:tr w14:paraId="7A37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631618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740" w:type="dxa"/>
            <w:vMerge w:val="restart"/>
            <w:vAlign w:val="center"/>
          </w:tcPr>
          <w:p w14:paraId="34AFE0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655" w:type="dxa"/>
            <w:vAlign w:val="center"/>
          </w:tcPr>
          <w:p w14:paraId="60003F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050" w:type="dxa"/>
            <w:vAlign w:val="center"/>
          </w:tcPr>
          <w:p w14:paraId="2E38479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32C7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D566C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740" w:type="dxa"/>
            <w:vMerge w:val="continue"/>
            <w:vAlign w:val="center"/>
          </w:tcPr>
          <w:p w14:paraId="26DD664D">
            <w:pPr>
              <w:rPr>
                <w:highlight w:val="none"/>
              </w:rPr>
            </w:pPr>
          </w:p>
        </w:tc>
        <w:tc>
          <w:tcPr>
            <w:tcW w:w="1655" w:type="dxa"/>
            <w:vAlign w:val="center"/>
          </w:tcPr>
          <w:p w14:paraId="453CC57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050" w:type="dxa"/>
            <w:vAlign w:val="center"/>
          </w:tcPr>
          <w:p w14:paraId="7C249B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7FD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18199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740" w:type="dxa"/>
            <w:vMerge w:val="restart"/>
            <w:vAlign w:val="center"/>
          </w:tcPr>
          <w:p w14:paraId="28CA99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655" w:type="dxa"/>
            <w:vAlign w:val="center"/>
          </w:tcPr>
          <w:p w14:paraId="5D774E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050" w:type="dxa"/>
            <w:vAlign w:val="center"/>
          </w:tcPr>
          <w:p w14:paraId="28A33F5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1138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34BF9B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740" w:type="dxa"/>
            <w:vMerge w:val="continue"/>
            <w:vAlign w:val="center"/>
          </w:tcPr>
          <w:p w14:paraId="283147F3">
            <w:pPr>
              <w:rPr>
                <w:highlight w:val="none"/>
              </w:rPr>
            </w:pPr>
          </w:p>
        </w:tc>
        <w:tc>
          <w:tcPr>
            <w:tcW w:w="1655" w:type="dxa"/>
            <w:vAlign w:val="center"/>
          </w:tcPr>
          <w:p w14:paraId="7B661B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050" w:type="dxa"/>
            <w:vAlign w:val="center"/>
          </w:tcPr>
          <w:p w14:paraId="54E631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3EC2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41" w:type="dxa"/>
            <w:vAlign w:val="center"/>
          </w:tcPr>
          <w:p w14:paraId="29168C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740" w:type="dxa"/>
            <w:vMerge w:val="restart"/>
            <w:vAlign w:val="center"/>
          </w:tcPr>
          <w:p w14:paraId="5778C1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655" w:type="dxa"/>
            <w:vAlign w:val="center"/>
          </w:tcPr>
          <w:p w14:paraId="7D3C79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050" w:type="dxa"/>
            <w:vAlign w:val="center"/>
          </w:tcPr>
          <w:p w14:paraId="7BF8A6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0C74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B9B8A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740" w:type="dxa"/>
            <w:vMerge w:val="continue"/>
            <w:vAlign w:val="center"/>
          </w:tcPr>
          <w:p w14:paraId="7D7EE020">
            <w:pPr>
              <w:rPr>
                <w:highlight w:val="none"/>
              </w:rPr>
            </w:pPr>
          </w:p>
        </w:tc>
        <w:tc>
          <w:tcPr>
            <w:tcW w:w="1655" w:type="dxa"/>
            <w:vAlign w:val="center"/>
          </w:tcPr>
          <w:p w14:paraId="2B9346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050" w:type="dxa"/>
            <w:vAlign w:val="center"/>
          </w:tcPr>
          <w:p w14:paraId="370379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64BE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010146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740" w:type="dxa"/>
            <w:vMerge w:val="continue"/>
            <w:vAlign w:val="center"/>
          </w:tcPr>
          <w:p w14:paraId="6ABEE971">
            <w:pPr>
              <w:rPr>
                <w:highlight w:val="none"/>
              </w:rPr>
            </w:pPr>
          </w:p>
        </w:tc>
        <w:tc>
          <w:tcPr>
            <w:tcW w:w="1655" w:type="dxa"/>
            <w:vAlign w:val="center"/>
          </w:tcPr>
          <w:p w14:paraId="4C431C7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050" w:type="dxa"/>
            <w:vAlign w:val="center"/>
          </w:tcPr>
          <w:p w14:paraId="71C4842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7BFC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A21A1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740" w:type="dxa"/>
            <w:vMerge w:val="continue"/>
            <w:vAlign w:val="center"/>
          </w:tcPr>
          <w:p w14:paraId="11B2332A">
            <w:pPr>
              <w:rPr>
                <w:highlight w:val="none"/>
              </w:rPr>
            </w:pPr>
          </w:p>
        </w:tc>
        <w:tc>
          <w:tcPr>
            <w:tcW w:w="1655" w:type="dxa"/>
            <w:vAlign w:val="center"/>
          </w:tcPr>
          <w:p w14:paraId="1C8038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050" w:type="dxa"/>
            <w:vAlign w:val="center"/>
          </w:tcPr>
          <w:p w14:paraId="1C83DE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7B23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3583AD5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740" w:type="dxa"/>
            <w:vMerge w:val="continue"/>
            <w:vAlign w:val="center"/>
          </w:tcPr>
          <w:p w14:paraId="5D385683">
            <w:pPr>
              <w:rPr>
                <w:highlight w:val="none"/>
              </w:rPr>
            </w:pPr>
          </w:p>
        </w:tc>
        <w:tc>
          <w:tcPr>
            <w:tcW w:w="1655" w:type="dxa"/>
            <w:vAlign w:val="center"/>
          </w:tcPr>
          <w:p w14:paraId="4CA5204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050" w:type="dxa"/>
            <w:vAlign w:val="center"/>
          </w:tcPr>
          <w:p w14:paraId="565EC7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45CA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61037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740" w:type="dxa"/>
            <w:vAlign w:val="center"/>
          </w:tcPr>
          <w:p w14:paraId="19F0D4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655" w:type="dxa"/>
            <w:vAlign w:val="center"/>
          </w:tcPr>
          <w:p w14:paraId="528C4D4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050" w:type="dxa"/>
            <w:vAlign w:val="center"/>
          </w:tcPr>
          <w:p w14:paraId="6A3149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654B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3BB7D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740" w:type="dxa"/>
            <w:vAlign w:val="center"/>
          </w:tcPr>
          <w:p w14:paraId="73B8C3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655" w:type="dxa"/>
            <w:vAlign w:val="center"/>
          </w:tcPr>
          <w:p w14:paraId="03B58E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050" w:type="dxa"/>
            <w:vAlign w:val="center"/>
          </w:tcPr>
          <w:p w14:paraId="734B83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1428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75CFC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740" w:type="dxa"/>
            <w:vAlign w:val="center"/>
          </w:tcPr>
          <w:p w14:paraId="3D5D23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655" w:type="dxa"/>
            <w:vAlign w:val="center"/>
          </w:tcPr>
          <w:p w14:paraId="6DD48C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050" w:type="dxa"/>
            <w:vAlign w:val="center"/>
          </w:tcPr>
          <w:p w14:paraId="70E15D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378D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41" w:type="dxa"/>
            <w:vAlign w:val="center"/>
          </w:tcPr>
          <w:p w14:paraId="5FC6AF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740" w:type="dxa"/>
            <w:vMerge w:val="restart"/>
            <w:vAlign w:val="center"/>
          </w:tcPr>
          <w:p w14:paraId="2FEED7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655" w:type="dxa"/>
            <w:vAlign w:val="center"/>
          </w:tcPr>
          <w:p w14:paraId="07760D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050" w:type="dxa"/>
            <w:vAlign w:val="center"/>
          </w:tcPr>
          <w:p w14:paraId="79E49B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058E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6D1C57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740" w:type="dxa"/>
            <w:vMerge w:val="continue"/>
            <w:vAlign w:val="center"/>
          </w:tcPr>
          <w:p w14:paraId="7E8F4224">
            <w:pPr>
              <w:rPr>
                <w:highlight w:val="none"/>
              </w:rPr>
            </w:pPr>
          </w:p>
        </w:tc>
        <w:tc>
          <w:tcPr>
            <w:tcW w:w="1655" w:type="dxa"/>
            <w:vAlign w:val="center"/>
          </w:tcPr>
          <w:p w14:paraId="3FA803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050" w:type="dxa"/>
            <w:vAlign w:val="center"/>
          </w:tcPr>
          <w:p w14:paraId="559A12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3580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0C8DC8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740" w:type="dxa"/>
            <w:vMerge w:val="restart"/>
            <w:vAlign w:val="center"/>
          </w:tcPr>
          <w:p w14:paraId="79EC505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655" w:type="dxa"/>
            <w:vAlign w:val="center"/>
          </w:tcPr>
          <w:p w14:paraId="39D4AD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050" w:type="dxa"/>
            <w:vAlign w:val="center"/>
          </w:tcPr>
          <w:p w14:paraId="24B3C1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4D37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4E3C5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740" w:type="dxa"/>
            <w:vMerge w:val="continue"/>
            <w:vAlign w:val="center"/>
          </w:tcPr>
          <w:p w14:paraId="64FD9F32">
            <w:pPr>
              <w:rPr>
                <w:highlight w:val="none"/>
              </w:rPr>
            </w:pPr>
          </w:p>
        </w:tc>
        <w:tc>
          <w:tcPr>
            <w:tcW w:w="1655" w:type="dxa"/>
            <w:vAlign w:val="center"/>
          </w:tcPr>
          <w:p w14:paraId="6193C0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050" w:type="dxa"/>
            <w:vAlign w:val="center"/>
          </w:tcPr>
          <w:p w14:paraId="4E5CF3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4C0C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3406FC6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740" w:type="dxa"/>
            <w:vAlign w:val="center"/>
          </w:tcPr>
          <w:p w14:paraId="7E8222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655" w:type="dxa"/>
            <w:vAlign w:val="center"/>
          </w:tcPr>
          <w:p w14:paraId="2BEEB7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050" w:type="dxa"/>
            <w:vAlign w:val="center"/>
          </w:tcPr>
          <w:p w14:paraId="4369A4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0CAF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1C089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740" w:type="dxa"/>
            <w:vMerge w:val="restart"/>
            <w:vAlign w:val="center"/>
          </w:tcPr>
          <w:p w14:paraId="68C624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655" w:type="dxa"/>
            <w:vAlign w:val="center"/>
          </w:tcPr>
          <w:p w14:paraId="082440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050" w:type="dxa"/>
            <w:vAlign w:val="center"/>
          </w:tcPr>
          <w:p w14:paraId="3DD5D9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5629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470D4A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740" w:type="dxa"/>
            <w:vMerge w:val="continue"/>
            <w:vAlign w:val="center"/>
          </w:tcPr>
          <w:p w14:paraId="6E4D21BB">
            <w:pPr>
              <w:rPr>
                <w:highlight w:val="none"/>
              </w:rPr>
            </w:pPr>
          </w:p>
        </w:tc>
        <w:tc>
          <w:tcPr>
            <w:tcW w:w="1655" w:type="dxa"/>
            <w:vAlign w:val="center"/>
          </w:tcPr>
          <w:p w14:paraId="416237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050" w:type="dxa"/>
            <w:vAlign w:val="center"/>
          </w:tcPr>
          <w:p w14:paraId="2108477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4C2E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2AD5BD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740" w:type="dxa"/>
            <w:vMerge w:val="continue"/>
            <w:vAlign w:val="center"/>
          </w:tcPr>
          <w:p w14:paraId="38ACCD57">
            <w:pPr>
              <w:rPr>
                <w:highlight w:val="none"/>
              </w:rPr>
            </w:pPr>
          </w:p>
        </w:tc>
        <w:tc>
          <w:tcPr>
            <w:tcW w:w="1655" w:type="dxa"/>
            <w:vAlign w:val="center"/>
          </w:tcPr>
          <w:p w14:paraId="180A933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050" w:type="dxa"/>
            <w:vAlign w:val="center"/>
          </w:tcPr>
          <w:p w14:paraId="04A21D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2216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5DFD64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740" w:type="dxa"/>
            <w:vMerge w:val="restart"/>
            <w:vAlign w:val="center"/>
          </w:tcPr>
          <w:p w14:paraId="2CABBE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655" w:type="dxa"/>
            <w:vAlign w:val="center"/>
          </w:tcPr>
          <w:p w14:paraId="76948B8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050" w:type="dxa"/>
            <w:vAlign w:val="center"/>
          </w:tcPr>
          <w:p w14:paraId="1A89567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4E62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89411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740" w:type="dxa"/>
            <w:vMerge w:val="continue"/>
            <w:vAlign w:val="center"/>
          </w:tcPr>
          <w:p w14:paraId="1E09EA1C">
            <w:pPr>
              <w:rPr>
                <w:highlight w:val="none"/>
              </w:rPr>
            </w:pPr>
          </w:p>
        </w:tc>
        <w:tc>
          <w:tcPr>
            <w:tcW w:w="1655" w:type="dxa"/>
            <w:vAlign w:val="center"/>
          </w:tcPr>
          <w:p w14:paraId="721244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050" w:type="dxa"/>
            <w:vAlign w:val="center"/>
          </w:tcPr>
          <w:p w14:paraId="2AE7BE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4046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EAE76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740" w:type="dxa"/>
            <w:vAlign w:val="center"/>
          </w:tcPr>
          <w:p w14:paraId="6CB69E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655" w:type="dxa"/>
            <w:vAlign w:val="center"/>
          </w:tcPr>
          <w:p w14:paraId="7AB4E2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050" w:type="dxa"/>
            <w:vAlign w:val="center"/>
          </w:tcPr>
          <w:p w14:paraId="0E1987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2A7B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DB1EA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740" w:type="dxa"/>
            <w:vAlign w:val="center"/>
          </w:tcPr>
          <w:p w14:paraId="183066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655" w:type="dxa"/>
            <w:vAlign w:val="center"/>
          </w:tcPr>
          <w:p w14:paraId="704380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050" w:type="dxa"/>
            <w:vAlign w:val="center"/>
          </w:tcPr>
          <w:p w14:paraId="0E306B3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0811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ED164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740" w:type="dxa"/>
            <w:vAlign w:val="center"/>
          </w:tcPr>
          <w:p w14:paraId="484825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655" w:type="dxa"/>
            <w:vAlign w:val="center"/>
          </w:tcPr>
          <w:p w14:paraId="13D1B6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050" w:type="dxa"/>
            <w:vAlign w:val="center"/>
          </w:tcPr>
          <w:p w14:paraId="6C144E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2DE8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1D49A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740" w:type="dxa"/>
            <w:vMerge w:val="restart"/>
            <w:vAlign w:val="center"/>
          </w:tcPr>
          <w:p w14:paraId="195AE66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655" w:type="dxa"/>
            <w:vAlign w:val="center"/>
          </w:tcPr>
          <w:p w14:paraId="528168F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050" w:type="dxa"/>
            <w:vAlign w:val="center"/>
          </w:tcPr>
          <w:p w14:paraId="2A1361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42B2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443885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740" w:type="dxa"/>
            <w:vMerge w:val="continue"/>
            <w:vAlign w:val="center"/>
          </w:tcPr>
          <w:p w14:paraId="20C78F75">
            <w:pPr>
              <w:rPr>
                <w:highlight w:val="none"/>
              </w:rPr>
            </w:pPr>
          </w:p>
        </w:tc>
        <w:tc>
          <w:tcPr>
            <w:tcW w:w="1655" w:type="dxa"/>
            <w:vAlign w:val="center"/>
          </w:tcPr>
          <w:p w14:paraId="7D1D88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050" w:type="dxa"/>
            <w:vAlign w:val="center"/>
          </w:tcPr>
          <w:p w14:paraId="57F92F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114E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7F0D20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740" w:type="dxa"/>
            <w:vMerge w:val="continue"/>
            <w:vAlign w:val="center"/>
          </w:tcPr>
          <w:p w14:paraId="39BFDFFA">
            <w:pPr>
              <w:rPr>
                <w:highlight w:val="none"/>
              </w:rPr>
            </w:pPr>
          </w:p>
        </w:tc>
        <w:tc>
          <w:tcPr>
            <w:tcW w:w="1655" w:type="dxa"/>
            <w:vAlign w:val="center"/>
          </w:tcPr>
          <w:p w14:paraId="3EC81E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050" w:type="dxa"/>
            <w:vAlign w:val="center"/>
          </w:tcPr>
          <w:p w14:paraId="2FBDC3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23D0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3D4E611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740" w:type="dxa"/>
            <w:vMerge w:val="continue"/>
            <w:vAlign w:val="center"/>
          </w:tcPr>
          <w:p w14:paraId="045C3D50">
            <w:pPr>
              <w:rPr>
                <w:highlight w:val="none"/>
              </w:rPr>
            </w:pPr>
          </w:p>
        </w:tc>
        <w:tc>
          <w:tcPr>
            <w:tcW w:w="1655" w:type="dxa"/>
            <w:vAlign w:val="center"/>
          </w:tcPr>
          <w:p w14:paraId="412FA21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050" w:type="dxa"/>
            <w:vAlign w:val="center"/>
          </w:tcPr>
          <w:p w14:paraId="63C989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0D4D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28D505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740" w:type="dxa"/>
            <w:vMerge w:val="continue"/>
            <w:vAlign w:val="center"/>
          </w:tcPr>
          <w:p w14:paraId="1D8D608A">
            <w:pPr>
              <w:rPr>
                <w:highlight w:val="none"/>
              </w:rPr>
            </w:pPr>
          </w:p>
        </w:tc>
        <w:tc>
          <w:tcPr>
            <w:tcW w:w="1655" w:type="dxa"/>
            <w:vAlign w:val="center"/>
          </w:tcPr>
          <w:p w14:paraId="209EC5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050" w:type="dxa"/>
            <w:vAlign w:val="center"/>
          </w:tcPr>
          <w:p w14:paraId="13A806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1EC4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1" w:type="dxa"/>
            <w:vAlign w:val="center"/>
          </w:tcPr>
          <w:p w14:paraId="5FBBB0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740" w:type="dxa"/>
            <w:vAlign w:val="center"/>
          </w:tcPr>
          <w:p w14:paraId="0274549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655" w:type="dxa"/>
            <w:vAlign w:val="center"/>
          </w:tcPr>
          <w:p w14:paraId="3F184BC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050" w:type="dxa"/>
            <w:vAlign w:val="center"/>
          </w:tcPr>
          <w:p w14:paraId="525DD3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3C76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B400F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740" w:type="dxa"/>
            <w:vAlign w:val="center"/>
          </w:tcPr>
          <w:p w14:paraId="57C4AB11">
            <w:pPr>
              <w:widowControl/>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655" w:type="dxa"/>
            <w:vAlign w:val="center"/>
          </w:tcPr>
          <w:p w14:paraId="3D915F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050" w:type="dxa"/>
            <w:vAlign w:val="center"/>
          </w:tcPr>
          <w:p w14:paraId="343DFA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1347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0CC935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740" w:type="dxa"/>
            <w:vAlign w:val="center"/>
          </w:tcPr>
          <w:p w14:paraId="61766B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655" w:type="dxa"/>
            <w:vAlign w:val="center"/>
          </w:tcPr>
          <w:p w14:paraId="42831D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050" w:type="dxa"/>
            <w:vAlign w:val="center"/>
          </w:tcPr>
          <w:p w14:paraId="0C2497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6842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6F0E1B5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740" w:type="dxa"/>
            <w:vMerge w:val="restart"/>
            <w:vAlign w:val="center"/>
          </w:tcPr>
          <w:p w14:paraId="161C75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655" w:type="dxa"/>
            <w:vAlign w:val="center"/>
          </w:tcPr>
          <w:p w14:paraId="5706B1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050" w:type="dxa"/>
            <w:vAlign w:val="center"/>
          </w:tcPr>
          <w:p w14:paraId="4E2077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≥2.5GHz</w:t>
            </w:r>
          </w:p>
        </w:tc>
      </w:tr>
      <w:tr w14:paraId="5CA8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0972B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740" w:type="dxa"/>
            <w:vMerge w:val="continue"/>
            <w:vAlign w:val="center"/>
          </w:tcPr>
          <w:p w14:paraId="309C9294">
            <w:pPr>
              <w:rPr>
                <w:highlight w:val="none"/>
              </w:rPr>
            </w:pPr>
          </w:p>
        </w:tc>
        <w:tc>
          <w:tcPr>
            <w:tcW w:w="1655" w:type="dxa"/>
            <w:vAlign w:val="center"/>
          </w:tcPr>
          <w:p w14:paraId="18D987F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050" w:type="dxa"/>
            <w:vAlign w:val="center"/>
          </w:tcPr>
          <w:p w14:paraId="104DC8D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r>
      <w:tr w14:paraId="1A84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5EF058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740" w:type="dxa"/>
            <w:vMerge w:val="continue"/>
            <w:vAlign w:val="center"/>
          </w:tcPr>
          <w:p w14:paraId="76C0A299">
            <w:pPr>
              <w:rPr>
                <w:highlight w:val="none"/>
              </w:rPr>
            </w:pPr>
          </w:p>
        </w:tc>
        <w:tc>
          <w:tcPr>
            <w:tcW w:w="1655" w:type="dxa"/>
            <w:vAlign w:val="center"/>
          </w:tcPr>
          <w:p w14:paraId="2B3BB43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050" w:type="dxa"/>
            <w:vAlign w:val="center"/>
          </w:tcPr>
          <w:p w14:paraId="1A73BC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≥32MB</w:t>
            </w:r>
          </w:p>
        </w:tc>
      </w:tr>
      <w:tr w14:paraId="7AC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3164B2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740" w:type="dxa"/>
            <w:vAlign w:val="center"/>
          </w:tcPr>
          <w:p w14:paraId="600C32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655" w:type="dxa"/>
            <w:vAlign w:val="center"/>
          </w:tcPr>
          <w:p w14:paraId="0785F9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050" w:type="dxa"/>
            <w:vAlign w:val="center"/>
          </w:tcPr>
          <w:p w14:paraId="59D537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67B3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9057D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740" w:type="dxa"/>
            <w:vAlign w:val="center"/>
          </w:tcPr>
          <w:p w14:paraId="7A7AAA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655" w:type="dxa"/>
            <w:vAlign w:val="center"/>
          </w:tcPr>
          <w:p w14:paraId="2A8A8A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050" w:type="dxa"/>
            <w:vAlign w:val="center"/>
          </w:tcPr>
          <w:p w14:paraId="2018F9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7CB9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58CD0C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740" w:type="dxa"/>
            <w:vMerge w:val="restart"/>
            <w:vAlign w:val="center"/>
          </w:tcPr>
          <w:p w14:paraId="3D7626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655" w:type="dxa"/>
            <w:vAlign w:val="center"/>
          </w:tcPr>
          <w:p w14:paraId="35FBF6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050" w:type="dxa"/>
            <w:vAlign w:val="center"/>
          </w:tcPr>
          <w:p w14:paraId="515B7E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4FC7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6C482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740" w:type="dxa"/>
            <w:vMerge w:val="continue"/>
            <w:vAlign w:val="center"/>
          </w:tcPr>
          <w:p w14:paraId="576F6AD5">
            <w:pPr>
              <w:rPr>
                <w:highlight w:val="none"/>
              </w:rPr>
            </w:pPr>
          </w:p>
        </w:tc>
        <w:tc>
          <w:tcPr>
            <w:tcW w:w="1655" w:type="dxa"/>
            <w:vAlign w:val="center"/>
          </w:tcPr>
          <w:p w14:paraId="390376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050" w:type="dxa"/>
            <w:vAlign w:val="center"/>
          </w:tcPr>
          <w:p w14:paraId="320C63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0771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C3C174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740" w:type="dxa"/>
            <w:vMerge w:val="continue"/>
            <w:vAlign w:val="center"/>
          </w:tcPr>
          <w:p w14:paraId="1BAD7999">
            <w:pPr>
              <w:rPr>
                <w:highlight w:val="none"/>
              </w:rPr>
            </w:pPr>
          </w:p>
        </w:tc>
        <w:tc>
          <w:tcPr>
            <w:tcW w:w="1655" w:type="dxa"/>
            <w:vAlign w:val="center"/>
          </w:tcPr>
          <w:p w14:paraId="4FCB429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050" w:type="dxa"/>
            <w:vAlign w:val="center"/>
          </w:tcPr>
          <w:p w14:paraId="1B541B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032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7F756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740" w:type="dxa"/>
            <w:vMerge w:val="continue"/>
            <w:vAlign w:val="center"/>
          </w:tcPr>
          <w:p w14:paraId="41584400">
            <w:pPr>
              <w:rPr>
                <w:highlight w:val="none"/>
              </w:rPr>
            </w:pPr>
          </w:p>
        </w:tc>
        <w:tc>
          <w:tcPr>
            <w:tcW w:w="1655" w:type="dxa"/>
            <w:vAlign w:val="center"/>
          </w:tcPr>
          <w:p w14:paraId="5F5F46E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050" w:type="dxa"/>
            <w:vAlign w:val="center"/>
          </w:tcPr>
          <w:p w14:paraId="2E977C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0E9D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41" w:type="dxa"/>
            <w:vAlign w:val="center"/>
          </w:tcPr>
          <w:p w14:paraId="0ED3B7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740" w:type="dxa"/>
            <w:vAlign w:val="center"/>
          </w:tcPr>
          <w:p w14:paraId="08DCE03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655" w:type="dxa"/>
            <w:vAlign w:val="center"/>
          </w:tcPr>
          <w:p w14:paraId="728F4A7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050" w:type="dxa"/>
            <w:vAlign w:val="center"/>
          </w:tcPr>
          <w:p w14:paraId="4E4A9E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7B38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D99F7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740" w:type="dxa"/>
            <w:vMerge w:val="restart"/>
            <w:vAlign w:val="center"/>
          </w:tcPr>
          <w:p w14:paraId="15045C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655" w:type="dxa"/>
            <w:vAlign w:val="center"/>
          </w:tcPr>
          <w:p w14:paraId="468A83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050" w:type="dxa"/>
            <w:vAlign w:val="center"/>
          </w:tcPr>
          <w:p w14:paraId="498877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35F6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1A3FF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740" w:type="dxa"/>
            <w:vMerge w:val="continue"/>
            <w:vAlign w:val="center"/>
          </w:tcPr>
          <w:p w14:paraId="7FD5FA5F">
            <w:pPr>
              <w:rPr>
                <w:highlight w:val="none"/>
              </w:rPr>
            </w:pPr>
          </w:p>
        </w:tc>
        <w:tc>
          <w:tcPr>
            <w:tcW w:w="1655" w:type="dxa"/>
            <w:vAlign w:val="center"/>
          </w:tcPr>
          <w:p w14:paraId="26F459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050" w:type="dxa"/>
            <w:vAlign w:val="center"/>
          </w:tcPr>
          <w:p w14:paraId="3218B9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41EF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EBD7D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740" w:type="dxa"/>
            <w:vMerge w:val="continue"/>
            <w:vAlign w:val="center"/>
          </w:tcPr>
          <w:p w14:paraId="2808A090">
            <w:pPr>
              <w:rPr>
                <w:highlight w:val="none"/>
              </w:rPr>
            </w:pPr>
          </w:p>
        </w:tc>
        <w:tc>
          <w:tcPr>
            <w:tcW w:w="1655" w:type="dxa"/>
            <w:vAlign w:val="center"/>
          </w:tcPr>
          <w:p w14:paraId="2A956F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050" w:type="dxa"/>
            <w:vAlign w:val="center"/>
          </w:tcPr>
          <w:p w14:paraId="158BD85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701C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8FC91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740" w:type="dxa"/>
            <w:vMerge w:val="restart"/>
            <w:vAlign w:val="center"/>
          </w:tcPr>
          <w:p w14:paraId="224906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655" w:type="dxa"/>
            <w:vAlign w:val="center"/>
          </w:tcPr>
          <w:p w14:paraId="568CBA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050" w:type="dxa"/>
            <w:vAlign w:val="center"/>
          </w:tcPr>
          <w:p w14:paraId="488965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2121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BE725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740" w:type="dxa"/>
            <w:vMerge w:val="continue"/>
            <w:vAlign w:val="center"/>
          </w:tcPr>
          <w:p w14:paraId="0EC154C9">
            <w:pPr>
              <w:rPr>
                <w:highlight w:val="none"/>
              </w:rPr>
            </w:pPr>
          </w:p>
        </w:tc>
        <w:tc>
          <w:tcPr>
            <w:tcW w:w="1655" w:type="dxa"/>
            <w:vAlign w:val="center"/>
          </w:tcPr>
          <w:p w14:paraId="4B9DE4B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050" w:type="dxa"/>
            <w:vAlign w:val="center"/>
          </w:tcPr>
          <w:p w14:paraId="1A9846B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09E4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5347F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740" w:type="dxa"/>
            <w:vMerge w:val="continue"/>
            <w:vAlign w:val="center"/>
          </w:tcPr>
          <w:p w14:paraId="03569B66">
            <w:pPr>
              <w:rPr>
                <w:highlight w:val="none"/>
              </w:rPr>
            </w:pPr>
          </w:p>
        </w:tc>
        <w:tc>
          <w:tcPr>
            <w:tcW w:w="1655" w:type="dxa"/>
            <w:vAlign w:val="center"/>
          </w:tcPr>
          <w:p w14:paraId="6C58A7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050" w:type="dxa"/>
            <w:vAlign w:val="center"/>
          </w:tcPr>
          <w:p w14:paraId="177982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0681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249F7E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740" w:type="dxa"/>
            <w:vAlign w:val="center"/>
          </w:tcPr>
          <w:p w14:paraId="031EF0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655" w:type="dxa"/>
            <w:vAlign w:val="center"/>
          </w:tcPr>
          <w:p w14:paraId="0B58CF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050" w:type="dxa"/>
            <w:vAlign w:val="center"/>
          </w:tcPr>
          <w:p w14:paraId="083665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62D3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841" w:type="dxa"/>
            <w:vAlign w:val="center"/>
          </w:tcPr>
          <w:p w14:paraId="024392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740" w:type="dxa"/>
            <w:vMerge w:val="restart"/>
            <w:vAlign w:val="center"/>
          </w:tcPr>
          <w:p w14:paraId="445070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655" w:type="dxa"/>
            <w:vAlign w:val="center"/>
          </w:tcPr>
          <w:p w14:paraId="0C1F4D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050" w:type="dxa"/>
            <w:vAlign w:val="center"/>
          </w:tcPr>
          <w:p w14:paraId="729C93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2F6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42BE7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740" w:type="dxa"/>
            <w:vMerge w:val="continue"/>
            <w:vAlign w:val="center"/>
          </w:tcPr>
          <w:p w14:paraId="4E3CD3DD">
            <w:pPr>
              <w:rPr>
                <w:highlight w:val="none"/>
              </w:rPr>
            </w:pPr>
          </w:p>
        </w:tc>
        <w:tc>
          <w:tcPr>
            <w:tcW w:w="1655" w:type="dxa"/>
            <w:vAlign w:val="center"/>
          </w:tcPr>
          <w:p w14:paraId="1C7C83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050" w:type="dxa"/>
            <w:vAlign w:val="center"/>
          </w:tcPr>
          <w:p w14:paraId="72CC09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583E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12C89A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740" w:type="dxa"/>
            <w:vAlign w:val="center"/>
          </w:tcPr>
          <w:p w14:paraId="142F501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655" w:type="dxa"/>
            <w:vAlign w:val="center"/>
          </w:tcPr>
          <w:p w14:paraId="69D38D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050" w:type="dxa"/>
            <w:vAlign w:val="center"/>
          </w:tcPr>
          <w:p w14:paraId="58C011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1BCB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7FDF17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740" w:type="dxa"/>
            <w:vMerge w:val="restart"/>
            <w:vAlign w:val="center"/>
          </w:tcPr>
          <w:p w14:paraId="60742D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655" w:type="dxa"/>
            <w:vAlign w:val="center"/>
          </w:tcPr>
          <w:p w14:paraId="4D32D31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050" w:type="dxa"/>
            <w:vAlign w:val="center"/>
          </w:tcPr>
          <w:p w14:paraId="64699E8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257A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7A215D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740" w:type="dxa"/>
            <w:vMerge w:val="continue"/>
            <w:vAlign w:val="center"/>
          </w:tcPr>
          <w:p w14:paraId="50F84639">
            <w:pPr>
              <w:rPr>
                <w:highlight w:val="none"/>
              </w:rPr>
            </w:pPr>
          </w:p>
        </w:tc>
        <w:tc>
          <w:tcPr>
            <w:tcW w:w="1655" w:type="dxa"/>
            <w:vAlign w:val="center"/>
          </w:tcPr>
          <w:p w14:paraId="3BA1E2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050" w:type="dxa"/>
            <w:vAlign w:val="center"/>
          </w:tcPr>
          <w:p w14:paraId="02E951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39F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DD8CF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740" w:type="dxa"/>
            <w:vMerge w:val="continue"/>
            <w:vAlign w:val="center"/>
          </w:tcPr>
          <w:p w14:paraId="084CE29B">
            <w:pPr>
              <w:rPr>
                <w:highlight w:val="none"/>
              </w:rPr>
            </w:pPr>
          </w:p>
        </w:tc>
        <w:tc>
          <w:tcPr>
            <w:tcW w:w="1655" w:type="dxa"/>
            <w:vAlign w:val="center"/>
          </w:tcPr>
          <w:p w14:paraId="05B14E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050" w:type="dxa"/>
            <w:vAlign w:val="center"/>
          </w:tcPr>
          <w:p w14:paraId="221988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1F7F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757AE8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740" w:type="dxa"/>
            <w:vMerge w:val="restart"/>
            <w:vAlign w:val="center"/>
          </w:tcPr>
          <w:p w14:paraId="51AB92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655" w:type="dxa"/>
            <w:vAlign w:val="center"/>
          </w:tcPr>
          <w:p w14:paraId="2DA04F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050" w:type="dxa"/>
            <w:vAlign w:val="center"/>
          </w:tcPr>
          <w:p w14:paraId="436FC3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682D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1A38F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740" w:type="dxa"/>
            <w:vMerge w:val="continue"/>
            <w:vAlign w:val="center"/>
          </w:tcPr>
          <w:p w14:paraId="73A860D1">
            <w:pPr>
              <w:rPr>
                <w:highlight w:val="none"/>
              </w:rPr>
            </w:pPr>
          </w:p>
        </w:tc>
        <w:tc>
          <w:tcPr>
            <w:tcW w:w="1655" w:type="dxa"/>
            <w:vAlign w:val="center"/>
          </w:tcPr>
          <w:p w14:paraId="500A96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050" w:type="dxa"/>
            <w:vAlign w:val="center"/>
          </w:tcPr>
          <w:p w14:paraId="115A36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44CA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098413A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740" w:type="dxa"/>
            <w:vMerge w:val="restart"/>
            <w:vAlign w:val="center"/>
          </w:tcPr>
          <w:p w14:paraId="11A23B3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655" w:type="dxa"/>
            <w:vAlign w:val="center"/>
          </w:tcPr>
          <w:p w14:paraId="7CB5D9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050" w:type="dxa"/>
            <w:vAlign w:val="center"/>
          </w:tcPr>
          <w:p w14:paraId="0DD285B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29B7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254D24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740" w:type="dxa"/>
            <w:vMerge w:val="continue"/>
            <w:vAlign w:val="center"/>
          </w:tcPr>
          <w:p w14:paraId="74470CB0">
            <w:pPr>
              <w:rPr>
                <w:highlight w:val="none"/>
              </w:rPr>
            </w:pPr>
          </w:p>
        </w:tc>
        <w:tc>
          <w:tcPr>
            <w:tcW w:w="1655" w:type="dxa"/>
            <w:vAlign w:val="center"/>
          </w:tcPr>
          <w:p w14:paraId="4BD5BDC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050" w:type="dxa"/>
            <w:vAlign w:val="center"/>
          </w:tcPr>
          <w:p w14:paraId="0F81E0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5449B601">
      <w:pPr>
        <w:rPr>
          <w:rFonts w:ascii="仿宋" w:hAnsi="仿宋" w:eastAsia="仿宋" w:cs="仿宋"/>
          <w:b/>
          <w:bCs/>
          <w:kern w:val="0"/>
          <w:sz w:val="24"/>
          <w:highlight w:val="none"/>
        </w:rPr>
      </w:pPr>
      <w:r>
        <w:rPr>
          <w:rFonts w:hint="eastAsia" w:ascii="仿宋" w:hAnsi="仿宋" w:eastAsia="仿宋" w:cs="仿宋"/>
          <w:b/>
          <w:bCs/>
          <w:kern w:val="0"/>
          <w:sz w:val="24"/>
          <w:highlight w:val="none"/>
        </w:rPr>
        <w:t>附4：“视频服务网关”硬件部分详细参数配置要求：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382"/>
        <w:gridCol w:w="1320"/>
        <w:gridCol w:w="5813"/>
      </w:tblGrid>
      <w:tr w14:paraId="5C93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shd w:val="clear" w:color="000000" w:fill="auto"/>
            <w:vAlign w:val="center"/>
          </w:tcPr>
          <w:p w14:paraId="465369F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382" w:type="dxa"/>
            <w:shd w:val="clear" w:color="000000" w:fill="auto"/>
            <w:vAlign w:val="center"/>
          </w:tcPr>
          <w:p w14:paraId="353F674D">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320" w:type="dxa"/>
            <w:shd w:val="clear" w:color="000000" w:fill="auto"/>
            <w:vAlign w:val="center"/>
          </w:tcPr>
          <w:p w14:paraId="3D00BEE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813" w:type="dxa"/>
            <w:shd w:val="clear" w:color="000000" w:fill="auto"/>
            <w:vAlign w:val="center"/>
          </w:tcPr>
          <w:p w14:paraId="252B65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指标要求</w:t>
            </w:r>
          </w:p>
        </w:tc>
      </w:tr>
      <w:tr w14:paraId="5491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71" w:type="dxa"/>
            <w:vAlign w:val="center"/>
          </w:tcPr>
          <w:p w14:paraId="0BE820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382" w:type="dxa"/>
            <w:vAlign w:val="center"/>
          </w:tcPr>
          <w:p w14:paraId="4A7D12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320" w:type="dxa"/>
            <w:vAlign w:val="center"/>
          </w:tcPr>
          <w:p w14:paraId="429AA4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813" w:type="dxa"/>
            <w:vAlign w:val="center"/>
          </w:tcPr>
          <w:p w14:paraId="6A9878F6">
            <w:pPr>
              <w:widowControl/>
              <w:rPr>
                <w:rFonts w:ascii="仿宋" w:hAnsi="仿宋" w:eastAsia="仿宋" w:cs="仿宋"/>
                <w:kern w:val="0"/>
                <w:sz w:val="24"/>
                <w:highlight w:val="none"/>
              </w:rPr>
            </w:pPr>
            <w:r>
              <w:rPr>
                <w:rFonts w:hint="eastAsia" w:ascii="仿宋" w:hAnsi="仿宋" w:eastAsia="仿宋" w:cs="仿宋"/>
                <w:kern w:val="0"/>
                <w:sz w:val="24"/>
                <w:highlight w:val="none"/>
              </w:rPr>
              <w:t>（1）配置≥2颗国产ARM架构处理器；（2）单颗CPU物理核心数≥24核、主频≥2.6GHz、末级缓存容量≥32MB、线程数≥24、热设计功耗≥95W、支持内存的最高速率≥2933MHz、通道数≥4、位宽≥64位；</w:t>
            </w:r>
          </w:p>
          <w:p w14:paraId="6ED30501">
            <w:pPr>
              <w:widowControl/>
              <w:rPr>
                <w:rFonts w:ascii="仿宋" w:hAnsi="仿宋" w:eastAsia="仿宋" w:cs="仿宋"/>
                <w:kern w:val="0"/>
                <w:sz w:val="24"/>
                <w:highlight w:val="none"/>
              </w:rPr>
            </w:pPr>
            <w:r>
              <w:rPr>
                <w:rFonts w:hint="eastAsia" w:ascii="仿宋" w:hAnsi="仿宋" w:eastAsia="仿宋" w:cs="仿宋"/>
                <w:kern w:val="0"/>
                <w:sz w:val="24"/>
                <w:highlight w:val="none"/>
              </w:rPr>
              <w:t>供应商应在投标时给出CPU型号</w:t>
            </w:r>
          </w:p>
        </w:tc>
      </w:tr>
      <w:tr w14:paraId="4ED4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1" w:type="dxa"/>
            <w:vAlign w:val="center"/>
          </w:tcPr>
          <w:p w14:paraId="32FBA4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382" w:type="dxa"/>
            <w:vMerge w:val="restart"/>
            <w:vAlign w:val="center"/>
          </w:tcPr>
          <w:p w14:paraId="37D78E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320" w:type="dxa"/>
            <w:vAlign w:val="center"/>
          </w:tcPr>
          <w:p w14:paraId="137DD4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813" w:type="dxa"/>
            <w:vAlign w:val="center"/>
          </w:tcPr>
          <w:p w14:paraId="0F5D4167">
            <w:pPr>
              <w:widowControl/>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p>
          <w:p w14:paraId="1ACD75A3">
            <w:pPr>
              <w:widowControl/>
              <w:rPr>
                <w:rFonts w:ascii="仿宋" w:hAnsi="仿宋" w:eastAsia="仿宋" w:cs="仿宋"/>
                <w:kern w:val="0"/>
                <w:sz w:val="24"/>
                <w:highlight w:val="none"/>
              </w:rPr>
            </w:pPr>
            <w:r>
              <w:rPr>
                <w:rFonts w:hint="eastAsia" w:ascii="仿宋" w:hAnsi="仿宋" w:eastAsia="仿宋" w:cs="仿宋"/>
                <w:kern w:val="0"/>
                <w:sz w:val="24"/>
                <w:highlight w:val="none"/>
              </w:rPr>
              <w:t>供应商应在投标时给出主板支持的CPU型号；</w:t>
            </w:r>
          </w:p>
        </w:tc>
      </w:tr>
      <w:tr w14:paraId="6A07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4D21D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382" w:type="dxa"/>
            <w:vMerge w:val="continue"/>
            <w:vAlign w:val="center"/>
          </w:tcPr>
          <w:p w14:paraId="15FA8D04">
            <w:pPr>
              <w:rPr>
                <w:highlight w:val="none"/>
              </w:rPr>
            </w:pPr>
          </w:p>
        </w:tc>
        <w:tc>
          <w:tcPr>
            <w:tcW w:w="1320" w:type="dxa"/>
            <w:vAlign w:val="center"/>
          </w:tcPr>
          <w:p w14:paraId="31CA55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813" w:type="dxa"/>
            <w:vAlign w:val="center"/>
          </w:tcPr>
          <w:p w14:paraId="73C3C548">
            <w:pPr>
              <w:widowControl/>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347D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0F3E6F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382" w:type="dxa"/>
            <w:vMerge w:val="continue"/>
            <w:vAlign w:val="center"/>
          </w:tcPr>
          <w:p w14:paraId="10B83677">
            <w:pPr>
              <w:rPr>
                <w:highlight w:val="none"/>
              </w:rPr>
            </w:pPr>
          </w:p>
        </w:tc>
        <w:tc>
          <w:tcPr>
            <w:tcW w:w="1320" w:type="dxa"/>
            <w:vAlign w:val="center"/>
          </w:tcPr>
          <w:p w14:paraId="3895B7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813" w:type="dxa"/>
            <w:vAlign w:val="center"/>
          </w:tcPr>
          <w:p w14:paraId="6093837A">
            <w:pPr>
              <w:widowControl/>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（1）主板支持SATA/SAS/M.2/U.2存储接口；（2）板载支持≥12个SATA/SAS盘；（3）板载可支持1个内置M.2 SSD；</w:t>
            </w:r>
          </w:p>
        </w:tc>
      </w:tr>
      <w:tr w14:paraId="57A9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2D1955A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382" w:type="dxa"/>
            <w:vMerge w:val="continue"/>
            <w:vAlign w:val="center"/>
          </w:tcPr>
          <w:p w14:paraId="15A23C73">
            <w:pPr>
              <w:rPr>
                <w:highlight w:val="none"/>
              </w:rPr>
            </w:pPr>
          </w:p>
        </w:tc>
        <w:tc>
          <w:tcPr>
            <w:tcW w:w="1320" w:type="dxa"/>
            <w:vAlign w:val="center"/>
          </w:tcPr>
          <w:p w14:paraId="7C78C18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813" w:type="dxa"/>
            <w:vAlign w:val="center"/>
          </w:tcPr>
          <w:p w14:paraId="3DB732DF">
            <w:pPr>
              <w:widowControl/>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0F05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1" w:type="dxa"/>
            <w:vAlign w:val="center"/>
          </w:tcPr>
          <w:p w14:paraId="70E4F2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382" w:type="dxa"/>
            <w:vMerge w:val="continue"/>
            <w:vAlign w:val="center"/>
          </w:tcPr>
          <w:p w14:paraId="792635BB">
            <w:pPr>
              <w:rPr>
                <w:highlight w:val="none"/>
              </w:rPr>
            </w:pPr>
          </w:p>
        </w:tc>
        <w:tc>
          <w:tcPr>
            <w:tcW w:w="1320" w:type="dxa"/>
            <w:vAlign w:val="center"/>
          </w:tcPr>
          <w:p w14:paraId="6F7FFF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 PCIe 插槽数量及规格</w:t>
            </w:r>
          </w:p>
        </w:tc>
        <w:tc>
          <w:tcPr>
            <w:tcW w:w="5813" w:type="dxa"/>
            <w:vAlign w:val="center"/>
          </w:tcPr>
          <w:p w14:paraId="6880C43C">
            <w:pPr>
              <w:widowControl/>
              <w:rPr>
                <w:rFonts w:ascii="仿宋" w:hAnsi="仿宋" w:eastAsia="仿宋" w:cs="仿宋"/>
                <w:kern w:val="0"/>
                <w:sz w:val="24"/>
                <w:highlight w:val="none"/>
              </w:rPr>
            </w:pPr>
            <w:r>
              <w:rPr>
                <w:rFonts w:hint="eastAsia" w:ascii="仿宋" w:hAnsi="仿宋" w:eastAsia="仿宋" w:cs="仿宋"/>
                <w:kern w:val="0"/>
                <w:sz w:val="24"/>
                <w:highlight w:val="none"/>
              </w:rPr>
              <w:t>高度大于 44.45mm双路或以上服务器 PCle 插槽或接口应不少于5个；</w:t>
            </w:r>
          </w:p>
        </w:tc>
      </w:tr>
      <w:tr w14:paraId="75E4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141F7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382" w:type="dxa"/>
            <w:vMerge w:val="restart"/>
            <w:vAlign w:val="center"/>
          </w:tcPr>
          <w:p w14:paraId="7EC451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320" w:type="dxa"/>
            <w:vAlign w:val="center"/>
          </w:tcPr>
          <w:p w14:paraId="3AD53D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813" w:type="dxa"/>
            <w:vAlign w:val="center"/>
          </w:tcPr>
          <w:p w14:paraId="3854EA71">
            <w:pPr>
              <w:widowControl/>
              <w:rPr>
                <w:rFonts w:ascii="仿宋" w:hAnsi="仿宋" w:eastAsia="仿宋" w:cs="仿宋"/>
                <w:kern w:val="0"/>
                <w:sz w:val="24"/>
                <w:highlight w:val="none"/>
              </w:rPr>
            </w:pPr>
            <w:r>
              <w:rPr>
                <w:rFonts w:hint="eastAsia" w:ascii="仿宋" w:hAnsi="仿宋" w:eastAsia="仿宋" w:cs="仿宋"/>
                <w:kern w:val="0"/>
                <w:sz w:val="24"/>
                <w:highlight w:val="none"/>
              </w:rPr>
              <w:t>内存数量≥4</w:t>
            </w:r>
          </w:p>
        </w:tc>
      </w:tr>
      <w:tr w14:paraId="219C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468BC9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382" w:type="dxa"/>
            <w:vMerge w:val="continue"/>
            <w:vAlign w:val="center"/>
          </w:tcPr>
          <w:p w14:paraId="7138DCDF">
            <w:pPr>
              <w:rPr>
                <w:highlight w:val="none"/>
              </w:rPr>
            </w:pPr>
          </w:p>
        </w:tc>
        <w:tc>
          <w:tcPr>
            <w:tcW w:w="1320" w:type="dxa"/>
            <w:vAlign w:val="center"/>
          </w:tcPr>
          <w:p w14:paraId="19AEC13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813" w:type="dxa"/>
            <w:vAlign w:val="center"/>
          </w:tcPr>
          <w:p w14:paraId="56670F83">
            <w:pPr>
              <w:widowControl/>
              <w:rPr>
                <w:rFonts w:ascii="仿宋" w:hAnsi="仿宋" w:eastAsia="仿宋" w:cs="仿宋"/>
                <w:kern w:val="0"/>
                <w:sz w:val="24"/>
                <w:highlight w:val="none"/>
              </w:rPr>
            </w:pPr>
            <w:r>
              <w:rPr>
                <w:rFonts w:hint="eastAsia" w:ascii="仿宋" w:hAnsi="仿宋" w:eastAsia="仿宋" w:cs="仿宋"/>
                <w:kern w:val="0"/>
                <w:sz w:val="24"/>
                <w:highlight w:val="none"/>
              </w:rPr>
              <w:t>实配≥64GB DDR4</w:t>
            </w:r>
          </w:p>
        </w:tc>
      </w:tr>
      <w:tr w14:paraId="646C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B21B7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382" w:type="dxa"/>
            <w:vMerge w:val="continue"/>
            <w:vAlign w:val="center"/>
          </w:tcPr>
          <w:p w14:paraId="20246308">
            <w:pPr>
              <w:rPr>
                <w:highlight w:val="none"/>
              </w:rPr>
            </w:pPr>
          </w:p>
        </w:tc>
        <w:tc>
          <w:tcPr>
            <w:tcW w:w="1320" w:type="dxa"/>
            <w:vAlign w:val="center"/>
          </w:tcPr>
          <w:p w14:paraId="5B7311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813" w:type="dxa"/>
            <w:vAlign w:val="center"/>
          </w:tcPr>
          <w:p w14:paraId="10B9CA28">
            <w:pPr>
              <w:widowControl/>
              <w:rPr>
                <w:rFonts w:ascii="仿宋" w:hAnsi="仿宋" w:eastAsia="仿宋" w:cs="仿宋"/>
                <w:kern w:val="0"/>
                <w:sz w:val="24"/>
                <w:highlight w:val="none"/>
              </w:rPr>
            </w:pPr>
            <w:r>
              <w:rPr>
                <w:rFonts w:hint="eastAsia" w:ascii="仿宋" w:hAnsi="仿宋" w:eastAsia="仿宋" w:cs="仿宋"/>
                <w:kern w:val="0"/>
                <w:sz w:val="24"/>
                <w:highlight w:val="none"/>
              </w:rPr>
              <w:t>支持≥8个内存接口通道</w:t>
            </w:r>
          </w:p>
        </w:tc>
      </w:tr>
      <w:tr w14:paraId="113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46F15A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382" w:type="dxa"/>
            <w:vMerge w:val="restart"/>
            <w:vAlign w:val="center"/>
          </w:tcPr>
          <w:p w14:paraId="618F69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320" w:type="dxa"/>
            <w:vAlign w:val="center"/>
          </w:tcPr>
          <w:p w14:paraId="2FAC2D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813" w:type="dxa"/>
            <w:vAlign w:val="center"/>
          </w:tcPr>
          <w:p w14:paraId="7107F31C">
            <w:pPr>
              <w:widowControl/>
              <w:rPr>
                <w:rFonts w:ascii="仿宋" w:hAnsi="仿宋" w:eastAsia="仿宋" w:cs="仿宋"/>
                <w:kern w:val="0"/>
                <w:sz w:val="24"/>
                <w:highlight w:val="none"/>
              </w:rPr>
            </w:pPr>
            <w:r>
              <w:rPr>
                <w:rFonts w:hint="eastAsia" w:ascii="仿宋" w:hAnsi="仿宋" w:eastAsia="仿宋" w:cs="仿宋"/>
                <w:kern w:val="0"/>
                <w:sz w:val="24"/>
                <w:highlight w:val="none"/>
              </w:rPr>
              <w:t>实配≥2*480GB SSD；</w:t>
            </w:r>
          </w:p>
        </w:tc>
      </w:tr>
      <w:tr w14:paraId="5B64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11AC33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382" w:type="dxa"/>
            <w:vMerge w:val="continue"/>
            <w:vAlign w:val="center"/>
          </w:tcPr>
          <w:p w14:paraId="5896D9DE">
            <w:pPr>
              <w:rPr>
                <w:highlight w:val="none"/>
              </w:rPr>
            </w:pPr>
          </w:p>
        </w:tc>
        <w:tc>
          <w:tcPr>
            <w:tcW w:w="1320" w:type="dxa"/>
            <w:vAlign w:val="center"/>
          </w:tcPr>
          <w:p w14:paraId="20DCF3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813" w:type="dxa"/>
            <w:vAlign w:val="center"/>
          </w:tcPr>
          <w:p w14:paraId="0F2BA131">
            <w:pPr>
              <w:widowControl/>
              <w:rPr>
                <w:rFonts w:ascii="仿宋" w:hAnsi="仿宋" w:eastAsia="仿宋" w:cs="仿宋"/>
                <w:kern w:val="0"/>
                <w:sz w:val="24"/>
                <w:highlight w:val="none"/>
              </w:rPr>
            </w:pPr>
            <w:r>
              <w:rPr>
                <w:rFonts w:hint="eastAsia" w:ascii="仿宋" w:hAnsi="仿宋" w:eastAsia="仿宋" w:cs="仿宋"/>
                <w:kern w:val="0"/>
                <w:sz w:val="24"/>
                <w:highlight w:val="none"/>
              </w:rPr>
              <w:t>实配≥2* SSD；</w:t>
            </w:r>
          </w:p>
        </w:tc>
      </w:tr>
      <w:tr w14:paraId="16E8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7F5111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382" w:type="dxa"/>
            <w:vMerge w:val="continue"/>
            <w:vAlign w:val="center"/>
          </w:tcPr>
          <w:p w14:paraId="028D5EFE">
            <w:pPr>
              <w:rPr>
                <w:highlight w:val="none"/>
              </w:rPr>
            </w:pPr>
          </w:p>
        </w:tc>
        <w:tc>
          <w:tcPr>
            <w:tcW w:w="1320" w:type="dxa"/>
            <w:vAlign w:val="center"/>
          </w:tcPr>
          <w:p w14:paraId="575158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813" w:type="dxa"/>
            <w:vAlign w:val="center"/>
          </w:tcPr>
          <w:p w14:paraId="3FD75C79">
            <w:pPr>
              <w:widowControl/>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SSD（2）后置支持≥2个2.5寸硬盘/3.5寸硬盘；</w:t>
            </w:r>
          </w:p>
        </w:tc>
      </w:tr>
      <w:tr w14:paraId="204B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2DED64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382" w:type="dxa"/>
            <w:vAlign w:val="center"/>
          </w:tcPr>
          <w:p w14:paraId="074CC5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320" w:type="dxa"/>
            <w:vAlign w:val="center"/>
          </w:tcPr>
          <w:p w14:paraId="7180E3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813" w:type="dxa"/>
            <w:vAlign w:val="center"/>
          </w:tcPr>
          <w:p w14:paraId="12068559">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≥4*千兆双口RJ45</w:t>
            </w:r>
          </w:p>
        </w:tc>
      </w:tr>
      <w:tr w14:paraId="6663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1395C7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382" w:type="dxa"/>
            <w:vMerge w:val="restart"/>
            <w:vAlign w:val="center"/>
          </w:tcPr>
          <w:p w14:paraId="2FD8C3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320" w:type="dxa"/>
            <w:vAlign w:val="center"/>
          </w:tcPr>
          <w:p w14:paraId="47C7FF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813" w:type="dxa"/>
            <w:vAlign w:val="center"/>
          </w:tcPr>
          <w:p w14:paraId="7CCC475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配置≥2个VGA接口</w:t>
            </w:r>
          </w:p>
        </w:tc>
      </w:tr>
      <w:tr w14:paraId="4514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74F2E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382" w:type="dxa"/>
            <w:vMerge w:val="continue"/>
            <w:vAlign w:val="center"/>
          </w:tcPr>
          <w:p w14:paraId="115F5AAA">
            <w:pPr>
              <w:rPr>
                <w:highlight w:val="none"/>
              </w:rPr>
            </w:pPr>
          </w:p>
        </w:tc>
        <w:tc>
          <w:tcPr>
            <w:tcW w:w="1320" w:type="dxa"/>
            <w:vAlign w:val="center"/>
          </w:tcPr>
          <w:p w14:paraId="1776C1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813" w:type="dxa"/>
            <w:vAlign w:val="center"/>
          </w:tcPr>
          <w:p w14:paraId="20997096">
            <w:pPr>
              <w:widowControl/>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5F8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E9484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382" w:type="dxa"/>
            <w:vMerge w:val="restart"/>
            <w:vAlign w:val="center"/>
          </w:tcPr>
          <w:p w14:paraId="44EA66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320" w:type="dxa"/>
            <w:vAlign w:val="center"/>
          </w:tcPr>
          <w:p w14:paraId="13908E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813" w:type="dxa"/>
            <w:vAlign w:val="center"/>
          </w:tcPr>
          <w:p w14:paraId="0B0448E2">
            <w:pPr>
              <w:widowControl/>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022D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599565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382" w:type="dxa"/>
            <w:vMerge w:val="continue"/>
            <w:vAlign w:val="center"/>
          </w:tcPr>
          <w:p w14:paraId="4E8AC41A">
            <w:pPr>
              <w:rPr>
                <w:highlight w:val="none"/>
              </w:rPr>
            </w:pPr>
          </w:p>
        </w:tc>
        <w:tc>
          <w:tcPr>
            <w:tcW w:w="1320" w:type="dxa"/>
            <w:vAlign w:val="center"/>
          </w:tcPr>
          <w:p w14:paraId="55F145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813" w:type="dxa"/>
            <w:vAlign w:val="center"/>
          </w:tcPr>
          <w:p w14:paraId="2A3C00C0">
            <w:pPr>
              <w:widowControl/>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7AE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1" w:type="dxa"/>
            <w:vAlign w:val="center"/>
          </w:tcPr>
          <w:p w14:paraId="730DF0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382" w:type="dxa"/>
            <w:vMerge w:val="restart"/>
            <w:vAlign w:val="center"/>
          </w:tcPr>
          <w:p w14:paraId="1373BB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320" w:type="dxa"/>
            <w:vAlign w:val="center"/>
          </w:tcPr>
          <w:p w14:paraId="4D4ADC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813" w:type="dxa"/>
            <w:vAlign w:val="center"/>
          </w:tcPr>
          <w:p w14:paraId="6F4D1EFC">
            <w:pPr>
              <w:widowControl/>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6C6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75D0FC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382" w:type="dxa"/>
            <w:vMerge w:val="continue"/>
            <w:vAlign w:val="center"/>
          </w:tcPr>
          <w:p w14:paraId="4419006D">
            <w:pPr>
              <w:rPr>
                <w:highlight w:val="none"/>
              </w:rPr>
            </w:pPr>
          </w:p>
        </w:tc>
        <w:tc>
          <w:tcPr>
            <w:tcW w:w="1320" w:type="dxa"/>
            <w:vAlign w:val="center"/>
          </w:tcPr>
          <w:p w14:paraId="127EAD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813" w:type="dxa"/>
            <w:vAlign w:val="center"/>
          </w:tcPr>
          <w:p w14:paraId="1C4DDAD1">
            <w:pPr>
              <w:widowControl/>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414B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771" w:type="dxa"/>
            <w:vAlign w:val="center"/>
          </w:tcPr>
          <w:p w14:paraId="0C8B47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382" w:type="dxa"/>
            <w:vMerge w:val="continue"/>
            <w:vAlign w:val="center"/>
          </w:tcPr>
          <w:p w14:paraId="51A94CFA">
            <w:pPr>
              <w:rPr>
                <w:highlight w:val="none"/>
              </w:rPr>
            </w:pPr>
          </w:p>
        </w:tc>
        <w:tc>
          <w:tcPr>
            <w:tcW w:w="1320" w:type="dxa"/>
            <w:vAlign w:val="center"/>
          </w:tcPr>
          <w:p w14:paraId="2E67A6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813" w:type="dxa"/>
            <w:vAlign w:val="center"/>
          </w:tcPr>
          <w:p w14:paraId="0BB7DA7D">
            <w:pPr>
              <w:widowControl/>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的有关规定，工作温度5℃～40℃，贮存运输温度-40℃～+65℃；工作相对湿度 8%～90%，贮存运输相对湿度 5%～95%（40℃）；大气压86～106kPa</w:t>
            </w:r>
          </w:p>
        </w:tc>
      </w:tr>
      <w:tr w14:paraId="76AC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DD448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382" w:type="dxa"/>
            <w:vMerge w:val="continue"/>
            <w:vAlign w:val="center"/>
          </w:tcPr>
          <w:p w14:paraId="477E0EA2">
            <w:pPr>
              <w:rPr>
                <w:highlight w:val="none"/>
              </w:rPr>
            </w:pPr>
          </w:p>
        </w:tc>
        <w:tc>
          <w:tcPr>
            <w:tcW w:w="1320" w:type="dxa"/>
            <w:vAlign w:val="center"/>
          </w:tcPr>
          <w:p w14:paraId="20034E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813" w:type="dxa"/>
            <w:vAlign w:val="center"/>
          </w:tcPr>
          <w:p w14:paraId="2A13CA61">
            <w:pPr>
              <w:widowControl/>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0AB1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11AE56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382" w:type="dxa"/>
            <w:vMerge w:val="continue"/>
            <w:vAlign w:val="center"/>
          </w:tcPr>
          <w:p w14:paraId="2B5B7D7F">
            <w:pPr>
              <w:rPr>
                <w:highlight w:val="none"/>
              </w:rPr>
            </w:pPr>
          </w:p>
        </w:tc>
        <w:tc>
          <w:tcPr>
            <w:tcW w:w="1320" w:type="dxa"/>
            <w:vAlign w:val="center"/>
          </w:tcPr>
          <w:p w14:paraId="4D499B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813" w:type="dxa"/>
            <w:vAlign w:val="center"/>
          </w:tcPr>
          <w:p w14:paraId="3A2C43D9">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5F8B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3652C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382" w:type="dxa"/>
            <w:vAlign w:val="center"/>
          </w:tcPr>
          <w:p w14:paraId="0E73EE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320" w:type="dxa"/>
            <w:vAlign w:val="center"/>
          </w:tcPr>
          <w:p w14:paraId="5DC487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813" w:type="dxa"/>
            <w:vAlign w:val="center"/>
          </w:tcPr>
          <w:p w14:paraId="5DC44AEF">
            <w:pPr>
              <w:widowControl/>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34E8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300D85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382" w:type="dxa"/>
            <w:vAlign w:val="center"/>
          </w:tcPr>
          <w:p w14:paraId="169F80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w:t>
            </w:r>
          </w:p>
        </w:tc>
        <w:tc>
          <w:tcPr>
            <w:tcW w:w="1320" w:type="dxa"/>
            <w:vAlign w:val="center"/>
          </w:tcPr>
          <w:p w14:paraId="403CCA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813" w:type="dxa"/>
            <w:vAlign w:val="center"/>
          </w:tcPr>
          <w:p w14:paraId="4926639B">
            <w:pPr>
              <w:widowControl/>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6842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FC482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382" w:type="dxa"/>
            <w:vAlign w:val="center"/>
          </w:tcPr>
          <w:p w14:paraId="08A9AE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320" w:type="dxa"/>
            <w:vAlign w:val="center"/>
          </w:tcPr>
          <w:p w14:paraId="1FEB9C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813" w:type="dxa"/>
            <w:vAlign w:val="center"/>
          </w:tcPr>
          <w:p w14:paraId="36337E2A">
            <w:pPr>
              <w:widowControl/>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3FFE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1" w:type="dxa"/>
            <w:vAlign w:val="center"/>
          </w:tcPr>
          <w:p w14:paraId="47B636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382" w:type="dxa"/>
            <w:vMerge w:val="restart"/>
            <w:vAlign w:val="center"/>
          </w:tcPr>
          <w:p w14:paraId="152ECC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320" w:type="dxa"/>
            <w:vAlign w:val="center"/>
          </w:tcPr>
          <w:p w14:paraId="0C24B4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813" w:type="dxa"/>
            <w:vAlign w:val="center"/>
          </w:tcPr>
          <w:p w14:paraId="491D98E3">
            <w:pPr>
              <w:widowControl/>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23D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4D5750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382" w:type="dxa"/>
            <w:vMerge w:val="continue"/>
            <w:vAlign w:val="center"/>
          </w:tcPr>
          <w:p w14:paraId="6021AF09">
            <w:pPr>
              <w:rPr>
                <w:highlight w:val="none"/>
              </w:rPr>
            </w:pPr>
          </w:p>
        </w:tc>
        <w:tc>
          <w:tcPr>
            <w:tcW w:w="1320" w:type="dxa"/>
            <w:vAlign w:val="center"/>
          </w:tcPr>
          <w:p w14:paraId="319111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813" w:type="dxa"/>
            <w:vAlign w:val="center"/>
          </w:tcPr>
          <w:p w14:paraId="7492CBF5">
            <w:pPr>
              <w:widowControl/>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的相关规定支持具备RSA/SM3/SM4/DH/MD5/AES算法硬件加解密加速能力和ZLIB/GZIP算法硬件压缩加速能力提供相应证明材料</w:t>
            </w:r>
          </w:p>
        </w:tc>
      </w:tr>
      <w:tr w14:paraId="68FD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4CDAF1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382" w:type="dxa"/>
            <w:vMerge w:val="restart"/>
            <w:vAlign w:val="center"/>
          </w:tcPr>
          <w:p w14:paraId="1B5590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320" w:type="dxa"/>
            <w:vAlign w:val="center"/>
          </w:tcPr>
          <w:p w14:paraId="1AE6D9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813" w:type="dxa"/>
            <w:vAlign w:val="center"/>
          </w:tcPr>
          <w:p w14:paraId="4D0671D0">
            <w:pPr>
              <w:widowControl/>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4D7A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AA7E6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382" w:type="dxa"/>
            <w:vMerge w:val="continue"/>
            <w:vAlign w:val="center"/>
          </w:tcPr>
          <w:p w14:paraId="0CAF41B6">
            <w:pPr>
              <w:rPr>
                <w:highlight w:val="none"/>
              </w:rPr>
            </w:pPr>
          </w:p>
        </w:tc>
        <w:tc>
          <w:tcPr>
            <w:tcW w:w="1320" w:type="dxa"/>
            <w:vAlign w:val="center"/>
          </w:tcPr>
          <w:p w14:paraId="19FBEA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813" w:type="dxa"/>
            <w:vAlign w:val="center"/>
          </w:tcPr>
          <w:p w14:paraId="22171E2A">
            <w:pPr>
              <w:widowControl/>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426C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449699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382" w:type="dxa"/>
            <w:vAlign w:val="center"/>
          </w:tcPr>
          <w:p w14:paraId="17B192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320" w:type="dxa"/>
            <w:vAlign w:val="center"/>
          </w:tcPr>
          <w:p w14:paraId="12CCA3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813" w:type="dxa"/>
            <w:vAlign w:val="center"/>
          </w:tcPr>
          <w:p w14:paraId="60517917">
            <w:pPr>
              <w:widowControl/>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762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71" w:type="dxa"/>
            <w:vAlign w:val="center"/>
          </w:tcPr>
          <w:p w14:paraId="63BC8C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382" w:type="dxa"/>
            <w:vMerge w:val="restart"/>
            <w:vAlign w:val="center"/>
          </w:tcPr>
          <w:p w14:paraId="4DFE52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320" w:type="dxa"/>
            <w:vAlign w:val="center"/>
          </w:tcPr>
          <w:p w14:paraId="3A2B4D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813" w:type="dxa"/>
            <w:vAlign w:val="center"/>
          </w:tcPr>
          <w:p w14:paraId="3540809A">
            <w:pPr>
              <w:widowControl/>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4A93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1" w:type="dxa"/>
            <w:vAlign w:val="center"/>
          </w:tcPr>
          <w:p w14:paraId="363073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382" w:type="dxa"/>
            <w:vMerge w:val="continue"/>
            <w:vAlign w:val="center"/>
          </w:tcPr>
          <w:p w14:paraId="3CF0FFE9">
            <w:pPr>
              <w:rPr>
                <w:highlight w:val="none"/>
              </w:rPr>
            </w:pPr>
          </w:p>
        </w:tc>
        <w:tc>
          <w:tcPr>
            <w:tcW w:w="1320" w:type="dxa"/>
            <w:vAlign w:val="center"/>
          </w:tcPr>
          <w:p w14:paraId="558C65F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813" w:type="dxa"/>
            <w:vAlign w:val="center"/>
          </w:tcPr>
          <w:p w14:paraId="4775CEA6">
            <w:pPr>
              <w:widowControl/>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1C5D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2031621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382" w:type="dxa"/>
            <w:vMerge w:val="continue"/>
            <w:vAlign w:val="center"/>
          </w:tcPr>
          <w:p w14:paraId="1A203AE9">
            <w:pPr>
              <w:rPr>
                <w:highlight w:val="none"/>
              </w:rPr>
            </w:pPr>
          </w:p>
        </w:tc>
        <w:tc>
          <w:tcPr>
            <w:tcW w:w="1320" w:type="dxa"/>
            <w:vAlign w:val="center"/>
          </w:tcPr>
          <w:p w14:paraId="102016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813" w:type="dxa"/>
            <w:vAlign w:val="center"/>
          </w:tcPr>
          <w:p w14:paraId="5A561283">
            <w:pPr>
              <w:widowControl/>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014F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047004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382" w:type="dxa"/>
            <w:vMerge w:val="restart"/>
            <w:vAlign w:val="center"/>
          </w:tcPr>
          <w:p w14:paraId="5CA4C6B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320" w:type="dxa"/>
            <w:vAlign w:val="center"/>
          </w:tcPr>
          <w:p w14:paraId="712607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813" w:type="dxa"/>
            <w:vAlign w:val="center"/>
          </w:tcPr>
          <w:p w14:paraId="14F099C1">
            <w:pPr>
              <w:widowControl/>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3DCE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1" w:type="dxa"/>
            <w:vAlign w:val="center"/>
          </w:tcPr>
          <w:p w14:paraId="70D0CC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382" w:type="dxa"/>
            <w:vMerge w:val="continue"/>
            <w:vAlign w:val="center"/>
          </w:tcPr>
          <w:p w14:paraId="6B40877E">
            <w:pPr>
              <w:rPr>
                <w:highlight w:val="none"/>
              </w:rPr>
            </w:pPr>
          </w:p>
        </w:tc>
        <w:tc>
          <w:tcPr>
            <w:tcW w:w="1320" w:type="dxa"/>
            <w:vAlign w:val="center"/>
          </w:tcPr>
          <w:p w14:paraId="26AF5C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813" w:type="dxa"/>
            <w:vAlign w:val="center"/>
          </w:tcPr>
          <w:p w14:paraId="28F19D45">
            <w:pPr>
              <w:widowControl/>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7B0F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70A6EB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382" w:type="dxa"/>
            <w:vAlign w:val="center"/>
          </w:tcPr>
          <w:p w14:paraId="2E8DA7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320" w:type="dxa"/>
            <w:vAlign w:val="center"/>
          </w:tcPr>
          <w:p w14:paraId="58C79A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813" w:type="dxa"/>
            <w:vAlign w:val="center"/>
          </w:tcPr>
          <w:p w14:paraId="5DBAB922">
            <w:pPr>
              <w:widowControl/>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272B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64AEE2D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382" w:type="dxa"/>
            <w:vAlign w:val="center"/>
          </w:tcPr>
          <w:p w14:paraId="3314A5F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320" w:type="dxa"/>
            <w:vAlign w:val="center"/>
          </w:tcPr>
          <w:p w14:paraId="1593E7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5813" w:type="dxa"/>
            <w:vAlign w:val="center"/>
          </w:tcPr>
          <w:p w14:paraId="0425F511">
            <w:pPr>
              <w:widowControl/>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7012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93F79D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382" w:type="dxa"/>
            <w:vAlign w:val="center"/>
          </w:tcPr>
          <w:p w14:paraId="382D70A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320" w:type="dxa"/>
            <w:vAlign w:val="center"/>
          </w:tcPr>
          <w:p w14:paraId="15ED99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813" w:type="dxa"/>
            <w:vAlign w:val="center"/>
          </w:tcPr>
          <w:p w14:paraId="13814683">
            <w:pPr>
              <w:widowControl/>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7CE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677BD2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382" w:type="dxa"/>
            <w:vMerge w:val="restart"/>
            <w:vAlign w:val="center"/>
          </w:tcPr>
          <w:p w14:paraId="31F533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320" w:type="dxa"/>
            <w:vAlign w:val="center"/>
          </w:tcPr>
          <w:p w14:paraId="3074BD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813" w:type="dxa"/>
            <w:vAlign w:val="center"/>
          </w:tcPr>
          <w:p w14:paraId="55D6A702">
            <w:pPr>
              <w:widowControl/>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5734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DDB72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382" w:type="dxa"/>
            <w:vMerge w:val="continue"/>
            <w:vAlign w:val="center"/>
          </w:tcPr>
          <w:p w14:paraId="4DA7D8B0">
            <w:pPr>
              <w:rPr>
                <w:highlight w:val="none"/>
              </w:rPr>
            </w:pPr>
          </w:p>
        </w:tc>
        <w:tc>
          <w:tcPr>
            <w:tcW w:w="1320" w:type="dxa"/>
            <w:vAlign w:val="center"/>
          </w:tcPr>
          <w:p w14:paraId="78F0A2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813" w:type="dxa"/>
            <w:vAlign w:val="center"/>
          </w:tcPr>
          <w:p w14:paraId="5FF0A866">
            <w:pPr>
              <w:widowControl/>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143B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66F55A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382" w:type="dxa"/>
            <w:vMerge w:val="continue"/>
            <w:vAlign w:val="center"/>
          </w:tcPr>
          <w:p w14:paraId="7213FA08">
            <w:pPr>
              <w:rPr>
                <w:highlight w:val="none"/>
              </w:rPr>
            </w:pPr>
          </w:p>
        </w:tc>
        <w:tc>
          <w:tcPr>
            <w:tcW w:w="1320" w:type="dxa"/>
            <w:vAlign w:val="center"/>
          </w:tcPr>
          <w:p w14:paraId="49F308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813" w:type="dxa"/>
            <w:vAlign w:val="center"/>
          </w:tcPr>
          <w:p w14:paraId="7DB42F25">
            <w:pPr>
              <w:widowControl/>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1676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769C24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382" w:type="dxa"/>
            <w:vMerge w:val="continue"/>
            <w:vAlign w:val="center"/>
          </w:tcPr>
          <w:p w14:paraId="5DCAF6F1">
            <w:pPr>
              <w:rPr>
                <w:highlight w:val="none"/>
              </w:rPr>
            </w:pPr>
          </w:p>
        </w:tc>
        <w:tc>
          <w:tcPr>
            <w:tcW w:w="1320" w:type="dxa"/>
            <w:vAlign w:val="center"/>
          </w:tcPr>
          <w:p w14:paraId="5CCCCC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813" w:type="dxa"/>
            <w:vAlign w:val="center"/>
          </w:tcPr>
          <w:p w14:paraId="78D8C5E0">
            <w:pPr>
              <w:widowControl/>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61EF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63BF34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382" w:type="dxa"/>
            <w:vMerge w:val="continue"/>
            <w:vAlign w:val="center"/>
          </w:tcPr>
          <w:p w14:paraId="6E9A8C2E">
            <w:pPr>
              <w:rPr>
                <w:highlight w:val="none"/>
              </w:rPr>
            </w:pPr>
          </w:p>
        </w:tc>
        <w:tc>
          <w:tcPr>
            <w:tcW w:w="1320" w:type="dxa"/>
            <w:vAlign w:val="center"/>
          </w:tcPr>
          <w:p w14:paraId="1C68F2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813" w:type="dxa"/>
            <w:vAlign w:val="center"/>
          </w:tcPr>
          <w:p w14:paraId="51FD2AA6">
            <w:pPr>
              <w:widowControl/>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1C1A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71" w:type="dxa"/>
            <w:vAlign w:val="center"/>
          </w:tcPr>
          <w:p w14:paraId="293754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382" w:type="dxa"/>
            <w:vAlign w:val="center"/>
          </w:tcPr>
          <w:p w14:paraId="5B7B5A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320" w:type="dxa"/>
            <w:vAlign w:val="center"/>
          </w:tcPr>
          <w:p w14:paraId="7C2EC1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813" w:type="dxa"/>
            <w:vAlign w:val="center"/>
          </w:tcPr>
          <w:p w14:paraId="7BA32F72">
            <w:pPr>
              <w:widowControl/>
              <w:rPr>
                <w:rFonts w:ascii="仿宋" w:hAnsi="仿宋" w:eastAsia="仿宋" w:cs="仿宋"/>
                <w:kern w:val="0"/>
                <w:sz w:val="24"/>
                <w:highlight w:val="none"/>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51BE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F9832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382" w:type="dxa"/>
            <w:vAlign w:val="center"/>
          </w:tcPr>
          <w:p w14:paraId="4A12A6A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320" w:type="dxa"/>
            <w:vAlign w:val="center"/>
          </w:tcPr>
          <w:p w14:paraId="15F77F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813" w:type="dxa"/>
            <w:vAlign w:val="center"/>
          </w:tcPr>
          <w:p w14:paraId="346FC953">
            <w:pPr>
              <w:widowControl/>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0D2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54DD90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382" w:type="dxa"/>
            <w:vAlign w:val="center"/>
          </w:tcPr>
          <w:p w14:paraId="4EA1C5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320" w:type="dxa"/>
            <w:vAlign w:val="center"/>
          </w:tcPr>
          <w:p w14:paraId="3A7FAB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813" w:type="dxa"/>
            <w:vAlign w:val="center"/>
          </w:tcPr>
          <w:p w14:paraId="2960C357">
            <w:pPr>
              <w:widowControl/>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047E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37454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382" w:type="dxa"/>
            <w:vMerge w:val="restart"/>
            <w:vAlign w:val="center"/>
          </w:tcPr>
          <w:p w14:paraId="6B948C2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320" w:type="dxa"/>
            <w:vAlign w:val="center"/>
          </w:tcPr>
          <w:p w14:paraId="2A7DCC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813" w:type="dxa"/>
            <w:vAlign w:val="center"/>
          </w:tcPr>
          <w:p w14:paraId="1C941661">
            <w:pPr>
              <w:widowControl/>
              <w:rPr>
                <w:rFonts w:ascii="仿宋" w:hAnsi="仿宋" w:eastAsia="仿宋" w:cs="仿宋"/>
                <w:kern w:val="0"/>
                <w:sz w:val="24"/>
                <w:highlight w:val="none"/>
              </w:rPr>
            </w:pPr>
            <w:r>
              <w:rPr>
                <w:rFonts w:hint="eastAsia" w:ascii="仿宋" w:hAnsi="仿宋" w:eastAsia="仿宋" w:cs="仿宋"/>
                <w:kern w:val="0"/>
                <w:sz w:val="24"/>
                <w:highlight w:val="none"/>
              </w:rPr>
              <w:t>≥2.6GHz</w:t>
            </w:r>
          </w:p>
        </w:tc>
      </w:tr>
      <w:tr w14:paraId="136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677F4C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382" w:type="dxa"/>
            <w:vMerge w:val="continue"/>
            <w:vAlign w:val="center"/>
          </w:tcPr>
          <w:p w14:paraId="50356FDC">
            <w:pPr>
              <w:rPr>
                <w:highlight w:val="none"/>
              </w:rPr>
            </w:pPr>
          </w:p>
        </w:tc>
        <w:tc>
          <w:tcPr>
            <w:tcW w:w="1320" w:type="dxa"/>
            <w:vAlign w:val="center"/>
          </w:tcPr>
          <w:p w14:paraId="1FF87D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 CPU 核数</w:t>
            </w:r>
          </w:p>
        </w:tc>
        <w:tc>
          <w:tcPr>
            <w:tcW w:w="5813" w:type="dxa"/>
            <w:vAlign w:val="center"/>
          </w:tcPr>
          <w:p w14:paraId="45B23EE5">
            <w:pPr>
              <w:widowControl/>
              <w:rPr>
                <w:rFonts w:ascii="仿宋" w:hAnsi="仿宋" w:eastAsia="仿宋" w:cs="仿宋"/>
                <w:kern w:val="0"/>
                <w:sz w:val="24"/>
                <w:highlight w:val="none"/>
              </w:rPr>
            </w:pPr>
            <w:r>
              <w:rPr>
                <w:rFonts w:hint="eastAsia" w:ascii="仿宋" w:hAnsi="仿宋" w:eastAsia="仿宋" w:cs="仿宋"/>
                <w:kern w:val="0"/>
                <w:sz w:val="24"/>
                <w:highlight w:val="none"/>
              </w:rPr>
              <w:t>≥24</w:t>
            </w:r>
          </w:p>
        </w:tc>
      </w:tr>
      <w:tr w14:paraId="7472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395A0F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382" w:type="dxa"/>
            <w:vMerge w:val="continue"/>
            <w:vAlign w:val="center"/>
          </w:tcPr>
          <w:p w14:paraId="5FE0E4E8">
            <w:pPr>
              <w:rPr>
                <w:highlight w:val="none"/>
              </w:rPr>
            </w:pPr>
          </w:p>
        </w:tc>
        <w:tc>
          <w:tcPr>
            <w:tcW w:w="1320" w:type="dxa"/>
            <w:vAlign w:val="center"/>
          </w:tcPr>
          <w:p w14:paraId="6AB63D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 CPU 末级缓存容量</w:t>
            </w:r>
          </w:p>
        </w:tc>
        <w:tc>
          <w:tcPr>
            <w:tcW w:w="5813" w:type="dxa"/>
            <w:vAlign w:val="center"/>
          </w:tcPr>
          <w:p w14:paraId="162BE351">
            <w:pPr>
              <w:widowControl/>
              <w:rPr>
                <w:rFonts w:ascii="仿宋" w:hAnsi="仿宋" w:eastAsia="仿宋" w:cs="仿宋"/>
                <w:kern w:val="0"/>
                <w:sz w:val="24"/>
                <w:highlight w:val="none"/>
              </w:rPr>
            </w:pPr>
            <w:r>
              <w:rPr>
                <w:rFonts w:hint="eastAsia" w:ascii="仿宋" w:hAnsi="仿宋" w:eastAsia="仿宋" w:cs="仿宋"/>
                <w:kern w:val="0"/>
                <w:sz w:val="24"/>
                <w:highlight w:val="none"/>
              </w:rPr>
              <w:t>≥32MB</w:t>
            </w:r>
          </w:p>
        </w:tc>
      </w:tr>
      <w:tr w14:paraId="263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1D5618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382" w:type="dxa"/>
            <w:vAlign w:val="center"/>
          </w:tcPr>
          <w:p w14:paraId="793A8E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320" w:type="dxa"/>
            <w:vAlign w:val="center"/>
          </w:tcPr>
          <w:p w14:paraId="1AD475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813" w:type="dxa"/>
            <w:vAlign w:val="center"/>
          </w:tcPr>
          <w:p w14:paraId="51F1CD5E">
            <w:pPr>
              <w:widowControl/>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4578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1E50C4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382" w:type="dxa"/>
            <w:vAlign w:val="center"/>
          </w:tcPr>
          <w:p w14:paraId="0A76F2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320" w:type="dxa"/>
            <w:vAlign w:val="center"/>
          </w:tcPr>
          <w:p w14:paraId="581979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813" w:type="dxa"/>
            <w:vAlign w:val="center"/>
          </w:tcPr>
          <w:p w14:paraId="48B50B9D">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2E73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DC8DA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382" w:type="dxa"/>
            <w:vMerge w:val="restart"/>
            <w:vAlign w:val="center"/>
          </w:tcPr>
          <w:p w14:paraId="5BF25B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320" w:type="dxa"/>
            <w:vAlign w:val="center"/>
          </w:tcPr>
          <w:p w14:paraId="17F1E0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813" w:type="dxa"/>
            <w:vAlign w:val="center"/>
          </w:tcPr>
          <w:p w14:paraId="2C11FA81">
            <w:pPr>
              <w:widowControl/>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7EAA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58BF22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382" w:type="dxa"/>
            <w:vMerge w:val="continue"/>
            <w:vAlign w:val="center"/>
          </w:tcPr>
          <w:p w14:paraId="05EC43F7">
            <w:pPr>
              <w:rPr>
                <w:highlight w:val="none"/>
              </w:rPr>
            </w:pPr>
          </w:p>
        </w:tc>
        <w:tc>
          <w:tcPr>
            <w:tcW w:w="1320" w:type="dxa"/>
            <w:vAlign w:val="center"/>
          </w:tcPr>
          <w:p w14:paraId="57CBBD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813" w:type="dxa"/>
            <w:vAlign w:val="center"/>
          </w:tcPr>
          <w:p w14:paraId="0698B416">
            <w:pPr>
              <w:widowControl/>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3BBB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3CE09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382" w:type="dxa"/>
            <w:vMerge w:val="continue"/>
            <w:vAlign w:val="center"/>
          </w:tcPr>
          <w:p w14:paraId="21DE16D6">
            <w:pPr>
              <w:rPr>
                <w:highlight w:val="none"/>
              </w:rPr>
            </w:pPr>
          </w:p>
        </w:tc>
        <w:tc>
          <w:tcPr>
            <w:tcW w:w="1320" w:type="dxa"/>
            <w:vAlign w:val="center"/>
          </w:tcPr>
          <w:p w14:paraId="58FEDE4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813" w:type="dxa"/>
            <w:vAlign w:val="center"/>
          </w:tcPr>
          <w:p w14:paraId="158F65B7">
            <w:pPr>
              <w:widowControl/>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64FC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67AC6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382" w:type="dxa"/>
            <w:vMerge w:val="continue"/>
            <w:vAlign w:val="center"/>
          </w:tcPr>
          <w:p w14:paraId="680E0FA8">
            <w:pPr>
              <w:rPr>
                <w:highlight w:val="none"/>
              </w:rPr>
            </w:pPr>
          </w:p>
        </w:tc>
        <w:tc>
          <w:tcPr>
            <w:tcW w:w="1320" w:type="dxa"/>
            <w:vAlign w:val="center"/>
          </w:tcPr>
          <w:p w14:paraId="5AA322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813" w:type="dxa"/>
            <w:vAlign w:val="center"/>
          </w:tcPr>
          <w:p w14:paraId="2C44EC32">
            <w:pPr>
              <w:widowControl/>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5111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1" w:type="dxa"/>
            <w:vAlign w:val="center"/>
          </w:tcPr>
          <w:p w14:paraId="6AF65E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382" w:type="dxa"/>
            <w:vAlign w:val="center"/>
          </w:tcPr>
          <w:p w14:paraId="30B845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320" w:type="dxa"/>
            <w:vAlign w:val="center"/>
          </w:tcPr>
          <w:p w14:paraId="189DA55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813" w:type="dxa"/>
            <w:vAlign w:val="center"/>
          </w:tcPr>
          <w:p w14:paraId="13857451">
            <w:pPr>
              <w:widowControl/>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695A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6BFB0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382" w:type="dxa"/>
            <w:vMerge w:val="restart"/>
            <w:vAlign w:val="center"/>
          </w:tcPr>
          <w:p w14:paraId="7E5C7F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320" w:type="dxa"/>
            <w:vAlign w:val="center"/>
          </w:tcPr>
          <w:p w14:paraId="4C0418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813" w:type="dxa"/>
            <w:vAlign w:val="center"/>
          </w:tcPr>
          <w:p w14:paraId="122141D7">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5192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0CB16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382" w:type="dxa"/>
            <w:vMerge w:val="continue"/>
            <w:vAlign w:val="center"/>
          </w:tcPr>
          <w:p w14:paraId="10A0363D">
            <w:pPr>
              <w:rPr>
                <w:highlight w:val="none"/>
              </w:rPr>
            </w:pPr>
          </w:p>
        </w:tc>
        <w:tc>
          <w:tcPr>
            <w:tcW w:w="1320" w:type="dxa"/>
            <w:vAlign w:val="center"/>
          </w:tcPr>
          <w:p w14:paraId="02604BA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813" w:type="dxa"/>
            <w:vAlign w:val="center"/>
          </w:tcPr>
          <w:p w14:paraId="4FE42B5A">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0862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5CADFD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382" w:type="dxa"/>
            <w:vMerge w:val="continue"/>
            <w:vAlign w:val="center"/>
          </w:tcPr>
          <w:p w14:paraId="248029C6">
            <w:pPr>
              <w:rPr>
                <w:highlight w:val="none"/>
              </w:rPr>
            </w:pPr>
          </w:p>
        </w:tc>
        <w:tc>
          <w:tcPr>
            <w:tcW w:w="1320" w:type="dxa"/>
            <w:vAlign w:val="center"/>
          </w:tcPr>
          <w:p w14:paraId="7192B8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813" w:type="dxa"/>
            <w:vAlign w:val="center"/>
          </w:tcPr>
          <w:p w14:paraId="639EC9E9">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0E44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74B90D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382" w:type="dxa"/>
            <w:vMerge w:val="restart"/>
            <w:vAlign w:val="center"/>
          </w:tcPr>
          <w:p w14:paraId="5549CC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320" w:type="dxa"/>
            <w:vAlign w:val="center"/>
          </w:tcPr>
          <w:p w14:paraId="21C168E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813" w:type="dxa"/>
            <w:vAlign w:val="center"/>
          </w:tcPr>
          <w:p w14:paraId="7583CCC8">
            <w:pPr>
              <w:widowControl/>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22E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4563F5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382" w:type="dxa"/>
            <w:vMerge w:val="continue"/>
            <w:vAlign w:val="center"/>
          </w:tcPr>
          <w:p w14:paraId="67589EC2">
            <w:pPr>
              <w:rPr>
                <w:highlight w:val="none"/>
              </w:rPr>
            </w:pPr>
          </w:p>
        </w:tc>
        <w:tc>
          <w:tcPr>
            <w:tcW w:w="1320" w:type="dxa"/>
            <w:vAlign w:val="center"/>
          </w:tcPr>
          <w:p w14:paraId="080F9C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813" w:type="dxa"/>
            <w:vAlign w:val="center"/>
          </w:tcPr>
          <w:p w14:paraId="51811F07">
            <w:pPr>
              <w:widowControl/>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26B1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1E3098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382" w:type="dxa"/>
            <w:vMerge w:val="continue"/>
            <w:vAlign w:val="center"/>
          </w:tcPr>
          <w:p w14:paraId="2D1F23BD">
            <w:pPr>
              <w:rPr>
                <w:highlight w:val="none"/>
              </w:rPr>
            </w:pPr>
          </w:p>
        </w:tc>
        <w:tc>
          <w:tcPr>
            <w:tcW w:w="1320" w:type="dxa"/>
            <w:vAlign w:val="center"/>
          </w:tcPr>
          <w:p w14:paraId="57ADBA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813" w:type="dxa"/>
            <w:vAlign w:val="center"/>
          </w:tcPr>
          <w:p w14:paraId="0C8A674A">
            <w:pPr>
              <w:widowControl/>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2ACB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6002C3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382" w:type="dxa"/>
            <w:vAlign w:val="center"/>
          </w:tcPr>
          <w:p w14:paraId="3F38F5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320" w:type="dxa"/>
            <w:vAlign w:val="center"/>
          </w:tcPr>
          <w:p w14:paraId="6735BF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813" w:type="dxa"/>
            <w:vAlign w:val="center"/>
          </w:tcPr>
          <w:p w14:paraId="74B120D7">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49B5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71" w:type="dxa"/>
            <w:vAlign w:val="center"/>
          </w:tcPr>
          <w:p w14:paraId="30B54F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382" w:type="dxa"/>
            <w:vMerge w:val="restart"/>
            <w:vAlign w:val="center"/>
          </w:tcPr>
          <w:p w14:paraId="03928C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320" w:type="dxa"/>
            <w:vAlign w:val="center"/>
          </w:tcPr>
          <w:p w14:paraId="53995C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813" w:type="dxa"/>
            <w:vAlign w:val="center"/>
          </w:tcPr>
          <w:p w14:paraId="6D706354">
            <w:pPr>
              <w:widowControl/>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p>
          <w:p w14:paraId="7EE8DB9F">
            <w:pPr>
              <w:widowControl/>
              <w:rPr>
                <w:rFonts w:ascii="仿宋" w:hAnsi="仿宋" w:eastAsia="仿宋" w:cs="仿宋"/>
                <w:kern w:val="0"/>
                <w:sz w:val="24"/>
                <w:highlight w:val="none"/>
              </w:rPr>
            </w:pP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p>
          <w:p w14:paraId="540FE5C9">
            <w:pPr>
              <w:widowControl/>
              <w:rPr>
                <w:rFonts w:ascii="仿宋" w:hAnsi="仿宋" w:eastAsia="仿宋" w:cs="仿宋"/>
                <w:kern w:val="0"/>
                <w:sz w:val="24"/>
                <w:highlight w:val="none"/>
              </w:rPr>
            </w:pPr>
            <w:r>
              <w:rPr>
                <w:rFonts w:hint="eastAsia" w:ascii="仿宋" w:hAnsi="仿宋" w:eastAsia="仿宋" w:cs="仿宋"/>
                <w:kern w:val="0"/>
                <w:sz w:val="24"/>
                <w:highlight w:val="none"/>
              </w:rPr>
              <w:t>c) 建立全国技术服务体系和服务团体，符合专业服务体系标准要求，提供中文服务；</w:t>
            </w:r>
          </w:p>
          <w:p w14:paraId="4A457AD7">
            <w:pPr>
              <w:widowControl/>
              <w:rPr>
                <w:rFonts w:ascii="仿宋" w:hAnsi="仿宋" w:eastAsia="仿宋" w:cs="仿宋"/>
                <w:kern w:val="0"/>
                <w:sz w:val="24"/>
                <w:highlight w:val="none"/>
              </w:rPr>
            </w:pPr>
            <w:r>
              <w:rPr>
                <w:rFonts w:hint="eastAsia" w:ascii="仿宋" w:hAnsi="仿宋" w:eastAsia="仿宋" w:cs="仿宋"/>
                <w:kern w:val="0"/>
                <w:sz w:val="24"/>
                <w:highlight w:val="none"/>
              </w:rPr>
              <w:t>d) 服务周期内提供产品的维修、换件和升级服务</w:t>
            </w:r>
          </w:p>
        </w:tc>
      </w:tr>
      <w:tr w14:paraId="2B8D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00D4DB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382" w:type="dxa"/>
            <w:vMerge w:val="continue"/>
            <w:vAlign w:val="center"/>
          </w:tcPr>
          <w:p w14:paraId="5D97E3DB">
            <w:pPr>
              <w:rPr>
                <w:highlight w:val="none"/>
              </w:rPr>
            </w:pPr>
          </w:p>
        </w:tc>
        <w:tc>
          <w:tcPr>
            <w:tcW w:w="1320" w:type="dxa"/>
            <w:vAlign w:val="center"/>
          </w:tcPr>
          <w:p w14:paraId="359E92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813" w:type="dxa"/>
            <w:vAlign w:val="center"/>
          </w:tcPr>
          <w:p w14:paraId="784D52AF">
            <w:pPr>
              <w:widowControl/>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5898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4D4F95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382" w:type="dxa"/>
            <w:vAlign w:val="center"/>
          </w:tcPr>
          <w:p w14:paraId="5D2C34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320" w:type="dxa"/>
            <w:vAlign w:val="center"/>
          </w:tcPr>
          <w:p w14:paraId="52D825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813" w:type="dxa"/>
            <w:vAlign w:val="center"/>
          </w:tcPr>
          <w:p w14:paraId="0D54FBA7">
            <w:pPr>
              <w:widowControl/>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w:t>
            </w:r>
          </w:p>
          <w:p w14:paraId="7C4181C4">
            <w:pPr>
              <w:widowControl/>
              <w:rPr>
                <w:rFonts w:ascii="仿宋" w:hAnsi="仿宋" w:eastAsia="仿宋" w:cs="仿宋"/>
                <w:kern w:val="0"/>
                <w:sz w:val="24"/>
                <w:highlight w:val="none"/>
              </w:rPr>
            </w:pPr>
            <w:r>
              <w:rPr>
                <w:rFonts w:hint="eastAsia" w:ascii="仿宋" w:hAnsi="仿宋" w:eastAsia="仿宋" w:cs="仿宋"/>
                <w:kern w:val="0"/>
                <w:sz w:val="24"/>
                <w:highlight w:val="none"/>
              </w:rPr>
              <w:t>（2）设备停产后继续提供质量保障服务（含备品备件），服务终止时间与最后一批设备交付时间间隔≥6年；</w:t>
            </w:r>
          </w:p>
          <w:p w14:paraId="32FB67F7">
            <w:pPr>
              <w:widowControl/>
              <w:rPr>
                <w:rFonts w:ascii="仿宋" w:hAnsi="仿宋" w:eastAsia="仿宋" w:cs="仿宋"/>
                <w:kern w:val="0"/>
                <w:sz w:val="24"/>
                <w:highlight w:val="none"/>
              </w:rPr>
            </w:pPr>
            <w:r>
              <w:rPr>
                <w:rFonts w:hint="eastAsia" w:ascii="仿宋" w:hAnsi="仿宋" w:eastAsia="仿宋" w:cs="仿宋"/>
                <w:kern w:val="0"/>
                <w:sz w:val="24"/>
                <w:highlight w:val="none"/>
              </w:rPr>
              <w:t>（3）产品停止服务时间应提前1年告知客户；（4）产品发布日期需在随机文件中明确。</w:t>
            </w:r>
          </w:p>
        </w:tc>
      </w:tr>
      <w:tr w14:paraId="66D8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42ED90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382" w:type="dxa"/>
            <w:vMerge w:val="restart"/>
            <w:vAlign w:val="center"/>
          </w:tcPr>
          <w:p w14:paraId="1AD445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320" w:type="dxa"/>
            <w:vAlign w:val="center"/>
          </w:tcPr>
          <w:p w14:paraId="549728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813" w:type="dxa"/>
            <w:vAlign w:val="center"/>
          </w:tcPr>
          <w:p w14:paraId="7389C239">
            <w:pPr>
              <w:widowControl/>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3EC4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7B2D9F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382" w:type="dxa"/>
            <w:vMerge w:val="continue"/>
            <w:vAlign w:val="center"/>
          </w:tcPr>
          <w:p w14:paraId="6B2BC953">
            <w:pPr>
              <w:rPr>
                <w:highlight w:val="none"/>
              </w:rPr>
            </w:pPr>
          </w:p>
        </w:tc>
        <w:tc>
          <w:tcPr>
            <w:tcW w:w="1320" w:type="dxa"/>
            <w:vAlign w:val="center"/>
          </w:tcPr>
          <w:p w14:paraId="22FDC8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813" w:type="dxa"/>
            <w:vAlign w:val="center"/>
          </w:tcPr>
          <w:p w14:paraId="2632D795">
            <w:pPr>
              <w:widowControl/>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480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657588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382" w:type="dxa"/>
            <w:vMerge w:val="continue"/>
            <w:vAlign w:val="center"/>
          </w:tcPr>
          <w:p w14:paraId="79D58233">
            <w:pPr>
              <w:rPr>
                <w:highlight w:val="none"/>
              </w:rPr>
            </w:pPr>
          </w:p>
        </w:tc>
        <w:tc>
          <w:tcPr>
            <w:tcW w:w="1320" w:type="dxa"/>
            <w:vAlign w:val="center"/>
          </w:tcPr>
          <w:p w14:paraId="008DBA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813" w:type="dxa"/>
            <w:vAlign w:val="center"/>
          </w:tcPr>
          <w:p w14:paraId="5E260821">
            <w:pPr>
              <w:widowControl/>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03D3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1" w:type="dxa"/>
            <w:vAlign w:val="center"/>
          </w:tcPr>
          <w:p w14:paraId="1D8670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382" w:type="dxa"/>
            <w:vMerge w:val="restart"/>
            <w:vAlign w:val="center"/>
          </w:tcPr>
          <w:p w14:paraId="6EFA2A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320" w:type="dxa"/>
            <w:vAlign w:val="center"/>
          </w:tcPr>
          <w:p w14:paraId="6464E8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813" w:type="dxa"/>
            <w:vAlign w:val="center"/>
          </w:tcPr>
          <w:p w14:paraId="1860112F">
            <w:pPr>
              <w:widowControl/>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7B0D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21AFF8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382" w:type="dxa"/>
            <w:vMerge w:val="continue"/>
            <w:vAlign w:val="center"/>
          </w:tcPr>
          <w:p w14:paraId="46EE9848">
            <w:pPr>
              <w:rPr>
                <w:highlight w:val="none"/>
              </w:rPr>
            </w:pPr>
          </w:p>
        </w:tc>
        <w:tc>
          <w:tcPr>
            <w:tcW w:w="1320" w:type="dxa"/>
            <w:vAlign w:val="center"/>
          </w:tcPr>
          <w:p w14:paraId="4640BE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813" w:type="dxa"/>
            <w:vAlign w:val="center"/>
          </w:tcPr>
          <w:p w14:paraId="7DEC1648">
            <w:pPr>
              <w:widowControl/>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2B15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1" w:type="dxa"/>
            <w:vAlign w:val="center"/>
          </w:tcPr>
          <w:p w14:paraId="11CD51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382" w:type="dxa"/>
            <w:vMerge w:val="restart"/>
            <w:vAlign w:val="center"/>
          </w:tcPr>
          <w:p w14:paraId="0242B0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320" w:type="dxa"/>
            <w:vAlign w:val="center"/>
          </w:tcPr>
          <w:p w14:paraId="0C7B51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813" w:type="dxa"/>
            <w:vAlign w:val="center"/>
          </w:tcPr>
          <w:p w14:paraId="048D6C6E">
            <w:pPr>
              <w:widowControl/>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358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1" w:type="dxa"/>
            <w:vAlign w:val="center"/>
          </w:tcPr>
          <w:p w14:paraId="39767D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382" w:type="dxa"/>
            <w:vMerge w:val="continue"/>
            <w:vAlign w:val="center"/>
          </w:tcPr>
          <w:p w14:paraId="638AACEC">
            <w:pPr>
              <w:rPr>
                <w:highlight w:val="none"/>
              </w:rPr>
            </w:pPr>
          </w:p>
        </w:tc>
        <w:tc>
          <w:tcPr>
            <w:tcW w:w="1320" w:type="dxa"/>
            <w:vAlign w:val="center"/>
          </w:tcPr>
          <w:p w14:paraId="44857D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813" w:type="dxa"/>
            <w:vAlign w:val="center"/>
          </w:tcPr>
          <w:p w14:paraId="73AFFED2">
            <w:pPr>
              <w:widowControl/>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301D5B52">
      <w:pPr>
        <w:rPr>
          <w:rFonts w:ascii="仿宋" w:hAnsi="仿宋" w:eastAsia="仿宋" w:cs="仿宋"/>
          <w:b/>
          <w:bCs/>
          <w:kern w:val="0"/>
          <w:sz w:val="24"/>
          <w:highlight w:val="none"/>
        </w:rPr>
      </w:pPr>
      <w:r>
        <w:rPr>
          <w:rFonts w:hint="eastAsia" w:ascii="仿宋" w:hAnsi="仿宋" w:eastAsia="仿宋" w:cs="仿宋"/>
          <w:b/>
          <w:bCs/>
          <w:kern w:val="0"/>
          <w:sz w:val="24"/>
          <w:highlight w:val="none"/>
        </w:rPr>
        <w:t>附5：“集成指挥平台升级服务一体机”硬件部分详细参数配置要求：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23"/>
        <w:gridCol w:w="1360"/>
        <w:gridCol w:w="5833"/>
      </w:tblGrid>
      <w:tr w14:paraId="2AC6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shd w:val="clear" w:color="000000" w:fill="auto"/>
            <w:vAlign w:val="center"/>
          </w:tcPr>
          <w:p w14:paraId="6A7307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323" w:type="dxa"/>
            <w:shd w:val="clear" w:color="000000" w:fill="auto"/>
            <w:vAlign w:val="center"/>
          </w:tcPr>
          <w:p w14:paraId="63AE06FF">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360" w:type="dxa"/>
            <w:shd w:val="clear" w:color="000000" w:fill="auto"/>
            <w:vAlign w:val="center"/>
          </w:tcPr>
          <w:p w14:paraId="0051EA0B">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833" w:type="dxa"/>
            <w:shd w:val="clear" w:color="000000" w:fill="auto"/>
            <w:vAlign w:val="center"/>
          </w:tcPr>
          <w:p w14:paraId="68B6C7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详细参数配置要求</w:t>
            </w:r>
          </w:p>
        </w:tc>
      </w:tr>
      <w:tr w14:paraId="5D86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70" w:type="dxa"/>
            <w:vAlign w:val="center"/>
          </w:tcPr>
          <w:p w14:paraId="6C3D8E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323" w:type="dxa"/>
            <w:vAlign w:val="center"/>
          </w:tcPr>
          <w:p w14:paraId="1AE4D95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360" w:type="dxa"/>
            <w:vAlign w:val="center"/>
          </w:tcPr>
          <w:p w14:paraId="4A32A7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833" w:type="dxa"/>
            <w:vAlign w:val="center"/>
          </w:tcPr>
          <w:p w14:paraId="615A8014">
            <w:pPr>
              <w:widowControl/>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2）单颗CPU物理核心数≥16核、主频≥2.5GHz、末级缓存容量≥32MB、线程数≥32、热设计功耗≥135W、支持内存的最高速率≥3200MHz、通道数≥4、位宽≥64位；</w:t>
            </w:r>
          </w:p>
        </w:tc>
      </w:tr>
      <w:tr w14:paraId="60A7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0" w:type="dxa"/>
            <w:vAlign w:val="center"/>
          </w:tcPr>
          <w:p w14:paraId="03087F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323" w:type="dxa"/>
            <w:vMerge w:val="restart"/>
            <w:vAlign w:val="center"/>
          </w:tcPr>
          <w:p w14:paraId="0A282BF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360" w:type="dxa"/>
            <w:vAlign w:val="center"/>
          </w:tcPr>
          <w:p w14:paraId="486C5E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833" w:type="dxa"/>
            <w:vAlign w:val="center"/>
          </w:tcPr>
          <w:p w14:paraId="76E42733">
            <w:pPr>
              <w:widowControl/>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p>
          <w:p w14:paraId="744D5BB3">
            <w:pPr>
              <w:widowControl/>
              <w:rPr>
                <w:rFonts w:ascii="仿宋" w:hAnsi="仿宋" w:eastAsia="仿宋" w:cs="仿宋"/>
                <w:kern w:val="0"/>
                <w:sz w:val="24"/>
                <w:highlight w:val="none"/>
              </w:rPr>
            </w:pPr>
            <w:r>
              <w:rPr>
                <w:rFonts w:hint="eastAsia" w:ascii="仿宋" w:hAnsi="仿宋" w:eastAsia="仿宋" w:cs="仿宋"/>
                <w:kern w:val="0"/>
                <w:sz w:val="24"/>
                <w:highlight w:val="none"/>
              </w:rPr>
              <w:t>供应商应在投标时给出主板支持的CPU型号；</w:t>
            </w:r>
          </w:p>
        </w:tc>
      </w:tr>
      <w:tr w14:paraId="40D4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15B8C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323" w:type="dxa"/>
            <w:vMerge w:val="continue"/>
            <w:vAlign w:val="center"/>
          </w:tcPr>
          <w:p w14:paraId="7DFC39E4">
            <w:pPr>
              <w:rPr>
                <w:highlight w:val="none"/>
              </w:rPr>
            </w:pPr>
          </w:p>
        </w:tc>
        <w:tc>
          <w:tcPr>
            <w:tcW w:w="1360" w:type="dxa"/>
            <w:vAlign w:val="center"/>
          </w:tcPr>
          <w:p w14:paraId="634590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833" w:type="dxa"/>
            <w:vAlign w:val="center"/>
          </w:tcPr>
          <w:p w14:paraId="764F2303">
            <w:pPr>
              <w:widowControl/>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6B02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2E9B69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323" w:type="dxa"/>
            <w:vMerge w:val="continue"/>
            <w:vAlign w:val="center"/>
          </w:tcPr>
          <w:p w14:paraId="48505F26">
            <w:pPr>
              <w:rPr>
                <w:highlight w:val="none"/>
              </w:rPr>
            </w:pPr>
          </w:p>
        </w:tc>
        <w:tc>
          <w:tcPr>
            <w:tcW w:w="1360" w:type="dxa"/>
            <w:vAlign w:val="center"/>
          </w:tcPr>
          <w:p w14:paraId="1AFA953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833" w:type="dxa"/>
            <w:vAlign w:val="center"/>
          </w:tcPr>
          <w:p w14:paraId="63A9FDE4">
            <w:pPr>
              <w:widowControl/>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（1）主板支持SATA/SAS/M.2/U.2存储接口；（2）板载支持≥12个SATA/SAS盘；（3）板载可支持1个内置M.2 SSD；</w:t>
            </w:r>
          </w:p>
        </w:tc>
      </w:tr>
      <w:tr w14:paraId="629E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A2BCC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323" w:type="dxa"/>
            <w:vMerge w:val="continue"/>
            <w:vAlign w:val="center"/>
          </w:tcPr>
          <w:p w14:paraId="7551E81B">
            <w:pPr>
              <w:rPr>
                <w:highlight w:val="none"/>
              </w:rPr>
            </w:pPr>
          </w:p>
        </w:tc>
        <w:tc>
          <w:tcPr>
            <w:tcW w:w="1360" w:type="dxa"/>
            <w:vAlign w:val="center"/>
          </w:tcPr>
          <w:p w14:paraId="06EB33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833" w:type="dxa"/>
            <w:vAlign w:val="center"/>
          </w:tcPr>
          <w:p w14:paraId="3D91B2E3">
            <w:pPr>
              <w:widowControl/>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48F6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0" w:type="dxa"/>
            <w:vAlign w:val="center"/>
          </w:tcPr>
          <w:p w14:paraId="52E0A6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323" w:type="dxa"/>
            <w:vMerge w:val="continue"/>
            <w:vAlign w:val="center"/>
          </w:tcPr>
          <w:p w14:paraId="1EDA8AA6">
            <w:pPr>
              <w:rPr>
                <w:highlight w:val="none"/>
              </w:rPr>
            </w:pPr>
          </w:p>
        </w:tc>
        <w:tc>
          <w:tcPr>
            <w:tcW w:w="1360" w:type="dxa"/>
            <w:vAlign w:val="center"/>
          </w:tcPr>
          <w:p w14:paraId="3B974F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 PCIe 插槽数量及规格</w:t>
            </w:r>
          </w:p>
        </w:tc>
        <w:tc>
          <w:tcPr>
            <w:tcW w:w="5833" w:type="dxa"/>
            <w:vAlign w:val="center"/>
          </w:tcPr>
          <w:p w14:paraId="3EF24788">
            <w:pPr>
              <w:widowControl/>
              <w:rPr>
                <w:rFonts w:ascii="仿宋" w:hAnsi="仿宋" w:eastAsia="仿宋" w:cs="仿宋"/>
                <w:kern w:val="0"/>
                <w:sz w:val="24"/>
                <w:highlight w:val="none"/>
              </w:rPr>
            </w:pPr>
            <w:r>
              <w:rPr>
                <w:rFonts w:hint="eastAsia" w:ascii="仿宋" w:hAnsi="仿宋" w:eastAsia="仿宋" w:cs="仿宋"/>
                <w:kern w:val="0"/>
                <w:sz w:val="24"/>
                <w:highlight w:val="none"/>
              </w:rPr>
              <w:t>高度大于 44.45mm双路或以上服务器 PCle 插槽或接口应不少于5个；</w:t>
            </w:r>
          </w:p>
        </w:tc>
      </w:tr>
      <w:tr w14:paraId="635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782BA1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323" w:type="dxa"/>
            <w:vMerge w:val="restart"/>
            <w:vAlign w:val="center"/>
          </w:tcPr>
          <w:p w14:paraId="2B0DDC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360" w:type="dxa"/>
            <w:vAlign w:val="center"/>
          </w:tcPr>
          <w:p w14:paraId="09C4EF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833" w:type="dxa"/>
            <w:vAlign w:val="center"/>
          </w:tcPr>
          <w:p w14:paraId="15BAADBC">
            <w:pPr>
              <w:widowControl/>
              <w:rPr>
                <w:rFonts w:ascii="仿宋" w:hAnsi="仿宋" w:eastAsia="仿宋" w:cs="仿宋"/>
                <w:kern w:val="0"/>
                <w:sz w:val="24"/>
                <w:highlight w:val="none"/>
              </w:rPr>
            </w:pPr>
            <w:r>
              <w:rPr>
                <w:rFonts w:hint="eastAsia" w:ascii="仿宋" w:hAnsi="仿宋" w:eastAsia="仿宋" w:cs="仿宋"/>
                <w:kern w:val="0"/>
                <w:sz w:val="24"/>
                <w:highlight w:val="none"/>
              </w:rPr>
              <w:t>内存数量≥4</w:t>
            </w:r>
          </w:p>
        </w:tc>
      </w:tr>
      <w:tr w14:paraId="4E07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7DEB1F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323" w:type="dxa"/>
            <w:vMerge w:val="continue"/>
            <w:vAlign w:val="center"/>
          </w:tcPr>
          <w:p w14:paraId="0431AFD6">
            <w:pPr>
              <w:rPr>
                <w:highlight w:val="none"/>
              </w:rPr>
            </w:pPr>
          </w:p>
        </w:tc>
        <w:tc>
          <w:tcPr>
            <w:tcW w:w="1360" w:type="dxa"/>
            <w:vAlign w:val="center"/>
          </w:tcPr>
          <w:p w14:paraId="759B20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833" w:type="dxa"/>
            <w:vAlign w:val="center"/>
          </w:tcPr>
          <w:p w14:paraId="380302C9">
            <w:pPr>
              <w:widowControl/>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39A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57F36B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323" w:type="dxa"/>
            <w:vMerge w:val="continue"/>
            <w:vAlign w:val="center"/>
          </w:tcPr>
          <w:p w14:paraId="4258AE82">
            <w:pPr>
              <w:rPr>
                <w:highlight w:val="none"/>
              </w:rPr>
            </w:pPr>
          </w:p>
        </w:tc>
        <w:tc>
          <w:tcPr>
            <w:tcW w:w="1360" w:type="dxa"/>
            <w:vAlign w:val="center"/>
          </w:tcPr>
          <w:p w14:paraId="21BF9E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833" w:type="dxa"/>
            <w:vAlign w:val="center"/>
          </w:tcPr>
          <w:p w14:paraId="0E19BDD7">
            <w:pPr>
              <w:widowControl/>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793A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131515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323" w:type="dxa"/>
            <w:vMerge w:val="restart"/>
            <w:vAlign w:val="center"/>
          </w:tcPr>
          <w:p w14:paraId="1C78168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360" w:type="dxa"/>
            <w:vAlign w:val="center"/>
          </w:tcPr>
          <w:p w14:paraId="1803CF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833" w:type="dxa"/>
            <w:vAlign w:val="center"/>
          </w:tcPr>
          <w:p w14:paraId="3323BF38">
            <w:pPr>
              <w:widowControl/>
              <w:rPr>
                <w:rFonts w:ascii="仿宋" w:hAnsi="仿宋" w:eastAsia="仿宋" w:cs="仿宋"/>
                <w:kern w:val="0"/>
                <w:sz w:val="24"/>
                <w:highlight w:val="none"/>
              </w:rPr>
            </w:pPr>
            <w:r>
              <w:rPr>
                <w:rFonts w:hint="eastAsia" w:ascii="仿宋" w:hAnsi="仿宋" w:eastAsia="仿宋" w:cs="仿宋"/>
                <w:kern w:val="0"/>
                <w:sz w:val="24"/>
                <w:highlight w:val="none"/>
              </w:rPr>
              <w:t>实配≥4*600GB SAS；</w:t>
            </w:r>
          </w:p>
        </w:tc>
      </w:tr>
      <w:tr w14:paraId="5FD4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16950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323" w:type="dxa"/>
            <w:vMerge w:val="continue"/>
            <w:vAlign w:val="center"/>
          </w:tcPr>
          <w:p w14:paraId="3C9DC88A">
            <w:pPr>
              <w:rPr>
                <w:highlight w:val="none"/>
              </w:rPr>
            </w:pPr>
          </w:p>
        </w:tc>
        <w:tc>
          <w:tcPr>
            <w:tcW w:w="1360" w:type="dxa"/>
            <w:vAlign w:val="center"/>
          </w:tcPr>
          <w:p w14:paraId="61ED82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833" w:type="dxa"/>
            <w:vAlign w:val="center"/>
          </w:tcPr>
          <w:p w14:paraId="34E6F60B">
            <w:pPr>
              <w:widowControl/>
              <w:rPr>
                <w:rFonts w:ascii="仿宋" w:hAnsi="仿宋" w:eastAsia="仿宋" w:cs="仿宋"/>
                <w:kern w:val="0"/>
                <w:sz w:val="24"/>
                <w:highlight w:val="none"/>
              </w:rPr>
            </w:pPr>
            <w:r>
              <w:rPr>
                <w:rFonts w:hint="eastAsia" w:ascii="仿宋" w:hAnsi="仿宋" w:eastAsia="仿宋" w:cs="仿宋"/>
                <w:kern w:val="0"/>
                <w:sz w:val="24"/>
                <w:highlight w:val="none"/>
              </w:rPr>
              <w:t>实配≥4块SAS硬盘；</w:t>
            </w:r>
          </w:p>
        </w:tc>
      </w:tr>
      <w:tr w14:paraId="20E8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604CC08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323" w:type="dxa"/>
            <w:vMerge w:val="continue"/>
            <w:vAlign w:val="center"/>
          </w:tcPr>
          <w:p w14:paraId="18C8D967">
            <w:pPr>
              <w:rPr>
                <w:highlight w:val="none"/>
              </w:rPr>
            </w:pPr>
          </w:p>
        </w:tc>
        <w:tc>
          <w:tcPr>
            <w:tcW w:w="1360" w:type="dxa"/>
            <w:vAlign w:val="center"/>
          </w:tcPr>
          <w:p w14:paraId="7B7872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833" w:type="dxa"/>
            <w:vAlign w:val="center"/>
          </w:tcPr>
          <w:p w14:paraId="47867F0A">
            <w:pPr>
              <w:widowControl/>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SSD（2）后置支持≥2个2.5寸硬盘/3.5寸硬盘；</w:t>
            </w:r>
          </w:p>
        </w:tc>
      </w:tr>
      <w:tr w14:paraId="41E9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4FDDF6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323" w:type="dxa"/>
            <w:vAlign w:val="center"/>
          </w:tcPr>
          <w:p w14:paraId="697BF3A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360" w:type="dxa"/>
            <w:vAlign w:val="center"/>
          </w:tcPr>
          <w:p w14:paraId="3D7EAE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833" w:type="dxa"/>
            <w:vAlign w:val="center"/>
          </w:tcPr>
          <w:p w14:paraId="3B5546B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≥2*千兆双口RJ45</w:t>
            </w:r>
          </w:p>
        </w:tc>
      </w:tr>
      <w:tr w14:paraId="0E5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14090C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323" w:type="dxa"/>
            <w:vMerge w:val="restart"/>
            <w:vAlign w:val="center"/>
          </w:tcPr>
          <w:p w14:paraId="68653F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360" w:type="dxa"/>
            <w:vAlign w:val="center"/>
          </w:tcPr>
          <w:p w14:paraId="7112DF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833" w:type="dxa"/>
            <w:vAlign w:val="center"/>
          </w:tcPr>
          <w:p w14:paraId="30F71D7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2327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72A631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323" w:type="dxa"/>
            <w:vMerge w:val="continue"/>
            <w:vAlign w:val="center"/>
          </w:tcPr>
          <w:p w14:paraId="146D9387">
            <w:pPr>
              <w:rPr>
                <w:highlight w:val="none"/>
              </w:rPr>
            </w:pPr>
          </w:p>
        </w:tc>
        <w:tc>
          <w:tcPr>
            <w:tcW w:w="1360" w:type="dxa"/>
            <w:vAlign w:val="center"/>
          </w:tcPr>
          <w:p w14:paraId="7983DB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833" w:type="dxa"/>
            <w:vAlign w:val="center"/>
          </w:tcPr>
          <w:p w14:paraId="1574313A">
            <w:pPr>
              <w:widowControl/>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01D5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1258FD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323" w:type="dxa"/>
            <w:vMerge w:val="restart"/>
            <w:vAlign w:val="center"/>
          </w:tcPr>
          <w:p w14:paraId="085738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360" w:type="dxa"/>
            <w:vAlign w:val="center"/>
          </w:tcPr>
          <w:p w14:paraId="39EFDCF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833" w:type="dxa"/>
            <w:vAlign w:val="center"/>
          </w:tcPr>
          <w:p w14:paraId="6821B2E1">
            <w:pPr>
              <w:widowControl/>
              <w:rPr>
                <w:rFonts w:ascii="仿宋" w:hAnsi="仿宋" w:eastAsia="仿宋" w:cs="仿宋"/>
                <w:kern w:val="0"/>
                <w:sz w:val="24"/>
                <w:highlight w:val="none"/>
              </w:rPr>
            </w:pPr>
            <w:r>
              <w:rPr>
                <w:rFonts w:hint="eastAsia" w:ascii="仿宋" w:hAnsi="仿宋" w:eastAsia="仿宋" w:cs="仿宋"/>
                <w:kern w:val="0"/>
                <w:sz w:val="24"/>
                <w:highlight w:val="none"/>
              </w:rPr>
              <w:t>≥1</w:t>
            </w:r>
          </w:p>
        </w:tc>
      </w:tr>
      <w:tr w14:paraId="0E76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39345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323" w:type="dxa"/>
            <w:vMerge w:val="continue"/>
            <w:vAlign w:val="center"/>
          </w:tcPr>
          <w:p w14:paraId="49F6EBD1">
            <w:pPr>
              <w:rPr>
                <w:highlight w:val="none"/>
              </w:rPr>
            </w:pPr>
          </w:p>
        </w:tc>
        <w:tc>
          <w:tcPr>
            <w:tcW w:w="1360" w:type="dxa"/>
            <w:vAlign w:val="center"/>
          </w:tcPr>
          <w:p w14:paraId="16B245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833" w:type="dxa"/>
            <w:vAlign w:val="center"/>
          </w:tcPr>
          <w:p w14:paraId="3284BCC7">
            <w:pPr>
              <w:widowControl/>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3D96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70" w:type="dxa"/>
            <w:vAlign w:val="center"/>
          </w:tcPr>
          <w:p w14:paraId="7A00B3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323" w:type="dxa"/>
            <w:vMerge w:val="restart"/>
            <w:vAlign w:val="center"/>
          </w:tcPr>
          <w:p w14:paraId="31A1A2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360" w:type="dxa"/>
            <w:vAlign w:val="center"/>
          </w:tcPr>
          <w:p w14:paraId="2E3183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833" w:type="dxa"/>
            <w:vAlign w:val="center"/>
          </w:tcPr>
          <w:p w14:paraId="6A243693">
            <w:pPr>
              <w:widowControl/>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a)服务器的零部件应紧固无松动，可插拔部件应可靠连接，开关、按钮和其它控制部件应灵活可靠，布局应方便使用；b) 产品表面不应有明显的凹痕、划伤、裂缝、变形和污染等。表面涂层均匀，不应起泡、龟裂、脱落和磨损，金属零部件无锈蚀及其它机械损伤；c) 产品表面说明功能的文字、符号和标志应清晰、端正且牢固；d) 应在服务器的显著位置提供运行状态的指示功能，并在随机文件中明确具体含义；e) 机架、机箱的尺寸应符合通用机柜的安装要求，插入总线插座的电路板接口外形尺寸应符合有关总线标准的规定，将机箱固定在机柜上，机箱底面最大下垂变形不得干涉相邻机体；f) 高密度服务器应给出 CPU 个数与机柜高度；g) 服务器尺寸具体要求在随机文件中明确</w:t>
            </w:r>
          </w:p>
        </w:tc>
      </w:tr>
      <w:tr w14:paraId="046A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06B881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323" w:type="dxa"/>
            <w:vMerge w:val="continue"/>
            <w:vAlign w:val="center"/>
          </w:tcPr>
          <w:p w14:paraId="0B89FE77">
            <w:pPr>
              <w:rPr>
                <w:highlight w:val="none"/>
              </w:rPr>
            </w:pPr>
          </w:p>
        </w:tc>
        <w:tc>
          <w:tcPr>
            <w:tcW w:w="1360" w:type="dxa"/>
            <w:vAlign w:val="center"/>
          </w:tcPr>
          <w:p w14:paraId="08E3DF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833" w:type="dxa"/>
            <w:vAlign w:val="center"/>
          </w:tcPr>
          <w:p w14:paraId="36DED08B">
            <w:pPr>
              <w:widowControl/>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4C82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770" w:type="dxa"/>
            <w:vAlign w:val="center"/>
          </w:tcPr>
          <w:p w14:paraId="339929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323" w:type="dxa"/>
            <w:vMerge w:val="continue"/>
            <w:vAlign w:val="center"/>
          </w:tcPr>
          <w:p w14:paraId="6AA07E7A">
            <w:pPr>
              <w:rPr>
                <w:highlight w:val="none"/>
              </w:rPr>
            </w:pPr>
          </w:p>
        </w:tc>
        <w:tc>
          <w:tcPr>
            <w:tcW w:w="1360" w:type="dxa"/>
            <w:vAlign w:val="center"/>
          </w:tcPr>
          <w:p w14:paraId="3E2F9C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833" w:type="dxa"/>
            <w:vAlign w:val="center"/>
          </w:tcPr>
          <w:p w14:paraId="1A507559">
            <w:pPr>
              <w:widowControl/>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235C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6F04B5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323" w:type="dxa"/>
            <w:vMerge w:val="continue"/>
            <w:vAlign w:val="center"/>
          </w:tcPr>
          <w:p w14:paraId="38EA3570">
            <w:pPr>
              <w:rPr>
                <w:highlight w:val="none"/>
              </w:rPr>
            </w:pPr>
          </w:p>
        </w:tc>
        <w:tc>
          <w:tcPr>
            <w:tcW w:w="1360" w:type="dxa"/>
            <w:vAlign w:val="center"/>
          </w:tcPr>
          <w:p w14:paraId="209CA4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833" w:type="dxa"/>
            <w:vAlign w:val="center"/>
          </w:tcPr>
          <w:p w14:paraId="19A2C84A">
            <w:pPr>
              <w:widowControl/>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0EE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611669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323" w:type="dxa"/>
            <w:vMerge w:val="continue"/>
            <w:vAlign w:val="center"/>
          </w:tcPr>
          <w:p w14:paraId="29C7B463">
            <w:pPr>
              <w:rPr>
                <w:highlight w:val="none"/>
              </w:rPr>
            </w:pPr>
          </w:p>
        </w:tc>
        <w:tc>
          <w:tcPr>
            <w:tcW w:w="1360" w:type="dxa"/>
            <w:vAlign w:val="center"/>
          </w:tcPr>
          <w:p w14:paraId="5374DE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833" w:type="dxa"/>
            <w:vAlign w:val="center"/>
          </w:tcPr>
          <w:p w14:paraId="3AF44C6A">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4564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2F8A7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323" w:type="dxa"/>
            <w:vAlign w:val="center"/>
          </w:tcPr>
          <w:p w14:paraId="1E8D05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360" w:type="dxa"/>
            <w:vAlign w:val="center"/>
          </w:tcPr>
          <w:p w14:paraId="00EB99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833" w:type="dxa"/>
            <w:vAlign w:val="center"/>
          </w:tcPr>
          <w:p w14:paraId="54F6FDBA">
            <w:pPr>
              <w:widowControl/>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454A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154EE1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323" w:type="dxa"/>
            <w:vAlign w:val="center"/>
          </w:tcPr>
          <w:p w14:paraId="4094C7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w:t>
            </w:r>
          </w:p>
        </w:tc>
        <w:tc>
          <w:tcPr>
            <w:tcW w:w="1360" w:type="dxa"/>
            <w:vAlign w:val="center"/>
          </w:tcPr>
          <w:p w14:paraId="6C4D527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833" w:type="dxa"/>
            <w:vAlign w:val="center"/>
          </w:tcPr>
          <w:p w14:paraId="59B5D4BF">
            <w:pPr>
              <w:widowControl/>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2016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4AA5AB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323" w:type="dxa"/>
            <w:vAlign w:val="center"/>
          </w:tcPr>
          <w:p w14:paraId="4A3ACD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360" w:type="dxa"/>
            <w:vAlign w:val="center"/>
          </w:tcPr>
          <w:p w14:paraId="7BEBDF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833" w:type="dxa"/>
            <w:vAlign w:val="center"/>
          </w:tcPr>
          <w:p w14:paraId="580A512B">
            <w:pPr>
              <w:widowControl/>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6DCD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0" w:type="dxa"/>
            <w:vAlign w:val="center"/>
          </w:tcPr>
          <w:p w14:paraId="169C89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323" w:type="dxa"/>
            <w:vMerge w:val="restart"/>
            <w:vAlign w:val="center"/>
          </w:tcPr>
          <w:p w14:paraId="042FE5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360" w:type="dxa"/>
            <w:vAlign w:val="center"/>
          </w:tcPr>
          <w:p w14:paraId="6BA52A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833" w:type="dxa"/>
            <w:vAlign w:val="center"/>
          </w:tcPr>
          <w:p w14:paraId="605C3981">
            <w:pPr>
              <w:widowControl/>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7D0B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5892C9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323" w:type="dxa"/>
            <w:vMerge w:val="continue"/>
            <w:vAlign w:val="center"/>
          </w:tcPr>
          <w:p w14:paraId="52E05084">
            <w:pPr>
              <w:rPr>
                <w:highlight w:val="none"/>
              </w:rPr>
            </w:pPr>
          </w:p>
        </w:tc>
        <w:tc>
          <w:tcPr>
            <w:tcW w:w="1360" w:type="dxa"/>
            <w:vAlign w:val="center"/>
          </w:tcPr>
          <w:p w14:paraId="19D9E8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833" w:type="dxa"/>
            <w:vAlign w:val="center"/>
          </w:tcPr>
          <w:p w14:paraId="51B0759B">
            <w:pPr>
              <w:widowControl/>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120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B7ADC2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323" w:type="dxa"/>
            <w:vMerge w:val="restart"/>
            <w:vAlign w:val="center"/>
          </w:tcPr>
          <w:p w14:paraId="492E56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360" w:type="dxa"/>
            <w:vAlign w:val="center"/>
          </w:tcPr>
          <w:p w14:paraId="4A9395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833" w:type="dxa"/>
            <w:vAlign w:val="center"/>
          </w:tcPr>
          <w:p w14:paraId="11E278FD">
            <w:pPr>
              <w:widowControl/>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34A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7E8C67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323" w:type="dxa"/>
            <w:vMerge w:val="continue"/>
            <w:vAlign w:val="center"/>
          </w:tcPr>
          <w:p w14:paraId="7FAB8162">
            <w:pPr>
              <w:rPr>
                <w:highlight w:val="none"/>
              </w:rPr>
            </w:pPr>
          </w:p>
        </w:tc>
        <w:tc>
          <w:tcPr>
            <w:tcW w:w="1360" w:type="dxa"/>
            <w:vAlign w:val="center"/>
          </w:tcPr>
          <w:p w14:paraId="5F3F6B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833" w:type="dxa"/>
            <w:vAlign w:val="center"/>
          </w:tcPr>
          <w:p w14:paraId="65EE03A1">
            <w:pPr>
              <w:widowControl/>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351A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2A87F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323" w:type="dxa"/>
            <w:vAlign w:val="center"/>
          </w:tcPr>
          <w:p w14:paraId="420912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360" w:type="dxa"/>
            <w:vAlign w:val="center"/>
          </w:tcPr>
          <w:p w14:paraId="43B285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833" w:type="dxa"/>
            <w:vAlign w:val="center"/>
          </w:tcPr>
          <w:p w14:paraId="22DD3496">
            <w:pPr>
              <w:widowControl/>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475E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70" w:type="dxa"/>
            <w:vAlign w:val="center"/>
          </w:tcPr>
          <w:p w14:paraId="11598C8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323" w:type="dxa"/>
            <w:vMerge w:val="restart"/>
            <w:vAlign w:val="center"/>
          </w:tcPr>
          <w:p w14:paraId="2A98E2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360" w:type="dxa"/>
            <w:vAlign w:val="center"/>
          </w:tcPr>
          <w:p w14:paraId="59760C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833" w:type="dxa"/>
            <w:vAlign w:val="center"/>
          </w:tcPr>
          <w:p w14:paraId="20ED003A">
            <w:pPr>
              <w:widowControl/>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19DC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0" w:type="dxa"/>
            <w:vAlign w:val="center"/>
          </w:tcPr>
          <w:p w14:paraId="1BBD16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323" w:type="dxa"/>
            <w:vMerge w:val="continue"/>
            <w:vAlign w:val="center"/>
          </w:tcPr>
          <w:p w14:paraId="48C53A23">
            <w:pPr>
              <w:rPr>
                <w:highlight w:val="none"/>
              </w:rPr>
            </w:pPr>
          </w:p>
        </w:tc>
        <w:tc>
          <w:tcPr>
            <w:tcW w:w="1360" w:type="dxa"/>
            <w:vAlign w:val="center"/>
          </w:tcPr>
          <w:p w14:paraId="6CC9EA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833" w:type="dxa"/>
            <w:vAlign w:val="center"/>
          </w:tcPr>
          <w:p w14:paraId="4A3C9248">
            <w:pPr>
              <w:widowControl/>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2EB6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18EC05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323" w:type="dxa"/>
            <w:vMerge w:val="continue"/>
            <w:vAlign w:val="center"/>
          </w:tcPr>
          <w:p w14:paraId="00BC4587">
            <w:pPr>
              <w:rPr>
                <w:highlight w:val="none"/>
              </w:rPr>
            </w:pPr>
          </w:p>
        </w:tc>
        <w:tc>
          <w:tcPr>
            <w:tcW w:w="1360" w:type="dxa"/>
            <w:vAlign w:val="center"/>
          </w:tcPr>
          <w:p w14:paraId="641179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833" w:type="dxa"/>
            <w:vAlign w:val="center"/>
          </w:tcPr>
          <w:p w14:paraId="13F1F871">
            <w:pPr>
              <w:widowControl/>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4A6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vAlign w:val="center"/>
          </w:tcPr>
          <w:p w14:paraId="62593B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323" w:type="dxa"/>
            <w:vMerge w:val="restart"/>
            <w:vAlign w:val="center"/>
          </w:tcPr>
          <w:p w14:paraId="0663B99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360" w:type="dxa"/>
            <w:vAlign w:val="center"/>
          </w:tcPr>
          <w:p w14:paraId="30A47E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833" w:type="dxa"/>
            <w:vAlign w:val="center"/>
          </w:tcPr>
          <w:p w14:paraId="4AD250C2">
            <w:pPr>
              <w:widowControl/>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512E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0" w:type="dxa"/>
            <w:vAlign w:val="center"/>
          </w:tcPr>
          <w:p w14:paraId="7CDE10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323" w:type="dxa"/>
            <w:vMerge w:val="continue"/>
            <w:vAlign w:val="center"/>
          </w:tcPr>
          <w:p w14:paraId="3D7447AB">
            <w:pPr>
              <w:rPr>
                <w:highlight w:val="none"/>
              </w:rPr>
            </w:pPr>
          </w:p>
        </w:tc>
        <w:tc>
          <w:tcPr>
            <w:tcW w:w="1360" w:type="dxa"/>
            <w:vAlign w:val="center"/>
          </w:tcPr>
          <w:p w14:paraId="6C7EDC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833" w:type="dxa"/>
            <w:vAlign w:val="center"/>
          </w:tcPr>
          <w:p w14:paraId="62E8C386">
            <w:pPr>
              <w:widowControl/>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1EFB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4AA937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323" w:type="dxa"/>
            <w:vAlign w:val="center"/>
          </w:tcPr>
          <w:p w14:paraId="04A0BA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360" w:type="dxa"/>
            <w:vAlign w:val="center"/>
          </w:tcPr>
          <w:p w14:paraId="54E386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833" w:type="dxa"/>
            <w:vAlign w:val="center"/>
          </w:tcPr>
          <w:p w14:paraId="71CC063D">
            <w:pPr>
              <w:widowControl/>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11DE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23E640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323" w:type="dxa"/>
            <w:vAlign w:val="center"/>
          </w:tcPr>
          <w:p w14:paraId="2B1CB14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360" w:type="dxa"/>
            <w:vAlign w:val="center"/>
          </w:tcPr>
          <w:p w14:paraId="2CA637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5833" w:type="dxa"/>
            <w:vAlign w:val="center"/>
          </w:tcPr>
          <w:p w14:paraId="392BD0F8">
            <w:pPr>
              <w:widowControl/>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1318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41FD87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323" w:type="dxa"/>
            <w:vAlign w:val="center"/>
          </w:tcPr>
          <w:p w14:paraId="4A941F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360" w:type="dxa"/>
            <w:vAlign w:val="center"/>
          </w:tcPr>
          <w:p w14:paraId="6AFD8D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833" w:type="dxa"/>
            <w:vAlign w:val="center"/>
          </w:tcPr>
          <w:p w14:paraId="5E6FFA45">
            <w:pPr>
              <w:widowControl/>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20A9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520D5F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323" w:type="dxa"/>
            <w:vMerge w:val="restart"/>
            <w:vAlign w:val="center"/>
          </w:tcPr>
          <w:p w14:paraId="16196C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360" w:type="dxa"/>
            <w:vAlign w:val="center"/>
          </w:tcPr>
          <w:p w14:paraId="585C4F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833" w:type="dxa"/>
            <w:vAlign w:val="center"/>
          </w:tcPr>
          <w:p w14:paraId="1D58D62D">
            <w:pPr>
              <w:widowControl/>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2BB3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411C2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323" w:type="dxa"/>
            <w:vMerge w:val="continue"/>
            <w:vAlign w:val="center"/>
          </w:tcPr>
          <w:p w14:paraId="7E4466B8">
            <w:pPr>
              <w:rPr>
                <w:highlight w:val="none"/>
              </w:rPr>
            </w:pPr>
          </w:p>
        </w:tc>
        <w:tc>
          <w:tcPr>
            <w:tcW w:w="1360" w:type="dxa"/>
            <w:vAlign w:val="center"/>
          </w:tcPr>
          <w:p w14:paraId="184AB2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833" w:type="dxa"/>
            <w:vAlign w:val="center"/>
          </w:tcPr>
          <w:p w14:paraId="191715D3">
            <w:pPr>
              <w:widowControl/>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648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04837A9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323" w:type="dxa"/>
            <w:vMerge w:val="continue"/>
            <w:vAlign w:val="center"/>
          </w:tcPr>
          <w:p w14:paraId="49A42210">
            <w:pPr>
              <w:rPr>
                <w:highlight w:val="none"/>
              </w:rPr>
            </w:pPr>
          </w:p>
        </w:tc>
        <w:tc>
          <w:tcPr>
            <w:tcW w:w="1360" w:type="dxa"/>
            <w:vAlign w:val="center"/>
          </w:tcPr>
          <w:p w14:paraId="1E266C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833" w:type="dxa"/>
            <w:vAlign w:val="center"/>
          </w:tcPr>
          <w:p w14:paraId="7121453A">
            <w:pPr>
              <w:widowControl/>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2C71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2C6DA8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323" w:type="dxa"/>
            <w:vMerge w:val="continue"/>
            <w:vAlign w:val="center"/>
          </w:tcPr>
          <w:p w14:paraId="65AC008C">
            <w:pPr>
              <w:rPr>
                <w:highlight w:val="none"/>
              </w:rPr>
            </w:pPr>
          </w:p>
        </w:tc>
        <w:tc>
          <w:tcPr>
            <w:tcW w:w="1360" w:type="dxa"/>
            <w:vAlign w:val="center"/>
          </w:tcPr>
          <w:p w14:paraId="489F3C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833" w:type="dxa"/>
            <w:vAlign w:val="center"/>
          </w:tcPr>
          <w:p w14:paraId="01258C18">
            <w:pPr>
              <w:widowControl/>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4E9F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4441E0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323" w:type="dxa"/>
            <w:vMerge w:val="continue"/>
            <w:vAlign w:val="center"/>
          </w:tcPr>
          <w:p w14:paraId="62D2AC0D">
            <w:pPr>
              <w:rPr>
                <w:highlight w:val="none"/>
              </w:rPr>
            </w:pPr>
          </w:p>
        </w:tc>
        <w:tc>
          <w:tcPr>
            <w:tcW w:w="1360" w:type="dxa"/>
            <w:vAlign w:val="center"/>
          </w:tcPr>
          <w:p w14:paraId="61DA39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833" w:type="dxa"/>
            <w:vAlign w:val="center"/>
          </w:tcPr>
          <w:p w14:paraId="334D4F09">
            <w:pPr>
              <w:widowControl/>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2741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70" w:type="dxa"/>
            <w:vAlign w:val="center"/>
          </w:tcPr>
          <w:p w14:paraId="4C1AC7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323" w:type="dxa"/>
            <w:vAlign w:val="center"/>
          </w:tcPr>
          <w:p w14:paraId="05280F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360" w:type="dxa"/>
            <w:vAlign w:val="center"/>
          </w:tcPr>
          <w:p w14:paraId="0671AA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833" w:type="dxa"/>
            <w:vAlign w:val="center"/>
          </w:tcPr>
          <w:p w14:paraId="6546936B">
            <w:pPr>
              <w:widowControl/>
              <w:rPr>
                <w:rFonts w:ascii="仿宋" w:hAnsi="仿宋" w:eastAsia="仿宋" w:cs="仿宋"/>
                <w:kern w:val="0"/>
                <w:sz w:val="24"/>
                <w:highlight w:val="none"/>
              </w:rPr>
            </w:pPr>
            <w:r>
              <w:rPr>
                <w:rFonts w:hint="eastAsia" w:ascii="仿宋" w:hAnsi="仿宋" w:eastAsia="仿宋" w:cs="仿宋"/>
                <w:kern w:val="0"/>
                <w:sz w:val="24"/>
                <w:highlight w:val="none"/>
              </w:rPr>
              <w:t xml:space="preserve">乙方承诺，生产商已建立从需求、设计、开发、测试、维护端到端的开发流程管理机制，输出和保存开发流程中每个阶段的产品需求清单、设计文档、开发文档、测试记录等材料，保证各个流程可追溯； </w:t>
            </w:r>
          </w:p>
        </w:tc>
      </w:tr>
      <w:tr w14:paraId="4084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530970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323" w:type="dxa"/>
            <w:vAlign w:val="center"/>
          </w:tcPr>
          <w:p w14:paraId="56CEB0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360" w:type="dxa"/>
            <w:vAlign w:val="center"/>
          </w:tcPr>
          <w:p w14:paraId="341A97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833" w:type="dxa"/>
            <w:vAlign w:val="center"/>
          </w:tcPr>
          <w:p w14:paraId="1C9F613C">
            <w:pPr>
              <w:widowControl/>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6EA3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6B6E82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323" w:type="dxa"/>
            <w:vAlign w:val="center"/>
          </w:tcPr>
          <w:p w14:paraId="5091F9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360" w:type="dxa"/>
            <w:vAlign w:val="center"/>
          </w:tcPr>
          <w:p w14:paraId="3B916D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833" w:type="dxa"/>
            <w:vAlign w:val="center"/>
          </w:tcPr>
          <w:p w14:paraId="2E01D15A">
            <w:pPr>
              <w:widowControl/>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74DF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1DB403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323" w:type="dxa"/>
            <w:vMerge w:val="restart"/>
            <w:vAlign w:val="center"/>
          </w:tcPr>
          <w:p w14:paraId="394A28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360" w:type="dxa"/>
            <w:vAlign w:val="center"/>
          </w:tcPr>
          <w:p w14:paraId="526C6D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833" w:type="dxa"/>
            <w:vAlign w:val="center"/>
          </w:tcPr>
          <w:p w14:paraId="43A526D6">
            <w:pPr>
              <w:widowControl/>
              <w:rPr>
                <w:rFonts w:ascii="仿宋" w:hAnsi="仿宋" w:eastAsia="仿宋" w:cs="仿宋"/>
                <w:kern w:val="0"/>
                <w:sz w:val="24"/>
                <w:highlight w:val="none"/>
              </w:rPr>
            </w:pPr>
            <w:r>
              <w:rPr>
                <w:rFonts w:hint="eastAsia" w:ascii="仿宋" w:hAnsi="仿宋" w:eastAsia="仿宋" w:cs="仿宋"/>
                <w:kern w:val="0"/>
                <w:sz w:val="24"/>
                <w:highlight w:val="none"/>
              </w:rPr>
              <w:t>≥2.5GHz</w:t>
            </w:r>
          </w:p>
        </w:tc>
      </w:tr>
      <w:tr w14:paraId="5624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5F5120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323" w:type="dxa"/>
            <w:vMerge w:val="continue"/>
            <w:vAlign w:val="center"/>
          </w:tcPr>
          <w:p w14:paraId="519A57D2">
            <w:pPr>
              <w:rPr>
                <w:highlight w:val="none"/>
              </w:rPr>
            </w:pPr>
          </w:p>
        </w:tc>
        <w:tc>
          <w:tcPr>
            <w:tcW w:w="1360" w:type="dxa"/>
            <w:vAlign w:val="center"/>
          </w:tcPr>
          <w:p w14:paraId="08B0F7F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 CPU 核数</w:t>
            </w:r>
          </w:p>
        </w:tc>
        <w:tc>
          <w:tcPr>
            <w:tcW w:w="5833" w:type="dxa"/>
            <w:vAlign w:val="center"/>
          </w:tcPr>
          <w:p w14:paraId="5EFA5340">
            <w:pPr>
              <w:widowControl/>
              <w:rPr>
                <w:rFonts w:ascii="仿宋" w:hAnsi="仿宋" w:eastAsia="仿宋" w:cs="仿宋"/>
                <w:kern w:val="0"/>
                <w:sz w:val="24"/>
                <w:highlight w:val="none"/>
              </w:rPr>
            </w:pPr>
            <w:r>
              <w:rPr>
                <w:rFonts w:hint="eastAsia" w:ascii="仿宋" w:hAnsi="仿宋" w:eastAsia="仿宋" w:cs="仿宋"/>
                <w:kern w:val="0"/>
                <w:sz w:val="24"/>
                <w:highlight w:val="none"/>
              </w:rPr>
              <w:t>≥16</w:t>
            </w:r>
          </w:p>
        </w:tc>
      </w:tr>
      <w:tr w14:paraId="3A92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4DF091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323" w:type="dxa"/>
            <w:vMerge w:val="continue"/>
            <w:vAlign w:val="center"/>
          </w:tcPr>
          <w:p w14:paraId="31EC48C5">
            <w:pPr>
              <w:rPr>
                <w:highlight w:val="none"/>
              </w:rPr>
            </w:pPr>
          </w:p>
        </w:tc>
        <w:tc>
          <w:tcPr>
            <w:tcW w:w="1360" w:type="dxa"/>
            <w:vAlign w:val="center"/>
          </w:tcPr>
          <w:p w14:paraId="292511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 CPU 末级缓存容量</w:t>
            </w:r>
          </w:p>
        </w:tc>
        <w:tc>
          <w:tcPr>
            <w:tcW w:w="5833" w:type="dxa"/>
            <w:vAlign w:val="center"/>
          </w:tcPr>
          <w:p w14:paraId="36C053E3">
            <w:pPr>
              <w:widowControl/>
              <w:rPr>
                <w:rFonts w:ascii="仿宋" w:hAnsi="仿宋" w:eastAsia="仿宋" w:cs="仿宋"/>
                <w:kern w:val="0"/>
                <w:sz w:val="24"/>
                <w:highlight w:val="none"/>
              </w:rPr>
            </w:pPr>
            <w:r>
              <w:rPr>
                <w:rFonts w:hint="eastAsia" w:ascii="仿宋" w:hAnsi="仿宋" w:eastAsia="仿宋" w:cs="仿宋"/>
                <w:kern w:val="0"/>
                <w:sz w:val="24"/>
                <w:highlight w:val="none"/>
              </w:rPr>
              <w:t>≥32MB</w:t>
            </w:r>
          </w:p>
        </w:tc>
      </w:tr>
      <w:tr w14:paraId="5062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40950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323" w:type="dxa"/>
            <w:vAlign w:val="center"/>
          </w:tcPr>
          <w:p w14:paraId="423B68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360" w:type="dxa"/>
            <w:vAlign w:val="center"/>
          </w:tcPr>
          <w:p w14:paraId="545CC20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833" w:type="dxa"/>
            <w:vAlign w:val="center"/>
          </w:tcPr>
          <w:p w14:paraId="5D84FC13">
            <w:pPr>
              <w:widowControl/>
              <w:rPr>
                <w:rFonts w:ascii="仿宋" w:hAnsi="仿宋" w:eastAsia="仿宋" w:cs="仿宋"/>
                <w:kern w:val="0"/>
                <w:sz w:val="24"/>
                <w:highlight w:val="none"/>
              </w:rPr>
            </w:pPr>
            <w:r>
              <w:rPr>
                <w:rFonts w:hint="eastAsia" w:ascii="仿宋" w:hAnsi="仿宋" w:eastAsia="仿宋" w:cs="仿宋"/>
                <w:kern w:val="0"/>
                <w:sz w:val="24"/>
                <w:highlight w:val="none"/>
              </w:rPr>
              <w:t>≥3200MT/s</w:t>
            </w:r>
          </w:p>
        </w:tc>
      </w:tr>
      <w:tr w14:paraId="6F3C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BA668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323" w:type="dxa"/>
            <w:vAlign w:val="center"/>
          </w:tcPr>
          <w:p w14:paraId="03FE52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360" w:type="dxa"/>
            <w:vAlign w:val="center"/>
          </w:tcPr>
          <w:p w14:paraId="4052C7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833" w:type="dxa"/>
            <w:vAlign w:val="center"/>
          </w:tcPr>
          <w:p w14:paraId="2C45B005">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3523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B37A32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323" w:type="dxa"/>
            <w:vMerge w:val="restart"/>
            <w:vAlign w:val="center"/>
          </w:tcPr>
          <w:p w14:paraId="51BD42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360" w:type="dxa"/>
            <w:vAlign w:val="center"/>
          </w:tcPr>
          <w:p w14:paraId="04AB35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833" w:type="dxa"/>
            <w:vAlign w:val="center"/>
          </w:tcPr>
          <w:p w14:paraId="043E360F">
            <w:pPr>
              <w:widowControl/>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7DD0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417EF9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323" w:type="dxa"/>
            <w:vMerge w:val="continue"/>
            <w:vAlign w:val="center"/>
          </w:tcPr>
          <w:p w14:paraId="255E931F">
            <w:pPr>
              <w:rPr>
                <w:highlight w:val="none"/>
              </w:rPr>
            </w:pPr>
          </w:p>
        </w:tc>
        <w:tc>
          <w:tcPr>
            <w:tcW w:w="1360" w:type="dxa"/>
            <w:vAlign w:val="center"/>
          </w:tcPr>
          <w:p w14:paraId="747AE6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833" w:type="dxa"/>
            <w:vAlign w:val="center"/>
          </w:tcPr>
          <w:p w14:paraId="033136AB">
            <w:pPr>
              <w:widowControl/>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7304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E57CA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323" w:type="dxa"/>
            <w:vMerge w:val="continue"/>
            <w:vAlign w:val="center"/>
          </w:tcPr>
          <w:p w14:paraId="035999D5">
            <w:pPr>
              <w:rPr>
                <w:highlight w:val="none"/>
              </w:rPr>
            </w:pPr>
          </w:p>
        </w:tc>
        <w:tc>
          <w:tcPr>
            <w:tcW w:w="1360" w:type="dxa"/>
            <w:vAlign w:val="center"/>
          </w:tcPr>
          <w:p w14:paraId="1409278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833" w:type="dxa"/>
            <w:vAlign w:val="center"/>
          </w:tcPr>
          <w:p w14:paraId="63359361">
            <w:pPr>
              <w:widowControl/>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58EB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88400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323" w:type="dxa"/>
            <w:vMerge w:val="continue"/>
            <w:vAlign w:val="center"/>
          </w:tcPr>
          <w:p w14:paraId="4F223C0A">
            <w:pPr>
              <w:rPr>
                <w:highlight w:val="none"/>
              </w:rPr>
            </w:pPr>
          </w:p>
        </w:tc>
        <w:tc>
          <w:tcPr>
            <w:tcW w:w="1360" w:type="dxa"/>
            <w:vAlign w:val="center"/>
          </w:tcPr>
          <w:p w14:paraId="5C63664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833" w:type="dxa"/>
            <w:vAlign w:val="center"/>
          </w:tcPr>
          <w:p w14:paraId="67BECA0C">
            <w:pPr>
              <w:widowControl/>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3B26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0" w:type="dxa"/>
            <w:vAlign w:val="center"/>
          </w:tcPr>
          <w:p w14:paraId="781B89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323" w:type="dxa"/>
            <w:vAlign w:val="center"/>
          </w:tcPr>
          <w:p w14:paraId="718B20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360" w:type="dxa"/>
            <w:vAlign w:val="center"/>
          </w:tcPr>
          <w:p w14:paraId="6A8002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833" w:type="dxa"/>
            <w:vAlign w:val="center"/>
          </w:tcPr>
          <w:p w14:paraId="2348A97F">
            <w:pPr>
              <w:widowControl/>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55C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80567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323" w:type="dxa"/>
            <w:vMerge w:val="restart"/>
            <w:vAlign w:val="center"/>
          </w:tcPr>
          <w:p w14:paraId="5331FE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360" w:type="dxa"/>
            <w:vAlign w:val="center"/>
          </w:tcPr>
          <w:p w14:paraId="7B981E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833" w:type="dxa"/>
            <w:vAlign w:val="center"/>
          </w:tcPr>
          <w:p w14:paraId="09AB3AD9">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1E00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2AB3F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323" w:type="dxa"/>
            <w:vMerge w:val="continue"/>
            <w:vAlign w:val="center"/>
          </w:tcPr>
          <w:p w14:paraId="318370C7">
            <w:pPr>
              <w:rPr>
                <w:highlight w:val="none"/>
              </w:rPr>
            </w:pPr>
          </w:p>
        </w:tc>
        <w:tc>
          <w:tcPr>
            <w:tcW w:w="1360" w:type="dxa"/>
            <w:vAlign w:val="center"/>
          </w:tcPr>
          <w:p w14:paraId="60EE37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833" w:type="dxa"/>
            <w:vAlign w:val="center"/>
          </w:tcPr>
          <w:p w14:paraId="2F567008">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0C78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637AD8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323" w:type="dxa"/>
            <w:vMerge w:val="continue"/>
            <w:vAlign w:val="center"/>
          </w:tcPr>
          <w:p w14:paraId="463FEDA9">
            <w:pPr>
              <w:rPr>
                <w:highlight w:val="none"/>
              </w:rPr>
            </w:pPr>
          </w:p>
        </w:tc>
        <w:tc>
          <w:tcPr>
            <w:tcW w:w="1360" w:type="dxa"/>
            <w:vAlign w:val="center"/>
          </w:tcPr>
          <w:p w14:paraId="28ABE85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833" w:type="dxa"/>
            <w:vAlign w:val="center"/>
          </w:tcPr>
          <w:p w14:paraId="2F9C2D13">
            <w:pPr>
              <w:widowControl/>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6AB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6EC57D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323" w:type="dxa"/>
            <w:vMerge w:val="restart"/>
            <w:vAlign w:val="center"/>
          </w:tcPr>
          <w:p w14:paraId="0BD84F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360" w:type="dxa"/>
            <w:vAlign w:val="center"/>
          </w:tcPr>
          <w:p w14:paraId="54EC5F3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833" w:type="dxa"/>
            <w:vAlign w:val="center"/>
          </w:tcPr>
          <w:p w14:paraId="377B89C4">
            <w:pPr>
              <w:widowControl/>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0FCB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061C1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323" w:type="dxa"/>
            <w:vMerge w:val="continue"/>
            <w:vAlign w:val="center"/>
          </w:tcPr>
          <w:p w14:paraId="6BCB0E0B">
            <w:pPr>
              <w:rPr>
                <w:highlight w:val="none"/>
              </w:rPr>
            </w:pPr>
          </w:p>
        </w:tc>
        <w:tc>
          <w:tcPr>
            <w:tcW w:w="1360" w:type="dxa"/>
            <w:vAlign w:val="center"/>
          </w:tcPr>
          <w:p w14:paraId="07B4D5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833" w:type="dxa"/>
            <w:vAlign w:val="center"/>
          </w:tcPr>
          <w:p w14:paraId="0B970FB4">
            <w:pPr>
              <w:widowControl/>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0590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4B8235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323" w:type="dxa"/>
            <w:vMerge w:val="continue"/>
            <w:vAlign w:val="center"/>
          </w:tcPr>
          <w:p w14:paraId="14326782">
            <w:pPr>
              <w:rPr>
                <w:highlight w:val="none"/>
              </w:rPr>
            </w:pPr>
          </w:p>
        </w:tc>
        <w:tc>
          <w:tcPr>
            <w:tcW w:w="1360" w:type="dxa"/>
            <w:vAlign w:val="center"/>
          </w:tcPr>
          <w:p w14:paraId="2E4AF3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833" w:type="dxa"/>
            <w:vAlign w:val="center"/>
          </w:tcPr>
          <w:p w14:paraId="0B66C547">
            <w:pPr>
              <w:widowControl/>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550A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216804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323" w:type="dxa"/>
            <w:vAlign w:val="center"/>
          </w:tcPr>
          <w:p w14:paraId="44F323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360" w:type="dxa"/>
            <w:vAlign w:val="center"/>
          </w:tcPr>
          <w:p w14:paraId="09FD73D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833" w:type="dxa"/>
            <w:vAlign w:val="center"/>
          </w:tcPr>
          <w:p w14:paraId="09B54B68">
            <w:pPr>
              <w:widowControl/>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68FA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70" w:type="dxa"/>
            <w:vAlign w:val="center"/>
          </w:tcPr>
          <w:p w14:paraId="6946B7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323" w:type="dxa"/>
            <w:vMerge w:val="restart"/>
            <w:vAlign w:val="center"/>
          </w:tcPr>
          <w:p w14:paraId="6BA7FE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360" w:type="dxa"/>
            <w:vAlign w:val="center"/>
          </w:tcPr>
          <w:p w14:paraId="391B32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833" w:type="dxa"/>
            <w:vAlign w:val="center"/>
          </w:tcPr>
          <w:p w14:paraId="4A0CC4C3">
            <w:pPr>
              <w:widowControl/>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p>
          <w:p w14:paraId="77083D6C">
            <w:pPr>
              <w:widowControl/>
              <w:rPr>
                <w:rFonts w:ascii="仿宋" w:hAnsi="仿宋" w:eastAsia="仿宋" w:cs="仿宋"/>
                <w:kern w:val="0"/>
                <w:sz w:val="24"/>
                <w:highlight w:val="none"/>
              </w:rPr>
            </w:pP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p>
          <w:p w14:paraId="1217C404">
            <w:pPr>
              <w:widowControl/>
              <w:rPr>
                <w:rFonts w:ascii="仿宋" w:hAnsi="仿宋" w:eastAsia="仿宋" w:cs="仿宋"/>
                <w:kern w:val="0"/>
                <w:sz w:val="24"/>
                <w:highlight w:val="none"/>
              </w:rPr>
            </w:pPr>
            <w:r>
              <w:rPr>
                <w:rFonts w:hint="eastAsia" w:ascii="仿宋" w:hAnsi="仿宋" w:eastAsia="仿宋" w:cs="仿宋"/>
                <w:kern w:val="0"/>
                <w:sz w:val="24"/>
                <w:highlight w:val="none"/>
              </w:rPr>
              <w:t>c) 建立全国技术服务体系和服务团体，符合专业服务体系标准要求，提供中文服务；</w:t>
            </w:r>
          </w:p>
          <w:p w14:paraId="360C7054">
            <w:pPr>
              <w:widowControl/>
              <w:rPr>
                <w:rFonts w:ascii="仿宋" w:hAnsi="仿宋" w:eastAsia="仿宋" w:cs="仿宋"/>
                <w:kern w:val="0"/>
                <w:sz w:val="24"/>
                <w:highlight w:val="none"/>
              </w:rPr>
            </w:pPr>
            <w:r>
              <w:rPr>
                <w:rFonts w:hint="eastAsia" w:ascii="仿宋" w:hAnsi="仿宋" w:eastAsia="仿宋" w:cs="仿宋"/>
                <w:kern w:val="0"/>
                <w:sz w:val="24"/>
                <w:highlight w:val="none"/>
              </w:rPr>
              <w:t>d) 服务周期内提供产品的维修、换件和升级服务</w:t>
            </w:r>
          </w:p>
        </w:tc>
      </w:tr>
      <w:tr w14:paraId="3C48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34FC888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323" w:type="dxa"/>
            <w:vMerge w:val="continue"/>
            <w:vAlign w:val="center"/>
          </w:tcPr>
          <w:p w14:paraId="4C345D3A">
            <w:pPr>
              <w:rPr>
                <w:highlight w:val="none"/>
              </w:rPr>
            </w:pPr>
          </w:p>
        </w:tc>
        <w:tc>
          <w:tcPr>
            <w:tcW w:w="1360" w:type="dxa"/>
            <w:vAlign w:val="center"/>
          </w:tcPr>
          <w:p w14:paraId="464E32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833" w:type="dxa"/>
            <w:vAlign w:val="center"/>
          </w:tcPr>
          <w:p w14:paraId="78A1ABA6">
            <w:pPr>
              <w:widowControl/>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75C1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0" w:type="dxa"/>
            <w:vAlign w:val="center"/>
          </w:tcPr>
          <w:p w14:paraId="0525E8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323" w:type="dxa"/>
            <w:vAlign w:val="center"/>
          </w:tcPr>
          <w:p w14:paraId="2753E7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360" w:type="dxa"/>
            <w:vAlign w:val="center"/>
          </w:tcPr>
          <w:p w14:paraId="774720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833" w:type="dxa"/>
            <w:vAlign w:val="center"/>
          </w:tcPr>
          <w:p w14:paraId="12B0F67C">
            <w:pPr>
              <w:widowControl/>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w:t>
            </w:r>
          </w:p>
          <w:p w14:paraId="2567E2F4">
            <w:pPr>
              <w:widowControl/>
              <w:rPr>
                <w:rFonts w:ascii="仿宋" w:hAnsi="仿宋" w:eastAsia="仿宋" w:cs="仿宋"/>
                <w:kern w:val="0"/>
                <w:sz w:val="24"/>
                <w:highlight w:val="none"/>
              </w:rPr>
            </w:pPr>
            <w:r>
              <w:rPr>
                <w:rFonts w:hint="eastAsia" w:ascii="仿宋" w:hAnsi="仿宋" w:eastAsia="仿宋" w:cs="仿宋"/>
                <w:kern w:val="0"/>
                <w:sz w:val="24"/>
                <w:highlight w:val="none"/>
              </w:rPr>
              <w:t>（2）设备停产后继续提供质量保障服务（含备品备件），服务终止时间与最后一批设备交付时间间隔≥6年；</w:t>
            </w:r>
          </w:p>
          <w:p w14:paraId="7F221067">
            <w:pPr>
              <w:widowControl/>
              <w:rPr>
                <w:rFonts w:ascii="仿宋" w:hAnsi="仿宋" w:eastAsia="仿宋" w:cs="仿宋"/>
                <w:kern w:val="0"/>
                <w:sz w:val="24"/>
                <w:highlight w:val="none"/>
              </w:rPr>
            </w:pPr>
            <w:r>
              <w:rPr>
                <w:rFonts w:hint="eastAsia" w:ascii="仿宋" w:hAnsi="仿宋" w:eastAsia="仿宋" w:cs="仿宋"/>
                <w:kern w:val="0"/>
                <w:sz w:val="24"/>
                <w:highlight w:val="none"/>
              </w:rPr>
              <w:t>（3）产品停止服务时间应提前1年告知客户；（4）产品发布日期需在随机文件中明确。</w:t>
            </w:r>
          </w:p>
        </w:tc>
      </w:tr>
      <w:tr w14:paraId="37C2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7DE855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323" w:type="dxa"/>
            <w:vMerge w:val="restart"/>
            <w:vAlign w:val="center"/>
          </w:tcPr>
          <w:p w14:paraId="446F05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360" w:type="dxa"/>
            <w:vAlign w:val="center"/>
          </w:tcPr>
          <w:p w14:paraId="3B8627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833" w:type="dxa"/>
            <w:vAlign w:val="center"/>
          </w:tcPr>
          <w:p w14:paraId="0F7EED93">
            <w:pPr>
              <w:widowControl/>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243C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6876A2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323" w:type="dxa"/>
            <w:vMerge w:val="continue"/>
            <w:vAlign w:val="center"/>
          </w:tcPr>
          <w:p w14:paraId="3B9C2AD1">
            <w:pPr>
              <w:rPr>
                <w:highlight w:val="none"/>
              </w:rPr>
            </w:pPr>
          </w:p>
        </w:tc>
        <w:tc>
          <w:tcPr>
            <w:tcW w:w="1360" w:type="dxa"/>
            <w:vAlign w:val="center"/>
          </w:tcPr>
          <w:p w14:paraId="2642042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833" w:type="dxa"/>
            <w:vAlign w:val="center"/>
          </w:tcPr>
          <w:p w14:paraId="4EABB13B">
            <w:pPr>
              <w:widowControl/>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39F6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24CEF1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323" w:type="dxa"/>
            <w:vMerge w:val="continue"/>
            <w:vAlign w:val="center"/>
          </w:tcPr>
          <w:p w14:paraId="13AE38CA">
            <w:pPr>
              <w:rPr>
                <w:highlight w:val="none"/>
              </w:rPr>
            </w:pPr>
          </w:p>
        </w:tc>
        <w:tc>
          <w:tcPr>
            <w:tcW w:w="1360" w:type="dxa"/>
            <w:vAlign w:val="center"/>
          </w:tcPr>
          <w:p w14:paraId="7D63C0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833" w:type="dxa"/>
            <w:vAlign w:val="center"/>
          </w:tcPr>
          <w:p w14:paraId="1093C170">
            <w:pPr>
              <w:widowControl/>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590C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70" w:type="dxa"/>
            <w:vAlign w:val="center"/>
          </w:tcPr>
          <w:p w14:paraId="2507DA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323" w:type="dxa"/>
            <w:vMerge w:val="restart"/>
            <w:vAlign w:val="center"/>
          </w:tcPr>
          <w:p w14:paraId="38475D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360" w:type="dxa"/>
            <w:vAlign w:val="center"/>
          </w:tcPr>
          <w:p w14:paraId="072127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833" w:type="dxa"/>
            <w:vAlign w:val="center"/>
          </w:tcPr>
          <w:p w14:paraId="1C47B549">
            <w:pPr>
              <w:widowControl/>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1C01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7E7D261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323" w:type="dxa"/>
            <w:vMerge w:val="continue"/>
            <w:vAlign w:val="center"/>
          </w:tcPr>
          <w:p w14:paraId="574D50A3">
            <w:pPr>
              <w:rPr>
                <w:highlight w:val="none"/>
              </w:rPr>
            </w:pPr>
          </w:p>
        </w:tc>
        <w:tc>
          <w:tcPr>
            <w:tcW w:w="1360" w:type="dxa"/>
            <w:vAlign w:val="center"/>
          </w:tcPr>
          <w:p w14:paraId="300AEFC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833" w:type="dxa"/>
            <w:vAlign w:val="center"/>
          </w:tcPr>
          <w:p w14:paraId="56FE4EB4">
            <w:pPr>
              <w:widowControl/>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4440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0" w:type="dxa"/>
            <w:vAlign w:val="center"/>
          </w:tcPr>
          <w:p w14:paraId="0CAF73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323" w:type="dxa"/>
            <w:vMerge w:val="restart"/>
            <w:vAlign w:val="center"/>
          </w:tcPr>
          <w:p w14:paraId="6C0938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360" w:type="dxa"/>
            <w:vAlign w:val="center"/>
          </w:tcPr>
          <w:p w14:paraId="724C01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833" w:type="dxa"/>
            <w:vAlign w:val="center"/>
          </w:tcPr>
          <w:p w14:paraId="0925D2E8">
            <w:pPr>
              <w:widowControl/>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659D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0" w:type="dxa"/>
            <w:vAlign w:val="center"/>
          </w:tcPr>
          <w:p w14:paraId="007B5B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323" w:type="dxa"/>
            <w:vMerge w:val="continue"/>
            <w:vAlign w:val="center"/>
          </w:tcPr>
          <w:p w14:paraId="172C608C">
            <w:pPr>
              <w:rPr>
                <w:highlight w:val="none"/>
              </w:rPr>
            </w:pPr>
          </w:p>
        </w:tc>
        <w:tc>
          <w:tcPr>
            <w:tcW w:w="1360" w:type="dxa"/>
            <w:vAlign w:val="center"/>
          </w:tcPr>
          <w:p w14:paraId="292C91D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833" w:type="dxa"/>
            <w:vAlign w:val="center"/>
          </w:tcPr>
          <w:p w14:paraId="433DEA20">
            <w:pPr>
              <w:widowControl/>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0CBB500C">
      <w:pPr>
        <w:rPr>
          <w:rFonts w:ascii="仿宋" w:hAnsi="仿宋" w:eastAsia="仿宋" w:cs="仿宋"/>
          <w:b/>
          <w:bCs/>
          <w:kern w:val="0"/>
          <w:sz w:val="24"/>
          <w:highlight w:val="none"/>
        </w:rPr>
      </w:pPr>
      <w:r>
        <w:rPr>
          <w:rFonts w:hint="eastAsia" w:ascii="仿宋" w:hAnsi="仿宋" w:eastAsia="仿宋" w:cs="仿宋"/>
          <w:b/>
          <w:bCs/>
          <w:kern w:val="0"/>
          <w:sz w:val="24"/>
          <w:highlight w:val="none"/>
        </w:rPr>
        <w:t>附6：“融合调度网关一体机”硬件部分详细参数配置</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740"/>
        <w:gridCol w:w="1655"/>
        <w:gridCol w:w="5050"/>
      </w:tblGrid>
      <w:tr w14:paraId="07CF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ED623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740" w:type="dxa"/>
            <w:vAlign w:val="center"/>
          </w:tcPr>
          <w:p w14:paraId="64A6B6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655" w:type="dxa"/>
            <w:vAlign w:val="center"/>
          </w:tcPr>
          <w:p w14:paraId="3B746B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050" w:type="dxa"/>
            <w:vAlign w:val="center"/>
          </w:tcPr>
          <w:p w14:paraId="4713B3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详细参数配置要求</w:t>
            </w:r>
          </w:p>
        </w:tc>
      </w:tr>
      <w:tr w14:paraId="6461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41" w:type="dxa"/>
            <w:vAlign w:val="center"/>
          </w:tcPr>
          <w:p w14:paraId="0C1056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740" w:type="dxa"/>
            <w:vAlign w:val="center"/>
          </w:tcPr>
          <w:p w14:paraId="1AD4D4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655" w:type="dxa"/>
            <w:vAlign w:val="center"/>
          </w:tcPr>
          <w:p w14:paraId="45B298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050" w:type="dxa"/>
            <w:vAlign w:val="center"/>
          </w:tcPr>
          <w:p w14:paraId="273DFB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（2）单颗CPU物理核心数≥16核、主频≥2.5GHz、末级缓存容量≥32MB、线程数≥32、热设计功耗≥135W、支持内存的最高速率≥3200MHz、通道数≥4、位宽≥64位；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21E6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672B87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740" w:type="dxa"/>
            <w:vMerge w:val="restart"/>
            <w:vAlign w:val="center"/>
          </w:tcPr>
          <w:p w14:paraId="4AFAD7A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655" w:type="dxa"/>
            <w:vAlign w:val="center"/>
          </w:tcPr>
          <w:p w14:paraId="7986C8F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050" w:type="dxa"/>
            <w:vAlign w:val="center"/>
          </w:tcPr>
          <w:p w14:paraId="6C983F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5FD3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310B94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740" w:type="dxa"/>
            <w:vMerge w:val="continue"/>
            <w:vAlign w:val="center"/>
          </w:tcPr>
          <w:p w14:paraId="5E809C0B">
            <w:pPr>
              <w:rPr>
                <w:highlight w:val="none"/>
              </w:rPr>
            </w:pPr>
          </w:p>
        </w:tc>
        <w:tc>
          <w:tcPr>
            <w:tcW w:w="1655" w:type="dxa"/>
            <w:vAlign w:val="center"/>
          </w:tcPr>
          <w:p w14:paraId="7D56EF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050" w:type="dxa"/>
            <w:vAlign w:val="center"/>
          </w:tcPr>
          <w:p w14:paraId="1D1B695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2888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41" w:type="dxa"/>
            <w:vAlign w:val="center"/>
          </w:tcPr>
          <w:p w14:paraId="3AF0F7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740" w:type="dxa"/>
            <w:vMerge w:val="continue"/>
            <w:vAlign w:val="center"/>
          </w:tcPr>
          <w:p w14:paraId="31596D19">
            <w:pPr>
              <w:rPr>
                <w:highlight w:val="none"/>
              </w:rPr>
            </w:pPr>
          </w:p>
        </w:tc>
        <w:tc>
          <w:tcPr>
            <w:tcW w:w="1655" w:type="dxa"/>
            <w:vAlign w:val="center"/>
          </w:tcPr>
          <w:p w14:paraId="45FBBA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050" w:type="dxa"/>
            <w:vAlign w:val="center"/>
          </w:tcPr>
          <w:p w14:paraId="4839C73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（2）板载支持≥12个SATA/SAS盘；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0304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44A07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740" w:type="dxa"/>
            <w:vMerge w:val="continue"/>
            <w:vAlign w:val="center"/>
          </w:tcPr>
          <w:p w14:paraId="235E69FD">
            <w:pPr>
              <w:rPr>
                <w:highlight w:val="none"/>
              </w:rPr>
            </w:pPr>
          </w:p>
        </w:tc>
        <w:tc>
          <w:tcPr>
            <w:tcW w:w="1655" w:type="dxa"/>
            <w:vAlign w:val="center"/>
          </w:tcPr>
          <w:p w14:paraId="7BAB80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050" w:type="dxa"/>
            <w:vAlign w:val="center"/>
          </w:tcPr>
          <w:p w14:paraId="0F58FD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61C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4601D9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740" w:type="dxa"/>
            <w:vMerge w:val="continue"/>
            <w:vAlign w:val="center"/>
          </w:tcPr>
          <w:p w14:paraId="376B6BE3">
            <w:pPr>
              <w:rPr>
                <w:highlight w:val="none"/>
              </w:rPr>
            </w:pPr>
          </w:p>
        </w:tc>
        <w:tc>
          <w:tcPr>
            <w:tcW w:w="1655" w:type="dxa"/>
            <w:vAlign w:val="center"/>
          </w:tcPr>
          <w:p w14:paraId="18FCA0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050" w:type="dxa"/>
            <w:vAlign w:val="center"/>
          </w:tcPr>
          <w:p w14:paraId="66F9B9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0B16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4A5F0A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740" w:type="dxa"/>
            <w:vMerge w:val="restart"/>
            <w:vAlign w:val="center"/>
          </w:tcPr>
          <w:p w14:paraId="27989B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655" w:type="dxa"/>
            <w:vAlign w:val="center"/>
          </w:tcPr>
          <w:p w14:paraId="044E4C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050" w:type="dxa"/>
            <w:vAlign w:val="center"/>
          </w:tcPr>
          <w:p w14:paraId="6C3841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内存数量≥4</w:t>
            </w:r>
          </w:p>
        </w:tc>
      </w:tr>
      <w:tr w14:paraId="546B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396899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740" w:type="dxa"/>
            <w:vMerge w:val="continue"/>
            <w:vAlign w:val="center"/>
          </w:tcPr>
          <w:p w14:paraId="0EFB5D30">
            <w:pPr>
              <w:rPr>
                <w:highlight w:val="none"/>
              </w:rPr>
            </w:pPr>
          </w:p>
        </w:tc>
        <w:tc>
          <w:tcPr>
            <w:tcW w:w="1655" w:type="dxa"/>
            <w:vAlign w:val="center"/>
          </w:tcPr>
          <w:p w14:paraId="7554EA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050" w:type="dxa"/>
            <w:vAlign w:val="center"/>
          </w:tcPr>
          <w:p w14:paraId="13105F5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34C7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54DDBF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740" w:type="dxa"/>
            <w:vMerge w:val="continue"/>
            <w:vAlign w:val="center"/>
          </w:tcPr>
          <w:p w14:paraId="44FF9C4C">
            <w:pPr>
              <w:rPr>
                <w:highlight w:val="none"/>
              </w:rPr>
            </w:pPr>
          </w:p>
        </w:tc>
        <w:tc>
          <w:tcPr>
            <w:tcW w:w="1655" w:type="dxa"/>
            <w:vAlign w:val="center"/>
          </w:tcPr>
          <w:p w14:paraId="2CDE5E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050" w:type="dxa"/>
            <w:vAlign w:val="center"/>
          </w:tcPr>
          <w:p w14:paraId="374EC0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310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41" w:type="dxa"/>
            <w:vAlign w:val="center"/>
          </w:tcPr>
          <w:p w14:paraId="65E0CA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740" w:type="dxa"/>
            <w:vMerge w:val="restart"/>
            <w:vAlign w:val="center"/>
          </w:tcPr>
          <w:p w14:paraId="286175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655" w:type="dxa"/>
            <w:vAlign w:val="center"/>
          </w:tcPr>
          <w:p w14:paraId="72E64F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050" w:type="dxa"/>
            <w:vAlign w:val="center"/>
          </w:tcPr>
          <w:p w14:paraId="167D30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实配≥3*4TB SATA硬盘</w:t>
            </w:r>
          </w:p>
        </w:tc>
      </w:tr>
      <w:tr w14:paraId="7AD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79C05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740" w:type="dxa"/>
            <w:vMerge w:val="continue"/>
            <w:vAlign w:val="center"/>
          </w:tcPr>
          <w:p w14:paraId="126C3D98">
            <w:pPr>
              <w:rPr>
                <w:highlight w:val="none"/>
              </w:rPr>
            </w:pPr>
          </w:p>
        </w:tc>
        <w:tc>
          <w:tcPr>
            <w:tcW w:w="1655" w:type="dxa"/>
            <w:vAlign w:val="center"/>
          </w:tcPr>
          <w:p w14:paraId="7D6359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050" w:type="dxa"/>
            <w:vAlign w:val="center"/>
          </w:tcPr>
          <w:p w14:paraId="41173B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实配≥3块 SATA硬盘</w:t>
            </w:r>
          </w:p>
        </w:tc>
      </w:tr>
      <w:tr w14:paraId="709D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1" w:type="dxa"/>
            <w:vAlign w:val="center"/>
          </w:tcPr>
          <w:p w14:paraId="6B70A2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740" w:type="dxa"/>
            <w:vMerge w:val="continue"/>
            <w:vAlign w:val="center"/>
          </w:tcPr>
          <w:p w14:paraId="7F68B0A8">
            <w:pPr>
              <w:rPr>
                <w:highlight w:val="none"/>
              </w:rPr>
            </w:pPr>
          </w:p>
        </w:tc>
        <w:tc>
          <w:tcPr>
            <w:tcW w:w="1655" w:type="dxa"/>
            <w:vAlign w:val="center"/>
          </w:tcPr>
          <w:p w14:paraId="60C6AC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050" w:type="dxa"/>
            <w:vAlign w:val="center"/>
          </w:tcPr>
          <w:p w14:paraId="71CE5B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3CF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1E9C1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740" w:type="dxa"/>
            <w:vAlign w:val="center"/>
          </w:tcPr>
          <w:p w14:paraId="225E3F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655" w:type="dxa"/>
            <w:vAlign w:val="center"/>
          </w:tcPr>
          <w:p w14:paraId="422496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050" w:type="dxa"/>
            <w:vAlign w:val="center"/>
          </w:tcPr>
          <w:p w14:paraId="1DDB9F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≥2*千兆网卡</w:t>
            </w:r>
          </w:p>
        </w:tc>
      </w:tr>
      <w:tr w14:paraId="3124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165DF7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740" w:type="dxa"/>
            <w:vMerge w:val="restart"/>
            <w:vAlign w:val="center"/>
          </w:tcPr>
          <w:p w14:paraId="62ABAB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655" w:type="dxa"/>
            <w:vAlign w:val="center"/>
          </w:tcPr>
          <w:p w14:paraId="001096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050" w:type="dxa"/>
            <w:vAlign w:val="center"/>
          </w:tcPr>
          <w:p w14:paraId="015F1A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3DA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E30F0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740" w:type="dxa"/>
            <w:vMerge w:val="continue"/>
            <w:vAlign w:val="center"/>
          </w:tcPr>
          <w:p w14:paraId="67A5CB6E">
            <w:pPr>
              <w:rPr>
                <w:highlight w:val="none"/>
              </w:rPr>
            </w:pPr>
          </w:p>
        </w:tc>
        <w:tc>
          <w:tcPr>
            <w:tcW w:w="1655" w:type="dxa"/>
            <w:vAlign w:val="center"/>
          </w:tcPr>
          <w:p w14:paraId="556616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050" w:type="dxa"/>
            <w:vAlign w:val="center"/>
          </w:tcPr>
          <w:p w14:paraId="5409B1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4C8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6BDE6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740" w:type="dxa"/>
            <w:vMerge w:val="restart"/>
            <w:vAlign w:val="center"/>
          </w:tcPr>
          <w:p w14:paraId="129DE8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655" w:type="dxa"/>
            <w:vAlign w:val="center"/>
          </w:tcPr>
          <w:p w14:paraId="6F1566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050" w:type="dxa"/>
            <w:vAlign w:val="center"/>
          </w:tcPr>
          <w:p w14:paraId="7B7DA4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69CB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7BBEB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740" w:type="dxa"/>
            <w:vMerge w:val="continue"/>
            <w:vAlign w:val="center"/>
          </w:tcPr>
          <w:p w14:paraId="58ED48D9">
            <w:pPr>
              <w:rPr>
                <w:highlight w:val="none"/>
              </w:rPr>
            </w:pPr>
          </w:p>
        </w:tc>
        <w:tc>
          <w:tcPr>
            <w:tcW w:w="1655" w:type="dxa"/>
            <w:vAlign w:val="center"/>
          </w:tcPr>
          <w:p w14:paraId="1EFE91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050" w:type="dxa"/>
            <w:vAlign w:val="center"/>
          </w:tcPr>
          <w:p w14:paraId="41F8990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800W，电源模块功率应有一定冗余， 满足处理器满载时的需求</w:t>
            </w:r>
          </w:p>
        </w:tc>
      </w:tr>
      <w:tr w14:paraId="5C2E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41" w:type="dxa"/>
            <w:vAlign w:val="center"/>
          </w:tcPr>
          <w:p w14:paraId="33108C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740" w:type="dxa"/>
            <w:vMerge w:val="restart"/>
            <w:vAlign w:val="center"/>
          </w:tcPr>
          <w:p w14:paraId="4CB9DB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655" w:type="dxa"/>
            <w:vAlign w:val="center"/>
          </w:tcPr>
          <w:p w14:paraId="346DDC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050" w:type="dxa"/>
            <w:vAlign w:val="center"/>
          </w:tcPr>
          <w:p w14:paraId="4635513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48EE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CDBA3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740" w:type="dxa"/>
            <w:vMerge w:val="continue"/>
            <w:vAlign w:val="center"/>
          </w:tcPr>
          <w:p w14:paraId="31F05D7D">
            <w:pPr>
              <w:rPr>
                <w:highlight w:val="none"/>
              </w:rPr>
            </w:pPr>
          </w:p>
        </w:tc>
        <w:tc>
          <w:tcPr>
            <w:tcW w:w="1655" w:type="dxa"/>
            <w:vAlign w:val="center"/>
          </w:tcPr>
          <w:p w14:paraId="213454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050" w:type="dxa"/>
            <w:vAlign w:val="center"/>
          </w:tcPr>
          <w:p w14:paraId="4F9BE3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1B8D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1" w:type="dxa"/>
            <w:vAlign w:val="center"/>
          </w:tcPr>
          <w:p w14:paraId="48C792F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740" w:type="dxa"/>
            <w:vMerge w:val="continue"/>
            <w:vAlign w:val="center"/>
          </w:tcPr>
          <w:p w14:paraId="27CCC7F9">
            <w:pPr>
              <w:rPr>
                <w:highlight w:val="none"/>
              </w:rPr>
            </w:pPr>
          </w:p>
        </w:tc>
        <w:tc>
          <w:tcPr>
            <w:tcW w:w="1655" w:type="dxa"/>
            <w:vAlign w:val="center"/>
          </w:tcPr>
          <w:p w14:paraId="36446F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050" w:type="dxa"/>
            <w:vAlign w:val="center"/>
          </w:tcPr>
          <w:p w14:paraId="0F999C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6B9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9F03A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740" w:type="dxa"/>
            <w:vMerge w:val="continue"/>
            <w:vAlign w:val="center"/>
          </w:tcPr>
          <w:p w14:paraId="60004750">
            <w:pPr>
              <w:rPr>
                <w:highlight w:val="none"/>
              </w:rPr>
            </w:pPr>
          </w:p>
        </w:tc>
        <w:tc>
          <w:tcPr>
            <w:tcW w:w="1655" w:type="dxa"/>
            <w:vAlign w:val="center"/>
          </w:tcPr>
          <w:p w14:paraId="77209E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050" w:type="dxa"/>
            <w:vAlign w:val="center"/>
          </w:tcPr>
          <w:p w14:paraId="7BD19D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5136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41B0C4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740" w:type="dxa"/>
            <w:vMerge w:val="continue"/>
            <w:vAlign w:val="center"/>
          </w:tcPr>
          <w:p w14:paraId="73AB0A3C">
            <w:pPr>
              <w:rPr>
                <w:highlight w:val="none"/>
              </w:rPr>
            </w:pPr>
          </w:p>
        </w:tc>
        <w:tc>
          <w:tcPr>
            <w:tcW w:w="1655" w:type="dxa"/>
            <w:vAlign w:val="center"/>
          </w:tcPr>
          <w:p w14:paraId="039DF2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050" w:type="dxa"/>
            <w:vAlign w:val="center"/>
          </w:tcPr>
          <w:p w14:paraId="0788FB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5C63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43D36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740" w:type="dxa"/>
            <w:vAlign w:val="center"/>
          </w:tcPr>
          <w:p w14:paraId="01756E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655" w:type="dxa"/>
            <w:vAlign w:val="center"/>
          </w:tcPr>
          <w:p w14:paraId="471E48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050" w:type="dxa"/>
            <w:vAlign w:val="center"/>
          </w:tcPr>
          <w:p w14:paraId="64983F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5BD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8585A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740" w:type="dxa"/>
            <w:vAlign w:val="center"/>
          </w:tcPr>
          <w:p w14:paraId="15CDEE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655" w:type="dxa"/>
            <w:vAlign w:val="center"/>
          </w:tcPr>
          <w:p w14:paraId="3ACDA5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050" w:type="dxa"/>
            <w:vAlign w:val="center"/>
          </w:tcPr>
          <w:p w14:paraId="247CCB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6D82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462DD7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740" w:type="dxa"/>
            <w:vAlign w:val="center"/>
          </w:tcPr>
          <w:p w14:paraId="65C03ED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655" w:type="dxa"/>
            <w:vAlign w:val="center"/>
          </w:tcPr>
          <w:p w14:paraId="6A106F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050" w:type="dxa"/>
            <w:vAlign w:val="center"/>
          </w:tcPr>
          <w:p w14:paraId="35CEFD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09AE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41" w:type="dxa"/>
            <w:vAlign w:val="center"/>
          </w:tcPr>
          <w:p w14:paraId="42CEB2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740" w:type="dxa"/>
            <w:vMerge w:val="restart"/>
            <w:vAlign w:val="center"/>
          </w:tcPr>
          <w:p w14:paraId="7A0DA0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655" w:type="dxa"/>
            <w:vAlign w:val="center"/>
          </w:tcPr>
          <w:p w14:paraId="308C74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050" w:type="dxa"/>
            <w:vAlign w:val="center"/>
          </w:tcPr>
          <w:p w14:paraId="4579F03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5469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7D8F00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740" w:type="dxa"/>
            <w:vMerge w:val="continue"/>
            <w:vAlign w:val="center"/>
          </w:tcPr>
          <w:p w14:paraId="007BB3AB">
            <w:pPr>
              <w:rPr>
                <w:highlight w:val="none"/>
              </w:rPr>
            </w:pPr>
          </w:p>
        </w:tc>
        <w:tc>
          <w:tcPr>
            <w:tcW w:w="1655" w:type="dxa"/>
            <w:vAlign w:val="center"/>
          </w:tcPr>
          <w:p w14:paraId="300A8F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050" w:type="dxa"/>
            <w:vAlign w:val="center"/>
          </w:tcPr>
          <w:p w14:paraId="36B37F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01B4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32316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740" w:type="dxa"/>
            <w:vMerge w:val="restart"/>
            <w:vAlign w:val="center"/>
          </w:tcPr>
          <w:p w14:paraId="402B17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655" w:type="dxa"/>
            <w:vAlign w:val="center"/>
          </w:tcPr>
          <w:p w14:paraId="432B54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050" w:type="dxa"/>
            <w:vAlign w:val="center"/>
          </w:tcPr>
          <w:p w14:paraId="07DF8E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0BA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AF5C2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740" w:type="dxa"/>
            <w:vMerge w:val="continue"/>
            <w:vAlign w:val="center"/>
          </w:tcPr>
          <w:p w14:paraId="72D289E9">
            <w:pPr>
              <w:rPr>
                <w:highlight w:val="none"/>
              </w:rPr>
            </w:pPr>
          </w:p>
        </w:tc>
        <w:tc>
          <w:tcPr>
            <w:tcW w:w="1655" w:type="dxa"/>
            <w:vAlign w:val="center"/>
          </w:tcPr>
          <w:p w14:paraId="28C016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050" w:type="dxa"/>
            <w:vAlign w:val="center"/>
          </w:tcPr>
          <w:p w14:paraId="139E68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1581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7D626BB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740" w:type="dxa"/>
            <w:vAlign w:val="center"/>
          </w:tcPr>
          <w:p w14:paraId="499F69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655" w:type="dxa"/>
            <w:vAlign w:val="center"/>
          </w:tcPr>
          <w:p w14:paraId="0B9BCA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050" w:type="dxa"/>
            <w:vAlign w:val="center"/>
          </w:tcPr>
          <w:p w14:paraId="61C351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4764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2276DE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740" w:type="dxa"/>
            <w:vMerge w:val="restart"/>
            <w:vAlign w:val="center"/>
          </w:tcPr>
          <w:p w14:paraId="547F03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655" w:type="dxa"/>
            <w:vAlign w:val="center"/>
          </w:tcPr>
          <w:p w14:paraId="13F881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050" w:type="dxa"/>
            <w:vAlign w:val="center"/>
          </w:tcPr>
          <w:p w14:paraId="337481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5A36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67C6C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740" w:type="dxa"/>
            <w:vMerge w:val="continue"/>
            <w:vAlign w:val="center"/>
          </w:tcPr>
          <w:p w14:paraId="5E7B52EB">
            <w:pPr>
              <w:rPr>
                <w:highlight w:val="none"/>
              </w:rPr>
            </w:pPr>
          </w:p>
        </w:tc>
        <w:tc>
          <w:tcPr>
            <w:tcW w:w="1655" w:type="dxa"/>
            <w:vAlign w:val="center"/>
          </w:tcPr>
          <w:p w14:paraId="190CF5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050" w:type="dxa"/>
            <w:vAlign w:val="center"/>
          </w:tcPr>
          <w:p w14:paraId="4B637D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33F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0CA971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740" w:type="dxa"/>
            <w:vMerge w:val="continue"/>
            <w:vAlign w:val="center"/>
          </w:tcPr>
          <w:p w14:paraId="1A9B048E">
            <w:pPr>
              <w:rPr>
                <w:highlight w:val="none"/>
              </w:rPr>
            </w:pPr>
          </w:p>
        </w:tc>
        <w:tc>
          <w:tcPr>
            <w:tcW w:w="1655" w:type="dxa"/>
            <w:vAlign w:val="center"/>
          </w:tcPr>
          <w:p w14:paraId="01C6E7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050" w:type="dxa"/>
            <w:vAlign w:val="center"/>
          </w:tcPr>
          <w:p w14:paraId="750078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4DCE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D5986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740" w:type="dxa"/>
            <w:vMerge w:val="restart"/>
            <w:vAlign w:val="center"/>
          </w:tcPr>
          <w:p w14:paraId="5DE983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655" w:type="dxa"/>
            <w:vAlign w:val="center"/>
          </w:tcPr>
          <w:p w14:paraId="7D3C77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050" w:type="dxa"/>
            <w:vAlign w:val="center"/>
          </w:tcPr>
          <w:p w14:paraId="53AA38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09BE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C0F891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740" w:type="dxa"/>
            <w:vMerge w:val="continue"/>
            <w:vAlign w:val="center"/>
          </w:tcPr>
          <w:p w14:paraId="34DC9998">
            <w:pPr>
              <w:rPr>
                <w:highlight w:val="none"/>
              </w:rPr>
            </w:pPr>
          </w:p>
        </w:tc>
        <w:tc>
          <w:tcPr>
            <w:tcW w:w="1655" w:type="dxa"/>
            <w:vAlign w:val="center"/>
          </w:tcPr>
          <w:p w14:paraId="3C5197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050" w:type="dxa"/>
            <w:vAlign w:val="center"/>
          </w:tcPr>
          <w:p w14:paraId="19EC74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546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7F2D06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740" w:type="dxa"/>
            <w:vAlign w:val="center"/>
          </w:tcPr>
          <w:p w14:paraId="348F71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655" w:type="dxa"/>
            <w:vAlign w:val="center"/>
          </w:tcPr>
          <w:p w14:paraId="46D6F8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050" w:type="dxa"/>
            <w:vAlign w:val="center"/>
          </w:tcPr>
          <w:p w14:paraId="6CCD09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28F3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54940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740" w:type="dxa"/>
            <w:vAlign w:val="center"/>
          </w:tcPr>
          <w:p w14:paraId="3A2A02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655" w:type="dxa"/>
            <w:vAlign w:val="center"/>
          </w:tcPr>
          <w:p w14:paraId="60C3F0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050" w:type="dxa"/>
            <w:vAlign w:val="center"/>
          </w:tcPr>
          <w:p w14:paraId="14ACD6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673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21F5FA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740" w:type="dxa"/>
            <w:vAlign w:val="center"/>
          </w:tcPr>
          <w:p w14:paraId="7D83713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655" w:type="dxa"/>
            <w:vAlign w:val="center"/>
          </w:tcPr>
          <w:p w14:paraId="1EFED1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050" w:type="dxa"/>
            <w:vAlign w:val="center"/>
          </w:tcPr>
          <w:p w14:paraId="07B009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0DC9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3790A5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740" w:type="dxa"/>
            <w:vMerge w:val="restart"/>
            <w:vAlign w:val="center"/>
          </w:tcPr>
          <w:p w14:paraId="10AADF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655" w:type="dxa"/>
            <w:vAlign w:val="center"/>
          </w:tcPr>
          <w:p w14:paraId="454E64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050" w:type="dxa"/>
            <w:vAlign w:val="center"/>
          </w:tcPr>
          <w:p w14:paraId="3AB60D4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541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F40C2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740" w:type="dxa"/>
            <w:vMerge w:val="continue"/>
            <w:vAlign w:val="center"/>
          </w:tcPr>
          <w:p w14:paraId="51FCB150">
            <w:pPr>
              <w:rPr>
                <w:highlight w:val="none"/>
              </w:rPr>
            </w:pPr>
          </w:p>
        </w:tc>
        <w:tc>
          <w:tcPr>
            <w:tcW w:w="1655" w:type="dxa"/>
            <w:vAlign w:val="center"/>
          </w:tcPr>
          <w:p w14:paraId="479B69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050" w:type="dxa"/>
            <w:vAlign w:val="center"/>
          </w:tcPr>
          <w:p w14:paraId="4C44EC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0C4C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5AC923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740" w:type="dxa"/>
            <w:vMerge w:val="continue"/>
            <w:vAlign w:val="center"/>
          </w:tcPr>
          <w:p w14:paraId="388EE9B3">
            <w:pPr>
              <w:rPr>
                <w:highlight w:val="none"/>
              </w:rPr>
            </w:pPr>
          </w:p>
        </w:tc>
        <w:tc>
          <w:tcPr>
            <w:tcW w:w="1655" w:type="dxa"/>
            <w:vAlign w:val="center"/>
          </w:tcPr>
          <w:p w14:paraId="04D1A5C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050" w:type="dxa"/>
            <w:vAlign w:val="center"/>
          </w:tcPr>
          <w:p w14:paraId="1AF10B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61D3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6C897B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740" w:type="dxa"/>
            <w:vMerge w:val="continue"/>
            <w:vAlign w:val="center"/>
          </w:tcPr>
          <w:p w14:paraId="60F2158B">
            <w:pPr>
              <w:rPr>
                <w:highlight w:val="none"/>
              </w:rPr>
            </w:pPr>
          </w:p>
        </w:tc>
        <w:tc>
          <w:tcPr>
            <w:tcW w:w="1655" w:type="dxa"/>
            <w:vAlign w:val="center"/>
          </w:tcPr>
          <w:p w14:paraId="4B2399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050" w:type="dxa"/>
            <w:vAlign w:val="center"/>
          </w:tcPr>
          <w:p w14:paraId="56C099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1E02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3BF7C2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740" w:type="dxa"/>
            <w:vMerge w:val="continue"/>
            <w:vAlign w:val="center"/>
          </w:tcPr>
          <w:p w14:paraId="0CEE9468">
            <w:pPr>
              <w:rPr>
                <w:highlight w:val="none"/>
              </w:rPr>
            </w:pPr>
          </w:p>
        </w:tc>
        <w:tc>
          <w:tcPr>
            <w:tcW w:w="1655" w:type="dxa"/>
            <w:vAlign w:val="center"/>
          </w:tcPr>
          <w:p w14:paraId="1568C1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050" w:type="dxa"/>
            <w:vAlign w:val="center"/>
          </w:tcPr>
          <w:p w14:paraId="02DE75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387F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41" w:type="dxa"/>
            <w:vAlign w:val="center"/>
          </w:tcPr>
          <w:p w14:paraId="752919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740" w:type="dxa"/>
            <w:vAlign w:val="center"/>
          </w:tcPr>
          <w:p w14:paraId="6E6D31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655" w:type="dxa"/>
            <w:vAlign w:val="center"/>
          </w:tcPr>
          <w:p w14:paraId="7C22DB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050" w:type="dxa"/>
            <w:vAlign w:val="center"/>
          </w:tcPr>
          <w:p w14:paraId="2EE94EC7">
            <w:pPr>
              <w:widowControl/>
              <w:overflowPunct/>
              <w:autoSpaceDE/>
              <w:autoSpaceDN/>
              <w:jc w:val="center"/>
              <w:textAlignment w:val="auto"/>
              <w:rPr>
                <w:rFonts w:ascii="仿宋" w:hAnsi="仿宋" w:eastAsia="仿宋" w:cs="仿宋"/>
                <w:b/>
                <w:kern w:val="0"/>
                <w:sz w:val="24"/>
                <w:highlight w:val="none"/>
                <w:lang w:val="en-GB"/>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645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3CE13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740" w:type="dxa"/>
            <w:vAlign w:val="center"/>
          </w:tcPr>
          <w:p w14:paraId="23E188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655" w:type="dxa"/>
            <w:vAlign w:val="center"/>
          </w:tcPr>
          <w:p w14:paraId="45F60E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050" w:type="dxa"/>
            <w:vAlign w:val="center"/>
          </w:tcPr>
          <w:p w14:paraId="62FC30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6F3F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0AC890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740" w:type="dxa"/>
            <w:vAlign w:val="center"/>
          </w:tcPr>
          <w:p w14:paraId="687F6A8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655" w:type="dxa"/>
            <w:vAlign w:val="center"/>
          </w:tcPr>
          <w:p w14:paraId="26A2ABF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050" w:type="dxa"/>
            <w:vAlign w:val="center"/>
          </w:tcPr>
          <w:p w14:paraId="3D1326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69F8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426599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740" w:type="dxa"/>
            <w:vMerge w:val="restart"/>
            <w:vAlign w:val="center"/>
          </w:tcPr>
          <w:p w14:paraId="2A66B91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655" w:type="dxa"/>
            <w:vAlign w:val="center"/>
          </w:tcPr>
          <w:p w14:paraId="782D04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050" w:type="dxa"/>
            <w:vAlign w:val="center"/>
          </w:tcPr>
          <w:p w14:paraId="25CC5E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≥2.5GHz</w:t>
            </w:r>
          </w:p>
        </w:tc>
      </w:tr>
      <w:tr w14:paraId="7F3E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4FF755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740" w:type="dxa"/>
            <w:vMerge w:val="continue"/>
            <w:vAlign w:val="center"/>
          </w:tcPr>
          <w:p w14:paraId="66968A98">
            <w:pPr>
              <w:rPr>
                <w:highlight w:val="none"/>
              </w:rPr>
            </w:pPr>
          </w:p>
        </w:tc>
        <w:tc>
          <w:tcPr>
            <w:tcW w:w="1655" w:type="dxa"/>
            <w:vAlign w:val="center"/>
          </w:tcPr>
          <w:p w14:paraId="1DE228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050" w:type="dxa"/>
            <w:vAlign w:val="center"/>
          </w:tcPr>
          <w:p w14:paraId="7A184E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r>
      <w:tr w14:paraId="4CBB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295AE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740" w:type="dxa"/>
            <w:vMerge w:val="continue"/>
            <w:vAlign w:val="center"/>
          </w:tcPr>
          <w:p w14:paraId="5684D10C">
            <w:pPr>
              <w:rPr>
                <w:highlight w:val="none"/>
              </w:rPr>
            </w:pPr>
          </w:p>
        </w:tc>
        <w:tc>
          <w:tcPr>
            <w:tcW w:w="1655" w:type="dxa"/>
            <w:vAlign w:val="center"/>
          </w:tcPr>
          <w:p w14:paraId="5292D8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050" w:type="dxa"/>
            <w:vAlign w:val="center"/>
          </w:tcPr>
          <w:p w14:paraId="25C273C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≥32MB</w:t>
            </w:r>
          </w:p>
        </w:tc>
      </w:tr>
      <w:tr w14:paraId="1D1D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41" w:type="dxa"/>
            <w:vAlign w:val="center"/>
          </w:tcPr>
          <w:p w14:paraId="4BC6D6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740" w:type="dxa"/>
            <w:vAlign w:val="center"/>
          </w:tcPr>
          <w:p w14:paraId="689867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655" w:type="dxa"/>
            <w:vAlign w:val="center"/>
          </w:tcPr>
          <w:p w14:paraId="0E12D8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050" w:type="dxa"/>
            <w:vAlign w:val="center"/>
          </w:tcPr>
          <w:p w14:paraId="70C8FA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7373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E104A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740" w:type="dxa"/>
            <w:vAlign w:val="center"/>
          </w:tcPr>
          <w:p w14:paraId="1AEB071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655" w:type="dxa"/>
            <w:vAlign w:val="center"/>
          </w:tcPr>
          <w:p w14:paraId="61D772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050" w:type="dxa"/>
            <w:vAlign w:val="center"/>
          </w:tcPr>
          <w:p w14:paraId="72D8FB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63DD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78D4DA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740" w:type="dxa"/>
            <w:vMerge w:val="restart"/>
            <w:vAlign w:val="center"/>
          </w:tcPr>
          <w:p w14:paraId="465C691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655" w:type="dxa"/>
            <w:vAlign w:val="center"/>
          </w:tcPr>
          <w:p w14:paraId="54E347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050" w:type="dxa"/>
            <w:vAlign w:val="center"/>
          </w:tcPr>
          <w:p w14:paraId="6E2762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0236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612FC8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740" w:type="dxa"/>
            <w:vMerge w:val="continue"/>
            <w:vAlign w:val="center"/>
          </w:tcPr>
          <w:p w14:paraId="6F440AA1">
            <w:pPr>
              <w:rPr>
                <w:highlight w:val="none"/>
              </w:rPr>
            </w:pPr>
          </w:p>
        </w:tc>
        <w:tc>
          <w:tcPr>
            <w:tcW w:w="1655" w:type="dxa"/>
            <w:vAlign w:val="center"/>
          </w:tcPr>
          <w:p w14:paraId="3AA244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050" w:type="dxa"/>
            <w:vAlign w:val="center"/>
          </w:tcPr>
          <w:p w14:paraId="5C2F42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1B5E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FD95B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740" w:type="dxa"/>
            <w:vMerge w:val="continue"/>
            <w:vAlign w:val="center"/>
          </w:tcPr>
          <w:p w14:paraId="5E9F8E8D">
            <w:pPr>
              <w:rPr>
                <w:highlight w:val="none"/>
              </w:rPr>
            </w:pPr>
          </w:p>
        </w:tc>
        <w:tc>
          <w:tcPr>
            <w:tcW w:w="1655" w:type="dxa"/>
            <w:vAlign w:val="center"/>
          </w:tcPr>
          <w:p w14:paraId="11346EC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050" w:type="dxa"/>
            <w:vAlign w:val="center"/>
          </w:tcPr>
          <w:p w14:paraId="5615A1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1F70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144EA2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740" w:type="dxa"/>
            <w:vMerge w:val="continue"/>
            <w:vAlign w:val="center"/>
          </w:tcPr>
          <w:p w14:paraId="63686A53">
            <w:pPr>
              <w:rPr>
                <w:highlight w:val="none"/>
              </w:rPr>
            </w:pPr>
          </w:p>
        </w:tc>
        <w:tc>
          <w:tcPr>
            <w:tcW w:w="1655" w:type="dxa"/>
            <w:vAlign w:val="center"/>
          </w:tcPr>
          <w:p w14:paraId="655E63A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050" w:type="dxa"/>
            <w:vAlign w:val="center"/>
          </w:tcPr>
          <w:p w14:paraId="10D6F1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1A6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41" w:type="dxa"/>
            <w:vAlign w:val="center"/>
          </w:tcPr>
          <w:p w14:paraId="1487FE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740" w:type="dxa"/>
            <w:vAlign w:val="center"/>
          </w:tcPr>
          <w:p w14:paraId="31EE825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655" w:type="dxa"/>
            <w:vAlign w:val="center"/>
          </w:tcPr>
          <w:p w14:paraId="24F4E2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050" w:type="dxa"/>
            <w:vAlign w:val="center"/>
          </w:tcPr>
          <w:p w14:paraId="346404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2A34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A5164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740" w:type="dxa"/>
            <w:vMerge w:val="restart"/>
            <w:vAlign w:val="center"/>
          </w:tcPr>
          <w:p w14:paraId="74CE7F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655" w:type="dxa"/>
            <w:vAlign w:val="center"/>
          </w:tcPr>
          <w:p w14:paraId="134DBB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050" w:type="dxa"/>
            <w:vAlign w:val="center"/>
          </w:tcPr>
          <w:p w14:paraId="63C810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4605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1758E66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740" w:type="dxa"/>
            <w:vMerge w:val="continue"/>
            <w:vAlign w:val="center"/>
          </w:tcPr>
          <w:p w14:paraId="719168AC">
            <w:pPr>
              <w:rPr>
                <w:highlight w:val="none"/>
              </w:rPr>
            </w:pPr>
          </w:p>
        </w:tc>
        <w:tc>
          <w:tcPr>
            <w:tcW w:w="1655" w:type="dxa"/>
            <w:vAlign w:val="center"/>
          </w:tcPr>
          <w:p w14:paraId="506331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050" w:type="dxa"/>
            <w:vAlign w:val="center"/>
          </w:tcPr>
          <w:p w14:paraId="4C2555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69B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18CCF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740" w:type="dxa"/>
            <w:vMerge w:val="continue"/>
            <w:vAlign w:val="center"/>
          </w:tcPr>
          <w:p w14:paraId="23FEB189">
            <w:pPr>
              <w:rPr>
                <w:highlight w:val="none"/>
              </w:rPr>
            </w:pPr>
          </w:p>
        </w:tc>
        <w:tc>
          <w:tcPr>
            <w:tcW w:w="1655" w:type="dxa"/>
            <w:vAlign w:val="center"/>
          </w:tcPr>
          <w:p w14:paraId="13570E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050" w:type="dxa"/>
            <w:vAlign w:val="center"/>
          </w:tcPr>
          <w:p w14:paraId="0E04FF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5574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354BC8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740" w:type="dxa"/>
            <w:vMerge w:val="restart"/>
            <w:vAlign w:val="center"/>
          </w:tcPr>
          <w:p w14:paraId="3A7F0C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655" w:type="dxa"/>
            <w:vAlign w:val="center"/>
          </w:tcPr>
          <w:p w14:paraId="1DEE82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050" w:type="dxa"/>
            <w:vAlign w:val="center"/>
          </w:tcPr>
          <w:p w14:paraId="171EDC3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53BA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52C4D8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740" w:type="dxa"/>
            <w:vMerge w:val="continue"/>
            <w:vAlign w:val="center"/>
          </w:tcPr>
          <w:p w14:paraId="13D4B04D">
            <w:pPr>
              <w:rPr>
                <w:highlight w:val="none"/>
              </w:rPr>
            </w:pPr>
          </w:p>
        </w:tc>
        <w:tc>
          <w:tcPr>
            <w:tcW w:w="1655" w:type="dxa"/>
            <w:vAlign w:val="center"/>
          </w:tcPr>
          <w:p w14:paraId="77E991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050" w:type="dxa"/>
            <w:vAlign w:val="center"/>
          </w:tcPr>
          <w:p w14:paraId="253799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3F9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6B7584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740" w:type="dxa"/>
            <w:vMerge w:val="continue"/>
            <w:vAlign w:val="center"/>
          </w:tcPr>
          <w:p w14:paraId="76CB95E9">
            <w:pPr>
              <w:rPr>
                <w:highlight w:val="none"/>
              </w:rPr>
            </w:pPr>
          </w:p>
        </w:tc>
        <w:tc>
          <w:tcPr>
            <w:tcW w:w="1655" w:type="dxa"/>
            <w:vAlign w:val="center"/>
          </w:tcPr>
          <w:p w14:paraId="497142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050" w:type="dxa"/>
            <w:vAlign w:val="center"/>
          </w:tcPr>
          <w:p w14:paraId="4FB273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7024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0A2CA71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740" w:type="dxa"/>
            <w:vAlign w:val="center"/>
          </w:tcPr>
          <w:p w14:paraId="10A289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655" w:type="dxa"/>
            <w:vAlign w:val="center"/>
          </w:tcPr>
          <w:p w14:paraId="7DDDD9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050" w:type="dxa"/>
            <w:vAlign w:val="center"/>
          </w:tcPr>
          <w:p w14:paraId="1221F9FC">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731F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841" w:type="dxa"/>
            <w:vAlign w:val="center"/>
          </w:tcPr>
          <w:p w14:paraId="751C6D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740" w:type="dxa"/>
            <w:vMerge w:val="restart"/>
            <w:vAlign w:val="center"/>
          </w:tcPr>
          <w:p w14:paraId="51664D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655" w:type="dxa"/>
            <w:vAlign w:val="center"/>
          </w:tcPr>
          <w:p w14:paraId="5B1530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050" w:type="dxa"/>
            <w:vAlign w:val="center"/>
          </w:tcPr>
          <w:p w14:paraId="19B4AA4A">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7310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012EE1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740" w:type="dxa"/>
            <w:vMerge w:val="continue"/>
            <w:vAlign w:val="center"/>
          </w:tcPr>
          <w:p w14:paraId="16AE5F91">
            <w:pPr>
              <w:rPr>
                <w:highlight w:val="none"/>
              </w:rPr>
            </w:pPr>
          </w:p>
        </w:tc>
        <w:tc>
          <w:tcPr>
            <w:tcW w:w="1655" w:type="dxa"/>
            <w:vAlign w:val="center"/>
          </w:tcPr>
          <w:p w14:paraId="55D3BB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050" w:type="dxa"/>
            <w:vAlign w:val="center"/>
          </w:tcPr>
          <w:p w14:paraId="396EE2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10CE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1" w:type="dxa"/>
            <w:vAlign w:val="center"/>
          </w:tcPr>
          <w:p w14:paraId="6A3FB8A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740" w:type="dxa"/>
            <w:vAlign w:val="center"/>
          </w:tcPr>
          <w:p w14:paraId="689D94E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655" w:type="dxa"/>
            <w:vAlign w:val="center"/>
          </w:tcPr>
          <w:p w14:paraId="5FC6A1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050" w:type="dxa"/>
            <w:vAlign w:val="center"/>
          </w:tcPr>
          <w:p w14:paraId="047704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7350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012738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740" w:type="dxa"/>
            <w:vMerge w:val="restart"/>
            <w:vAlign w:val="center"/>
          </w:tcPr>
          <w:p w14:paraId="08FAD6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655" w:type="dxa"/>
            <w:vAlign w:val="center"/>
          </w:tcPr>
          <w:p w14:paraId="3A8F39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050" w:type="dxa"/>
            <w:vAlign w:val="center"/>
          </w:tcPr>
          <w:p w14:paraId="6710A1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0494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483AF6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740" w:type="dxa"/>
            <w:vMerge w:val="continue"/>
            <w:vAlign w:val="center"/>
          </w:tcPr>
          <w:p w14:paraId="3CEB1FA8">
            <w:pPr>
              <w:rPr>
                <w:highlight w:val="none"/>
              </w:rPr>
            </w:pPr>
          </w:p>
        </w:tc>
        <w:tc>
          <w:tcPr>
            <w:tcW w:w="1655" w:type="dxa"/>
            <w:vAlign w:val="center"/>
          </w:tcPr>
          <w:p w14:paraId="2D0315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050" w:type="dxa"/>
            <w:vAlign w:val="center"/>
          </w:tcPr>
          <w:p w14:paraId="191682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415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0A70B9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740" w:type="dxa"/>
            <w:vMerge w:val="continue"/>
            <w:vAlign w:val="center"/>
          </w:tcPr>
          <w:p w14:paraId="2C00936E">
            <w:pPr>
              <w:rPr>
                <w:highlight w:val="none"/>
              </w:rPr>
            </w:pPr>
          </w:p>
        </w:tc>
        <w:tc>
          <w:tcPr>
            <w:tcW w:w="1655" w:type="dxa"/>
            <w:vAlign w:val="center"/>
          </w:tcPr>
          <w:p w14:paraId="6F14DC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050" w:type="dxa"/>
            <w:vAlign w:val="center"/>
          </w:tcPr>
          <w:p w14:paraId="34B172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6D76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29FEAC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740" w:type="dxa"/>
            <w:vMerge w:val="restart"/>
            <w:vAlign w:val="center"/>
          </w:tcPr>
          <w:p w14:paraId="13FA4B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655" w:type="dxa"/>
            <w:vAlign w:val="center"/>
          </w:tcPr>
          <w:p w14:paraId="136C14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050" w:type="dxa"/>
            <w:vAlign w:val="center"/>
          </w:tcPr>
          <w:p w14:paraId="5B4929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219A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1" w:type="dxa"/>
            <w:vAlign w:val="center"/>
          </w:tcPr>
          <w:p w14:paraId="26567A8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740" w:type="dxa"/>
            <w:vMerge w:val="continue"/>
            <w:vAlign w:val="center"/>
          </w:tcPr>
          <w:p w14:paraId="04BF3C64">
            <w:pPr>
              <w:rPr>
                <w:highlight w:val="none"/>
              </w:rPr>
            </w:pPr>
          </w:p>
        </w:tc>
        <w:tc>
          <w:tcPr>
            <w:tcW w:w="1655" w:type="dxa"/>
            <w:vAlign w:val="center"/>
          </w:tcPr>
          <w:p w14:paraId="5E0BE5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050" w:type="dxa"/>
            <w:vAlign w:val="center"/>
          </w:tcPr>
          <w:p w14:paraId="58DAD67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0F2E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41" w:type="dxa"/>
            <w:vAlign w:val="center"/>
          </w:tcPr>
          <w:p w14:paraId="657951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740" w:type="dxa"/>
            <w:vMerge w:val="restart"/>
            <w:vAlign w:val="center"/>
          </w:tcPr>
          <w:p w14:paraId="2EED03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655" w:type="dxa"/>
            <w:vAlign w:val="center"/>
          </w:tcPr>
          <w:p w14:paraId="693253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050" w:type="dxa"/>
            <w:vAlign w:val="center"/>
          </w:tcPr>
          <w:p w14:paraId="49F5F0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0199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41" w:type="dxa"/>
            <w:vAlign w:val="center"/>
          </w:tcPr>
          <w:p w14:paraId="769C87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740" w:type="dxa"/>
            <w:vMerge w:val="continue"/>
            <w:vAlign w:val="center"/>
          </w:tcPr>
          <w:p w14:paraId="15616F4B">
            <w:pPr>
              <w:rPr>
                <w:highlight w:val="none"/>
              </w:rPr>
            </w:pPr>
          </w:p>
        </w:tc>
        <w:tc>
          <w:tcPr>
            <w:tcW w:w="1655" w:type="dxa"/>
            <w:vAlign w:val="center"/>
          </w:tcPr>
          <w:p w14:paraId="705378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050" w:type="dxa"/>
            <w:vAlign w:val="center"/>
          </w:tcPr>
          <w:p w14:paraId="70F9E5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3A30B425">
      <w:pPr>
        <w:rPr>
          <w:rFonts w:ascii="仿宋" w:hAnsi="仿宋" w:eastAsia="仿宋" w:cs="仿宋"/>
          <w:b/>
          <w:bCs/>
          <w:kern w:val="0"/>
          <w:sz w:val="24"/>
          <w:highlight w:val="none"/>
        </w:rPr>
      </w:pPr>
      <w:r>
        <w:rPr>
          <w:rFonts w:hint="eastAsia" w:ascii="仿宋" w:hAnsi="仿宋" w:eastAsia="仿宋" w:cs="仿宋"/>
          <w:b/>
          <w:bCs/>
          <w:kern w:val="0"/>
          <w:sz w:val="24"/>
          <w:highlight w:val="none"/>
        </w:rPr>
        <w:t>附7：“数据处理一体机 计算节点”硬件部分详细参数配置要求：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740"/>
        <w:gridCol w:w="1655"/>
        <w:gridCol w:w="5050"/>
      </w:tblGrid>
      <w:tr w14:paraId="0AAE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72A98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740" w:type="dxa"/>
            <w:vAlign w:val="center"/>
          </w:tcPr>
          <w:p w14:paraId="62C047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655" w:type="dxa"/>
            <w:vAlign w:val="center"/>
          </w:tcPr>
          <w:p w14:paraId="6BDDBE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050" w:type="dxa"/>
            <w:vAlign w:val="center"/>
          </w:tcPr>
          <w:p w14:paraId="123656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详细参数配置要求</w:t>
            </w:r>
          </w:p>
        </w:tc>
      </w:tr>
      <w:tr w14:paraId="5893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109AB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740" w:type="dxa"/>
            <w:vAlign w:val="center"/>
          </w:tcPr>
          <w:p w14:paraId="2A716D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655" w:type="dxa"/>
            <w:vAlign w:val="center"/>
          </w:tcPr>
          <w:p w14:paraId="3C59BC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050" w:type="dxa"/>
            <w:vAlign w:val="center"/>
          </w:tcPr>
          <w:p w14:paraId="1A35273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（2）单颗CPU物理核心数≥32核、主频≥2.2GHz、末级缓存容量≥64MB、线程数≥64、热设计功耗≥135W、支持内存的最高速率≥3200MHz、通道数≥8、位宽≥64位；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3E70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6C4854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740" w:type="dxa"/>
            <w:vMerge w:val="restart"/>
            <w:vAlign w:val="center"/>
          </w:tcPr>
          <w:p w14:paraId="062BB2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655" w:type="dxa"/>
            <w:vAlign w:val="center"/>
          </w:tcPr>
          <w:p w14:paraId="4F61AA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050" w:type="dxa"/>
            <w:vAlign w:val="center"/>
          </w:tcPr>
          <w:p w14:paraId="23CC34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007A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38517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740" w:type="dxa"/>
            <w:vMerge w:val="continue"/>
            <w:vAlign w:val="center"/>
          </w:tcPr>
          <w:p w14:paraId="2098CC08">
            <w:pPr>
              <w:rPr>
                <w:highlight w:val="none"/>
              </w:rPr>
            </w:pPr>
          </w:p>
        </w:tc>
        <w:tc>
          <w:tcPr>
            <w:tcW w:w="1655" w:type="dxa"/>
            <w:vAlign w:val="center"/>
          </w:tcPr>
          <w:p w14:paraId="6AC502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050" w:type="dxa"/>
            <w:vAlign w:val="center"/>
          </w:tcPr>
          <w:p w14:paraId="10B85F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7A00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800DE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740" w:type="dxa"/>
            <w:vMerge w:val="continue"/>
            <w:vAlign w:val="center"/>
          </w:tcPr>
          <w:p w14:paraId="61202872">
            <w:pPr>
              <w:rPr>
                <w:highlight w:val="none"/>
              </w:rPr>
            </w:pPr>
          </w:p>
        </w:tc>
        <w:tc>
          <w:tcPr>
            <w:tcW w:w="1655" w:type="dxa"/>
            <w:vAlign w:val="center"/>
          </w:tcPr>
          <w:p w14:paraId="0E9A1C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050" w:type="dxa"/>
            <w:vAlign w:val="center"/>
          </w:tcPr>
          <w:p w14:paraId="4560E6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（2）板载支持≥12个SATA/SAC盘；</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49C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38683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740" w:type="dxa"/>
            <w:vMerge w:val="continue"/>
            <w:vAlign w:val="center"/>
          </w:tcPr>
          <w:p w14:paraId="1F9627D3">
            <w:pPr>
              <w:rPr>
                <w:highlight w:val="none"/>
              </w:rPr>
            </w:pPr>
          </w:p>
        </w:tc>
        <w:tc>
          <w:tcPr>
            <w:tcW w:w="1655" w:type="dxa"/>
            <w:vAlign w:val="center"/>
          </w:tcPr>
          <w:p w14:paraId="29D599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050" w:type="dxa"/>
            <w:vAlign w:val="center"/>
          </w:tcPr>
          <w:p w14:paraId="57E48A8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391F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1FEA1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740" w:type="dxa"/>
            <w:vMerge w:val="continue"/>
            <w:vAlign w:val="center"/>
          </w:tcPr>
          <w:p w14:paraId="544F5611">
            <w:pPr>
              <w:rPr>
                <w:highlight w:val="none"/>
              </w:rPr>
            </w:pPr>
          </w:p>
        </w:tc>
        <w:tc>
          <w:tcPr>
            <w:tcW w:w="1655" w:type="dxa"/>
            <w:vAlign w:val="center"/>
          </w:tcPr>
          <w:p w14:paraId="3A083F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050" w:type="dxa"/>
            <w:vAlign w:val="center"/>
          </w:tcPr>
          <w:p w14:paraId="28AEF4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2869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A9622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740" w:type="dxa"/>
            <w:vMerge w:val="restart"/>
            <w:vAlign w:val="center"/>
          </w:tcPr>
          <w:p w14:paraId="274D15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655" w:type="dxa"/>
            <w:vAlign w:val="center"/>
          </w:tcPr>
          <w:p w14:paraId="3DEF54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050" w:type="dxa"/>
            <w:vAlign w:val="center"/>
          </w:tcPr>
          <w:p w14:paraId="347686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内存数量≥16</w:t>
            </w:r>
          </w:p>
        </w:tc>
      </w:tr>
      <w:tr w14:paraId="2BA2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3C48F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740" w:type="dxa"/>
            <w:vMerge w:val="continue"/>
            <w:vAlign w:val="center"/>
          </w:tcPr>
          <w:p w14:paraId="4D726EA4">
            <w:pPr>
              <w:rPr>
                <w:highlight w:val="none"/>
              </w:rPr>
            </w:pPr>
          </w:p>
        </w:tc>
        <w:tc>
          <w:tcPr>
            <w:tcW w:w="1655" w:type="dxa"/>
            <w:vAlign w:val="center"/>
          </w:tcPr>
          <w:p w14:paraId="15D001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050" w:type="dxa"/>
            <w:vAlign w:val="center"/>
          </w:tcPr>
          <w:p w14:paraId="5A8056D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2F63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4E987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740" w:type="dxa"/>
            <w:vMerge w:val="continue"/>
            <w:vAlign w:val="center"/>
          </w:tcPr>
          <w:p w14:paraId="29266421">
            <w:pPr>
              <w:rPr>
                <w:highlight w:val="none"/>
              </w:rPr>
            </w:pPr>
          </w:p>
        </w:tc>
        <w:tc>
          <w:tcPr>
            <w:tcW w:w="1655" w:type="dxa"/>
            <w:vAlign w:val="center"/>
          </w:tcPr>
          <w:p w14:paraId="469815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050" w:type="dxa"/>
            <w:vAlign w:val="center"/>
          </w:tcPr>
          <w:p w14:paraId="76CCA5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49CA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0325F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740" w:type="dxa"/>
            <w:vMerge w:val="restart"/>
            <w:vAlign w:val="center"/>
          </w:tcPr>
          <w:p w14:paraId="04FFB4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655" w:type="dxa"/>
            <w:vAlign w:val="center"/>
          </w:tcPr>
          <w:p w14:paraId="0200DA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050" w:type="dxa"/>
            <w:vAlign w:val="center"/>
          </w:tcPr>
          <w:p w14:paraId="544DF38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实配≥2*1.92TB U.2 NVMe 企业级SSD</w:t>
            </w:r>
          </w:p>
        </w:tc>
      </w:tr>
      <w:tr w14:paraId="680C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854AA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740" w:type="dxa"/>
            <w:vMerge w:val="continue"/>
            <w:vAlign w:val="center"/>
          </w:tcPr>
          <w:p w14:paraId="2D43B454">
            <w:pPr>
              <w:rPr>
                <w:highlight w:val="none"/>
              </w:rPr>
            </w:pPr>
          </w:p>
        </w:tc>
        <w:tc>
          <w:tcPr>
            <w:tcW w:w="1655" w:type="dxa"/>
            <w:vAlign w:val="center"/>
          </w:tcPr>
          <w:p w14:paraId="0E7C8C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050" w:type="dxa"/>
            <w:vAlign w:val="center"/>
          </w:tcPr>
          <w:p w14:paraId="02B60DD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实配≥2块U.2 NVMe 企业级SSD</w:t>
            </w:r>
          </w:p>
        </w:tc>
      </w:tr>
      <w:tr w14:paraId="3A75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D02CE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740" w:type="dxa"/>
            <w:vMerge w:val="continue"/>
            <w:vAlign w:val="center"/>
          </w:tcPr>
          <w:p w14:paraId="4AF46FDF">
            <w:pPr>
              <w:rPr>
                <w:highlight w:val="none"/>
              </w:rPr>
            </w:pPr>
          </w:p>
        </w:tc>
        <w:tc>
          <w:tcPr>
            <w:tcW w:w="1655" w:type="dxa"/>
            <w:vAlign w:val="center"/>
          </w:tcPr>
          <w:p w14:paraId="2067A2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050" w:type="dxa"/>
            <w:vAlign w:val="center"/>
          </w:tcPr>
          <w:p w14:paraId="606032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3262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3E5BB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740" w:type="dxa"/>
            <w:vAlign w:val="center"/>
          </w:tcPr>
          <w:p w14:paraId="0A4F18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655" w:type="dxa"/>
            <w:vAlign w:val="center"/>
          </w:tcPr>
          <w:p w14:paraId="537CC0F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050" w:type="dxa"/>
            <w:vAlign w:val="center"/>
          </w:tcPr>
          <w:p w14:paraId="12D833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≥2*100GbE 双端口QSFP28光模块，PCIe3.0 x16网卡(支持 RoCE v2)；</w:t>
            </w:r>
          </w:p>
        </w:tc>
      </w:tr>
      <w:tr w14:paraId="343C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CB45D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740" w:type="dxa"/>
            <w:vMerge w:val="restart"/>
            <w:vAlign w:val="center"/>
          </w:tcPr>
          <w:p w14:paraId="0959C6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655" w:type="dxa"/>
            <w:vAlign w:val="center"/>
          </w:tcPr>
          <w:p w14:paraId="015D01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050" w:type="dxa"/>
            <w:vAlign w:val="center"/>
          </w:tcPr>
          <w:p w14:paraId="3171299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4C72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24410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740" w:type="dxa"/>
            <w:vMerge w:val="continue"/>
            <w:vAlign w:val="center"/>
          </w:tcPr>
          <w:p w14:paraId="148FFC15">
            <w:pPr>
              <w:rPr>
                <w:highlight w:val="none"/>
              </w:rPr>
            </w:pPr>
          </w:p>
        </w:tc>
        <w:tc>
          <w:tcPr>
            <w:tcW w:w="1655" w:type="dxa"/>
            <w:vAlign w:val="center"/>
          </w:tcPr>
          <w:p w14:paraId="458AFC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050" w:type="dxa"/>
            <w:vAlign w:val="center"/>
          </w:tcPr>
          <w:p w14:paraId="64742C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0533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386E5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740" w:type="dxa"/>
            <w:vMerge w:val="restart"/>
            <w:vAlign w:val="center"/>
          </w:tcPr>
          <w:p w14:paraId="12D1D1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655" w:type="dxa"/>
            <w:vAlign w:val="center"/>
          </w:tcPr>
          <w:p w14:paraId="422020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050" w:type="dxa"/>
            <w:vAlign w:val="center"/>
          </w:tcPr>
          <w:p w14:paraId="26B437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48A6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FE57E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740" w:type="dxa"/>
            <w:vMerge w:val="continue"/>
            <w:vAlign w:val="center"/>
          </w:tcPr>
          <w:p w14:paraId="241D4BB0">
            <w:pPr>
              <w:rPr>
                <w:highlight w:val="none"/>
              </w:rPr>
            </w:pPr>
          </w:p>
        </w:tc>
        <w:tc>
          <w:tcPr>
            <w:tcW w:w="1655" w:type="dxa"/>
            <w:vAlign w:val="center"/>
          </w:tcPr>
          <w:p w14:paraId="27BBED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050" w:type="dxa"/>
            <w:vAlign w:val="center"/>
          </w:tcPr>
          <w:p w14:paraId="5A9059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≥1300W，电源模块功率应有一定冗余， 满足处理器满载时的需求</w:t>
            </w:r>
          </w:p>
        </w:tc>
      </w:tr>
      <w:tr w14:paraId="5FB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49E90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740" w:type="dxa"/>
            <w:vMerge w:val="restart"/>
            <w:vAlign w:val="center"/>
          </w:tcPr>
          <w:p w14:paraId="09E206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655" w:type="dxa"/>
            <w:vAlign w:val="center"/>
          </w:tcPr>
          <w:p w14:paraId="69C59D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050" w:type="dxa"/>
            <w:vAlign w:val="center"/>
          </w:tcPr>
          <w:p w14:paraId="18BE02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499F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9E250B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740" w:type="dxa"/>
            <w:vMerge w:val="continue"/>
            <w:vAlign w:val="center"/>
          </w:tcPr>
          <w:p w14:paraId="57AD9041">
            <w:pPr>
              <w:rPr>
                <w:highlight w:val="none"/>
              </w:rPr>
            </w:pPr>
          </w:p>
        </w:tc>
        <w:tc>
          <w:tcPr>
            <w:tcW w:w="1655" w:type="dxa"/>
            <w:vAlign w:val="center"/>
          </w:tcPr>
          <w:p w14:paraId="75008A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050" w:type="dxa"/>
            <w:vAlign w:val="center"/>
          </w:tcPr>
          <w:p w14:paraId="6227FE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4A7E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3846C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740" w:type="dxa"/>
            <w:vMerge w:val="continue"/>
            <w:vAlign w:val="center"/>
          </w:tcPr>
          <w:p w14:paraId="4A5F540F">
            <w:pPr>
              <w:rPr>
                <w:highlight w:val="none"/>
              </w:rPr>
            </w:pPr>
          </w:p>
        </w:tc>
        <w:tc>
          <w:tcPr>
            <w:tcW w:w="1655" w:type="dxa"/>
            <w:vAlign w:val="center"/>
          </w:tcPr>
          <w:p w14:paraId="063971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050" w:type="dxa"/>
            <w:vAlign w:val="center"/>
          </w:tcPr>
          <w:p w14:paraId="0039B5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08AB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48C4C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740" w:type="dxa"/>
            <w:vMerge w:val="continue"/>
            <w:vAlign w:val="center"/>
          </w:tcPr>
          <w:p w14:paraId="1219398D">
            <w:pPr>
              <w:rPr>
                <w:highlight w:val="none"/>
              </w:rPr>
            </w:pPr>
          </w:p>
        </w:tc>
        <w:tc>
          <w:tcPr>
            <w:tcW w:w="1655" w:type="dxa"/>
            <w:vAlign w:val="center"/>
          </w:tcPr>
          <w:p w14:paraId="3D14EC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050" w:type="dxa"/>
            <w:vAlign w:val="center"/>
          </w:tcPr>
          <w:p w14:paraId="1B0721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56E0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56693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740" w:type="dxa"/>
            <w:vMerge w:val="continue"/>
            <w:vAlign w:val="center"/>
          </w:tcPr>
          <w:p w14:paraId="4ABCA976">
            <w:pPr>
              <w:rPr>
                <w:highlight w:val="none"/>
              </w:rPr>
            </w:pPr>
          </w:p>
        </w:tc>
        <w:tc>
          <w:tcPr>
            <w:tcW w:w="1655" w:type="dxa"/>
            <w:vAlign w:val="center"/>
          </w:tcPr>
          <w:p w14:paraId="584A1E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050" w:type="dxa"/>
            <w:vAlign w:val="center"/>
          </w:tcPr>
          <w:p w14:paraId="2827F0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182F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FF9EB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740" w:type="dxa"/>
            <w:vAlign w:val="center"/>
          </w:tcPr>
          <w:p w14:paraId="209EBA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655" w:type="dxa"/>
            <w:vAlign w:val="center"/>
          </w:tcPr>
          <w:p w14:paraId="1198C54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050" w:type="dxa"/>
            <w:vAlign w:val="center"/>
          </w:tcPr>
          <w:p w14:paraId="5585FD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6F7D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C1AC0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740" w:type="dxa"/>
            <w:vAlign w:val="center"/>
          </w:tcPr>
          <w:p w14:paraId="11B467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655" w:type="dxa"/>
            <w:vAlign w:val="center"/>
          </w:tcPr>
          <w:p w14:paraId="7060B0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050" w:type="dxa"/>
            <w:vAlign w:val="center"/>
          </w:tcPr>
          <w:p w14:paraId="629034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31D0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56FB2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740" w:type="dxa"/>
            <w:vAlign w:val="center"/>
          </w:tcPr>
          <w:p w14:paraId="6038DC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655" w:type="dxa"/>
            <w:vAlign w:val="center"/>
          </w:tcPr>
          <w:p w14:paraId="228201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050" w:type="dxa"/>
            <w:vAlign w:val="center"/>
          </w:tcPr>
          <w:p w14:paraId="4033A6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12C8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E049A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740" w:type="dxa"/>
            <w:vMerge w:val="restart"/>
            <w:vAlign w:val="center"/>
          </w:tcPr>
          <w:p w14:paraId="11700D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655" w:type="dxa"/>
            <w:vAlign w:val="center"/>
          </w:tcPr>
          <w:p w14:paraId="5EF15F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050" w:type="dxa"/>
            <w:vAlign w:val="center"/>
          </w:tcPr>
          <w:p w14:paraId="50E3F33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1690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CAEF9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740" w:type="dxa"/>
            <w:vMerge w:val="continue"/>
            <w:vAlign w:val="center"/>
          </w:tcPr>
          <w:p w14:paraId="599A4D64">
            <w:pPr>
              <w:rPr>
                <w:highlight w:val="none"/>
              </w:rPr>
            </w:pPr>
          </w:p>
        </w:tc>
        <w:tc>
          <w:tcPr>
            <w:tcW w:w="1655" w:type="dxa"/>
            <w:vAlign w:val="center"/>
          </w:tcPr>
          <w:p w14:paraId="300841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050" w:type="dxa"/>
            <w:vAlign w:val="center"/>
          </w:tcPr>
          <w:p w14:paraId="183083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6819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E5DD6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740" w:type="dxa"/>
            <w:vMerge w:val="restart"/>
            <w:vAlign w:val="center"/>
          </w:tcPr>
          <w:p w14:paraId="3BB699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655" w:type="dxa"/>
            <w:vAlign w:val="center"/>
          </w:tcPr>
          <w:p w14:paraId="4EAC6A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050" w:type="dxa"/>
            <w:vAlign w:val="center"/>
          </w:tcPr>
          <w:p w14:paraId="22C8D8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2E02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E6771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740" w:type="dxa"/>
            <w:vMerge w:val="continue"/>
            <w:vAlign w:val="center"/>
          </w:tcPr>
          <w:p w14:paraId="585B7325">
            <w:pPr>
              <w:rPr>
                <w:highlight w:val="none"/>
              </w:rPr>
            </w:pPr>
          </w:p>
        </w:tc>
        <w:tc>
          <w:tcPr>
            <w:tcW w:w="1655" w:type="dxa"/>
            <w:vAlign w:val="center"/>
          </w:tcPr>
          <w:p w14:paraId="2A528A6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050" w:type="dxa"/>
            <w:vAlign w:val="center"/>
          </w:tcPr>
          <w:p w14:paraId="425CC1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6C5F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F9618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740" w:type="dxa"/>
            <w:vAlign w:val="center"/>
          </w:tcPr>
          <w:p w14:paraId="41E6A1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655" w:type="dxa"/>
            <w:vAlign w:val="center"/>
          </w:tcPr>
          <w:p w14:paraId="74031A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050" w:type="dxa"/>
            <w:vAlign w:val="center"/>
          </w:tcPr>
          <w:p w14:paraId="730784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2C3A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30930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740" w:type="dxa"/>
            <w:vMerge w:val="restart"/>
            <w:vAlign w:val="center"/>
          </w:tcPr>
          <w:p w14:paraId="2B736E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655" w:type="dxa"/>
            <w:vAlign w:val="center"/>
          </w:tcPr>
          <w:p w14:paraId="764160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050" w:type="dxa"/>
            <w:vAlign w:val="center"/>
          </w:tcPr>
          <w:p w14:paraId="4A55110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3ECD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42AEC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740" w:type="dxa"/>
            <w:vMerge w:val="continue"/>
            <w:vAlign w:val="center"/>
          </w:tcPr>
          <w:p w14:paraId="5700F422">
            <w:pPr>
              <w:rPr>
                <w:highlight w:val="none"/>
              </w:rPr>
            </w:pPr>
          </w:p>
        </w:tc>
        <w:tc>
          <w:tcPr>
            <w:tcW w:w="1655" w:type="dxa"/>
            <w:vAlign w:val="center"/>
          </w:tcPr>
          <w:p w14:paraId="65DB0C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050" w:type="dxa"/>
            <w:vAlign w:val="center"/>
          </w:tcPr>
          <w:p w14:paraId="71F5E2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15A9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5829E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740" w:type="dxa"/>
            <w:vMerge w:val="continue"/>
            <w:vAlign w:val="center"/>
          </w:tcPr>
          <w:p w14:paraId="2D7E970C">
            <w:pPr>
              <w:rPr>
                <w:highlight w:val="none"/>
              </w:rPr>
            </w:pPr>
          </w:p>
        </w:tc>
        <w:tc>
          <w:tcPr>
            <w:tcW w:w="1655" w:type="dxa"/>
            <w:vAlign w:val="center"/>
          </w:tcPr>
          <w:p w14:paraId="3523EF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050" w:type="dxa"/>
            <w:vAlign w:val="center"/>
          </w:tcPr>
          <w:p w14:paraId="7B1DAB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364A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A7307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740" w:type="dxa"/>
            <w:vMerge w:val="restart"/>
            <w:vAlign w:val="center"/>
          </w:tcPr>
          <w:p w14:paraId="2B7E0FF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655" w:type="dxa"/>
            <w:vAlign w:val="center"/>
          </w:tcPr>
          <w:p w14:paraId="294E7D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050" w:type="dxa"/>
            <w:vAlign w:val="center"/>
          </w:tcPr>
          <w:p w14:paraId="0C90B2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761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1A43C5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740" w:type="dxa"/>
            <w:vMerge w:val="continue"/>
            <w:vAlign w:val="center"/>
          </w:tcPr>
          <w:p w14:paraId="3E4B687B">
            <w:pPr>
              <w:rPr>
                <w:highlight w:val="none"/>
              </w:rPr>
            </w:pPr>
          </w:p>
        </w:tc>
        <w:tc>
          <w:tcPr>
            <w:tcW w:w="1655" w:type="dxa"/>
            <w:vAlign w:val="center"/>
          </w:tcPr>
          <w:p w14:paraId="6A0255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050" w:type="dxa"/>
            <w:vAlign w:val="center"/>
          </w:tcPr>
          <w:p w14:paraId="7502953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14D1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BAE3A5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740" w:type="dxa"/>
            <w:vAlign w:val="center"/>
          </w:tcPr>
          <w:p w14:paraId="03DFCF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655" w:type="dxa"/>
            <w:vAlign w:val="center"/>
          </w:tcPr>
          <w:p w14:paraId="2A10C5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050" w:type="dxa"/>
            <w:vAlign w:val="center"/>
          </w:tcPr>
          <w:p w14:paraId="2A0EFC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6AB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58F27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740" w:type="dxa"/>
            <w:vAlign w:val="center"/>
          </w:tcPr>
          <w:p w14:paraId="0B7458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655" w:type="dxa"/>
            <w:vAlign w:val="center"/>
          </w:tcPr>
          <w:p w14:paraId="69F23B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050" w:type="dxa"/>
            <w:vAlign w:val="center"/>
          </w:tcPr>
          <w:p w14:paraId="7A6248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0D85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973E7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740" w:type="dxa"/>
            <w:vAlign w:val="center"/>
          </w:tcPr>
          <w:p w14:paraId="2E5835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655" w:type="dxa"/>
            <w:vAlign w:val="center"/>
          </w:tcPr>
          <w:p w14:paraId="051FD3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050" w:type="dxa"/>
            <w:vAlign w:val="center"/>
          </w:tcPr>
          <w:p w14:paraId="0852B3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3F8C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4D7EC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740" w:type="dxa"/>
            <w:vMerge w:val="restart"/>
            <w:vAlign w:val="center"/>
          </w:tcPr>
          <w:p w14:paraId="2979CE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655" w:type="dxa"/>
            <w:vAlign w:val="center"/>
          </w:tcPr>
          <w:p w14:paraId="6ADA48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050" w:type="dxa"/>
            <w:vAlign w:val="center"/>
          </w:tcPr>
          <w:p w14:paraId="116735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244F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D340B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740" w:type="dxa"/>
            <w:vMerge w:val="continue"/>
            <w:vAlign w:val="center"/>
          </w:tcPr>
          <w:p w14:paraId="407AABF3">
            <w:pPr>
              <w:rPr>
                <w:highlight w:val="none"/>
              </w:rPr>
            </w:pPr>
          </w:p>
        </w:tc>
        <w:tc>
          <w:tcPr>
            <w:tcW w:w="1655" w:type="dxa"/>
            <w:vAlign w:val="center"/>
          </w:tcPr>
          <w:p w14:paraId="1E1448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050" w:type="dxa"/>
            <w:vAlign w:val="center"/>
          </w:tcPr>
          <w:p w14:paraId="41C1A1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71F1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102D6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740" w:type="dxa"/>
            <w:vMerge w:val="continue"/>
            <w:vAlign w:val="center"/>
          </w:tcPr>
          <w:p w14:paraId="6821A543">
            <w:pPr>
              <w:rPr>
                <w:highlight w:val="none"/>
              </w:rPr>
            </w:pPr>
          </w:p>
        </w:tc>
        <w:tc>
          <w:tcPr>
            <w:tcW w:w="1655" w:type="dxa"/>
            <w:vAlign w:val="center"/>
          </w:tcPr>
          <w:p w14:paraId="14364F9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050" w:type="dxa"/>
            <w:vAlign w:val="center"/>
          </w:tcPr>
          <w:p w14:paraId="31BFB6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1D45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F5F94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740" w:type="dxa"/>
            <w:vMerge w:val="continue"/>
            <w:vAlign w:val="center"/>
          </w:tcPr>
          <w:p w14:paraId="21443AFB">
            <w:pPr>
              <w:rPr>
                <w:highlight w:val="none"/>
              </w:rPr>
            </w:pPr>
          </w:p>
        </w:tc>
        <w:tc>
          <w:tcPr>
            <w:tcW w:w="1655" w:type="dxa"/>
            <w:vAlign w:val="center"/>
          </w:tcPr>
          <w:p w14:paraId="0D15F4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050" w:type="dxa"/>
            <w:vAlign w:val="center"/>
          </w:tcPr>
          <w:p w14:paraId="4D51D9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0167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93CE1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740" w:type="dxa"/>
            <w:vMerge w:val="continue"/>
            <w:vAlign w:val="center"/>
          </w:tcPr>
          <w:p w14:paraId="7FBD94A4">
            <w:pPr>
              <w:rPr>
                <w:highlight w:val="none"/>
              </w:rPr>
            </w:pPr>
          </w:p>
        </w:tc>
        <w:tc>
          <w:tcPr>
            <w:tcW w:w="1655" w:type="dxa"/>
            <w:vAlign w:val="center"/>
          </w:tcPr>
          <w:p w14:paraId="12258B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050" w:type="dxa"/>
            <w:vAlign w:val="center"/>
          </w:tcPr>
          <w:p w14:paraId="466DF4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77C1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D26E9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740" w:type="dxa"/>
            <w:vAlign w:val="center"/>
          </w:tcPr>
          <w:p w14:paraId="770591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655" w:type="dxa"/>
            <w:vAlign w:val="center"/>
          </w:tcPr>
          <w:p w14:paraId="791E3F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050" w:type="dxa"/>
            <w:vAlign w:val="center"/>
          </w:tcPr>
          <w:p w14:paraId="52F7FED2">
            <w:pPr>
              <w:widowControl/>
              <w:overflowPunct/>
              <w:autoSpaceDE/>
              <w:autoSpaceDN/>
              <w:jc w:val="center"/>
              <w:textAlignment w:val="auto"/>
              <w:rPr>
                <w:rFonts w:ascii="仿宋" w:hAnsi="仿宋" w:eastAsia="仿宋" w:cs="仿宋"/>
                <w:b/>
                <w:kern w:val="0"/>
                <w:sz w:val="24"/>
                <w:highlight w:val="none"/>
                <w:lang w:val="en-GB"/>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3E37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0958B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740" w:type="dxa"/>
            <w:vAlign w:val="center"/>
          </w:tcPr>
          <w:p w14:paraId="15F433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655" w:type="dxa"/>
            <w:vAlign w:val="center"/>
          </w:tcPr>
          <w:p w14:paraId="2AD1A5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050" w:type="dxa"/>
            <w:vAlign w:val="center"/>
          </w:tcPr>
          <w:p w14:paraId="7D67333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03F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1EE23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740" w:type="dxa"/>
            <w:vAlign w:val="center"/>
          </w:tcPr>
          <w:p w14:paraId="0B1858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求</w:t>
            </w:r>
          </w:p>
        </w:tc>
        <w:tc>
          <w:tcPr>
            <w:tcW w:w="1655" w:type="dxa"/>
            <w:vAlign w:val="center"/>
          </w:tcPr>
          <w:p w14:paraId="7B3151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050" w:type="dxa"/>
            <w:vAlign w:val="center"/>
          </w:tcPr>
          <w:p w14:paraId="4591C1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6998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202055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740" w:type="dxa"/>
            <w:vMerge w:val="restart"/>
            <w:vAlign w:val="center"/>
          </w:tcPr>
          <w:p w14:paraId="14139B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655" w:type="dxa"/>
            <w:vAlign w:val="center"/>
          </w:tcPr>
          <w:p w14:paraId="1529ED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050" w:type="dxa"/>
            <w:vAlign w:val="center"/>
          </w:tcPr>
          <w:p w14:paraId="40331C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≥2.2GHz</w:t>
            </w:r>
          </w:p>
        </w:tc>
      </w:tr>
      <w:tr w14:paraId="508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9F2D4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740" w:type="dxa"/>
            <w:vMerge w:val="continue"/>
            <w:vAlign w:val="center"/>
          </w:tcPr>
          <w:p w14:paraId="7087ED57">
            <w:pPr>
              <w:rPr>
                <w:highlight w:val="none"/>
              </w:rPr>
            </w:pPr>
          </w:p>
        </w:tc>
        <w:tc>
          <w:tcPr>
            <w:tcW w:w="1655" w:type="dxa"/>
            <w:vAlign w:val="center"/>
          </w:tcPr>
          <w:p w14:paraId="5B08F6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050" w:type="dxa"/>
            <w:vAlign w:val="center"/>
          </w:tcPr>
          <w:p w14:paraId="14BC1C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r>
      <w:tr w14:paraId="371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3EF77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740" w:type="dxa"/>
            <w:vMerge w:val="continue"/>
            <w:vAlign w:val="center"/>
          </w:tcPr>
          <w:p w14:paraId="4A6DAB2C">
            <w:pPr>
              <w:rPr>
                <w:highlight w:val="none"/>
              </w:rPr>
            </w:pPr>
          </w:p>
        </w:tc>
        <w:tc>
          <w:tcPr>
            <w:tcW w:w="1655" w:type="dxa"/>
            <w:vAlign w:val="center"/>
          </w:tcPr>
          <w:p w14:paraId="312C4F3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050" w:type="dxa"/>
            <w:vAlign w:val="center"/>
          </w:tcPr>
          <w:p w14:paraId="63F1B2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≥64MB</w:t>
            </w:r>
          </w:p>
        </w:tc>
      </w:tr>
      <w:tr w14:paraId="3A46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E004E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740" w:type="dxa"/>
            <w:vAlign w:val="center"/>
          </w:tcPr>
          <w:p w14:paraId="4740A70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655" w:type="dxa"/>
            <w:vAlign w:val="center"/>
          </w:tcPr>
          <w:p w14:paraId="6A5803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050" w:type="dxa"/>
            <w:vAlign w:val="center"/>
          </w:tcPr>
          <w:p w14:paraId="0AF32F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3EB1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595D5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740" w:type="dxa"/>
            <w:vAlign w:val="center"/>
          </w:tcPr>
          <w:p w14:paraId="6DD22E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655" w:type="dxa"/>
            <w:vAlign w:val="center"/>
          </w:tcPr>
          <w:p w14:paraId="19139E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050" w:type="dxa"/>
            <w:vAlign w:val="center"/>
          </w:tcPr>
          <w:p w14:paraId="4003FF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30A4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9B929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740" w:type="dxa"/>
            <w:vMerge w:val="restart"/>
            <w:vAlign w:val="center"/>
          </w:tcPr>
          <w:p w14:paraId="442436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655" w:type="dxa"/>
            <w:vAlign w:val="center"/>
          </w:tcPr>
          <w:p w14:paraId="35B676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050" w:type="dxa"/>
            <w:vAlign w:val="center"/>
          </w:tcPr>
          <w:p w14:paraId="25D9A0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71F0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13E09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740" w:type="dxa"/>
            <w:vMerge w:val="continue"/>
            <w:vAlign w:val="center"/>
          </w:tcPr>
          <w:p w14:paraId="03E07050">
            <w:pPr>
              <w:rPr>
                <w:highlight w:val="none"/>
              </w:rPr>
            </w:pPr>
          </w:p>
        </w:tc>
        <w:tc>
          <w:tcPr>
            <w:tcW w:w="1655" w:type="dxa"/>
            <w:vAlign w:val="center"/>
          </w:tcPr>
          <w:p w14:paraId="0BFF51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050" w:type="dxa"/>
            <w:vAlign w:val="center"/>
          </w:tcPr>
          <w:p w14:paraId="751343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4CCD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AA6E0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740" w:type="dxa"/>
            <w:vMerge w:val="continue"/>
            <w:vAlign w:val="center"/>
          </w:tcPr>
          <w:p w14:paraId="0D0A4795">
            <w:pPr>
              <w:rPr>
                <w:highlight w:val="none"/>
              </w:rPr>
            </w:pPr>
          </w:p>
        </w:tc>
        <w:tc>
          <w:tcPr>
            <w:tcW w:w="1655" w:type="dxa"/>
            <w:vAlign w:val="center"/>
          </w:tcPr>
          <w:p w14:paraId="3B523C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050" w:type="dxa"/>
            <w:vAlign w:val="center"/>
          </w:tcPr>
          <w:p w14:paraId="784216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4952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1B4359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740" w:type="dxa"/>
            <w:vMerge w:val="continue"/>
            <w:vAlign w:val="center"/>
          </w:tcPr>
          <w:p w14:paraId="00FCDE43">
            <w:pPr>
              <w:rPr>
                <w:highlight w:val="none"/>
              </w:rPr>
            </w:pPr>
          </w:p>
        </w:tc>
        <w:tc>
          <w:tcPr>
            <w:tcW w:w="1655" w:type="dxa"/>
            <w:vAlign w:val="center"/>
          </w:tcPr>
          <w:p w14:paraId="1AA01C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050" w:type="dxa"/>
            <w:vAlign w:val="center"/>
          </w:tcPr>
          <w:p w14:paraId="4A4889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47C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2B7C7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740" w:type="dxa"/>
            <w:vAlign w:val="center"/>
          </w:tcPr>
          <w:p w14:paraId="4BFB949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655" w:type="dxa"/>
            <w:vAlign w:val="center"/>
          </w:tcPr>
          <w:p w14:paraId="752B45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050" w:type="dxa"/>
            <w:vAlign w:val="center"/>
          </w:tcPr>
          <w:p w14:paraId="30E650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6C21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65E50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740" w:type="dxa"/>
            <w:vMerge w:val="restart"/>
            <w:vAlign w:val="center"/>
          </w:tcPr>
          <w:p w14:paraId="07DD508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655" w:type="dxa"/>
            <w:vAlign w:val="center"/>
          </w:tcPr>
          <w:p w14:paraId="1BE01E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050" w:type="dxa"/>
            <w:vAlign w:val="center"/>
          </w:tcPr>
          <w:p w14:paraId="5E0F43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02A6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9B46F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740" w:type="dxa"/>
            <w:vMerge w:val="continue"/>
            <w:vAlign w:val="center"/>
          </w:tcPr>
          <w:p w14:paraId="3AC26765">
            <w:pPr>
              <w:rPr>
                <w:highlight w:val="none"/>
              </w:rPr>
            </w:pPr>
          </w:p>
        </w:tc>
        <w:tc>
          <w:tcPr>
            <w:tcW w:w="1655" w:type="dxa"/>
            <w:vAlign w:val="center"/>
          </w:tcPr>
          <w:p w14:paraId="0FB907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050" w:type="dxa"/>
            <w:vAlign w:val="center"/>
          </w:tcPr>
          <w:p w14:paraId="13A5B2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1823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8E14D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740" w:type="dxa"/>
            <w:vMerge w:val="continue"/>
            <w:vAlign w:val="center"/>
          </w:tcPr>
          <w:p w14:paraId="3E9A5FD9">
            <w:pPr>
              <w:rPr>
                <w:highlight w:val="none"/>
              </w:rPr>
            </w:pPr>
          </w:p>
        </w:tc>
        <w:tc>
          <w:tcPr>
            <w:tcW w:w="1655" w:type="dxa"/>
            <w:vAlign w:val="center"/>
          </w:tcPr>
          <w:p w14:paraId="73BA64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050" w:type="dxa"/>
            <w:vAlign w:val="center"/>
          </w:tcPr>
          <w:p w14:paraId="0C21F8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2B8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10A47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740" w:type="dxa"/>
            <w:vMerge w:val="restart"/>
            <w:vAlign w:val="center"/>
          </w:tcPr>
          <w:p w14:paraId="4A5314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655" w:type="dxa"/>
            <w:vAlign w:val="center"/>
          </w:tcPr>
          <w:p w14:paraId="054DDE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050" w:type="dxa"/>
            <w:vAlign w:val="center"/>
          </w:tcPr>
          <w:p w14:paraId="3F84FF4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7247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BEA812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740" w:type="dxa"/>
            <w:vMerge w:val="continue"/>
            <w:vAlign w:val="center"/>
          </w:tcPr>
          <w:p w14:paraId="546AE691">
            <w:pPr>
              <w:rPr>
                <w:highlight w:val="none"/>
              </w:rPr>
            </w:pPr>
          </w:p>
        </w:tc>
        <w:tc>
          <w:tcPr>
            <w:tcW w:w="1655" w:type="dxa"/>
            <w:vAlign w:val="center"/>
          </w:tcPr>
          <w:p w14:paraId="051E4E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050" w:type="dxa"/>
            <w:vAlign w:val="center"/>
          </w:tcPr>
          <w:p w14:paraId="05E300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5669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A278A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740" w:type="dxa"/>
            <w:vMerge w:val="continue"/>
            <w:vAlign w:val="center"/>
          </w:tcPr>
          <w:p w14:paraId="38C613F6">
            <w:pPr>
              <w:rPr>
                <w:highlight w:val="none"/>
              </w:rPr>
            </w:pPr>
          </w:p>
        </w:tc>
        <w:tc>
          <w:tcPr>
            <w:tcW w:w="1655" w:type="dxa"/>
            <w:vAlign w:val="center"/>
          </w:tcPr>
          <w:p w14:paraId="1DEB79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050" w:type="dxa"/>
            <w:vAlign w:val="center"/>
          </w:tcPr>
          <w:p w14:paraId="5618EA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64DA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89008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740" w:type="dxa"/>
            <w:vAlign w:val="center"/>
          </w:tcPr>
          <w:p w14:paraId="576E38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655" w:type="dxa"/>
            <w:vAlign w:val="center"/>
          </w:tcPr>
          <w:p w14:paraId="5E4E80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050" w:type="dxa"/>
            <w:vAlign w:val="center"/>
          </w:tcPr>
          <w:p w14:paraId="3CDD75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7BFD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CDD47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740" w:type="dxa"/>
            <w:vMerge w:val="restart"/>
            <w:vAlign w:val="center"/>
          </w:tcPr>
          <w:p w14:paraId="65A0A0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655" w:type="dxa"/>
            <w:vAlign w:val="center"/>
          </w:tcPr>
          <w:p w14:paraId="55E94B3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050" w:type="dxa"/>
            <w:vAlign w:val="center"/>
          </w:tcPr>
          <w:p w14:paraId="57DECD23">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6267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A15E9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740" w:type="dxa"/>
            <w:vMerge w:val="continue"/>
            <w:vAlign w:val="center"/>
          </w:tcPr>
          <w:p w14:paraId="68CD5ECA">
            <w:pPr>
              <w:rPr>
                <w:highlight w:val="none"/>
              </w:rPr>
            </w:pPr>
          </w:p>
        </w:tc>
        <w:tc>
          <w:tcPr>
            <w:tcW w:w="1655" w:type="dxa"/>
            <w:vAlign w:val="center"/>
          </w:tcPr>
          <w:p w14:paraId="7E0C6A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050" w:type="dxa"/>
            <w:vAlign w:val="center"/>
          </w:tcPr>
          <w:p w14:paraId="6DA4CE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5D42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E40F0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740" w:type="dxa"/>
            <w:vAlign w:val="center"/>
          </w:tcPr>
          <w:p w14:paraId="4E926B7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655" w:type="dxa"/>
            <w:vAlign w:val="center"/>
          </w:tcPr>
          <w:p w14:paraId="2A4471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050" w:type="dxa"/>
            <w:vAlign w:val="center"/>
          </w:tcPr>
          <w:p w14:paraId="143227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042A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EC3EC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740" w:type="dxa"/>
            <w:vMerge w:val="restart"/>
            <w:vAlign w:val="center"/>
          </w:tcPr>
          <w:p w14:paraId="0C29A5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655" w:type="dxa"/>
            <w:vAlign w:val="center"/>
          </w:tcPr>
          <w:p w14:paraId="4BD01D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050" w:type="dxa"/>
            <w:vAlign w:val="center"/>
          </w:tcPr>
          <w:p w14:paraId="67638C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0B7D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2AD175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740" w:type="dxa"/>
            <w:vMerge w:val="continue"/>
            <w:vAlign w:val="center"/>
          </w:tcPr>
          <w:p w14:paraId="202C54B6">
            <w:pPr>
              <w:rPr>
                <w:highlight w:val="none"/>
              </w:rPr>
            </w:pPr>
          </w:p>
        </w:tc>
        <w:tc>
          <w:tcPr>
            <w:tcW w:w="1655" w:type="dxa"/>
            <w:vAlign w:val="center"/>
          </w:tcPr>
          <w:p w14:paraId="10D9914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050" w:type="dxa"/>
            <w:vAlign w:val="center"/>
          </w:tcPr>
          <w:p w14:paraId="44E2A9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0CC4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3291C6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740" w:type="dxa"/>
            <w:vMerge w:val="continue"/>
            <w:vAlign w:val="center"/>
          </w:tcPr>
          <w:p w14:paraId="2D5BC092">
            <w:pPr>
              <w:rPr>
                <w:highlight w:val="none"/>
              </w:rPr>
            </w:pPr>
          </w:p>
        </w:tc>
        <w:tc>
          <w:tcPr>
            <w:tcW w:w="1655" w:type="dxa"/>
            <w:vAlign w:val="center"/>
          </w:tcPr>
          <w:p w14:paraId="15ABAE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050" w:type="dxa"/>
            <w:vAlign w:val="center"/>
          </w:tcPr>
          <w:p w14:paraId="25A37D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09D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BD268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740" w:type="dxa"/>
            <w:vMerge w:val="restart"/>
            <w:vAlign w:val="center"/>
          </w:tcPr>
          <w:p w14:paraId="167736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655" w:type="dxa"/>
            <w:vAlign w:val="center"/>
          </w:tcPr>
          <w:p w14:paraId="4EB0A6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050" w:type="dxa"/>
            <w:vAlign w:val="center"/>
          </w:tcPr>
          <w:p w14:paraId="1D1C99F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0C7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EA704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740" w:type="dxa"/>
            <w:vMerge w:val="continue"/>
            <w:vAlign w:val="center"/>
          </w:tcPr>
          <w:p w14:paraId="7C22DC5A">
            <w:pPr>
              <w:rPr>
                <w:highlight w:val="none"/>
              </w:rPr>
            </w:pPr>
          </w:p>
        </w:tc>
        <w:tc>
          <w:tcPr>
            <w:tcW w:w="1655" w:type="dxa"/>
            <w:vAlign w:val="center"/>
          </w:tcPr>
          <w:p w14:paraId="006A539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050" w:type="dxa"/>
            <w:vAlign w:val="center"/>
          </w:tcPr>
          <w:p w14:paraId="6F81EC6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2506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74012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740" w:type="dxa"/>
            <w:vMerge w:val="restart"/>
            <w:vAlign w:val="center"/>
          </w:tcPr>
          <w:p w14:paraId="3C95F9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655" w:type="dxa"/>
            <w:vAlign w:val="center"/>
          </w:tcPr>
          <w:p w14:paraId="3AB4D9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050" w:type="dxa"/>
            <w:vAlign w:val="center"/>
          </w:tcPr>
          <w:p w14:paraId="3CBAC6B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1009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AA7C2D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740" w:type="dxa"/>
            <w:vMerge w:val="continue"/>
            <w:vAlign w:val="center"/>
          </w:tcPr>
          <w:p w14:paraId="44F1DB6D">
            <w:pPr>
              <w:rPr>
                <w:highlight w:val="none"/>
              </w:rPr>
            </w:pPr>
          </w:p>
        </w:tc>
        <w:tc>
          <w:tcPr>
            <w:tcW w:w="1655" w:type="dxa"/>
            <w:vAlign w:val="center"/>
          </w:tcPr>
          <w:p w14:paraId="6868D07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050" w:type="dxa"/>
            <w:vAlign w:val="center"/>
          </w:tcPr>
          <w:p w14:paraId="52CB63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35B9E8D2">
      <w:pPr>
        <w:rPr>
          <w:rFonts w:ascii="仿宋" w:hAnsi="仿宋" w:eastAsia="仿宋" w:cs="仿宋"/>
          <w:b/>
          <w:bCs/>
          <w:kern w:val="0"/>
          <w:sz w:val="24"/>
          <w:highlight w:val="none"/>
        </w:rPr>
      </w:pPr>
      <w:r>
        <w:rPr>
          <w:rFonts w:hint="eastAsia" w:ascii="仿宋" w:hAnsi="仿宋" w:eastAsia="仿宋" w:cs="仿宋"/>
          <w:b/>
          <w:bCs/>
          <w:kern w:val="0"/>
          <w:sz w:val="24"/>
          <w:highlight w:val="none"/>
        </w:rPr>
        <w:t>附8：“数据处理一体机 存储节点”硬件部分详细参数配置要求：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740"/>
        <w:gridCol w:w="1655"/>
        <w:gridCol w:w="5050"/>
      </w:tblGrid>
      <w:tr w14:paraId="2238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41" w:type="dxa"/>
            <w:vAlign w:val="center"/>
          </w:tcPr>
          <w:p w14:paraId="7EFAFC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740" w:type="dxa"/>
            <w:vAlign w:val="center"/>
          </w:tcPr>
          <w:p w14:paraId="14DAA2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655" w:type="dxa"/>
            <w:vAlign w:val="center"/>
          </w:tcPr>
          <w:p w14:paraId="5C9BCE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050" w:type="dxa"/>
            <w:vAlign w:val="center"/>
          </w:tcPr>
          <w:p w14:paraId="3FC63A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详细参数配置要求</w:t>
            </w:r>
          </w:p>
        </w:tc>
      </w:tr>
      <w:tr w14:paraId="407A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333D2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740" w:type="dxa"/>
            <w:vAlign w:val="center"/>
          </w:tcPr>
          <w:p w14:paraId="185110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655" w:type="dxa"/>
            <w:vAlign w:val="center"/>
          </w:tcPr>
          <w:p w14:paraId="446846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050" w:type="dxa"/>
            <w:vAlign w:val="center"/>
          </w:tcPr>
          <w:p w14:paraId="33A1DA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（2）单颗CPU物理核心数≥24核、主频≥2.2GHz、末级缓存容量≥64MB、线程数≥48、热设计功耗≥135W、支持内存的最高速率≥3200MHz、通道数≥8、位宽≥64位；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162E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B863F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740" w:type="dxa"/>
            <w:vMerge w:val="restart"/>
            <w:vAlign w:val="center"/>
          </w:tcPr>
          <w:p w14:paraId="5D241E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655" w:type="dxa"/>
            <w:vAlign w:val="center"/>
          </w:tcPr>
          <w:p w14:paraId="7F283B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050" w:type="dxa"/>
            <w:vAlign w:val="center"/>
          </w:tcPr>
          <w:p w14:paraId="40281A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1BF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73CB3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740" w:type="dxa"/>
            <w:vMerge w:val="continue"/>
            <w:vAlign w:val="center"/>
          </w:tcPr>
          <w:p w14:paraId="668105B9">
            <w:pPr>
              <w:rPr>
                <w:highlight w:val="none"/>
              </w:rPr>
            </w:pPr>
          </w:p>
        </w:tc>
        <w:tc>
          <w:tcPr>
            <w:tcW w:w="1655" w:type="dxa"/>
            <w:vAlign w:val="center"/>
          </w:tcPr>
          <w:p w14:paraId="2C1519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050" w:type="dxa"/>
            <w:vAlign w:val="center"/>
          </w:tcPr>
          <w:p w14:paraId="278D73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4AD0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0B5C9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740" w:type="dxa"/>
            <w:vMerge w:val="continue"/>
            <w:vAlign w:val="center"/>
          </w:tcPr>
          <w:p w14:paraId="709C2D83">
            <w:pPr>
              <w:rPr>
                <w:highlight w:val="none"/>
              </w:rPr>
            </w:pPr>
          </w:p>
        </w:tc>
        <w:tc>
          <w:tcPr>
            <w:tcW w:w="1655" w:type="dxa"/>
            <w:vAlign w:val="center"/>
          </w:tcPr>
          <w:p w14:paraId="1FB095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050" w:type="dxa"/>
            <w:vAlign w:val="center"/>
          </w:tcPr>
          <w:p w14:paraId="3475F8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（2）板载支持≥12个U.2 或 SATA/SAS；</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3BF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A8A029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740" w:type="dxa"/>
            <w:vMerge w:val="continue"/>
            <w:vAlign w:val="center"/>
          </w:tcPr>
          <w:p w14:paraId="1F959453">
            <w:pPr>
              <w:rPr>
                <w:highlight w:val="none"/>
              </w:rPr>
            </w:pPr>
          </w:p>
        </w:tc>
        <w:tc>
          <w:tcPr>
            <w:tcW w:w="1655" w:type="dxa"/>
            <w:vAlign w:val="center"/>
          </w:tcPr>
          <w:p w14:paraId="067AF2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050" w:type="dxa"/>
            <w:vAlign w:val="center"/>
          </w:tcPr>
          <w:p w14:paraId="61D4466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0A85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8955C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740" w:type="dxa"/>
            <w:vMerge w:val="continue"/>
            <w:vAlign w:val="center"/>
          </w:tcPr>
          <w:p w14:paraId="2AA2B36C">
            <w:pPr>
              <w:rPr>
                <w:highlight w:val="none"/>
              </w:rPr>
            </w:pPr>
          </w:p>
        </w:tc>
        <w:tc>
          <w:tcPr>
            <w:tcW w:w="1655" w:type="dxa"/>
            <w:vAlign w:val="center"/>
          </w:tcPr>
          <w:p w14:paraId="7BC616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050" w:type="dxa"/>
            <w:vAlign w:val="center"/>
          </w:tcPr>
          <w:p w14:paraId="6B475A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2392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A6DAF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740" w:type="dxa"/>
            <w:vMerge w:val="restart"/>
            <w:vAlign w:val="center"/>
          </w:tcPr>
          <w:p w14:paraId="726229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655" w:type="dxa"/>
            <w:vAlign w:val="center"/>
          </w:tcPr>
          <w:p w14:paraId="709601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050" w:type="dxa"/>
            <w:vAlign w:val="center"/>
          </w:tcPr>
          <w:p w14:paraId="0080A34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内存数量≥4</w:t>
            </w:r>
          </w:p>
        </w:tc>
      </w:tr>
      <w:tr w14:paraId="7BC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656CE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740" w:type="dxa"/>
            <w:vMerge w:val="continue"/>
            <w:vAlign w:val="center"/>
          </w:tcPr>
          <w:p w14:paraId="7F135B7A">
            <w:pPr>
              <w:rPr>
                <w:highlight w:val="none"/>
              </w:rPr>
            </w:pPr>
          </w:p>
        </w:tc>
        <w:tc>
          <w:tcPr>
            <w:tcW w:w="1655" w:type="dxa"/>
            <w:vAlign w:val="center"/>
          </w:tcPr>
          <w:p w14:paraId="72567B5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050" w:type="dxa"/>
            <w:vAlign w:val="center"/>
          </w:tcPr>
          <w:p w14:paraId="65EC18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74FD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910D2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740" w:type="dxa"/>
            <w:vMerge w:val="continue"/>
            <w:vAlign w:val="center"/>
          </w:tcPr>
          <w:p w14:paraId="4B6DB816">
            <w:pPr>
              <w:rPr>
                <w:highlight w:val="none"/>
              </w:rPr>
            </w:pPr>
          </w:p>
        </w:tc>
        <w:tc>
          <w:tcPr>
            <w:tcW w:w="1655" w:type="dxa"/>
            <w:vAlign w:val="center"/>
          </w:tcPr>
          <w:p w14:paraId="790570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050" w:type="dxa"/>
            <w:vAlign w:val="center"/>
          </w:tcPr>
          <w:p w14:paraId="5EEC28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0A88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F78994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740" w:type="dxa"/>
            <w:vMerge w:val="restart"/>
            <w:vAlign w:val="center"/>
          </w:tcPr>
          <w:p w14:paraId="0193EE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655" w:type="dxa"/>
            <w:vAlign w:val="center"/>
          </w:tcPr>
          <w:p w14:paraId="520552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050" w:type="dxa"/>
            <w:vAlign w:val="center"/>
          </w:tcPr>
          <w:p w14:paraId="2C97E6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实配≥2块1.92TB U.2 NVMe 企业级SSD，≥10块7.68TB 2.5英寸 U.2企业级 NVMe SSD</w:t>
            </w:r>
          </w:p>
        </w:tc>
      </w:tr>
      <w:tr w14:paraId="3046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CDD8F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740" w:type="dxa"/>
            <w:vMerge w:val="continue"/>
            <w:vAlign w:val="center"/>
          </w:tcPr>
          <w:p w14:paraId="679B11FF">
            <w:pPr>
              <w:rPr>
                <w:highlight w:val="none"/>
              </w:rPr>
            </w:pPr>
          </w:p>
        </w:tc>
        <w:tc>
          <w:tcPr>
            <w:tcW w:w="1655" w:type="dxa"/>
            <w:vAlign w:val="center"/>
          </w:tcPr>
          <w:p w14:paraId="7719C7C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050" w:type="dxa"/>
            <w:vAlign w:val="center"/>
          </w:tcPr>
          <w:p w14:paraId="6B0FD1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实配≥2块U.2 NVMe 企业级SSD，≥10块2.5英寸 U.2企业级 NVMe SSD</w:t>
            </w:r>
          </w:p>
        </w:tc>
      </w:tr>
      <w:tr w14:paraId="1A27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7B629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740" w:type="dxa"/>
            <w:vMerge w:val="continue"/>
            <w:vAlign w:val="center"/>
          </w:tcPr>
          <w:p w14:paraId="2C9A8FEB">
            <w:pPr>
              <w:rPr>
                <w:highlight w:val="none"/>
              </w:rPr>
            </w:pPr>
          </w:p>
        </w:tc>
        <w:tc>
          <w:tcPr>
            <w:tcW w:w="1655" w:type="dxa"/>
            <w:vAlign w:val="center"/>
          </w:tcPr>
          <w:p w14:paraId="783E8F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050" w:type="dxa"/>
            <w:vAlign w:val="center"/>
          </w:tcPr>
          <w:p w14:paraId="3916A0B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7622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472EA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740" w:type="dxa"/>
            <w:vAlign w:val="center"/>
          </w:tcPr>
          <w:p w14:paraId="7FCDC3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655" w:type="dxa"/>
            <w:vAlign w:val="center"/>
          </w:tcPr>
          <w:p w14:paraId="019D82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050" w:type="dxa"/>
            <w:vAlign w:val="center"/>
          </w:tcPr>
          <w:p w14:paraId="30A2CE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≥2*100GbE 双端口QSFP28光模块； ≥PCIe3.0 x16网卡(支持 RoCE v2)</w:t>
            </w:r>
          </w:p>
        </w:tc>
      </w:tr>
      <w:tr w14:paraId="3E6C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0D781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740" w:type="dxa"/>
            <w:vMerge w:val="restart"/>
            <w:vAlign w:val="center"/>
          </w:tcPr>
          <w:p w14:paraId="778CC99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655" w:type="dxa"/>
            <w:vAlign w:val="center"/>
          </w:tcPr>
          <w:p w14:paraId="2DF65E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050" w:type="dxa"/>
            <w:vAlign w:val="center"/>
          </w:tcPr>
          <w:p w14:paraId="01437B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6F16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FB20E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740" w:type="dxa"/>
            <w:vMerge w:val="continue"/>
            <w:vAlign w:val="center"/>
          </w:tcPr>
          <w:p w14:paraId="086ACC66">
            <w:pPr>
              <w:rPr>
                <w:highlight w:val="none"/>
              </w:rPr>
            </w:pPr>
          </w:p>
        </w:tc>
        <w:tc>
          <w:tcPr>
            <w:tcW w:w="1655" w:type="dxa"/>
            <w:vAlign w:val="center"/>
          </w:tcPr>
          <w:p w14:paraId="5B01C13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050" w:type="dxa"/>
            <w:vAlign w:val="center"/>
          </w:tcPr>
          <w:p w14:paraId="1EB6F4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3BF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0BC71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740" w:type="dxa"/>
            <w:vMerge w:val="restart"/>
            <w:vAlign w:val="center"/>
          </w:tcPr>
          <w:p w14:paraId="7BA1FD4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655" w:type="dxa"/>
            <w:vAlign w:val="center"/>
          </w:tcPr>
          <w:p w14:paraId="19B909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050" w:type="dxa"/>
            <w:vAlign w:val="center"/>
          </w:tcPr>
          <w:p w14:paraId="01FCBE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0B45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4860C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740" w:type="dxa"/>
            <w:vMerge w:val="continue"/>
            <w:vAlign w:val="center"/>
          </w:tcPr>
          <w:p w14:paraId="71499FAD">
            <w:pPr>
              <w:rPr>
                <w:highlight w:val="none"/>
              </w:rPr>
            </w:pPr>
          </w:p>
        </w:tc>
        <w:tc>
          <w:tcPr>
            <w:tcW w:w="1655" w:type="dxa"/>
            <w:vAlign w:val="center"/>
          </w:tcPr>
          <w:p w14:paraId="50D2FD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050" w:type="dxa"/>
            <w:vAlign w:val="center"/>
          </w:tcPr>
          <w:p w14:paraId="3865A0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≥1300W，电源模块功率应有一定冗余， 满足处理器满载时的需求</w:t>
            </w:r>
          </w:p>
        </w:tc>
      </w:tr>
      <w:tr w14:paraId="505B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C4DA7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740" w:type="dxa"/>
            <w:vMerge w:val="restart"/>
            <w:vAlign w:val="center"/>
          </w:tcPr>
          <w:p w14:paraId="0163D9C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655" w:type="dxa"/>
            <w:vAlign w:val="center"/>
          </w:tcPr>
          <w:p w14:paraId="7D730A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050" w:type="dxa"/>
            <w:vAlign w:val="center"/>
          </w:tcPr>
          <w:p w14:paraId="1754D4C0">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3666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F8921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740" w:type="dxa"/>
            <w:vMerge w:val="continue"/>
            <w:vAlign w:val="center"/>
          </w:tcPr>
          <w:p w14:paraId="4637E228">
            <w:pPr>
              <w:rPr>
                <w:highlight w:val="none"/>
              </w:rPr>
            </w:pPr>
          </w:p>
        </w:tc>
        <w:tc>
          <w:tcPr>
            <w:tcW w:w="1655" w:type="dxa"/>
            <w:vAlign w:val="center"/>
          </w:tcPr>
          <w:p w14:paraId="4D998E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050" w:type="dxa"/>
            <w:vAlign w:val="center"/>
          </w:tcPr>
          <w:p w14:paraId="3389ED2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3551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4FB66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740" w:type="dxa"/>
            <w:vMerge w:val="continue"/>
            <w:vAlign w:val="center"/>
          </w:tcPr>
          <w:p w14:paraId="2C450061">
            <w:pPr>
              <w:rPr>
                <w:highlight w:val="none"/>
              </w:rPr>
            </w:pPr>
          </w:p>
        </w:tc>
        <w:tc>
          <w:tcPr>
            <w:tcW w:w="1655" w:type="dxa"/>
            <w:vAlign w:val="center"/>
          </w:tcPr>
          <w:p w14:paraId="5EC2C5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050" w:type="dxa"/>
            <w:vAlign w:val="center"/>
          </w:tcPr>
          <w:p w14:paraId="6762BE5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11DE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3497D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740" w:type="dxa"/>
            <w:vMerge w:val="continue"/>
            <w:vAlign w:val="center"/>
          </w:tcPr>
          <w:p w14:paraId="70A3DCF1">
            <w:pPr>
              <w:rPr>
                <w:highlight w:val="none"/>
              </w:rPr>
            </w:pPr>
          </w:p>
        </w:tc>
        <w:tc>
          <w:tcPr>
            <w:tcW w:w="1655" w:type="dxa"/>
            <w:vAlign w:val="center"/>
          </w:tcPr>
          <w:p w14:paraId="1AD66E2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050" w:type="dxa"/>
            <w:vAlign w:val="center"/>
          </w:tcPr>
          <w:p w14:paraId="77EEEE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69B1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5AAD0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740" w:type="dxa"/>
            <w:vMerge w:val="continue"/>
            <w:vAlign w:val="center"/>
          </w:tcPr>
          <w:p w14:paraId="39224B69">
            <w:pPr>
              <w:rPr>
                <w:highlight w:val="none"/>
              </w:rPr>
            </w:pPr>
          </w:p>
        </w:tc>
        <w:tc>
          <w:tcPr>
            <w:tcW w:w="1655" w:type="dxa"/>
            <w:vAlign w:val="center"/>
          </w:tcPr>
          <w:p w14:paraId="330A56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050" w:type="dxa"/>
            <w:vAlign w:val="center"/>
          </w:tcPr>
          <w:p w14:paraId="170FED6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1705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98786E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740" w:type="dxa"/>
            <w:vAlign w:val="center"/>
          </w:tcPr>
          <w:p w14:paraId="6DDB346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655" w:type="dxa"/>
            <w:vAlign w:val="center"/>
          </w:tcPr>
          <w:p w14:paraId="269C63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050" w:type="dxa"/>
            <w:vAlign w:val="center"/>
          </w:tcPr>
          <w:p w14:paraId="47102E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4AE9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8C9AA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740" w:type="dxa"/>
            <w:vAlign w:val="center"/>
          </w:tcPr>
          <w:p w14:paraId="412A2E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655" w:type="dxa"/>
            <w:vAlign w:val="center"/>
          </w:tcPr>
          <w:p w14:paraId="7AF21D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050" w:type="dxa"/>
            <w:vAlign w:val="center"/>
          </w:tcPr>
          <w:p w14:paraId="769F4C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7506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AAD6E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740" w:type="dxa"/>
            <w:vAlign w:val="center"/>
          </w:tcPr>
          <w:p w14:paraId="07448D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655" w:type="dxa"/>
            <w:vAlign w:val="center"/>
          </w:tcPr>
          <w:p w14:paraId="2B3340D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050" w:type="dxa"/>
            <w:vAlign w:val="center"/>
          </w:tcPr>
          <w:p w14:paraId="678411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19B2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3705C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740" w:type="dxa"/>
            <w:vMerge w:val="restart"/>
            <w:vAlign w:val="center"/>
          </w:tcPr>
          <w:p w14:paraId="7964FC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655" w:type="dxa"/>
            <w:vAlign w:val="center"/>
          </w:tcPr>
          <w:p w14:paraId="4C3965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050" w:type="dxa"/>
            <w:vAlign w:val="center"/>
          </w:tcPr>
          <w:p w14:paraId="02E27A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FC0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6B4F8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740" w:type="dxa"/>
            <w:vMerge w:val="continue"/>
            <w:vAlign w:val="center"/>
          </w:tcPr>
          <w:p w14:paraId="66B9E8F2">
            <w:pPr>
              <w:rPr>
                <w:highlight w:val="none"/>
              </w:rPr>
            </w:pPr>
          </w:p>
        </w:tc>
        <w:tc>
          <w:tcPr>
            <w:tcW w:w="1655" w:type="dxa"/>
            <w:vAlign w:val="center"/>
          </w:tcPr>
          <w:p w14:paraId="6D4EBD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050" w:type="dxa"/>
            <w:vAlign w:val="center"/>
          </w:tcPr>
          <w:p w14:paraId="67591FD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3C36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871F9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740" w:type="dxa"/>
            <w:vMerge w:val="restart"/>
            <w:vAlign w:val="center"/>
          </w:tcPr>
          <w:p w14:paraId="059A97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655" w:type="dxa"/>
            <w:vAlign w:val="center"/>
          </w:tcPr>
          <w:p w14:paraId="2556CC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050" w:type="dxa"/>
            <w:vAlign w:val="center"/>
          </w:tcPr>
          <w:p w14:paraId="12DC41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4739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4E2D1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740" w:type="dxa"/>
            <w:vMerge w:val="continue"/>
            <w:vAlign w:val="center"/>
          </w:tcPr>
          <w:p w14:paraId="795FADF3">
            <w:pPr>
              <w:rPr>
                <w:highlight w:val="none"/>
              </w:rPr>
            </w:pPr>
          </w:p>
        </w:tc>
        <w:tc>
          <w:tcPr>
            <w:tcW w:w="1655" w:type="dxa"/>
            <w:vAlign w:val="center"/>
          </w:tcPr>
          <w:p w14:paraId="6F6B79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050" w:type="dxa"/>
            <w:vAlign w:val="center"/>
          </w:tcPr>
          <w:p w14:paraId="0E5649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2F2F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1FF4B2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740" w:type="dxa"/>
            <w:vAlign w:val="center"/>
          </w:tcPr>
          <w:p w14:paraId="73297E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655" w:type="dxa"/>
            <w:vAlign w:val="center"/>
          </w:tcPr>
          <w:p w14:paraId="0E76C0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050" w:type="dxa"/>
            <w:vAlign w:val="center"/>
          </w:tcPr>
          <w:p w14:paraId="7374F6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5242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3C77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740" w:type="dxa"/>
            <w:vMerge w:val="restart"/>
            <w:vAlign w:val="center"/>
          </w:tcPr>
          <w:p w14:paraId="581FFFA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655" w:type="dxa"/>
            <w:vAlign w:val="center"/>
          </w:tcPr>
          <w:p w14:paraId="52E352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050" w:type="dxa"/>
            <w:vAlign w:val="center"/>
          </w:tcPr>
          <w:p w14:paraId="1FDE98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4E13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5F25F4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740" w:type="dxa"/>
            <w:vMerge w:val="continue"/>
            <w:vAlign w:val="center"/>
          </w:tcPr>
          <w:p w14:paraId="3EA30986">
            <w:pPr>
              <w:rPr>
                <w:highlight w:val="none"/>
              </w:rPr>
            </w:pPr>
          </w:p>
        </w:tc>
        <w:tc>
          <w:tcPr>
            <w:tcW w:w="1655" w:type="dxa"/>
            <w:vAlign w:val="center"/>
          </w:tcPr>
          <w:p w14:paraId="7A84020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050" w:type="dxa"/>
            <w:vAlign w:val="center"/>
          </w:tcPr>
          <w:p w14:paraId="695811B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779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AC471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740" w:type="dxa"/>
            <w:vMerge w:val="continue"/>
            <w:vAlign w:val="center"/>
          </w:tcPr>
          <w:p w14:paraId="0043870E">
            <w:pPr>
              <w:rPr>
                <w:highlight w:val="none"/>
              </w:rPr>
            </w:pPr>
          </w:p>
        </w:tc>
        <w:tc>
          <w:tcPr>
            <w:tcW w:w="1655" w:type="dxa"/>
            <w:vAlign w:val="center"/>
          </w:tcPr>
          <w:p w14:paraId="76FBD4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050" w:type="dxa"/>
            <w:vAlign w:val="center"/>
          </w:tcPr>
          <w:p w14:paraId="266604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5211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1CEF1C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740" w:type="dxa"/>
            <w:vMerge w:val="restart"/>
            <w:vAlign w:val="center"/>
          </w:tcPr>
          <w:p w14:paraId="1A6BBD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655" w:type="dxa"/>
            <w:vAlign w:val="center"/>
          </w:tcPr>
          <w:p w14:paraId="2650D4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050" w:type="dxa"/>
            <w:vAlign w:val="center"/>
          </w:tcPr>
          <w:p w14:paraId="1FD071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08F1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D6ACBE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740" w:type="dxa"/>
            <w:vMerge w:val="continue"/>
            <w:vAlign w:val="center"/>
          </w:tcPr>
          <w:p w14:paraId="688F9917">
            <w:pPr>
              <w:rPr>
                <w:highlight w:val="none"/>
              </w:rPr>
            </w:pPr>
          </w:p>
        </w:tc>
        <w:tc>
          <w:tcPr>
            <w:tcW w:w="1655" w:type="dxa"/>
            <w:vAlign w:val="center"/>
          </w:tcPr>
          <w:p w14:paraId="20AAEB1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050" w:type="dxa"/>
            <w:vAlign w:val="center"/>
          </w:tcPr>
          <w:p w14:paraId="184915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6599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63F42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740" w:type="dxa"/>
            <w:vAlign w:val="center"/>
          </w:tcPr>
          <w:p w14:paraId="6F50EE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655" w:type="dxa"/>
            <w:vAlign w:val="center"/>
          </w:tcPr>
          <w:p w14:paraId="76B630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050" w:type="dxa"/>
            <w:vAlign w:val="center"/>
          </w:tcPr>
          <w:p w14:paraId="6AC4E0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110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F928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740" w:type="dxa"/>
            <w:vAlign w:val="center"/>
          </w:tcPr>
          <w:p w14:paraId="010DE4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655" w:type="dxa"/>
            <w:vAlign w:val="center"/>
          </w:tcPr>
          <w:p w14:paraId="42FDC13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050" w:type="dxa"/>
            <w:vAlign w:val="center"/>
          </w:tcPr>
          <w:p w14:paraId="52A0112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0942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E3595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740" w:type="dxa"/>
            <w:vAlign w:val="center"/>
          </w:tcPr>
          <w:p w14:paraId="76FA06F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655" w:type="dxa"/>
            <w:vAlign w:val="center"/>
          </w:tcPr>
          <w:p w14:paraId="0CF355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050" w:type="dxa"/>
            <w:vAlign w:val="center"/>
          </w:tcPr>
          <w:p w14:paraId="682D6C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001C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30764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740" w:type="dxa"/>
            <w:vMerge w:val="restart"/>
            <w:vAlign w:val="center"/>
          </w:tcPr>
          <w:p w14:paraId="12B90E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655" w:type="dxa"/>
            <w:vAlign w:val="center"/>
          </w:tcPr>
          <w:p w14:paraId="3950B97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050" w:type="dxa"/>
            <w:vAlign w:val="center"/>
          </w:tcPr>
          <w:p w14:paraId="553F6B4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56B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0C87C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740" w:type="dxa"/>
            <w:vMerge w:val="continue"/>
            <w:vAlign w:val="center"/>
          </w:tcPr>
          <w:p w14:paraId="3DB9DEA6">
            <w:pPr>
              <w:rPr>
                <w:highlight w:val="none"/>
              </w:rPr>
            </w:pPr>
          </w:p>
        </w:tc>
        <w:tc>
          <w:tcPr>
            <w:tcW w:w="1655" w:type="dxa"/>
            <w:vAlign w:val="center"/>
          </w:tcPr>
          <w:p w14:paraId="32AA88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050" w:type="dxa"/>
            <w:vAlign w:val="center"/>
          </w:tcPr>
          <w:p w14:paraId="73AC02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67C7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0808A7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740" w:type="dxa"/>
            <w:vMerge w:val="continue"/>
            <w:vAlign w:val="center"/>
          </w:tcPr>
          <w:p w14:paraId="00E0FFEB">
            <w:pPr>
              <w:rPr>
                <w:highlight w:val="none"/>
              </w:rPr>
            </w:pPr>
          </w:p>
        </w:tc>
        <w:tc>
          <w:tcPr>
            <w:tcW w:w="1655" w:type="dxa"/>
            <w:vAlign w:val="center"/>
          </w:tcPr>
          <w:p w14:paraId="50B9D5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050" w:type="dxa"/>
            <w:vAlign w:val="center"/>
          </w:tcPr>
          <w:p w14:paraId="3F43C5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495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65E7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740" w:type="dxa"/>
            <w:vMerge w:val="continue"/>
            <w:vAlign w:val="center"/>
          </w:tcPr>
          <w:p w14:paraId="5AB7D9E4">
            <w:pPr>
              <w:rPr>
                <w:highlight w:val="none"/>
              </w:rPr>
            </w:pPr>
          </w:p>
        </w:tc>
        <w:tc>
          <w:tcPr>
            <w:tcW w:w="1655" w:type="dxa"/>
            <w:vAlign w:val="center"/>
          </w:tcPr>
          <w:p w14:paraId="65B28F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050" w:type="dxa"/>
            <w:vAlign w:val="center"/>
          </w:tcPr>
          <w:p w14:paraId="5A117B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376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60C40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740" w:type="dxa"/>
            <w:vMerge w:val="continue"/>
            <w:vAlign w:val="center"/>
          </w:tcPr>
          <w:p w14:paraId="284F3AEE">
            <w:pPr>
              <w:rPr>
                <w:highlight w:val="none"/>
              </w:rPr>
            </w:pPr>
          </w:p>
        </w:tc>
        <w:tc>
          <w:tcPr>
            <w:tcW w:w="1655" w:type="dxa"/>
            <w:vAlign w:val="center"/>
          </w:tcPr>
          <w:p w14:paraId="622831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050" w:type="dxa"/>
            <w:vAlign w:val="center"/>
          </w:tcPr>
          <w:p w14:paraId="4F21090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23C7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D5969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740" w:type="dxa"/>
            <w:vAlign w:val="center"/>
          </w:tcPr>
          <w:p w14:paraId="67CBDA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655" w:type="dxa"/>
            <w:vAlign w:val="center"/>
          </w:tcPr>
          <w:p w14:paraId="5E021F2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050" w:type="dxa"/>
            <w:vAlign w:val="center"/>
          </w:tcPr>
          <w:p w14:paraId="0548E1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r>
              <w:rPr>
                <w:rFonts w:hint="eastAsia" w:ascii="仿宋" w:hAnsi="仿宋" w:eastAsia="仿宋" w:cs="仿宋"/>
                <w:kern w:val="0"/>
                <w:sz w:val="24"/>
                <w:highlight w:val="none"/>
              </w:rPr>
              <w:br w:type="textWrapping"/>
            </w:r>
          </w:p>
        </w:tc>
      </w:tr>
      <w:tr w14:paraId="5E6D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3809D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740" w:type="dxa"/>
            <w:vAlign w:val="center"/>
          </w:tcPr>
          <w:p w14:paraId="7C5B971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655" w:type="dxa"/>
            <w:vAlign w:val="center"/>
          </w:tcPr>
          <w:p w14:paraId="565C22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050" w:type="dxa"/>
            <w:vAlign w:val="center"/>
          </w:tcPr>
          <w:p w14:paraId="0DF9529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726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04A62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740" w:type="dxa"/>
            <w:vAlign w:val="center"/>
          </w:tcPr>
          <w:p w14:paraId="55D180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1655" w:type="dxa"/>
            <w:vAlign w:val="center"/>
          </w:tcPr>
          <w:p w14:paraId="1A212E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050" w:type="dxa"/>
            <w:vAlign w:val="center"/>
          </w:tcPr>
          <w:p w14:paraId="779522E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05EE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8CDBD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740" w:type="dxa"/>
            <w:vMerge w:val="restart"/>
            <w:vAlign w:val="center"/>
          </w:tcPr>
          <w:p w14:paraId="6213B2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655" w:type="dxa"/>
            <w:vAlign w:val="center"/>
          </w:tcPr>
          <w:p w14:paraId="5B5D32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050" w:type="dxa"/>
            <w:vAlign w:val="center"/>
          </w:tcPr>
          <w:p w14:paraId="571296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≥2.2GHz</w:t>
            </w:r>
          </w:p>
        </w:tc>
      </w:tr>
      <w:tr w14:paraId="0E5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264BF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740" w:type="dxa"/>
            <w:vMerge w:val="continue"/>
            <w:vAlign w:val="center"/>
          </w:tcPr>
          <w:p w14:paraId="7526BFDC">
            <w:pPr>
              <w:rPr>
                <w:highlight w:val="none"/>
              </w:rPr>
            </w:pPr>
          </w:p>
        </w:tc>
        <w:tc>
          <w:tcPr>
            <w:tcW w:w="1655" w:type="dxa"/>
            <w:vAlign w:val="center"/>
          </w:tcPr>
          <w:p w14:paraId="798F7A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050" w:type="dxa"/>
            <w:vAlign w:val="center"/>
          </w:tcPr>
          <w:p w14:paraId="339BDE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r>
      <w:tr w14:paraId="642A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CF251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740" w:type="dxa"/>
            <w:vMerge w:val="continue"/>
            <w:vAlign w:val="center"/>
          </w:tcPr>
          <w:p w14:paraId="2EE6690B">
            <w:pPr>
              <w:rPr>
                <w:highlight w:val="none"/>
              </w:rPr>
            </w:pPr>
          </w:p>
        </w:tc>
        <w:tc>
          <w:tcPr>
            <w:tcW w:w="1655" w:type="dxa"/>
            <w:vAlign w:val="center"/>
          </w:tcPr>
          <w:p w14:paraId="69592A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050" w:type="dxa"/>
            <w:vAlign w:val="center"/>
          </w:tcPr>
          <w:p w14:paraId="06CD5F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≥64MB</w:t>
            </w:r>
          </w:p>
        </w:tc>
      </w:tr>
      <w:tr w14:paraId="798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96587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740" w:type="dxa"/>
            <w:vAlign w:val="center"/>
          </w:tcPr>
          <w:p w14:paraId="6F8C575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655" w:type="dxa"/>
            <w:vAlign w:val="center"/>
          </w:tcPr>
          <w:p w14:paraId="7090BA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050" w:type="dxa"/>
            <w:vAlign w:val="center"/>
          </w:tcPr>
          <w:p w14:paraId="41C9CB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7847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81AB7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740" w:type="dxa"/>
            <w:vAlign w:val="center"/>
          </w:tcPr>
          <w:p w14:paraId="12517D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655" w:type="dxa"/>
            <w:vAlign w:val="center"/>
          </w:tcPr>
          <w:p w14:paraId="092F15A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050" w:type="dxa"/>
            <w:vAlign w:val="center"/>
          </w:tcPr>
          <w:p w14:paraId="55EE67B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7FAE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E836E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740" w:type="dxa"/>
            <w:vMerge w:val="restart"/>
            <w:vAlign w:val="center"/>
          </w:tcPr>
          <w:p w14:paraId="4E29924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655" w:type="dxa"/>
            <w:vAlign w:val="center"/>
          </w:tcPr>
          <w:p w14:paraId="2F5349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050" w:type="dxa"/>
            <w:vAlign w:val="center"/>
          </w:tcPr>
          <w:p w14:paraId="045982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78F8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A01B6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740" w:type="dxa"/>
            <w:vMerge w:val="continue"/>
            <w:vAlign w:val="center"/>
          </w:tcPr>
          <w:p w14:paraId="6BAFF175">
            <w:pPr>
              <w:rPr>
                <w:highlight w:val="none"/>
              </w:rPr>
            </w:pPr>
          </w:p>
        </w:tc>
        <w:tc>
          <w:tcPr>
            <w:tcW w:w="1655" w:type="dxa"/>
            <w:vAlign w:val="center"/>
          </w:tcPr>
          <w:p w14:paraId="2A1EFE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050" w:type="dxa"/>
            <w:vAlign w:val="center"/>
          </w:tcPr>
          <w:p w14:paraId="4D8CB9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1DDF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EB143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740" w:type="dxa"/>
            <w:vMerge w:val="continue"/>
            <w:vAlign w:val="center"/>
          </w:tcPr>
          <w:p w14:paraId="457B7C24">
            <w:pPr>
              <w:rPr>
                <w:highlight w:val="none"/>
              </w:rPr>
            </w:pPr>
          </w:p>
        </w:tc>
        <w:tc>
          <w:tcPr>
            <w:tcW w:w="1655" w:type="dxa"/>
            <w:vAlign w:val="center"/>
          </w:tcPr>
          <w:p w14:paraId="13FF322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050" w:type="dxa"/>
            <w:vAlign w:val="center"/>
          </w:tcPr>
          <w:p w14:paraId="694E7A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660C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63252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740" w:type="dxa"/>
            <w:vMerge w:val="continue"/>
            <w:vAlign w:val="center"/>
          </w:tcPr>
          <w:p w14:paraId="03BD559C">
            <w:pPr>
              <w:rPr>
                <w:highlight w:val="none"/>
              </w:rPr>
            </w:pPr>
          </w:p>
        </w:tc>
        <w:tc>
          <w:tcPr>
            <w:tcW w:w="1655" w:type="dxa"/>
            <w:vAlign w:val="center"/>
          </w:tcPr>
          <w:p w14:paraId="1DA06F6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050" w:type="dxa"/>
            <w:vAlign w:val="center"/>
          </w:tcPr>
          <w:p w14:paraId="10C50D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1FC0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52024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740" w:type="dxa"/>
            <w:vAlign w:val="center"/>
          </w:tcPr>
          <w:p w14:paraId="731D702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655" w:type="dxa"/>
            <w:vAlign w:val="center"/>
          </w:tcPr>
          <w:p w14:paraId="130C8F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050" w:type="dxa"/>
            <w:vAlign w:val="center"/>
          </w:tcPr>
          <w:p w14:paraId="3FFAA0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195E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42654C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740" w:type="dxa"/>
            <w:vMerge w:val="restart"/>
            <w:vAlign w:val="center"/>
          </w:tcPr>
          <w:p w14:paraId="211A43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655" w:type="dxa"/>
            <w:vAlign w:val="center"/>
          </w:tcPr>
          <w:p w14:paraId="11F4CF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050" w:type="dxa"/>
            <w:vAlign w:val="center"/>
          </w:tcPr>
          <w:p w14:paraId="480866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2C99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463E4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740" w:type="dxa"/>
            <w:vMerge w:val="continue"/>
            <w:vAlign w:val="center"/>
          </w:tcPr>
          <w:p w14:paraId="12D1CD4C">
            <w:pPr>
              <w:rPr>
                <w:highlight w:val="none"/>
              </w:rPr>
            </w:pPr>
          </w:p>
        </w:tc>
        <w:tc>
          <w:tcPr>
            <w:tcW w:w="1655" w:type="dxa"/>
            <w:vAlign w:val="center"/>
          </w:tcPr>
          <w:p w14:paraId="71974F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050" w:type="dxa"/>
            <w:vAlign w:val="center"/>
          </w:tcPr>
          <w:p w14:paraId="1AF211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4C9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1585E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740" w:type="dxa"/>
            <w:vMerge w:val="continue"/>
            <w:vAlign w:val="center"/>
          </w:tcPr>
          <w:p w14:paraId="69980D65">
            <w:pPr>
              <w:rPr>
                <w:highlight w:val="none"/>
              </w:rPr>
            </w:pPr>
          </w:p>
        </w:tc>
        <w:tc>
          <w:tcPr>
            <w:tcW w:w="1655" w:type="dxa"/>
            <w:vAlign w:val="center"/>
          </w:tcPr>
          <w:p w14:paraId="361C6B6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050" w:type="dxa"/>
            <w:vAlign w:val="center"/>
          </w:tcPr>
          <w:p w14:paraId="2C414B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62E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BADB2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740" w:type="dxa"/>
            <w:vMerge w:val="restart"/>
            <w:vAlign w:val="center"/>
          </w:tcPr>
          <w:p w14:paraId="405289B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655" w:type="dxa"/>
            <w:vAlign w:val="center"/>
          </w:tcPr>
          <w:p w14:paraId="12E0EC8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050" w:type="dxa"/>
            <w:vAlign w:val="center"/>
          </w:tcPr>
          <w:p w14:paraId="371E8F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7DE4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259E5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740" w:type="dxa"/>
            <w:vMerge w:val="continue"/>
            <w:vAlign w:val="center"/>
          </w:tcPr>
          <w:p w14:paraId="54D3D50B">
            <w:pPr>
              <w:rPr>
                <w:highlight w:val="none"/>
              </w:rPr>
            </w:pPr>
          </w:p>
        </w:tc>
        <w:tc>
          <w:tcPr>
            <w:tcW w:w="1655" w:type="dxa"/>
            <w:vAlign w:val="center"/>
          </w:tcPr>
          <w:p w14:paraId="13047DF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050" w:type="dxa"/>
            <w:vAlign w:val="center"/>
          </w:tcPr>
          <w:p w14:paraId="525DA0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49E5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62CAF8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740" w:type="dxa"/>
            <w:vMerge w:val="continue"/>
            <w:vAlign w:val="center"/>
          </w:tcPr>
          <w:p w14:paraId="17365A0F">
            <w:pPr>
              <w:rPr>
                <w:highlight w:val="none"/>
              </w:rPr>
            </w:pPr>
          </w:p>
        </w:tc>
        <w:tc>
          <w:tcPr>
            <w:tcW w:w="1655" w:type="dxa"/>
            <w:vAlign w:val="center"/>
          </w:tcPr>
          <w:p w14:paraId="4CE3D3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050" w:type="dxa"/>
            <w:vAlign w:val="center"/>
          </w:tcPr>
          <w:p w14:paraId="35B3785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762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5572E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740" w:type="dxa"/>
            <w:vAlign w:val="center"/>
          </w:tcPr>
          <w:p w14:paraId="7E6DA8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655" w:type="dxa"/>
            <w:vAlign w:val="center"/>
          </w:tcPr>
          <w:p w14:paraId="260C6D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050" w:type="dxa"/>
            <w:vAlign w:val="center"/>
          </w:tcPr>
          <w:p w14:paraId="16CED2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378A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49EA6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740" w:type="dxa"/>
            <w:vMerge w:val="restart"/>
            <w:vAlign w:val="center"/>
          </w:tcPr>
          <w:p w14:paraId="2E73B28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655" w:type="dxa"/>
            <w:vAlign w:val="center"/>
          </w:tcPr>
          <w:p w14:paraId="18E591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050" w:type="dxa"/>
            <w:vAlign w:val="center"/>
          </w:tcPr>
          <w:p w14:paraId="4E05D77E">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0385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4F12B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740" w:type="dxa"/>
            <w:vMerge w:val="continue"/>
            <w:vAlign w:val="center"/>
          </w:tcPr>
          <w:p w14:paraId="73C6951A">
            <w:pPr>
              <w:rPr>
                <w:highlight w:val="none"/>
              </w:rPr>
            </w:pPr>
          </w:p>
        </w:tc>
        <w:tc>
          <w:tcPr>
            <w:tcW w:w="1655" w:type="dxa"/>
            <w:vAlign w:val="center"/>
          </w:tcPr>
          <w:p w14:paraId="6027D2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050" w:type="dxa"/>
            <w:vAlign w:val="center"/>
          </w:tcPr>
          <w:p w14:paraId="7A7C8416">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03AD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A422B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740" w:type="dxa"/>
            <w:vAlign w:val="center"/>
          </w:tcPr>
          <w:p w14:paraId="0499943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655" w:type="dxa"/>
            <w:vAlign w:val="center"/>
          </w:tcPr>
          <w:p w14:paraId="1843DBE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050" w:type="dxa"/>
            <w:vAlign w:val="center"/>
          </w:tcPr>
          <w:p w14:paraId="77E26FF7">
            <w:pPr>
              <w:widowControl/>
              <w:jc w:val="left"/>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1839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37DB1D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740" w:type="dxa"/>
            <w:vMerge w:val="restart"/>
            <w:vAlign w:val="center"/>
          </w:tcPr>
          <w:p w14:paraId="0A8D4F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655" w:type="dxa"/>
            <w:vAlign w:val="center"/>
          </w:tcPr>
          <w:p w14:paraId="02ACD97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050" w:type="dxa"/>
            <w:vAlign w:val="center"/>
          </w:tcPr>
          <w:p w14:paraId="24424F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1F8C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354E0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740" w:type="dxa"/>
            <w:vMerge w:val="continue"/>
            <w:vAlign w:val="center"/>
          </w:tcPr>
          <w:p w14:paraId="7DACCB1A">
            <w:pPr>
              <w:rPr>
                <w:highlight w:val="none"/>
              </w:rPr>
            </w:pPr>
          </w:p>
        </w:tc>
        <w:tc>
          <w:tcPr>
            <w:tcW w:w="1655" w:type="dxa"/>
            <w:vAlign w:val="center"/>
          </w:tcPr>
          <w:p w14:paraId="2FC13D6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050" w:type="dxa"/>
            <w:vAlign w:val="center"/>
          </w:tcPr>
          <w:p w14:paraId="388F05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6DB5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A7134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740" w:type="dxa"/>
            <w:vMerge w:val="continue"/>
            <w:vAlign w:val="center"/>
          </w:tcPr>
          <w:p w14:paraId="01F05E17">
            <w:pPr>
              <w:rPr>
                <w:highlight w:val="none"/>
              </w:rPr>
            </w:pPr>
          </w:p>
        </w:tc>
        <w:tc>
          <w:tcPr>
            <w:tcW w:w="1655" w:type="dxa"/>
            <w:vAlign w:val="center"/>
          </w:tcPr>
          <w:p w14:paraId="5A70194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050" w:type="dxa"/>
            <w:vAlign w:val="center"/>
          </w:tcPr>
          <w:p w14:paraId="6EB3BE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170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3B2350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740" w:type="dxa"/>
            <w:vMerge w:val="restart"/>
            <w:vAlign w:val="center"/>
          </w:tcPr>
          <w:p w14:paraId="6349B8C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655" w:type="dxa"/>
            <w:vAlign w:val="center"/>
          </w:tcPr>
          <w:p w14:paraId="64B562B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050" w:type="dxa"/>
            <w:vAlign w:val="center"/>
          </w:tcPr>
          <w:p w14:paraId="0A7E1E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2081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05413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740" w:type="dxa"/>
            <w:vMerge w:val="continue"/>
            <w:vAlign w:val="center"/>
          </w:tcPr>
          <w:p w14:paraId="0006581B">
            <w:pPr>
              <w:rPr>
                <w:highlight w:val="none"/>
              </w:rPr>
            </w:pPr>
          </w:p>
        </w:tc>
        <w:tc>
          <w:tcPr>
            <w:tcW w:w="1655" w:type="dxa"/>
            <w:vAlign w:val="center"/>
          </w:tcPr>
          <w:p w14:paraId="01B6C2E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050" w:type="dxa"/>
            <w:vAlign w:val="center"/>
          </w:tcPr>
          <w:p w14:paraId="2B225DF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11BC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0E1F2A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740" w:type="dxa"/>
            <w:vMerge w:val="restart"/>
            <w:vAlign w:val="center"/>
          </w:tcPr>
          <w:p w14:paraId="157EBA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655" w:type="dxa"/>
            <w:vAlign w:val="center"/>
          </w:tcPr>
          <w:p w14:paraId="5E2D9DB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050" w:type="dxa"/>
            <w:vAlign w:val="center"/>
          </w:tcPr>
          <w:p w14:paraId="602D81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5A95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C80704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740" w:type="dxa"/>
            <w:vMerge w:val="continue"/>
            <w:vAlign w:val="center"/>
          </w:tcPr>
          <w:p w14:paraId="79C50E31">
            <w:pPr>
              <w:rPr>
                <w:highlight w:val="none"/>
              </w:rPr>
            </w:pPr>
          </w:p>
        </w:tc>
        <w:tc>
          <w:tcPr>
            <w:tcW w:w="1655" w:type="dxa"/>
            <w:vAlign w:val="center"/>
          </w:tcPr>
          <w:p w14:paraId="5DA5C2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050" w:type="dxa"/>
            <w:vAlign w:val="center"/>
          </w:tcPr>
          <w:p w14:paraId="5CC9BC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39BE951F">
      <w:pPr>
        <w:rPr>
          <w:rFonts w:ascii="仿宋" w:hAnsi="仿宋" w:eastAsia="仿宋" w:cs="仿宋"/>
          <w:b/>
          <w:bCs/>
          <w:kern w:val="0"/>
          <w:sz w:val="24"/>
          <w:highlight w:val="none"/>
        </w:rPr>
      </w:pPr>
    </w:p>
    <w:p w14:paraId="029A53CE">
      <w:pPr>
        <w:rPr>
          <w:rFonts w:ascii="仿宋" w:hAnsi="仿宋" w:eastAsia="仿宋" w:cs="仿宋"/>
          <w:b/>
          <w:bCs/>
          <w:kern w:val="0"/>
          <w:sz w:val="24"/>
          <w:highlight w:val="none"/>
        </w:rPr>
      </w:pPr>
      <w:r>
        <w:rPr>
          <w:rFonts w:hint="eastAsia" w:ascii="仿宋" w:hAnsi="仿宋" w:eastAsia="仿宋" w:cs="仿宋"/>
          <w:b/>
          <w:bCs/>
          <w:kern w:val="0"/>
          <w:sz w:val="24"/>
          <w:highlight w:val="none"/>
        </w:rPr>
        <w:t>附9：“数据库备份一体机”硬件部分详细参数配置要求：</w:t>
      </w:r>
    </w:p>
    <w:tbl>
      <w:tblPr>
        <w:tblStyle w:val="8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77"/>
        <w:gridCol w:w="1718"/>
        <w:gridCol w:w="5050"/>
      </w:tblGrid>
      <w:tr w14:paraId="6B4D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8CC4B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1677" w:type="dxa"/>
            <w:vAlign w:val="center"/>
          </w:tcPr>
          <w:p w14:paraId="62AB832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一级性能参数指标</w:t>
            </w:r>
          </w:p>
        </w:tc>
        <w:tc>
          <w:tcPr>
            <w:tcW w:w="1718" w:type="dxa"/>
            <w:vAlign w:val="center"/>
          </w:tcPr>
          <w:p w14:paraId="07574E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二级性能参数指标</w:t>
            </w:r>
          </w:p>
        </w:tc>
        <w:tc>
          <w:tcPr>
            <w:tcW w:w="5050" w:type="dxa"/>
            <w:vAlign w:val="center"/>
          </w:tcPr>
          <w:p w14:paraId="3DB092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详细参数配置要求</w:t>
            </w:r>
          </w:p>
        </w:tc>
      </w:tr>
      <w:tr w14:paraId="7F34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1805A8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677" w:type="dxa"/>
            <w:vAlign w:val="center"/>
          </w:tcPr>
          <w:p w14:paraId="670D1F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CPU规格</w:t>
            </w:r>
          </w:p>
        </w:tc>
        <w:tc>
          <w:tcPr>
            <w:tcW w:w="1718" w:type="dxa"/>
            <w:vAlign w:val="center"/>
          </w:tcPr>
          <w:p w14:paraId="77F63E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信息</w:t>
            </w:r>
          </w:p>
        </w:tc>
        <w:tc>
          <w:tcPr>
            <w:tcW w:w="5050" w:type="dxa"/>
            <w:vAlign w:val="center"/>
          </w:tcPr>
          <w:p w14:paraId="50AD96C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（1）配置≥2颗国产C86-3G架构处理器，支持超线程技术和睿频技术；</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（2）单颗CPU物理核心数≥32核、主频≥2.2GHz、末级缓存容量≥64MB、线程数≥64、热设计功耗≥135W、支持内存的最高速率≥3200MHz、通道数≥8、位宽≥64位；</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供应商应在投标时给出CPU型号</w:t>
            </w:r>
          </w:p>
        </w:tc>
      </w:tr>
      <w:tr w14:paraId="10D1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53E33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677" w:type="dxa"/>
            <w:vMerge w:val="restart"/>
            <w:vAlign w:val="center"/>
          </w:tcPr>
          <w:p w14:paraId="2241C4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主板规格</w:t>
            </w:r>
          </w:p>
        </w:tc>
        <w:tc>
          <w:tcPr>
            <w:tcW w:w="1718" w:type="dxa"/>
            <w:vAlign w:val="center"/>
          </w:tcPr>
          <w:p w14:paraId="64A7B0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主板支持的CPU 和内存情况</w:t>
            </w:r>
          </w:p>
        </w:tc>
        <w:tc>
          <w:tcPr>
            <w:tcW w:w="5050" w:type="dxa"/>
            <w:vAlign w:val="center"/>
          </w:tcPr>
          <w:p w14:paraId="2EDF341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主板支持CPU ≥2颗，内存数量支持≥ 16个；</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供应商应在投标时给出主板支持的CPU型号；</w:t>
            </w:r>
          </w:p>
        </w:tc>
      </w:tr>
      <w:tr w14:paraId="4B7C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E6D7E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w:t>
            </w:r>
          </w:p>
        </w:tc>
        <w:tc>
          <w:tcPr>
            <w:tcW w:w="1677" w:type="dxa"/>
            <w:vMerge w:val="continue"/>
            <w:vAlign w:val="center"/>
          </w:tcPr>
          <w:p w14:paraId="50D7FAA6">
            <w:pPr>
              <w:rPr>
                <w:highlight w:val="none"/>
              </w:rPr>
            </w:pPr>
          </w:p>
        </w:tc>
        <w:tc>
          <w:tcPr>
            <w:tcW w:w="1718" w:type="dxa"/>
            <w:vAlign w:val="center"/>
          </w:tcPr>
          <w:p w14:paraId="607299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w:t>
            </w:r>
          </w:p>
        </w:tc>
        <w:tc>
          <w:tcPr>
            <w:tcW w:w="5050" w:type="dxa"/>
            <w:vAlign w:val="center"/>
          </w:tcPr>
          <w:p w14:paraId="015F3E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主板内存槽数量≥16个</w:t>
            </w:r>
          </w:p>
        </w:tc>
      </w:tr>
      <w:tr w14:paraId="64B0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D0051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w:t>
            </w:r>
          </w:p>
        </w:tc>
        <w:tc>
          <w:tcPr>
            <w:tcW w:w="1677" w:type="dxa"/>
            <w:vMerge w:val="continue"/>
            <w:vAlign w:val="center"/>
          </w:tcPr>
          <w:p w14:paraId="20AB8034">
            <w:pPr>
              <w:rPr>
                <w:highlight w:val="none"/>
              </w:rPr>
            </w:pPr>
          </w:p>
        </w:tc>
        <w:tc>
          <w:tcPr>
            <w:tcW w:w="1718" w:type="dxa"/>
            <w:vAlign w:val="center"/>
          </w:tcPr>
          <w:p w14:paraId="37B8339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主板存储接口</w:t>
            </w:r>
          </w:p>
        </w:tc>
        <w:tc>
          <w:tcPr>
            <w:tcW w:w="5050" w:type="dxa"/>
            <w:vAlign w:val="center"/>
          </w:tcPr>
          <w:p w14:paraId="451FE4E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（1）主板支持SATA/SAS/M.2/U.2存储接口；</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（2）板载支持≥12个U.2 或 SATA/SAS；</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（3）板载可支持1个内置M.2 SSD；</w:t>
            </w:r>
          </w:p>
        </w:tc>
      </w:tr>
      <w:tr w14:paraId="153F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6F9E4A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w:t>
            </w:r>
          </w:p>
        </w:tc>
        <w:tc>
          <w:tcPr>
            <w:tcW w:w="1677" w:type="dxa"/>
            <w:vMerge w:val="continue"/>
            <w:vAlign w:val="center"/>
          </w:tcPr>
          <w:p w14:paraId="6DEA2CB5">
            <w:pPr>
              <w:rPr>
                <w:highlight w:val="none"/>
              </w:rPr>
            </w:pPr>
          </w:p>
        </w:tc>
        <w:tc>
          <w:tcPr>
            <w:tcW w:w="1718" w:type="dxa"/>
            <w:vAlign w:val="center"/>
          </w:tcPr>
          <w:p w14:paraId="761DF39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PCIe 插槽接口</w:t>
            </w:r>
          </w:p>
        </w:tc>
        <w:tc>
          <w:tcPr>
            <w:tcW w:w="5050" w:type="dxa"/>
            <w:vAlign w:val="center"/>
          </w:tcPr>
          <w:p w14:paraId="105454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支持PCI-E 4.0插槽，可支持向下兼容</w:t>
            </w:r>
          </w:p>
        </w:tc>
      </w:tr>
      <w:tr w14:paraId="1F55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EA569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w:t>
            </w:r>
          </w:p>
        </w:tc>
        <w:tc>
          <w:tcPr>
            <w:tcW w:w="1677" w:type="dxa"/>
            <w:vMerge w:val="continue"/>
            <w:vAlign w:val="center"/>
          </w:tcPr>
          <w:p w14:paraId="2DE019A2">
            <w:pPr>
              <w:rPr>
                <w:highlight w:val="none"/>
              </w:rPr>
            </w:pPr>
          </w:p>
        </w:tc>
        <w:tc>
          <w:tcPr>
            <w:tcW w:w="1718" w:type="dxa"/>
            <w:vAlign w:val="center"/>
          </w:tcPr>
          <w:p w14:paraId="4D985F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主板PCIe插槽数量及规格</w:t>
            </w:r>
          </w:p>
        </w:tc>
        <w:tc>
          <w:tcPr>
            <w:tcW w:w="5050" w:type="dxa"/>
            <w:vAlign w:val="center"/>
          </w:tcPr>
          <w:p w14:paraId="41B0B97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主板最大可扩展≥6个PCIe 4.0插槽；</w:t>
            </w:r>
          </w:p>
        </w:tc>
      </w:tr>
      <w:tr w14:paraId="7C03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BA9D60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w:t>
            </w:r>
          </w:p>
        </w:tc>
        <w:tc>
          <w:tcPr>
            <w:tcW w:w="1677" w:type="dxa"/>
            <w:vMerge w:val="restart"/>
            <w:vAlign w:val="center"/>
          </w:tcPr>
          <w:p w14:paraId="740B6B1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1718" w:type="dxa"/>
            <w:vAlign w:val="center"/>
          </w:tcPr>
          <w:p w14:paraId="146960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w:t>
            </w:r>
          </w:p>
        </w:tc>
        <w:tc>
          <w:tcPr>
            <w:tcW w:w="5050" w:type="dxa"/>
            <w:vAlign w:val="center"/>
          </w:tcPr>
          <w:p w14:paraId="4695E88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内存数量≥16</w:t>
            </w:r>
          </w:p>
        </w:tc>
      </w:tr>
      <w:tr w14:paraId="2DA8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7723EF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8</w:t>
            </w:r>
          </w:p>
        </w:tc>
        <w:tc>
          <w:tcPr>
            <w:tcW w:w="1677" w:type="dxa"/>
            <w:vMerge w:val="continue"/>
            <w:vAlign w:val="center"/>
          </w:tcPr>
          <w:p w14:paraId="056F326C">
            <w:pPr>
              <w:rPr>
                <w:highlight w:val="none"/>
              </w:rPr>
            </w:pPr>
          </w:p>
        </w:tc>
        <w:tc>
          <w:tcPr>
            <w:tcW w:w="1718" w:type="dxa"/>
            <w:vAlign w:val="center"/>
          </w:tcPr>
          <w:p w14:paraId="472CA7B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内存规格</w:t>
            </w:r>
          </w:p>
        </w:tc>
        <w:tc>
          <w:tcPr>
            <w:tcW w:w="5050" w:type="dxa"/>
            <w:vAlign w:val="center"/>
          </w:tcPr>
          <w:p w14:paraId="54E753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实配≥32GB DDR4</w:t>
            </w:r>
          </w:p>
        </w:tc>
      </w:tr>
      <w:tr w14:paraId="6E6A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8D320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9</w:t>
            </w:r>
          </w:p>
        </w:tc>
        <w:tc>
          <w:tcPr>
            <w:tcW w:w="1677" w:type="dxa"/>
            <w:vMerge w:val="continue"/>
            <w:vAlign w:val="center"/>
          </w:tcPr>
          <w:p w14:paraId="58EBA740">
            <w:pPr>
              <w:rPr>
                <w:highlight w:val="none"/>
              </w:rPr>
            </w:pPr>
          </w:p>
        </w:tc>
        <w:tc>
          <w:tcPr>
            <w:tcW w:w="1718" w:type="dxa"/>
            <w:vAlign w:val="center"/>
          </w:tcPr>
          <w:p w14:paraId="743DAC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内存通道</w:t>
            </w:r>
          </w:p>
        </w:tc>
        <w:tc>
          <w:tcPr>
            <w:tcW w:w="5050" w:type="dxa"/>
            <w:vAlign w:val="center"/>
          </w:tcPr>
          <w:p w14:paraId="130B243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支持≥4个内存接口通道</w:t>
            </w:r>
          </w:p>
        </w:tc>
      </w:tr>
      <w:tr w14:paraId="142B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DC326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10</w:t>
            </w:r>
          </w:p>
        </w:tc>
        <w:tc>
          <w:tcPr>
            <w:tcW w:w="1677" w:type="dxa"/>
            <w:vMerge w:val="restart"/>
            <w:vAlign w:val="center"/>
          </w:tcPr>
          <w:p w14:paraId="3509781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存储规格</w:t>
            </w:r>
          </w:p>
        </w:tc>
        <w:tc>
          <w:tcPr>
            <w:tcW w:w="1718" w:type="dxa"/>
            <w:vAlign w:val="center"/>
          </w:tcPr>
          <w:p w14:paraId="7EB151F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硬磁盘实配容量</w:t>
            </w:r>
          </w:p>
        </w:tc>
        <w:tc>
          <w:tcPr>
            <w:tcW w:w="5050" w:type="dxa"/>
            <w:vAlign w:val="center"/>
          </w:tcPr>
          <w:p w14:paraId="210E6E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实配≥2块1.92TB U.2 NVMe 企业级SSD，≥10块7.68TB 2.5英寸 U.2企业级 NVMe SSD</w:t>
            </w:r>
          </w:p>
        </w:tc>
      </w:tr>
      <w:tr w14:paraId="3B5A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8A4F1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w:t>
            </w:r>
          </w:p>
        </w:tc>
        <w:tc>
          <w:tcPr>
            <w:tcW w:w="1677" w:type="dxa"/>
            <w:vMerge w:val="continue"/>
            <w:vAlign w:val="center"/>
          </w:tcPr>
          <w:p w14:paraId="3A858124">
            <w:pPr>
              <w:rPr>
                <w:highlight w:val="none"/>
              </w:rPr>
            </w:pPr>
          </w:p>
        </w:tc>
        <w:tc>
          <w:tcPr>
            <w:tcW w:w="1718" w:type="dxa"/>
            <w:vAlign w:val="center"/>
          </w:tcPr>
          <w:p w14:paraId="40B878D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硬盘实配数量</w:t>
            </w:r>
          </w:p>
        </w:tc>
        <w:tc>
          <w:tcPr>
            <w:tcW w:w="5050" w:type="dxa"/>
            <w:vAlign w:val="center"/>
          </w:tcPr>
          <w:p w14:paraId="30236F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实配≥2块U.2 NVMe 企业级SSD，≥10块2.5英寸 U.2企业级 NVMe SSD</w:t>
            </w:r>
          </w:p>
        </w:tc>
      </w:tr>
      <w:tr w14:paraId="2ED6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D471B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12</w:t>
            </w:r>
          </w:p>
        </w:tc>
        <w:tc>
          <w:tcPr>
            <w:tcW w:w="1677" w:type="dxa"/>
            <w:vMerge w:val="continue"/>
            <w:vAlign w:val="center"/>
          </w:tcPr>
          <w:p w14:paraId="1F8269C6">
            <w:pPr>
              <w:rPr>
                <w:highlight w:val="none"/>
              </w:rPr>
            </w:pPr>
          </w:p>
        </w:tc>
        <w:tc>
          <w:tcPr>
            <w:tcW w:w="1718" w:type="dxa"/>
            <w:vAlign w:val="center"/>
          </w:tcPr>
          <w:p w14:paraId="180285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硬盘插槽数量及规格</w:t>
            </w:r>
          </w:p>
        </w:tc>
        <w:tc>
          <w:tcPr>
            <w:tcW w:w="5050" w:type="dxa"/>
            <w:vAlign w:val="center"/>
          </w:tcPr>
          <w:p w14:paraId="4A4F6D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（1）支持≥12个前置热插拔3.5硬盘或2.5硬盘，支持SAS/SATA混插，支持4块U.2 SSD</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（2）后置支持≥2个2.5寸硬盘/3.5寸硬盘；</w:t>
            </w:r>
          </w:p>
        </w:tc>
      </w:tr>
      <w:tr w14:paraId="7E70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C0B37F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w:t>
            </w:r>
          </w:p>
        </w:tc>
        <w:tc>
          <w:tcPr>
            <w:tcW w:w="1677" w:type="dxa"/>
            <w:vAlign w:val="center"/>
          </w:tcPr>
          <w:p w14:paraId="795087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网络规格</w:t>
            </w:r>
          </w:p>
        </w:tc>
        <w:tc>
          <w:tcPr>
            <w:tcW w:w="1718" w:type="dxa"/>
            <w:vAlign w:val="center"/>
          </w:tcPr>
          <w:p w14:paraId="08CCBFA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网口速率和数量</w:t>
            </w:r>
          </w:p>
        </w:tc>
        <w:tc>
          <w:tcPr>
            <w:tcW w:w="5050" w:type="dxa"/>
            <w:vAlign w:val="center"/>
          </w:tcPr>
          <w:p w14:paraId="798222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≥1*100GbE 双端口QSFP28光模块，PCIe3.0 x16网卡(支持 RoCE v2)</w:t>
            </w:r>
          </w:p>
        </w:tc>
      </w:tr>
      <w:tr w14:paraId="3C1B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F6898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14</w:t>
            </w:r>
          </w:p>
        </w:tc>
        <w:tc>
          <w:tcPr>
            <w:tcW w:w="1677" w:type="dxa"/>
            <w:vMerge w:val="restart"/>
            <w:vAlign w:val="center"/>
          </w:tcPr>
          <w:p w14:paraId="3A5D81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外部接口规格</w:t>
            </w:r>
          </w:p>
        </w:tc>
        <w:tc>
          <w:tcPr>
            <w:tcW w:w="1718" w:type="dxa"/>
            <w:vAlign w:val="center"/>
          </w:tcPr>
          <w:p w14:paraId="1D1F254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显示接口</w:t>
            </w:r>
          </w:p>
        </w:tc>
        <w:tc>
          <w:tcPr>
            <w:tcW w:w="5050" w:type="dxa"/>
            <w:vAlign w:val="center"/>
          </w:tcPr>
          <w:p w14:paraId="3855C0D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配置≥1个VGA接口</w:t>
            </w:r>
          </w:p>
        </w:tc>
      </w:tr>
      <w:tr w14:paraId="0C01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FD258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15</w:t>
            </w:r>
          </w:p>
        </w:tc>
        <w:tc>
          <w:tcPr>
            <w:tcW w:w="1677" w:type="dxa"/>
            <w:vMerge w:val="continue"/>
            <w:vAlign w:val="center"/>
          </w:tcPr>
          <w:p w14:paraId="12A915BF">
            <w:pPr>
              <w:rPr>
                <w:highlight w:val="none"/>
              </w:rPr>
            </w:pPr>
          </w:p>
        </w:tc>
        <w:tc>
          <w:tcPr>
            <w:tcW w:w="1718" w:type="dxa"/>
            <w:vAlign w:val="center"/>
          </w:tcPr>
          <w:p w14:paraId="6A7EBC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USB 接口</w:t>
            </w:r>
          </w:p>
        </w:tc>
        <w:tc>
          <w:tcPr>
            <w:tcW w:w="5050" w:type="dxa"/>
            <w:vAlign w:val="center"/>
          </w:tcPr>
          <w:p w14:paraId="64A862E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配置≥4个USB3.0接口，2个位于机箱后部，2个位于机箱前部。</w:t>
            </w:r>
          </w:p>
        </w:tc>
      </w:tr>
      <w:tr w14:paraId="2E34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EA3548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16</w:t>
            </w:r>
          </w:p>
        </w:tc>
        <w:tc>
          <w:tcPr>
            <w:tcW w:w="1677" w:type="dxa"/>
            <w:vMerge w:val="restart"/>
            <w:vAlign w:val="center"/>
          </w:tcPr>
          <w:p w14:paraId="402C799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电源规格</w:t>
            </w:r>
          </w:p>
        </w:tc>
        <w:tc>
          <w:tcPr>
            <w:tcW w:w="1718" w:type="dxa"/>
            <w:vAlign w:val="center"/>
          </w:tcPr>
          <w:p w14:paraId="7AE26A3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电源模块数量</w:t>
            </w:r>
          </w:p>
        </w:tc>
        <w:tc>
          <w:tcPr>
            <w:tcW w:w="5050" w:type="dxa"/>
            <w:vAlign w:val="center"/>
          </w:tcPr>
          <w:p w14:paraId="5BD39F3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r>
      <w:tr w14:paraId="5F94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B622EE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17</w:t>
            </w:r>
          </w:p>
        </w:tc>
        <w:tc>
          <w:tcPr>
            <w:tcW w:w="1677" w:type="dxa"/>
            <w:vMerge w:val="continue"/>
            <w:vAlign w:val="center"/>
          </w:tcPr>
          <w:p w14:paraId="79F37443">
            <w:pPr>
              <w:rPr>
                <w:highlight w:val="none"/>
              </w:rPr>
            </w:pPr>
          </w:p>
        </w:tc>
        <w:tc>
          <w:tcPr>
            <w:tcW w:w="1718" w:type="dxa"/>
            <w:vAlign w:val="center"/>
          </w:tcPr>
          <w:p w14:paraId="79D5B35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电源功率</w:t>
            </w:r>
          </w:p>
        </w:tc>
        <w:tc>
          <w:tcPr>
            <w:tcW w:w="5050" w:type="dxa"/>
            <w:vAlign w:val="center"/>
          </w:tcPr>
          <w:p w14:paraId="3AE471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≥1300W，电源模块功率应有一定冗余， 满足处理器满载时的需求</w:t>
            </w:r>
          </w:p>
        </w:tc>
      </w:tr>
      <w:tr w14:paraId="16AC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6DE11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18</w:t>
            </w:r>
          </w:p>
        </w:tc>
        <w:tc>
          <w:tcPr>
            <w:tcW w:w="1677" w:type="dxa"/>
            <w:vMerge w:val="restart"/>
            <w:vAlign w:val="center"/>
          </w:tcPr>
          <w:p w14:paraId="63162E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整机规格</w:t>
            </w:r>
          </w:p>
        </w:tc>
        <w:tc>
          <w:tcPr>
            <w:tcW w:w="1718" w:type="dxa"/>
            <w:vAlign w:val="center"/>
          </w:tcPr>
          <w:p w14:paraId="057C57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外观和结构</w:t>
            </w:r>
          </w:p>
        </w:tc>
        <w:tc>
          <w:tcPr>
            <w:tcW w:w="5050" w:type="dxa"/>
            <w:vAlign w:val="center"/>
          </w:tcPr>
          <w:p w14:paraId="6AEE060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a)服务器的零部件应紧固无松动，可插拔部件应可靠连接，开关、按钮和其它控制部件应灵活可靠，布局应方便使用；</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产品表面不应有明显的凹痕、划伤、裂缝、变形和污染等。表面涂层均匀，不应起泡、龟裂、脱落和磨损，金属零部件无锈蚀及其它机械损伤；</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产品表面说明功能的文字、符号和标志应清晰、端正且牢固；</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应在服务器的显著位置提供运行状态的指示功能，并在随机文件中明确具体含义；</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e) 机架、机箱的尺寸应符合通用机柜的安装要求，插入总线插座的电路板接口外形尺寸应符合有关总线标准的规定，将机箱固定在机柜上，机箱底面最大下垂变形不得干涉相邻机体；</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f) 高密度服务器应给出 CPU 个数与机柜高度；</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g) 服务器尺寸具体要求在随机文件中明确</w:t>
            </w:r>
          </w:p>
        </w:tc>
      </w:tr>
      <w:tr w14:paraId="69F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80861B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19</w:t>
            </w:r>
          </w:p>
        </w:tc>
        <w:tc>
          <w:tcPr>
            <w:tcW w:w="1677" w:type="dxa"/>
            <w:vMerge w:val="continue"/>
            <w:vAlign w:val="center"/>
          </w:tcPr>
          <w:p w14:paraId="0F366AAA">
            <w:pPr>
              <w:rPr>
                <w:highlight w:val="none"/>
              </w:rPr>
            </w:pPr>
          </w:p>
        </w:tc>
        <w:tc>
          <w:tcPr>
            <w:tcW w:w="1718" w:type="dxa"/>
            <w:vAlign w:val="center"/>
          </w:tcPr>
          <w:p w14:paraId="4A9BB9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尺寸（高×宽×深）</w:t>
            </w:r>
          </w:p>
        </w:tc>
        <w:tc>
          <w:tcPr>
            <w:tcW w:w="5050" w:type="dxa"/>
            <w:vAlign w:val="center"/>
          </w:tcPr>
          <w:p w14:paraId="3164680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2U机架式服务器，机箱深度小于800mm</w:t>
            </w:r>
          </w:p>
        </w:tc>
      </w:tr>
      <w:tr w14:paraId="5C28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E1D7D3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20</w:t>
            </w:r>
          </w:p>
        </w:tc>
        <w:tc>
          <w:tcPr>
            <w:tcW w:w="1677" w:type="dxa"/>
            <w:vMerge w:val="continue"/>
            <w:vAlign w:val="center"/>
          </w:tcPr>
          <w:p w14:paraId="60061776">
            <w:pPr>
              <w:rPr>
                <w:highlight w:val="none"/>
              </w:rPr>
            </w:pPr>
          </w:p>
        </w:tc>
        <w:tc>
          <w:tcPr>
            <w:tcW w:w="1718" w:type="dxa"/>
            <w:vAlign w:val="center"/>
          </w:tcPr>
          <w:p w14:paraId="0752FA0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环境适应性</w:t>
            </w:r>
          </w:p>
        </w:tc>
        <w:tc>
          <w:tcPr>
            <w:tcW w:w="5050" w:type="dxa"/>
            <w:vAlign w:val="center"/>
          </w:tcPr>
          <w:p w14:paraId="62AAAB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气候环境适应性应符合 GB/T9813.3 的有关规定，工作温度 10～35℃，贮存运输温度-40～55℃；工作相对湿度 35%～80%，贮存运输相对湿度 20％～93%（40℃）；大气压86～106kPa</w:t>
            </w:r>
          </w:p>
        </w:tc>
      </w:tr>
      <w:tr w14:paraId="48B2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3918F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21</w:t>
            </w:r>
          </w:p>
        </w:tc>
        <w:tc>
          <w:tcPr>
            <w:tcW w:w="1677" w:type="dxa"/>
            <w:vMerge w:val="continue"/>
            <w:vAlign w:val="center"/>
          </w:tcPr>
          <w:p w14:paraId="6767DDF3">
            <w:pPr>
              <w:rPr>
                <w:highlight w:val="none"/>
              </w:rPr>
            </w:pPr>
          </w:p>
        </w:tc>
        <w:tc>
          <w:tcPr>
            <w:tcW w:w="1718" w:type="dxa"/>
            <w:vAlign w:val="center"/>
          </w:tcPr>
          <w:p w14:paraId="0F661BE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w:t>
            </w:r>
          </w:p>
        </w:tc>
        <w:tc>
          <w:tcPr>
            <w:tcW w:w="5050" w:type="dxa"/>
            <w:vAlign w:val="center"/>
          </w:tcPr>
          <w:p w14:paraId="2E8B40F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机械环境适应性应符合 GB/T9813.3 的有关规定</w:t>
            </w:r>
          </w:p>
        </w:tc>
      </w:tr>
      <w:tr w14:paraId="24EE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FCA3E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w:t>
            </w:r>
          </w:p>
        </w:tc>
        <w:tc>
          <w:tcPr>
            <w:tcW w:w="1677" w:type="dxa"/>
            <w:vMerge w:val="continue"/>
            <w:vAlign w:val="center"/>
          </w:tcPr>
          <w:p w14:paraId="36164C81">
            <w:pPr>
              <w:rPr>
                <w:highlight w:val="none"/>
              </w:rPr>
            </w:pPr>
          </w:p>
        </w:tc>
        <w:tc>
          <w:tcPr>
            <w:tcW w:w="1718" w:type="dxa"/>
            <w:vAlign w:val="center"/>
          </w:tcPr>
          <w:p w14:paraId="0EC336F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噪声</w:t>
            </w:r>
          </w:p>
        </w:tc>
        <w:tc>
          <w:tcPr>
            <w:tcW w:w="5050" w:type="dxa"/>
            <w:vAlign w:val="center"/>
          </w:tcPr>
          <w:p w14:paraId="4226DA7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的有关规定，在产品说明中给出具体测试值塔式服务器噪声在空闲状态下不大于 50dB</w:t>
            </w:r>
          </w:p>
        </w:tc>
      </w:tr>
      <w:tr w14:paraId="3212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63E13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23</w:t>
            </w:r>
          </w:p>
        </w:tc>
        <w:tc>
          <w:tcPr>
            <w:tcW w:w="1677" w:type="dxa"/>
            <w:vAlign w:val="center"/>
          </w:tcPr>
          <w:p w14:paraId="582F59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机柜规格</w:t>
            </w:r>
          </w:p>
        </w:tc>
        <w:tc>
          <w:tcPr>
            <w:tcW w:w="1718" w:type="dxa"/>
            <w:vAlign w:val="center"/>
          </w:tcPr>
          <w:p w14:paraId="2E6589C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机柜尺寸</w:t>
            </w:r>
          </w:p>
        </w:tc>
        <w:tc>
          <w:tcPr>
            <w:tcW w:w="5050" w:type="dxa"/>
            <w:vAlign w:val="center"/>
          </w:tcPr>
          <w:p w14:paraId="69BEC9A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2U机架式服务器，能安装于19英寸标准服务器机柜</w:t>
            </w:r>
          </w:p>
        </w:tc>
      </w:tr>
      <w:tr w14:paraId="4882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DE47F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24</w:t>
            </w:r>
          </w:p>
        </w:tc>
        <w:tc>
          <w:tcPr>
            <w:tcW w:w="1677" w:type="dxa"/>
            <w:vAlign w:val="center"/>
          </w:tcPr>
          <w:p w14:paraId="797B7E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主板功能</w:t>
            </w:r>
          </w:p>
        </w:tc>
        <w:tc>
          <w:tcPr>
            <w:tcW w:w="1718" w:type="dxa"/>
            <w:vAlign w:val="center"/>
          </w:tcPr>
          <w:p w14:paraId="5E68E1B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主板外部接口种类</w:t>
            </w:r>
          </w:p>
        </w:tc>
        <w:tc>
          <w:tcPr>
            <w:tcW w:w="5050" w:type="dxa"/>
            <w:vAlign w:val="center"/>
          </w:tcPr>
          <w:p w14:paraId="611F79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 USB、显示、管理等接口</w:t>
            </w:r>
          </w:p>
        </w:tc>
      </w:tr>
      <w:tr w14:paraId="4B40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3EBEF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25</w:t>
            </w:r>
          </w:p>
        </w:tc>
        <w:tc>
          <w:tcPr>
            <w:tcW w:w="1677" w:type="dxa"/>
            <w:vAlign w:val="center"/>
          </w:tcPr>
          <w:p w14:paraId="13370A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1718" w:type="dxa"/>
            <w:vAlign w:val="center"/>
          </w:tcPr>
          <w:p w14:paraId="41B12E1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网络功能</w:t>
            </w:r>
          </w:p>
        </w:tc>
        <w:tc>
          <w:tcPr>
            <w:tcW w:w="5050" w:type="dxa"/>
            <w:vAlign w:val="center"/>
          </w:tcPr>
          <w:p w14:paraId="6F846C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支持网络连接、网络访问、数据交换和网络管控功能</w:t>
            </w:r>
          </w:p>
        </w:tc>
      </w:tr>
      <w:tr w14:paraId="5A3D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E27BE2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26</w:t>
            </w:r>
          </w:p>
        </w:tc>
        <w:tc>
          <w:tcPr>
            <w:tcW w:w="1677" w:type="dxa"/>
            <w:vMerge w:val="restart"/>
            <w:vAlign w:val="center"/>
          </w:tcPr>
          <w:p w14:paraId="6E69CD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CPU功能</w:t>
            </w:r>
          </w:p>
        </w:tc>
        <w:tc>
          <w:tcPr>
            <w:tcW w:w="1718" w:type="dxa"/>
            <w:vAlign w:val="center"/>
          </w:tcPr>
          <w:p w14:paraId="6542A7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计算处理</w:t>
            </w:r>
          </w:p>
        </w:tc>
        <w:tc>
          <w:tcPr>
            <w:tcW w:w="5050" w:type="dxa"/>
            <w:vAlign w:val="center"/>
          </w:tcPr>
          <w:p w14:paraId="0D28BB5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支持通用计算及虚拟化功能。处理器需集成整型计算单元、浮点计算单元、内存控制器、I/O 模块等，处理器与存储部件、网络部件、I/O部件等组成计算系统，提供数据处理、网络接入等计算相关功能</w:t>
            </w:r>
          </w:p>
        </w:tc>
      </w:tr>
      <w:tr w14:paraId="3A8C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99667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27</w:t>
            </w:r>
          </w:p>
        </w:tc>
        <w:tc>
          <w:tcPr>
            <w:tcW w:w="1677" w:type="dxa"/>
            <w:vMerge w:val="continue"/>
            <w:vAlign w:val="center"/>
          </w:tcPr>
          <w:p w14:paraId="22BAA029">
            <w:pPr>
              <w:rPr>
                <w:highlight w:val="none"/>
              </w:rPr>
            </w:pPr>
          </w:p>
        </w:tc>
        <w:tc>
          <w:tcPr>
            <w:tcW w:w="1718" w:type="dxa"/>
            <w:vAlign w:val="center"/>
          </w:tcPr>
          <w:p w14:paraId="7C38448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密码算法实现</w:t>
            </w:r>
          </w:p>
        </w:tc>
        <w:tc>
          <w:tcPr>
            <w:tcW w:w="5050" w:type="dxa"/>
            <w:vAlign w:val="center"/>
          </w:tcPr>
          <w:p w14:paraId="6EE5F05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芯片应符合 GM/T 0008 的相关规定，或芯片密码模块应符合 GB/T37092 或 GM/T 0028 的相关规定</w:t>
            </w:r>
          </w:p>
        </w:tc>
      </w:tr>
      <w:tr w14:paraId="22EE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B743C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28</w:t>
            </w:r>
          </w:p>
        </w:tc>
        <w:tc>
          <w:tcPr>
            <w:tcW w:w="1677" w:type="dxa"/>
            <w:vMerge w:val="restart"/>
            <w:vAlign w:val="center"/>
          </w:tcPr>
          <w:p w14:paraId="2DAEDE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电源功能</w:t>
            </w:r>
          </w:p>
        </w:tc>
        <w:tc>
          <w:tcPr>
            <w:tcW w:w="1718" w:type="dxa"/>
            <w:vAlign w:val="center"/>
          </w:tcPr>
          <w:p w14:paraId="0D16C3E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电源热插拔</w:t>
            </w:r>
          </w:p>
        </w:tc>
        <w:tc>
          <w:tcPr>
            <w:tcW w:w="5050" w:type="dxa"/>
            <w:vAlign w:val="center"/>
          </w:tcPr>
          <w:p w14:paraId="770305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整机电源模块应具备热插拔功能</w:t>
            </w:r>
          </w:p>
        </w:tc>
      </w:tr>
      <w:tr w14:paraId="776F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380432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w:t>
            </w:r>
          </w:p>
        </w:tc>
        <w:tc>
          <w:tcPr>
            <w:tcW w:w="1677" w:type="dxa"/>
            <w:vMerge w:val="continue"/>
            <w:vAlign w:val="center"/>
          </w:tcPr>
          <w:p w14:paraId="44E60D8D">
            <w:pPr>
              <w:rPr>
                <w:highlight w:val="none"/>
              </w:rPr>
            </w:pPr>
          </w:p>
        </w:tc>
        <w:tc>
          <w:tcPr>
            <w:tcW w:w="1718" w:type="dxa"/>
            <w:vAlign w:val="center"/>
          </w:tcPr>
          <w:p w14:paraId="56B408D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电源过流保护</w:t>
            </w:r>
          </w:p>
        </w:tc>
        <w:tc>
          <w:tcPr>
            <w:tcW w:w="5050" w:type="dxa"/>
            <w:vAlign w:val="center"/>
          </w:tcPr>
          <w:p w14:paraId="2919B2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支持过流及短路保护的功能</w:t>
            </w:r>
          </w:p>
        </w:tc>
      </w:tr>
      <w:tr w14:paraId="5425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6B7954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30</w:t>
            </w:r>
          </w:p>
        </w:tc>
        <w:tc>
          <w:tcPr>
            <w:tcW w:w="1677" w:type="dxa"/>
            <w:vAlign w:val="center"/>
          </w:tcPr>
          <w:p w14:paraId="7C3B8CC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整机功能</w:t>
            </w:r>
          </w:p>
        </w:tc>
        <w:tc>
          <w:tcPr>
            <w:tcW w:w="1718" w:type="dxa"/>
            <w:vAlign w:val="center"/>
          </w:tcPr>
          <w:p w14:paraId="10E3F1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散热方式</w:t>
            </w:r>
          </w:p>
        </w:tc>
        <w:tc>
          <w:tcPr>
            <w:tcW w:w="5050" w:type="dxa"/>
            <w:vAlign w:val="center"/>
          </w:tcPr>
          <w:p w14:paraId="52ED0EA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支持风冷或液冷等散热方式</w:t>
            </w:r>
          </w:p>
        </w:tc>
      </w:tr>
      <w:tr w14:paraId="1DBA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F1A31F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31</w:t>
            </w:r>
          </w:p>
        </w:tc>
        <w:tc>
          <w:tcPr>
            <w:tcW w:w="1677" w:type="dxa"/>
            <w:vMerge w:val="restart"/>
            <w:vAlign w:val="center"/>
          </w:tcPr>
          <w:p w14:paraId="681268E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管理系统功能</w:t>
            </w:r>
          </w:p>
        </w:tc>
        <w:tc>
          <w:tcPr>
            <w:tcW w:w="1718" w:type="dxa"/>
            <w:vAlign w:val="center"/>
          </w:tcPr>
          <w:p w14:paraId="34F3EF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BMC 固件基础功能</w:t>
            </w:r>
          </w:p>
        </w:tc>
        <w:tc>
          <w:tcPr>
            <w:tcW w:w="5050" w:type="dxa"/>
            <w:vAlign w:val="center"/>
          </w:tcPr>
          <w:p w14:paraId="6D64F36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支持设备日志记录，包括但不限于登录日志、操作日志和报警日志等功能；</w:t>
            </w:r>
          </w:p>
        </w:tc>
      </w:tr>
      <w:tr w14:paraId="441F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DA928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c>
          <w:tcPr>
            <w:tcW w:w="1677" w:type="dxa"/>
            <w:vMerge w:val="continue"/>
            <w:vAlign w:val="center"/>
          </w:tcPr>
          <w:p w14:paraId="02469F1C">
            <w:pPr>
              <w:rPr>
                <w:highlight w:val="none"/>
              </w:rPr>
            </w:pPr>
          </w:p>
        </w:tc>
        <w:tc>
          <w:tcPr>
            <w:tcW w:w="1718" w:type="dxa"/>
            <w:vAlign w:val="center"/>
          </w:tcPr>
          <w:p w14:paraId="04BDBF1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BIOS 固件基础功能</w:t>
            </w:r>
          </w:p>
        </w:tc>
        <w:tc>
          <w:tcPr>
            <w:tcW w:w="5050" w:type="dxa"/>
            <w:vAlign w:val="center"/>
          </w:tcPr>
          <w:p w14:paraId="13F717E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支持查看固件版本、内存信息、主板信息、处理器信息和系统时间信息功能；</w:t>
            </w:r>
          </w:p>
        </w:tc>
      </w:tr>
      <w:tr w14:paraId="7E0F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C344B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33</w:t>
            </w:r>
          </w:p>
        </w:tc>
        <w:tc>
          <w:tcPr>
            <w:tcW w:w="1677" w:type="dxa"/>
            <w:vMerge w:val="continue"/>
            <w:vAlign w:val="center"/>
          </w:tcPr>
          <w:p w14:paraId="727886D1">
            <w:pPr>
              <w:rPr>
                <w:highlight w:val="none"/>
              </w:rPr>
            </w:pPr>
          </w:p>
        </w:tc>
        <w:tc>
          <w:tcPr>
            <w:tcW w:w="1718" w:type="dxa"/>
            <w:vAlign w:val="center"/>
          </w:tcPr>
          <w:p w14:paraId="2E338A1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远程控制</w:t>
            </w:r>
          </w:p>
        </w:tc>
        <w:tc>
          <w:tcPr>
            <w:tcW w:w="5050" w:type="dxa"/>
            <w:vAlign w:val="center"/>
          </w:tcPr>
          <w:p w14:paraId="30C963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支持远程关机和重新启动功能</w:t>
            </w:r>
          </w:p>
        </w:tc>
      </w:tr>
      <w:tr w14:paraId="6160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FA26C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34</w:t>
            </w:r>
          </w:p>
        </w:tc>
        <w:tc>
          <w:tcPr>
            <w:tcW w:w="1677" w:type="dxa"/>
            <w:vMerge w:val="restart"/>
            <w:vAlign w:val="center"/>
          </w:tcPr>
          <w:p w14:paraId="23F4E75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操作系统及驱动功能</w:t>
            </w:r>
          </w:p>
        </w:tc>
        <w:tc>
          <w:tcPr>
            <w:tcW w:w="1718" w:type="dxa"/>
            <w:vAlign w:val="center"/>
          </w:tcPr>
          <w:p w14:paraId="755CE50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操作系统及驱动的升级</w:t>
            </w:r>
          </w:p>
        </w:tc>
        <w:tc>
          <w:tcPr>
            <w:tcW w:w="5050" w:type="dxa"/>
            <w:vAlign w:val="center"/>
          </w:tcPr>
          <w:p w14:paraId="7AA4A3D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支持通过网络、闪存盘对操作系统、驱动进行升级</w:t>
            </w:r>
          </w:p>
        </w:tc>
      </w:tr>
      <w:tr w14:paraId="7264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016B51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35</w:t>
            </w:r>
          </w:p>
        </w:tc>
        <w:tc>
          <w:tcPr>
            <w:tcW w:w="1677" w:type="dxa"/>
            <w:vMerge w:val="continue"/>
            <w:vAlign w:val="center"/>
          </w:tcPr>
          <w:p w14:paraId="6FA5F2F0">
            <w:pPr>
              <w:rPr>
                <w:highlight w:val="none"/>
              </w:rPr>
            </w:pPr>
          </w:p>
        </w:tc>
        <w:tc>
          <w:tcPr>
            <w:tcW w:w="1718" w:type="dxa"/>
            <w:vAlign w:val="center"/>
          </w:tcPr>
          <w:p w14:paraId="33B8774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操作系统功能</w:t>
            </w:r>
          </w:p>
        </w:tc>
        <w:tc>
          <w:tcPr>
            <w:tcW w:w="5050" w:type="dxa"/>
            <w:vAlign w:val="center"/>
          </w:tcPr>
          <w:p w14:paraId="09CE907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支持访问控制、安全审计、网络接入鉴别等功能；</w:t>
            </w:r>
          </w:p>
        </w:tc>
      </w:tr>
      <w:tr w14:paraId="0832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BEAC3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36</w:t>
            </w:r>
          </w:p>
        </w:tc>
        <w:tc>
          <w:tcPr>
            <w:tcW w:w="1677" w:type="dxa"/>
            <w:vAlign w:val="center"/>
          </w:tcPr>
          <w:p w14:paraId="384D33A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中文信息处理功能</w:t>
            </w:r>
          </w:p>
        </w:tc>
        <w:tc>
          <w:tcPr>
            <w:tcW w:w="1718" w:type="dxa"/>
            <w:vAlign w:val="center"/>
          </w:tcPr>
          <w:p w14:paraId="55F78DD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中文信息处理</w:t>
            </w:r>
          </w:p>
        </w:tc>
        <w:tc>
          <w:tcPr>
            <w:tcW w:w="5050" w:type="dxa"/>
            <w:vAlign w:val="center"/>
          </w:tcPr>
          <w:p w14:paraId="6593367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 18030 的有关规定</w:t>
            </w:r>
          </w:p>
        </w:tc>
      </w:tr>
      <w:tr w14:paraId="53C1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F0BD6D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37</w:t>
            </w:r>
          </w:p>
        </w:tc>
        <w:tc>
          <w:tcPr>
            <w:tcW w:w="1677" w:type="dxa"/>
            <w:vAlign w:val="center"/>
          </w:tcPr>
          <w:p w14:paraId="5FAA985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w:t>
            </w:r>
          </w:p>
        </w:tc>
        <w:tc>
          <w:tcPr>
            <w:tcW w:w="1718" w:type="dxa"/>
            <w:vAlign w:val="center"/>
          </w:tcPr>
          <w:p w14:paraId="2C0B5A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关键部件安全要求3</w:t>
            </w:r>
          </w:p>
        </w:tc>
        <w:tc>
          <w:tcPr>
            <w:tcW w:w="5050" w:type="dxa"/>
            <w:vAlign w:val="center"/>
          </w:tcPr>
          <w:p w14:paraId="7BA07A0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和操作系统等关键部件应当符合安全可靠测评要求</w:t>
            </w:r>
          </w:p>
        </w:tc>
      </w:tr>
      <w:tr w14:paraId="1C58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4896F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38</w:t>
            </w:r>
          </w:p>
        </w:tc>
        <w:tc>
          <w:tcPr>
            <w:tcW w:w="1677" w:type="dxa"/>
            <w:vAlign w:val="center"/>
          </w:tcPr>
          <w:p w14:paraId="771D02F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固件安全要求</w:t>
            </w:r>
          </w:p>
        </w:tc>
        <w:tc>
          <w:tcPr>
            <w:tcW w:w="1718" w:type="dxa"/>
            <w:vAlign w:val="center"/>
          </w:tcPr>
          <w:p w14:paraId="5DB876D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故障检测</w:t>
            </w:r>
          </w:p>
        </w:tc>
        <w:tc>
          <w:tcPr>
            <w:tcW w:w="5050" w:type="dxa"/>
            <w:vAlign w:val="center"/>
          </w:tcPr>
          <w:p w14:paraId="5270370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支持故障检测功能，可以检测到具体的 FRU（内存、硬盘等）的故障并发出告警</w:t>
            </w:r>
          </w:p>
        </w:tc>
      </w:tr>
      <w:tr w14:paraId="279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EC331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39</w:t>
            </w:r>
          </w:p>
        </w:tc>
        <w:tc>
          <w:tcPr>
            <w:tcW w:w="1677" w:type="dxa"/>
            <w:vMerge w:val="restart"/>
            <w:vAlign w:val="center"/>
          </w:tcPr>
          <w:p w14:paraId="6896C81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系统安全要求</w:t>
            </w:r>
          </w:p>
        </w:tc>
        <w:tc>
          <w:tcPr>
            <w:tcW w:w="1718" w:type="dxa"/>
            <w:vAlign w:val="center"/>
          </w:tcPr>
          <w:p w14:paraId="5EB3752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弱口令字典检查</w:t>
            </w:r>
          </w:p>
        </w:tc>
        <w:tc>
          <w:tcPr>
            <w:tcW w:w="5050" w:type="dxa"/>
            <w:vAlign w:val="center"/>
          </w:tcPr>
          <w:p w14:paraId="6C7BC9C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支持弱口令字典检查功能，出现在弱口令字典中的字符串不能被设置为用户口令</w:t>
            </w:r>
          </w:p>
        </w:tc>
      </w:tr>
      <w:tr w14:paraId="22E6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F105D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40</w:t>
            </w:r>
          </w:p>
        </w:tc>
        <w:tc>
          <w:tcPr>
            <w:tcW w:w="1677" w:type="dxa"/>
            <w:vMerge w:val="continue"/>
            <w:vAlign w:val="center"/>
          </w:tcPr>
          <w:p w14:paraId="47C9A34F">
            <w:pPr>
              <w:rPr>
                <w:highlight w:val="none"/>
              </w:rPr>
            </w:pPr>
          </w:p>
        </w:tc>
        <w:tc>
          <w:tcPr>
            <w:tcW w:w="1718" w:type="dxa"/>
            <w:vAlign w:val="center"/>
          </w:tcPr>
          <w:p w14:paraId="0EC2049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白名单访问控制</w:t>
            </w:r>
          </w:p>
        </w:tc>
        <w:tc>
          <w:tcPr>
            <w:tcW w:w="5050" w:type="dxa"/>
            <w:vAlign w:val="center"/>
          </w:tcPr>
          <w:p w14:paraId="50B3D6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支持基于时间、IP 或 MAC 白名单访问控制</w:t>
            </w:r>
          </w:p>
        </w:tc>
      </w:tr>
      <w:tr w14:paraId="1230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1CEFBB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41</w:t>
            </w:r>
          </w:p>
        </w:tc>
        <w:tc>
          <w:tcPr>
            <w:tcW w:w="1677" w:type="dxa"/>
            <w:vMerge w:val="continue"/>
            <w:vAlign w:val="center"/>
          </w:tcPr>
          <w:p w14:paraId="64C4C3EE">
            <w:pPr>
              <w:rPr>
                <w:highlight w:val="none"/>
              </w:rPr>
            </w:pPr>
          </w:p>
        </w:tc>
        <w:tc>
          <w:tcPr>
            <w:tcW w:w="1718" w:type="dxa"/>
            <w:vAlign w:val="center"/>
          </w:tcPr>
          <w:p w14:paraId="4C98B8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二次鉴别</w:t>
            </w:r>
          </w:p>
        </w:tc>
        <w:tc>
          <w:tcPr>
            <w:tcW w:w="5050" w:type="dxa"/>
            <w:vAlign w:val="center"/>
          </w:tcPr>
          <w:p w14:paraId="4D0E41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支持二次鉴别功能。对于用户配置、权限配置、公钥导入等重要的管理操作，已登录用户应通过二次鉴别后，才能执行操作</w:t>
            </w:r>
          </w:p>
        </w:tc>
      </w:tr>
      <w:tr w14:paraId="46F2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B21C5E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42</w:t>
            </w:r>
          </w:p>
        </w:tc>
        <w:tc>
          <w:tcPr>
            <w:tcW w:w="1677" w:type="dxa"/>
            <w:vMerge w:val="continue"/>
            <w:vAlign w:val="center"/>
          </w:tcPr>
          <w:p w14:paraId="19070077">
            <w:pPr>
              <w:rPr>
                <w:highlight w:val="none"/>
              </w:rPr>
            </w:pPr>
          </w:p>
        </w:tc>
        <w:tc>
          <w:tcPr>
            <w:tcW w:w="1718" w:type="dxa"/>
            <w:vAlign w:val="center"/>
          </w:tcPr>
          <w:p w14:paraId="12C16F3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密码证书安全加密存储</w:t>
            </w:r>
          </w:p>
        </w:tc>
        <w:tc>
          <w:tcPr>
            <w:tcW w:w="5050" w:type="dxa"/>
            <w:vAlign w:val="center"/>
          </w:tcPr>
          <w:p w14:paraId="537FA3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支持对带外管理系统中的用户口令和证书等敏感信息进行加密存储，禁止使用私有的和业界已知不安全的密码算法</w:t>
            </w:r>
          </w:p>
        </w:tc>
      </w:tr>
      <w:tr w14:paraId="50C6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E452DB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43</w:t>
            </w:r>
          </w:p>
        </w:tc>
        <w:tc>
          <w:tcPr>
            <w:tcW w:w="1677" w:type="dxa"/>
            <w:vMerge w:val="continue"/>
            <w:vAlign w:val="center"/>
          </w:tcPr>
          <w:p w14:paraId="6C9D9BE0">
            <w:pPr>
              <w:rPr>
                <w:highlight w:val="none"/>
              </w:rPr>
            </w:pPr>
          </w:p>
        </w:tc>
        <w:tc>
          <w:tcPr>
            <w:tcW w:w="1718" w:type="dxa"/>
            <w:vAlign w:val="center"/>
          </w:tcPr>
          <w:p w14:paraId="575EFE7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敏感信息安全加密传输</w:t>
            </w:r>
          </w:p>
        </w:tc>
        <w:tc>
          <w:tcPr>
            <w:tcW w:w="5050" w:type="dxa"/>
            <w:vAlign w:val="center"/>
          </w:tcPr>
          <w:p w14:paraId="67841C4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支持使用安全的传输加密协议（如SSH 或 HTTPS 等）传输用户的敏感信息</w:t>
            </w:r>
          </w:p>
        </w:tc>
      </w:tr>
      <w:tr w14:paraId="7230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DEEC3C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44</w:t>
            </w:r>
          </w:p>
        </w:tc>
        <w:tc>
          <w:tcPr>
            <w:tcW w:w="1677" w:type="dxa"/>
            <w:vAlign w:val="center"/>
          </w:tcPr>
          <w:p w14:paraId="270187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信息安全要求</w:t>
            </w:r>
          </w:p>
        </w:tc>
        <w:tc>
          <w:tcPr>
            <w:tcW w:w="1718" w:type="dxa"/>
            <w:vAlign w:val="center"/>
          </w:tcPr>
          <w:p w14:paraId="0ADC154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研发过程安全</w:t>
            </w:r>
          </w:p>
        </w:tc>
        <w:tc>
          <w:tcPr>
            <w:tcW w:w="5050" w:type="dxa"/>
            <w:vAlign w:val="center"/>
          </w:tcPr>
          <w:p w14:paraId="7A890089">
            <w:pPr>
              <w:widowControl/>
              <w:overflowPunct/>
              <w:autoSpaceDE/>
              <w:autoSpaceDN/>
              <w:jc w:val="center"/>
              <w:textAlignment w:val="auto"/>
              <w:rPr>
                <w:rFonts w:ascii="仿宋" w:hAnsi="仿宋" w:eastAsia="仿宋" w:cs="仿宋"/>
                <w:b/>
                <w:kern w:val="0"/>
                <w:sz w:val="24"/>
                <w:highlight w:val="none"/>
                <w:lang w:val="en-GB"/>
              </w:rPr>
            </w:pPr>
            <w:r>
              <w:rPr>
                <w:rFonts w:hint="eastAsia" w:ascii="仿宋" w:hAnsi="仿宋" w:eastAsia="仿宋" w:cs="仿宋"/>
                <w:kern w:val="0"/>
                <w:sz w:val="24"/>
                <w:highlight w:val="none"/>
              </w:rPr>
              <w:t>乙方承诺，生产商已建立从需求、设计、开发、测试、维护端到端的开发流程管理机制，输出和保存开发流程中每个阶段的产品需求清单、设计文档、开发文档、测试记录等材料，保证各个流程可追溯；</w:t>
            </w:r>
          </w:p>
        </w:tc>
      </w:tr>
      <w:tr w14:paraId="012C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B20F2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45</w:t>
            </w:r>
          </w:p>
        </w:tc>
        <w:tc>
          <w:tcPr>
            <w:tcW w:w="1677" w:type="dxa"/>
            <w:vAlign w:val="center"/>
          </w:tcPr>
          <w:p w14:paraId="10AF288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1718" w:type="dxa"/>
            <w:vAlign w:val="center"/>
          </w:tcPr>
          <w:p w14:paraId="651320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物理安全</w:t>
            </w:r>
          </w:p>
        </w:tc>
        <w:tc>
          <w:tcPr>
            <w:tcW w:w="5050" w:type="dxa"/>
            <w:vAlign w:val="center"/>
          </w:tcPr>
          <w:p w14:paraId="1A7981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安全要求应符合 GB 4943.1 的规定</w:t>
            </w:r>
          </w:p>
        </w:tc>
      </w:tr>
      <w:tr w14:paraId="5290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416A54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46</w:t>
            </w:r>
          </w:p>
        </w:tc>
        <w:tc>
          <w:tcPr>
            <w:tcW w:w="1677" w:type="dxa"/>
            <w:vAlign w:val="center"/>
          </w:tcPr>
          <w:p w14:paraId="61010FB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求</w:t>
            </w:r>
          </w:p>
        </w:tc>
        <w:tc>
          <w:tcPr>
            <w:tcW w:w="1718" w:type="dxa"/>
            <w:vAlign w:val="center"/>
          </w:tcPr>
          <w:p w14:paraId="145B15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限用物质的限量要求</w:t>
            </w:r>
          </w:p>
        </w:tc>
        <w:tc>
          <w:tcPr>
            <w:tcW w:w="5050" w:type="dxa"/>
            <w:vAlign w:val="center"/>
          </w:tcPr>
          <w:p w14:paraId="489FBD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限用物质的限量应符合 GB/T 26572的要求</w:t>
            </w:r>
          </w:p>
        </w:tc>
      </w:tr>
      <w:tr w14:paraId="1CB6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EF3F1C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47</w:t>
            </w:r>
          </w:p>
        </w:tc>
        <w:tc>
          <w:tcPr>
            <w:tcW w:w="1677" w:type="dxa"/>
            <w:vMerge w:val="restart"/>
            <w:vAlign w:val="center"/>
          </w:tcPr>
          <w:p w14:paraId="68983E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CPU性能</w:t>
            </w:r>
          </w:p>
        </w:tc>
        <w:tc>
          <w:tcPr>
            <w:tcW w:w="1718" w:type="dxa"/>
            <w:vAlign w:val="center"/>
          </w:tcPr>
          <w:p w14:paraId="2A3FA5A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CPU 主频</w:t>
            </w:r>
          </w:p>
        </w:tc>
        <w:tc>
          <w:tcPr>
            <w:tcW w:w="5050" w:type="dxa"/>
            <w:vAlign w:val="center"/>
          </w:tcPr>
          <w:p w14:paraId="133C5E5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≥2.2GHz</w:t>
            </w:r>
          </w:p>
        </w:tc>
      </w:tr>
      <w:tr w14:paraId="1B14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FDC248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48</w:t>
            </w:r>
          </w:p>
        </w:tc>
        <w:tc>
          <w:tcPr>
            <w:tcW w:w="1677" w:type="dxa"/>
            <w:vMerge w:val="continue"/>
            <w:vAlign w:val="center"/>
          </w:tcPr>
          <w:p w14:paraId="77ED33C3">
            <w:pPr>
              <w:rPr>
                <w:highlight w:val="none"/>
              </w:rPr>
            </w:pPr>
          </w:p>
        </w:tc>
        <w:tc>
          <w:tcPr>
            <w:tcW w:w="1718" w:type="dxa"/>
            <w:vAlign w:val="center"/>
          </w:tcPr>
          <w:p w14:paraId="77C957B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核数</w:t>
            </w:r>
          </w:p>
        </w:tc>
        <w:tc>
          <w:tcPr>
            <w:tcW w:w="5050" w:type="dxa"/>
            <w:vAlign w:val="center"/>
          </w:tcPr>
          <w:p w14:paraId="736B9E6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≥32</w:t>
            </w:r>
          </w:p>
        </w:tc>
      </w:tr>
      <w:tr w14:paraId="132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1E7205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49</w:t>
            </w:r>
          </w:p>
        </w:tc>
        <w:tc>
          <w:tcPr>
            <w:tcW w:w="1677" w:type="dxa"/>
            <w:vMerge w:val="continue"/>
            <w:vAlign w:val="center"/>
          </w:tcPr>
          <w:p w14:paraId="23A0EF56">
            <w:pPr>
              <w:rPr>
                <w:highlight w:val="none"/>
              </w:rPr>
            </w:pPr>
          </w:p>
        </w:tc>
        <w:tc>
          <w:tcPr>
            <w:tcW w:w="1718" w:type="dxa"/>
            <w:vAlign w:val="center"/>
          </w:tcPr>
          <w:p w14:paraId="2B0CB4A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单CPU 末级缓存容量</w:t>
            </w:r>
          </w:p>
        </w:tc>
        <w:tc>
          <w:tcPr>
            <w:tcW w:w="5050" w:type="dxa"/>
            <w:vAlign w:val="center"/>
          </w:tcPr>
          <w:p w14:paraId="7FD94E6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≥64MB</w:t>
            </w:r>
          </w:p>
        </w:tc>
      </w:tr>
      <w:tr w14:paraId="6B85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1989BD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1677" w:type="dxa"/>
            <w:vAlign w:val="center"/>
          </w:tcPr>
          <w:p w14:paraId="5DE99D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内存性能</w:t>
            </w:r>
          </w:p>
        </w:tc>
        <w:tc>
          <w:tcPr>
            <w:tcW w:w="1718" w:type="dxa"/>
            <w:vAlign w:val="center"/>
          </w:tcPr>
          <w:p w14:paraId="5985E60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内存速率</w:t>
            </w:r>
          </w:p>
        </w:tc>
        <w:tc>
          <w:tcPr>
            <w:tcW w:w="5050" w:type="dxa"/>
            <w:vAlign w:val="center"/>
          </w:tcPr>
          <w:p w14:paraId="699DD14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≥2933MT/s</w:t>
            </w:r>
          </w:p>
        </w:tc>
      </w:tr>
      <w:tr w14:paraId="1BD5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3ECC1C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51</w:t>
            </w:r>
          </w:p>
        </w:tc>
        <w:tc>
          <w:tcPr>
            <w:tcW w:w="1677" w:type="dxa"/>
            <w:vAlign w:val="center"/>
          </w:tcPr>
          <w:p w14:paraId="0B87937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1718" w:type="dxa"/>
            <w:vAlign w:val="center"/>
          </w:tcPr>
          <w:p w14:paraId="31FF94E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电源能耗</w:t>
            </w:r>
          </w:p>
        </w:tc>
        <w:tc>
          <w:tcPr>
            <w:tcW w:w="5050" w:type="dxa"/>
            <w:vAlign w:val="center"/>
          </w:tcPr>
          <w:p w14:paraId="21A1712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的有关规定</w:t>
            </w:r>
          </w:p>
        </w:tc>
      </w:tr>
      <w:tr w14:paraId="72CF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04C2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52</w:t>
            </w:r>
          </w:p>
        </w:tc>
        <w:tc>
          <w:tcPr>
            <w:tcW w:w="1677" w:type="dxa"/>
            <w:vMerge w:val="restart"/>
            <w:vAlign w:val="center"/>
          </w:tcPr>
          <w:p w14:paraId="1049ED2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部件兼容性要求</w:t>
            </w:r>
          </w:p>
        </w:tc>
        <w:tc>
          <w:tcPr>
            <w:tcW w:w="1718" w:type="dxa"/>
            <w:vAlign w:val="center"/>
          </w:tcPr>
          <w:p w14:paraId="3CD7896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内存兼容性</w:t>
            </w:r>
          </w:p>
        </w:tc>
        <w:tc>
          <w:tcPr>
            <w:tcW w:w="5050" w:type="dxa"/>
            <w:vAlign w:val="center"/>
          </w:tcPr>
          <w:p w14:paraId="63178C1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种及以上厂商的内存产品，且均不低于产品支持的内存规格</w:t>
            </w:r>
          </w:p>
        </w:tc>
      </w:tr>
      <w:tr w14:paraId="0E90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81B4E8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53</w:t>
            </w:r>
          </w:p>
        </w:tc>
        <w:tc>
          <w:tcPr>
            <w:tcW w:w="1677" w:type="dxa"/>
            <w:vMerge w:val="continue"/>
            <w:vAlign w:val="center"/>
          </w:tcPr>
          <w:p w14:paraId="377C5245">
            <w:pPr>
              <w:rPr>
                <w:highlight w:val="none"/>
              </w:rPr>
            </w:pPr>
          </w:p>
        </w:tc>
        <w:tc>
          <w:tcPr>
            <w:tcW w:w="1718" w:type="dxa"/>
            <w:vAlign w:val="center"/>
          </w:tcPr>
          <w:p w14:paraId="63AEAE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固态存储兼容性</w:t>
            </w:r>
          </w:p>
        </w:tc>
        <w:tc>
          <w:tcPr>
            <w:tcW w:w="5050" w:type="dxa"/>
            <w:vAlign w:val="center"/>
          </w:tcPr>
          <w:p w14:paraId="69A37A6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适配 3 种或以上厂商的固态存储产品，且均不低于产品支持的固态存储设备规格</w:t>
            </w:r>
          </w:p>
        </w:tc>
      </w:tr>
      <w:tr w14:paraId="07A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BDDB9D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54</w:t>
            </w:r>
          </w:p>
        </w:tc>
        <w:tc>
          <w:tcPr>
            <w:tcW w:w="1677" w:type="dxa"/>
            <w:vMerge w:val="continue"/>
            <w:vAlign w:val="center"/>
          </w:tcPr>
          <w:p w14:paraId="4C433E86">
            <w:pPr>
              <w:rPr>
                <w:highlight w:val="none"/>
              </w:rPr>
            </w:pPr>
          </w:p>
        </w:tc>
        <w:tc>
          <w:tcPr>
            <w:tcW w:w="1718" w:type="dxa"/>
            <w:vAlign w:val="center"/>
          </w:tcPr>
          <w:p w14:paraId="4B9C526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网卡兼容性</w:t>
            </w:r>
          </w:p>
        </w:tc>
        <w:tc>
          <w:tcPr>
            <w:tcW w:w="5050" w:type="dxa"/>
            <w:vAlign w:val="center"/>
          </w:tcPr>
          <w:p w14:paraId="39C167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网卡应适配两种或以上厂商产品</w:t>
            </w:r>
          </w:p>
        </w:tc>
      </w:tr>
      <w:tr w14:paraId="4B6F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755922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55</w:t>
            </w:r>
          </w:p>
        </w:tc>
        <w:tc>
          <w:tcPr>
            <w:tcW w:w="1677" w:type="dxa"/>
            <w:vMerge w:val="continue"/>
            <w:vAlign w:val="center"/>
          </w:tcPr>
          <w:p w14:paraId="1986F428">
            <w:pPr>
              <w:rPr>
                <w:highlight w:val="none"/>
              </w:rPr>
            </w:pPr>
          </w:p>
        </w:tc>
        <w:tc>
          <w:tcPr>
            <w:tcW w:w="1718" w:type="dxa"/>
            <w:vAlign w:val="center"/>
          </w:tcPr>
          <w:p w14:paraId="3775269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功能卡兼容性</w:t>
            </w:r>
          </w:p>
        </w:tc>
        <w:tc>
          <w:tcPr>
            <w:tcW w:w="5050" w:type="dxa"/>
            <w:vAlign w:val="center"/>
          </w:tcPr>
          <w:p w14:paraId="4FC034A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内置或适配符合 PCIe 的功能卡，如：网络功能卡、存储功能卡及图形显示功能卡</w:t>
            </w:r>
          </w:p>
        </w:tc>
      </w:tr>
      <w:tr w14:paraId="57EC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29EA2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56</w:t>
            </w:r>
          </w:p>
        </w:tc>
        <w:tc>
          <w:tcPr>
            <w:tcW w:w="1677" w:type="dxa"/>
            <w:vAlign w:val="center"/>
          </w:tcPr>
          <w:p w14:paraId="39AEBA7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1718" w:type="dxa"/>
            <w:vAlign w:val="center"/>
          </w:tcPr>
          <w:p w14:paraId="264A49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外设兼容性</w:t>
            </w:r>
          </w:p>
        </w:tc>
        <w:tc>
          <w:tcPr>
            <w:tcW w:w="5050" w:type="dxa"/>
            <w:vAlign w:val="center"/>
          </w:tcPr>
          <w:p w14:paraId="3931255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兼容多种主流生产商的外部设备，包括显示器、键盘、鼠标、闪存盘、移动硬盘、USB 光驱及 KVM 等，要求使用不同厂商的外部设备时，系统均能正常识别和安装驱动</w:t>
            </w:r>
          </w:p>
        </w:tc>
      </w:tr>
      <w:tr w14:paraId="2F44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1515AF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57</w:t>
            </w:r>
          </w:p>
        </w:tc>
        <w:tc>
          <w:tcPr>
            <w:tcW w:w="1677" w:type="dxa"/>
            <w:vMerge w:val="restart"/>
            <w:vAlign w:val="center"/>
          </w:tcPr>
          <w:p w14:paraId="32250DD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软件兼容性</w:t>
            </w:r>
          </w:p>
        </w:tc>
        <w:tc>
          <w:tcPr>
            <w:tcW w:w="1718" w:type="dxa"/>
            <w:vAlign w:val="center"/>
          </w:tcPr>
          <w:p w14:paraId="5A56FB9A">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数据库兼容</w:t>
            </w:r>
          </w:p>
        </w:tc>
        <w:tc>
          <w:tcPr>
            <w:tcW w:w="5050" w:type="dxa"/>
            <w:vAlign w:val="center"/>
          </w:tcPr>
          <w:p w14:paraId="37E0F49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兼容3个及以上厂商的数据库产品，投标机型须通过互认证。</w:t>
            </w:r>
          </w:p>
        </w:tc>
      </w:tr>
      <w:tr w14:paraId="609E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F0BA78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58</w:t>
            </w:r>
          </w:p>
        </w:tc>
        <w:tc>
          <w:tcPr>
            <w:tcW w:w="1677" w:type="dxa"/>
            <w:vMerge w:val="continue"/>
            <w:vAlign w:val="center"/>
          </w:tcPr>
          <w:p w14:paraId="38F15213">
            <w:pPr>
              <w:rPr>
                <w:highlight w:val="none"/>
              </w:rPr>
            </w:pPr>
          </w:p>
        </w:tc>
        <w:tc>
          <w:tcPr>
            <w:tcW w:w="1718" w:type="dxa"/>
            <w:vAlign w:val="center"/>
          </w:tcPr>
          <w:p w14:paraId="19643DF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中间件兼容</w:t>
            </w:r>
          </w:p>
        </w:tc>
        <w:tc>
          <w:tcPr>
            <w:tcW w:w="5050" w:type="dxa"/>
            <w:vAlign w:val="center"/>
          </w:tcPr>
          <w:p w14:paraId="069EB2C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兼容3个及以上厂商的中间件产品，投标机型须通过互认证。</w:t>
            </w:r>
          </w:p>
        </w:tc>
      </w:tr>
      <w:tr w14:paraId="1FBA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9159F3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59</w:t>
            </w:r>
          </w:p>
        </w:tc>
        <w:tc>
          <w:tcPr>
            <w:tcW w:w="1677" w:type="dxa"/>
            <w:vMerge w:val="continue"/>
            <w:vAlign w:val="center"/>
          </w:tcPr>
          <w:p w14:paraId="0C0D9F16">
            <w:pPr>
              <w:rPr>
                <w:highlight w:val="none"/>
              </w:rPr>
            </w:pPr>
          </w:p>
        </w:tc>
        <w:tc>
          <w:tcPr>
            <w:tcW w:w="1718" w:type="dxa"/>
            <w:vAlign w:val="center"/>
          </w:tcPr>
          <w:p w14:paraId="5C2FA59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平台软件兼容</w:t>
            </w:r>
          </w:p>
        </w:tc>
        <w:tc>
          <w:tcPr>
            <w:tcW w:w="5050" w:type="dxa"/>
            <w:vAlign w:val="center"/>
          </w:tcPr>
          <w:p w14:paraId="0A493A9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兼容3个及以上厂商的大数据平台，投标机型须通过互认证。</w:t>
            </w:r>
          </w:p>
        </w:tc>
      </w:tr>
      <w:tr w14:paraId="69E7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1A21C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60</w:t>
            </w:r>
          </w:p>
        </w:tc>
        <w:tc>
          <w:tcPr>
            <w:tcW w:w="1677" w:type="dxa"/>
            <w:vMerge w:val="restart"/>
            <w:vAlign w:val="center"/>
          </w:tcPr>
          <w:p w14:paraId="1256055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整机可靠性要求</w:t>
            </w:r>
          </w:p>
        </w:tc>
        <w:tc>
          <w:tcPr>
            <w:tcW w:w="1718" w:type="dxa"/>
            <w:vAlign w:val="center"/>
          </w:tcPr>
          <w:p w14:paraId="69F27E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整机可靠性</w:t>
            </w:r>
          </w:p>
        </w:tc>
        <w:tc>
          <w:tcPr>
            <w:tcW w:w="5050" w:type="dxa"/>
            <w:vAlign w:val="center"/>
          </w:tcPr>
          <w:p w14:paraId="1DEB92B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m1 值（MTBF 的不可接受值）≥100000h，须通过MTBF认证。</w:t>
            </w:r>
          </w:p>
        </w:tc>
      </w:tr>
      <w:tr w14:paraId="01E1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44B9E6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61</w:t>
            </w:r>
          </w:p>
        </w:tc>
        <w:tc>
          <w:tcPr>
            <w:tcW w:w="1677" w:type="dxa"/>
            <w:vMerge w:val="continue"/>
            <w:vAlign w:val="center"/>
          </w:tcPr>
          <w:p w14:paraId="56B2D87E">
            <w:pPr>
              <w:rPr>
                <w:highlight w:val="none"/>
              </w:rPr>
            </w:pPr>
          </w:p>
        </w:tc>
        <w:tc>
          <w:tcPr>
            <w:tcW w:w="1718" w:type="dxa"/>
            <w:vAlign w:val="center"/>
          </w:tcPr>
          <w:p w14:paraId="4418CD0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风扇可靠性</w:t>
            </w:r>
          </w:p>
        </w:tc>
        <w:tc>
          <w:tcPr>
            <w:tcW w:w="5050" w:type="dxa"/>
            <w:vAlign w:val="center"/>
          </w:tcPr>
          <w:p w14:paraId="7EB4203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风扇寿命≥ 40000h</w:t>
            </w:r>
          </w:p>
        </w:tc>
      </w:tr>
      <w:tr w14:paraId="5E01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47BEAE4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62</w:t>
            </w:r>
          </w:p>
        </w:tc>
        <w:tc>
          <w:tcPr>
            <w:tcW w:w="1677" w:type="dxa"/>
            <w:vMerge w:val="continue"/>
            <w:vAlign w:val="center"/>
          </w:tcPr>
          <w:p w14:paraId="06C72F6D">
            <w:pPr>
              <w:rPr>
                <w:highlight w:val="none"/>
              </w:rPr>
            </w:pPr>
          </w:p>
        </w:tc>
        <w:tc>
          <w:tcPr>
            <w:tcW w:w="1718" w:type="dxa"/>
            <w:vAlign w:val="center"/>
          </w:tcPr>
          <w:p w14:paraId="09EE30A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部件可靠性</w:t>
            </w:r>
          </w:p>
        </w:tc>
        <w:tc>
          <w:tcPr>
            <w:tcW w:w="5050" w:type="dxa"/>
            <w:vAlign w:val="center"/>
          </w:tcPr>
          <w:p w14:paraId="4CF98789">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支持硬盘、电源、风扇热插拔(内置风扇除外)</w:t>
            </w:r>
          </w:p>
        </w:tc>
      </w:tr>
      <w:tr w14:paraId="619A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7254BC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63</w:t>
            </w:r>
          </w:p>
        </w:tc>
        <w:tc>
          <w:tcPr>
            <w:tcW w:w="1677" w:type="dxa"/>
            <w:vAlign w:val="center"/>
          </w:tcPr>
          <w:p w14:paraId="3E17A67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包装及运输要求</w:t>
            </w:r>
          </w:p>
        </w:tc>
        <w:tc>
          <w:tcPr>
            <w:tcW w:w="1718" w:type="dxa"/>
            <w:vAlign w:val="center"/>
          </w:tcPr>
          <w:p w14:paraId="1243477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标志、包装、运输和贮存</w:t>
            </w:r>
          </w:p>
        </w:tc>
        <w:tc>
          <w:tcPr>
            <w:tcW w:w="5050" w:type="dxa"/>
            <w:vAlign w:val="center"/>
          </w:tcPr>
          <w:p w14:paraId="05F95E1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符合 GB/T 9813.3 和商品包装政府采购需求标准的相关规定</w:t>
            </w:r>
          </w:p>
        </w:tc>
      </w:tr>
      <w:tr w14:paraId="0D29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2B2D43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64</w:t>
            </w:r>
          </w:p>
        </w:tc>
        <w:tc>
          <w:tcPr>
            <w:tcW w:w="1677" w:type="dxa"/>
            <w:vMerge w:val="restart"/>
            <w:vAlign w:val="center"/>
          </w:tcPr>
          <w:p w14:paraId="156F67A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1718" w:type="dxa"/>
            <w:vAlign w:val="center"/>
          </w:tcPr>
          <w:p w14:paraId="7BD1320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服务响应</w:t>
            </w:r>
          </w:p>
        </w:tc>
        <w:tc>
          <w:tcPr>
            <w:tcW w:w="5050" w:type="dxa"/>
            <w:vAlign w:val="center"/>
          </w:tcPr>
          <w:p w14:paraId="1368C06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a) 提供电话、电子邮件、远程连接等多种形式服务；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b) 提供同城 4h、异地 12h 技术响应服务，2 个工作日解决问题，对于未能解决的问题和故障应提供可行的升级方案，并提供周转设备；</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c) 建立全国技术服务体系和服务团体，符合专业服务体系标准要求，提供中文服务；</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d) 服务周期内提供产品的维修、换件和升级服务</w:t>
            </w:r>
          </w:p>
        </w:tc>
      </w:tr>
      <w:tr w14:paraId="4920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BF1ECBF">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65</w:t>
            </w:r>
          </w:p>
        </w:tc>
        <w:tc>
          <w:tcPr>
            <w:tcW w:w="1677" w:type="dxa"/>
            <w:vMerge w:val="continue"/>
            <w:vAlign w:val="center"/>
          </w:tcPr>
          <w:p w14:paraId="3A3B5044">
            <w:pPr>
              <w:rPr>
                <w:highlight w:val="none"/>
              </w:rPr>
            </w:pPr>
          </w:p>
        </w:tc>
        <w:tc>
          <w:tcPr>
            <w:tcW w:w="1718" w:type="dxa"/>
            <w:vAlign w:val="center"/>
          </w:tcPr>
          <w:p w14:paraId="37C73C9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培训服务</w:t>
            </w:r>
          </w:p>
        </w:tc>
        <w:tc>
          <w:tcPr>
            <w:tcW w:w="5050" w:type="dxa"/>
            <w:vAlign w:val="center"/>
          </w:tcPr>
          <w:p w14:paraId="45ADF7B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乙方提供培训材料、产品手册、培训视频等培训相关内容</w:t>
            </w:r>
          </w:p>
        </w:tc>
      </w:tr>
      <w:tr w14:paraId="6F3F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04225E7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66</w:t>
            </w:r>
          </w:p>
        </w:tc>
        <w:tc>
          <w:tcPr>
            <w:tcW w:w="1677" w:type="dxa"/>
            <w:vAlign w:val="center"/>
          </w:tcPr>
          <w:p w14:paraId="2EF381AB">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1718" w:type="dxa"/>
            <w:vAlign w:val="center"/>
          </w:tcPr>
          <w:p w14:paraId="4ED34C2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服务周期</w:t>
            </w:r>
          </w:p>
        </w:tc>
        <w:tc>
          <w:tcPr>
            <w:tcW w:w="5050" w:type="dxa"/>
            <w:vAlign w:val="center"/>
          </w:tcPr>
          <w:p w14:paraId="7BCEB9A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（1）服务期内，提供换件和维修服务（费用包含在预算范围内）；</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（2）设备停产后继续提供质量保障服务（含备品备件），服务终止时间与最后一批设备交付时间间隔≥6年；</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（3）产品停止服务时间应提前1年告知客户；</w:t>
            </w:r>
            <w:r>
              <w:rPr>
                <w:rFonts w:hint="eastAsia" w:ascii="仿宋" w:hAnsi="仿宋" w:eastAsia="仿宋" w:cs="仿宋"/>
                <w:kern w:val="0"/>
                <w:sz w:val="24"/>
                <w:highlight w:val="none"/>
              </w:rPr>
              <w:br w:type="textWrapping"/>
            </w:r>
            <w:r>
              <w:rPr>
                <w:rFonts w:hint="eastAsia" w:ascii="仿宋" w:hAnsi="仿宋" w:eastAsia="仿宋" w:cs="仿宋"/>
                <w:kern w:val="0"/>
                <w:sz w:val="24"/>
                <w:highlight w:val="none"/>
              </w:rPr>
              <w:t>（4）产品发布日期需在随机文件中明确。</w:t>
            </w:r>
          </w:p>
        </w:tc>
      </w:tr>
      <w:tr w14:paraId="06BC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77777F1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67</w:t>
            </w:r>
          </w:p>
        </w:tc>
        <w:tc>
          <w:tcPr>
            <w:tcW w:w="1677" w:type="dxa"/>
            <w:vMerge w:val="restart"/>
            <w:vAlign w:val="center"/>
          </w:tcPr>
          <w:p w14:paraId="0724F588">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服务工具要求</w:t>
            </w:r>
          </w:p>
        </w:tc>
        <w:tc>
          <w:tcPr>
            <w:tcW w:w="1718" w:type="dxa"/>
            <w:vAlign w:val="center"/>
          </w:tcPr>
          <w:p w14:paraId="18F447C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工具要求</w:t>
            </w:r>
          </w:p>
        </w:tc>
        <w:tc>
          <w:tcPr>
            <w:tcW w:w="5050" w:type="dxa"/>
            <w:vAlign w:val="center"/>
          </w:tcPr>
          <w:p w14:paraId="11C4F3F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提供设置服务器硬件、辅助操作系统安装等功能的辅助工具和管理软件。且随附软件应具有合法授权或版权</w:t>
            </w:r>
          </w:p>
        </w:tc>
      </w:tr>
      <w:tr w14:paraId="17E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2B761C1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68</w:t>
            </w:r>
          </w:p>
        </w:tc>
        <w:tc>
          <w:tcPr>
            <w:tcW w:w="1677" w:type="dxa"/>
            <w:vMerge w:val="continue"/>
            <w:vAlign w:val="center"/>
          </w:tcPr>
          <w:p w14:paraId="72DA2FFF">
            <w:pPr>
              <w:rPr>
                <w:highlight w:val="none"/>
              </w:rPr>
            </w:pPr>
          </w:p>
        </w:tc>
        <w:tc>
          <w:tcPr>
            <w:tcW w:w="1718" w:type="dxa"/>
            <w:vAlign w:val="center"/>
          </w:tcPr>
          <w:p w14:paraId="436A370C">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驱动安装升级指引</w:t>
            </w:r>
          </w:p>
        </w:tc>
        <w:tc>
          <w:tcPr>
            <w:tcW w:w="5050" w:type="dxa"/>
            <w:vAlign w:val="center"/>
          </w:tcPr>
          <w:p w14:paraId="5F5455E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提供出厂安装的配件所需的驱动程序，形式包括但不限于驱动光盘、驱动下载链接等。其他配件应提供指引</w:t>
            </w:r>
          </w:p>
        </w:tc>
      </w:tr>
      <w:tr w14:paraId="7B28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617419E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69</w:t>
            </w:r>
          </w:p>
        </w:tc>
        <w:tc>
          <w:tcPr>
            <w:tcW w:w="1677" w:type="dxa"/>
            <w:vMerge w:val="continue"/>
            <w:vAlign w:val="center"/>
          </w:tcPr>
          <w:p w14:paraId="35DDD255">
            <w:pPr>
              <w:rPr>
                <w:highlight w:val="none"/>
              </w:rPr>
            </w:pPr>
          </w:p>
        </w:tc>
        <w:tc>
          <w:tcPr>
            <w:tcW w:w="1718" w:type="dxa"/>
            <w:vAlign w:val="center"/>
          </w:tcPr>
          <w:p w14:paraId="74982BA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管理软件</w:t>
            </w:r>
          </w:p>
        </w:tc>
        <w:tc>
          <w:tcPr>
            <w:tcW w:w="5050" w:type="dxa"/>
            <w:vAlign w:val="center"/>
          </w:tcPr>
          <w:p w14:paraId="1EBA21A5">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具备资源管理、系统管理、性能监控、健康监控、基于网络控制、报警设置功能</w:t>
            </w:r>
          </w:p>
        </w:tc>
      </w:tr>
      <w:tr w14:paraId="021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6E94C00">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70</w:t>
            </w:r>
          </w:p>
        </w:tc>
        <w:tc>
          <w:tcPr>
            <w:tcW w:w="1677" w:type="dxa"/>
            <w:vMerge w:val="restart"/>
            <w:vAlign w:val="center"/>
          </w:tcPr>
          <w:p w14:paraId="3D4467B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增值服务</w:t>
            </w:r>
          </w:p>
        </w:tc>
        <w:tc>
          <w:tcPr>
            <w:tcW w:w="1718" w:type="dxa"/>
            <w:vAlign w:val="center"/>
          </w:tcPr>
          <w:p w14:paraId="0A42BC3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厂家升级产品软件与扩容服务</w:t>
            </w:r>
          </w:p>
        </w:tc>
        <w:tc>
          <w:tcPr>
            <w:tcW w:w="5050" w:type="dxa"/>
            <w:vAlign w:val="center"/>
          </w:tcPr>
          <w:p w14:paraId="3E96C34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提供原厂级的部件/软件产品升级和扩容能力</w:t>
            </w:r>
          </w:p>
        </w:tc>
      </w:tr>
      <w:tr w14:paraId="0185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11F2DE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71</w:t>
            </w:r>
          </w:p>
        </w:tc>
        <w:tc>
          <w:tcPr>
            <w:tcW w:w="1677" w:type="dxa"/>
            <w:vMerge w:val="continue"/>
            <w:vAlign w:val="center"/>
          </w:tcPr>
          <w:p w14:paraId="60A28BC5">
            <w:pPr>
              <w:rPr>
                <w:highlight w:val="none"/>
              </w:rPr>
            </w:pPr>
          </w:p>
        </w:tc>
        <w:tc>
          <w:tcPr>
            <w:tcW w:w="1718" w:type="dxa"/>
            <w:vAlign w:val="center"/>
          </w:tcPr>
          <w:p w14:paraId="6D509617">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提供上门服务</w:t>
            </w:r>
          </w:p>
        </w:tc>
        <w:tc>
          <w:tcPr>
            <w:tcW w:w="5050" w:type="dxa"/>
            <w:vAlign w:val="center"/>
          </w:tcPr>
          <w:p w14:paraId="15C5756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提供7*24小时上门服务</w:t>
            </w:r>
          </w:p>
        </w:tc>
      </w:tr>
      <w:tr w14:paraId="7F95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57B52F6D">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72</w:t>
            </w:r>
          </w:p>
        </w:tc>
        <w:tc>
          <w:tcPr>
            <w:tcW w:w="1677" w:type="dxa"/>
            <w:vMerge w:val="restart"/>
            <w:vAlign w:val="center"/>
          </w:tcPr>
          <w:p w14:paraId="7E10F881">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供应链质量</w:t>
            </w:r>
          </w:p>
        </w:tc>
        <w:tc>
          <w:tcPr>
            <w:tcW w:w="1718" w:type="dxa"/>
            <w:vAlign w:val="center"/>
          </w:tcPr>
          <w:p w14:paraId="06125612">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抗干扰性</w:t>
            </w:r>
          </w:p>
        </w:tc>
        <w:tc>
          <w:tcPr>
            <w:tcW w:w="5050" w:type="dxa"/>
            <w:vAlign w:val="center"/>
          </w:tcPr>
          <w:p w14:paraId="28B90553">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当产品部件出现供应风险时，应通知客户并提供风险应对方案确保产品的服务保障，必要时应停止相关受影响产品的销售</w:t>
            </w:r>
          </w:p>
        </w:tc>
      </w:tr>
      <w:tr w14:paraId="235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1" w:type="dxa"/>
            <w:vAlign w:val="center"/>
          </w:tcPr>
          <w:p w14:paraId="3556EDC6">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73</w:t>
            </w:r>
          </w:p>
        </w:tc>
        <w:tc>
          <w:tcPr>
            <w:tcW w:w="1677" w:type="dxa"/>
            <w:vMerge w:val="continue"/>
            <w:vAlign w:val="center"/>
          </w:tcPr>
          <w:p w14:paraId="2B1C84DB">
            <w:pPr>
              <w:rPr>
                <w:highlight w:val="none"/>
              </w:rPr>
            </w:pPr>
          </w:p>
        </w:tc>
        <w:tc>
          <w:tcPr>
            <w:tcW w:w="1718" w:type="dxa"/>
            <w:vAlign w:val="center"/>
          </w:tcPr>
          <w:p w14:paraId="3C03F754">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供应能力证明</w:t>
            </w:r>
          </w:p>
        </w:tc>
        <w:tc>
          <w:tcPr>
            <w:tcW w:w="5050" w:type="dxa"/>
            <w:vAlign w:val="center"/>
          </w:tcPr>
          <w:p w14:paraId="75AF879E">
            <w:pPr>
              <w:widowControl/>
              <w:jc w:val="center"/>
              <w:rPr>
                <w:rFonts w:ascii="仿宋" w:hAnsi="仿宋" w:eastAsia="仿宋" w:cs="仿宋"/>
                <w:kern w:val="0"/>
                <w:sz w:val="24"/>
                <w:highlight w:val="none"/>
              </w:rPr>
            </w:pPr>
            <w:r>
              <w:rPr>
                <w:rFonts w:hint="eastAsia" w:ascii="仿宋" w:hAnsi="仿宋" w:eastAsia="仿宋" w:cs="仿宋"/>
                <w:kern w:val="0"/>
                <w:sz w:val="24"/>
                <w:highlight w:val="none"/>
              </w:rPr>
              <w:t>乙方需提供供应链稳定承诺书，确保产品的部件在产品服务周期内稳定供货</w:t>
            </w:r>
          </w:p>
        </w:tc>
      </w:tr>
    </w:tbl>
    <w:p w14:paraId="5D7DF9F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2、软件部分</w:t>
      </w:r>
    </w:p>
    <w:p w14:paraId="2DC56DD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2.1软件部分清单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476"/>
        <w:gridCol w:w="1265"/>
      </w:tblGrid>
      <w:tr w14:paraId="79F4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0DDE864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序号</w:t>
            </w:r>
          </w:p>
        </w:tc>
        <w:tc>
          <w:tcPr>
            <w:tcW w:w="4476" w:type="dxa"/>
            <w:tcBorders>
              <w:top w:val="single" w:color="auto" w:sz="4" w:space="0"/>
              <w:left w:val="single" w:color="auto" w:sz="4" w:space="0"/>
              <w:bottom w:val="single" w:color="auto" w:sz="4" w:space="0"/>
              <w:right w:val="single" w:color="auto" w:sz="4" w:space="0"/>
            </w:tcBorders>
            <w:noWrap/>
            <w:vAlign w:val="center"/>
          </w:tcPr>
          <w:p w14:paraId="164252B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品项</w:t>
            </w:r>
          </w:p>
        </w:tc>
        <w:tc>
          <w:tcPr>
            <w:tcW w:w="1265" w:type="dxa"/>
            <w:tcBorders>
              <w:top w:val="single" w:color="auto" w:sz="4" w:space="0"/>
              <w:left w:val="single" w:color="auto" w:sz="4" w:space="0"/>
              <w:bottom w:val="single" w:color="auto" w:sz="4" w:space="0"/>
              <w:right w:val="single" w:color="auto" w:sz="4" w:space="0"/>
            </w:tcBorders>
            <w:noWrap/>
            <w:vAlign w:val="center"/>
          </w:tcPr>
          <w:p w14:paraId="0B66895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数量</w:t>
            </w:r>
          </w:p>
        </w:tc>
      </w:tr>
      <w:tr w14:paraId="5C36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10A4339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p>
        </w:tc>
        <w:tc>
          <w:tcPr>
            <w:tcW w:w="4476" w:type="dxa"/>
            <w:tcBorders>
              <w:top w:val="single" w:color="auto" w:sz="4" w:space="0"/>
              <w:left w:val="single" w:color="auto" w:sz="4" w:space="0"/>
              <w:bottom w:val="single" w:color="auto" w:sz="4" w:space="0"/>
              <w:right w:val="single" w:color="auto" w:sz="4" w:space="0"/>
            </w:tcBorders>
            <w:noWrap/>
            <w:vAlign w:val="center"/>
          </w:tcPr>
          <w:p w14:paraId="24884D4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车辆特征智能识别及检索系统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34D4C54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r w14:paraId="1C7C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5600393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p>
        </w:tc>
        <w:tc>
          <w:tcPr>
            <w:tcW w:w="4476" w:type="dxa"/>
            <w:tcBorders>
              <w:top w:val="single" w:color="auto" w:sz="4" w:space="0"/>
              <w:left w:val="single" w:color="auto" w:sz="4" w:space="0"/>
              <w:bottom w:val="single" w:color="auto" w:sz="4" w:space="0"/>
              <w:right w:val="single" w:color="auto" w:sz="4" w:space="0"/>
            </w:tcBorders>
            <w:noWrap/>
            <w:vAlign w:val="center"/>
          </w:tcPr>
          <w:p w14:paraId="3232108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卡口图片人脸智能识别预警系统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58BF3E9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r w14:paraId="0AF0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16E6D47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w:t>
            </w:r>
          </w:p>
        </w:tc>
        <w:tc>
          <w:tcPr>
            <w:tcW w:w="4476" w:type="dxa"/>
            <w:tcBorders>
              <w:top w:val="single" w:color="auto" w:sz="4" w:space="0"/>
              <w:left w:val="single" w:color="auto" w:sz="4" w:space="0"/>
              <w:bottom w:val="single" w:color="auto" w:sz="4" w:space="0"/>
              <w:right w:val="single" w:color="auto" w:sz="4" w:space="0"/>
            </w:tcBorders>
            <w:noWrap/>
            <w:vAlign w:val="center"/>
          </w:tcPr>
          <w:p w14:paraId="3757C85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图像二次识别软件</w:t>
            </w:r>
          </w:p>
        </w:tc>
        <w:tc>
          <w:tcPr>
            <w:tcW w:w="1265" w:type="dxa"/>
            <w:tcBorders>
              <w:top w:val="single" w:color="auto" w:sz="4" w:space="0"/>
              <w:left w:val="single" w:color="auto" w:sz="4" w:space="0"/>
              <w:bottom w:val="single" w:color="auto" w:sz="4" w:space="0"/>
              <w:right w:val="single" w:color="auto" w:sz="4" w:space="0"/>
            </w:tcBorders>
            <w:noWrap/>
            <w:vAlign w:val="center"/>
          </w:tcPr>
          <w:p w14:paraId="788A69F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r w14:paraId="6B48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181234F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w:t>
            </w:r>
          </w:p>
        </w:tc>
        <w:tc>
          <w:tcPr>
            <w:tcW w:w="4476" w:type="dxa"/>
            <w:tcBorders>
              <w:top w:val="single" w:color="auto" w:sz="4" w:space="0"/>
              <w:left w:val="single" w:color="auto" w:sz="4" w:space="0"/>
              <w:bottom w:val="single" w:color="auto" w:sz="4" w:space="0"/>
              <w:right w:val="single" w:color="auto" w:sz="4" w:space="0"/>
            </w:tcBorders>
            <w:noWrap/>
            <w:vAlign w:val="center"/>
          </w:tcPr>
          <w:p w14:paraId="6CED671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公安交通集成指挥平台集成实施</w:t>
            </w:r>
          </w:p>
        </w:tc>
        <w:tc>
          <w:tcPr>
            <w:tcW w:w="1265" w:type="dxa"/>
            <w:tcBorders>
              <w:top w:val="single" w:color="auto" w:sz="4" w:space="0"/>
              <w:left w:val="single" w:color="auto" w:sz="4" w:space="0"/>
              <w:bottom w:val="single" w:color="auto" w:sz="4" w:space="0"/>
              <w:right w:val="single" w:color="auto" w:sz="4" w:space="0"/>
            </w:tcBorders>
            <w:noWrap/>
            <w:vAlign w:val="center"/>
          </w:tcPr>
          <w:p w14:paraId="18C51E4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r w14:paraId="5B7D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03271F6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w:t>
            </w:r>
          </w:p>
        </w:tc>
        <w:tc>
          <w:tcPr>
            <w:tcW w:w="4476" w:type="dxa"/>
            <w:tcBorders>
              <w:top w:val="single" w:color="auto" w:sz="4" w:space="0"/>
              <w:left w:val="single" w:color="auto" w:sz="4" w:space="0"/>
              <w:bottom w:val="single" w:color="auto" w:sz="4" w:space="0"/>
              <w:right w:val="single" w:color="auto" w:sz="4" w:space="0"/>
            </w:tcBorders>
            <w:noWrap/>
            <w:vAlign w:val="center"/>
          </w:tcPr>
          <w:p w14:paraId="2834A90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违法举报系统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4128E3C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r w14:paraId="46F9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6" w:type="dxa"/>
            <w:tcBorders>
              <w:top w:val="single" w:color="auto" w:sz="4" w:space="0"/>
              <w:left w:val="single" w:color="auto" w:sz="4" w:space="0"/>
              <w:bottom w:val="single" w:color="auto" w:sz="4" w:space="0"/>
              <w:right w:val="single" w:color="auto" w:sz="4" w:space="0"/>
            </w:tcBorders>
            <w:noWrap/>
            <w:vAlign w:val="center"/>
          </w:tcPr>
          <w:p w14:paraId="1C5CA92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w:t>
            </w:r>
          </w:p>
        </w:tc>
        <w:tc>
          <w:tcPr>
            <w:tcW w:w="4476" w:type="dxa"/>
            <w:tcBorders>
              <w:top w:val="single" w:color="auto" w:sz="4" w:space="0"/>
              <w:left w:val="single" w:color="auto" w:sz="4" w:space="0"/>
              <w:bottom w:val="single" w:color="auto" w:sz="4" w:space="0"/>
              <w:right w:val="single" w:color="auto" w:sz="4" w:space="0"/>
            </w:tcBorders>
            <w:noWrap/>
            <w:vAlign w:val="center"/>
          </w:tcPr>
          <w:p w14:paraId="5321F00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道路交通信号“一见拍”系统</w:t>
            </w:r>
          </w:p>
        </w:tc>
        <w:tc>
          <w:tcPr>
            <w:tcW w:w="1265" w:type="dxa"/>
            <w:tcBorders>
              <w:top w:val="single" w:color="auto" w:sz="4" w:space="0"/>
              <w:left w:val="single" w:color="auto" w:sz="4" w:space="0"/>
              <w:bottom w:val="single" w:color="auto" w:sz="4" w:space="0"/>
              <w:right w:val="single" w:color="auto" w:sz="4" w:space="0"/>
            </w:tcBorders>
            <w:noWrap/>
            <w:vAlign w:val="center"/>
          </w:tcPr>
          <w:p w14:paraId="7693CA5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1套</w:t>
            </w:r>
          </w:p>
        </w:tc>
      </w:tr>
    </w:tbl>
    <w:p w14:paraId="1E417403">
      <w:pPr>
        <w:jc w:val="left"/>
        <w:rPr>
          <w:rFonts w:ascii="仿宋" w:hAnsi="仿宋" w:eastAsia="仿宋" w:cs="仿宋"/>
          <w:sz w:val="24"/>
          <w:highlight w:val="none"/>
        </w:rPr>
      </w:pPr>
      <w:r>
        <w:rPr>
          <w:rFonts w:hint="eastAsia" w:ascii="仿宋" w:hAnsi="仿宋" w:eastAsia="仿宋" w:cs="仿宋"/>
          <w:sz w:val="24"/>
          <w:highlight w:val="none"/>
        </w:rPr>
        <w:t>2.2软件部分要求</w:t>
      </w:r>
    </w:p>
    <w:p w14:paraId="41E46A1A">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1、车辆特征智能识别及检索系统</w:t>
      </w:r>
    </w:p>
    <w:p w14:paraId="5EDA277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能够识别卡口过车图片中车辆号牌、车辆类型、车身颜色、品牌型号、年检标识、摆件挂件位置等车辆外观属性，数字化描述车辆个性化特征，针对伪造变造号牌、挪用号牌、遮挡号牌等严重交通违法行为，应用以图搜车技术发现其未遮挡或者悬挂真实号牌的通行图片，通过系统识别、比对、预警，实现对涉牌类违法行为高效打击。支持自动提取主副驾驶不系安全带、开车使用手机等交通违法行为识别预警。服务期满后，处置权归建设单位所有。</w:t>
      </w:r>
    </w:p>
    <w:p w14:paraId="06980BD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软件功能共分为4大模块：车辆识别与特征提取；驾驶行为分析；涉牌违法行为分析；以图搜车。</w:t>
      </w:r>
    </w:p>
    <w:p w14:paraId="0AB5393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（1）车辆识别与特征提取</w:t>
      </w:r>
    </w:p>
    <w:p w14:paraId="30E0CBC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1、过车图片实时识别</w:t>
      </w:r>
    </w:p>
    <w:p w14:paraId="7A82F9F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实现基础信息的结构化识别：识别位置（前、后）、有无号牌、号牌种类、号牌号码、车辆类型、车身颜色、车标、车辆子品牌、品牌可信度。</w:t>
      </w:r>
    </w:p>
    <w:p w14:paraId="30FA953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2、过车图片特征识别</w:t>
      </w:r>
    </w:p>
    <w:p w14:paraId="3C0097E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实现驾驶人未系安全带、驾驶人拨打手机、主驾驶放下遮阳板、副驾驶放下遮阳板、粘贴临时号牌、是否粘贴年检等标志、是否有挂件、是否摆放摆件等行为或特征的识别。支持提取车辆特征码，车辆特征码存储分布式数据库上。</w:t>
      </w:r>
    </w:p>
    <w:p w14:paraId="3CEFFDD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3、车辆特征轨迹分析</w:t>
      </w:r>
    </w:p>
    <w:p w14:paraId="55DA0D2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支持按照识别位置、有无号牌、号牌种类、号牌号码、车辆类型、车身颜色、车标、有无年检标志、有无挂件、有无摆件、主副驾驶是否放下遮阳板、驾驶人是否系安全带、驾驶人是否拨打手机等条件查询轨迹。</w:t>
      </w:r>
    </w:p>
    <w:p w14:paraId="478F786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（2）驾驶行为分析</w:t>
      </w:r>
    </w:p>
    <w:p w14:paraId="39CA065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1、违法驾驶行为取证</w:t>
      </w:r>
    </w:p>
    <w:p w14:paraId="643108E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支持驾驶人未按规定使用安全带、驾驶时拨打接听手持电话等违法行为的取证，摩托车骑乘人员未按规定佩戴安全头盔，支持使用自定义违法代码。</w:t>
      </w:r>
    </w:p>
    <w:p w14:paraId="2140400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2、违法驾驶行为统计</w:t>
      </w:r>
    </w:p>
    <w:p w14:paraId="229F127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按照管理部门、道路类型、道路代码等多个数据维度对违法驾驶行为进行统计分析，为打击违法驾驶行为提供数据分析。</w:t>
      </w:r>
    </w:p>
    <w:p w14:paraId="758D031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（3）涉牌违法行为分析</w:t>
      </w:r>
    </w:p>
    <w:p w14:paraId="19F0FFE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1、粘贴临时号牌车辆分析</w:t>
      </w:r>
    </w:p>
    <w:p w14:paraId="49BF236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通过机动车号牌的识别以及粘贴临时号牌的识别，分析出按规定粘贴临时号牌的车辆。具备实时预警功能。</w:t>
      </w:r>
    </w:p>
    <w:p w14:paraId="3484289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2、无牌车分析</w:t>
      </w:r>
    </w:p>
    <w:p w14:paraId="62B931E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通过机动车号牌的识别以及粘贴临时号牌的识别，分析未粘贴或未按规定粘贴临时号牌的无牌车。具备实时预警功能。</w:t>
      </w:r>
    </w:p>
    <w:p w14:paraId="2079F7B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3、嫌疑假牌车分析</w:t>
      </w:r>
    </w:p>
    <w:p w14:paraId="66FCED2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通过机动车号牌识别、品牌识别以及与机动车登记信息的碰撞比对，分析出嫌疑使用伪造、变造机动车号牌的车辆以及嫌疑办理注销、转移业务后继续使用应当收回的机动车号牌的车辆。具备实时预警与离线取证功能。</w:t>
      </w:r>
    </w:p>
    <w:p w14:paraId="5AA5D49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4、嫌疑套牌车分析</w:t>
      </w:r>
    </w:p>
    <w:p w14:paraId="626FC83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通过机动车号牌识别、品牌识别以及与机动车登记信息的碰撞比对，分析出嫌疑使用其他机动车号牌的车辆以及嫌疑使用伪造、变造机动车号牌的车辆。具备实时预警与离线取证功能。</w:t>
      </w:r>
    </w:p>
    <w:p w14:paraId="62BBFEC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（4）以图搜车应用</w:t>
      </w:r>
    </w:p>
    <w:p w14:paraId="54CD9DC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以图搜车是指在车辆识别与特征提取的基础上，根据实际业务的需求，选定待搜索的车辆，查找与待搜索车辆高度相似的车辆，在此基础上，进行后续的业务操作。</w:t>
      </w:r>
    </w:p>
    <w:p w14:paraId="415B8CD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1、嫌疑车辆相似度分析（自动以图搜车）</w:t>
      </w:r>
    </w:p>
    <w:p w14:paraId="45EC0B5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首先，后台自动将每天产生的嫌疑使用伪造变造机动车号牌车辆、嫌疑使用其他机动车号牌车辆、嫌疑未悬挂机动车号牌车辆以及非现场人工筛选出来的涉牌违法车辆作为嫌疑车辆，对每一辆嫌疑车辆，通过与海量过车记录的相似度分析，找出与嫌疑车辆高度相似但号牌不同的车辆。其次，人工对后台分析的相似车辆进行确认，找出短期内频繁变换机动车号牌行为的涉牌违法车辆，提供过车轨迹查询、机动车登记信息查询、违法记录查询等查询的快捷功能，进一步分析查证涉牌违法车辆的真实号牌信息。最后，使用嫌疑车辆信息与相似车辆信息进行直接查处或采集非现场违法。</w:t>
      </w:r>
    </w:p>
    <w:p w14:paraId="0064311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2、自定义以图搜车</w:t>
      </w:r>
    </w:p>
    <w:p w14:paraId="7232C68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用户自选图片进行车辆基础信息识别、特征提取、相似度比对并返回相似度较高的记录作为相似车辆。以图搜车搜索条件可选车标品牌、车辆品牌型号、车辆类型、车身颜色、过车时间、行政区划、卡口。对于搜索出来的结果需要人工进行确认，人工确认时同样提供过车轨迹查询、机动车登记信息查询、违法记录查询等查询的快捷功能，具备对确认结果进行人工查处、采集非现场违法功能。</w:t>
      </w:r>
    </w:p>
    <w:p w14:paraId="3F689822">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2、卡口图片人脸智能识别预警系统</w:t>
      </w:r>
    </w:p>
    <w:p w14:paraId="6EA296A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能够按照公安交通集成指挥平台人脸识别服务软件接口要求提供接口服务。</w:t>
      </w:r>
    </w:p>
    <w:p w14:paraId="7C689E5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系统需提供卡口过车驾人员实时识别、驾驶证异常分析预警、重点人员比对预警、人脸特征智能分析等4大模块。</w:t>
      </w:r>
    </w:p>
    <w:p w14:paraId="5972206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卡口过车驾驶人实时识别：驾驶人实施检测。支持对接入的卡口过车图片实时自动检测驾驶人人脸。对于能够检测出驾驶人人脸的，一方面提取驾驶人人脸特征信息、生成特征值，另一方面对驾驶人人脸特征进行智能识别，识别出有无佩戴墨镜、有无佩戴口罩等，并以结构化形式持久化存储。</w:t>
      </w:r>
    </w:p>
    <w:p w14:paraId="1A41A06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2)驾驶证异常分析预警：</w:t>
      </w:r>
    </w:p>
    <w:p w14:paraId="6BD0550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失驾人员分析预警：系统支持自动将检测出的驾驶人身份与六合一全国驾驶人信息库进行实时比对，分析出驾驶证处于超分、停止使用、扣留、扣押、暂扣、撤销、吊销、注销、注销可恢复、逾期未换证、逾期未审验等状态的嫌疑驾驶人，并通过集成指挥平台实时推送预警信息。</w:t>
      </w:r>
    </w:p>
    <w:p w14:paraId="791D418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无证驾驶人员分析预警：系统支持自动将比对出的驾驶人身份与六合一全国驾驶人信息库进行实时比对，分析出未取得机动车驾驶证的嫌疑驾驶人，通过集成指挥平台实时推送预警信息。</w:t>
      </w:r>
    </w:p>
    <w:p w14:paraId="20A4EF0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3)重点人员比对预警</w:t>
      </w:r>
    </w:p>
    <w:p w14:paraId="0565383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系统支持用户上传人脸图片、设定预警阈值进行查处，人脸图片场景不限，包括身份证件照片、手机拍摄图片、卡口抓拍图片等。</w:t>
      </w:r>
    </w:p>
    <w:p w14:paraId="18E4890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4)人脸特征智能分析</w:t>
      </w:r>
    </w:p>
    <w:p w14:paraId="5F42097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系统支持用户上传人脸图片，查找该人驾驶或乘坐的机动车行驶轨迹。对于检索分析出的目标人员或车辆，支持快速车牌查处与人脸查处。</w:t>
      </w:r>
    </w:p>
    <w:p w14:paraId="2D164F02">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3、图像二次识别软件</w:t>
      </w:r>
    </w:p>
    <w:p w14:paraId="1DB8C47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提供车标、车牌、车辆型号、车身颜色识别，实现假牌、套牌等嫌疑车辆预警，与核心版软件集成发布应用</w:t>
      </w:r>
    </w:p>
    <w:p w14:paraId="2FE4CA4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1)车辆号牌识别</w:t>
      </w:r>
    </w:p>
    <w:p w14:paraId="13EC4D1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系统可识别卡口抓拍图片中车辆号牌号码;</w:t>
      </w:r>
    </w:p>
    <w:p w14:paraId="4219028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2)车辆品牌型号识别</w:t>
      </w:r>
    </w:p>
    <w:p w14:paraId="5FCF568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车辆品牌型号3年内动态更新;</w:t>
      </w:r>
    </w:p>
    <w:p w14:paraId="6BEAFF4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3)车型识别</w:t>
      </w:r>
    </w:p>
    <w:p w14:paraId="69C0E11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能区分货车、大型客车、面包车、轿车、越野车等车型;</w:t>
      </w:r>
    </w:p>
    <w:p w14:paraId="05E0289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4)车身颜色识别</w:t>
      </w:r>
    </w:p>
    <w:p w14:paraId="08E7658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系统能够精准识别 10 种常见车身颜色，包括黑、白、灰、红、绿、蓝、黄、粉、紫、棕等，车身颜色识别。</w:t>
      </w:r>
    </w:p>
    <w:p w14:paraId="52E3667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5)图像特征识别性能</w:t>
      </w:r>
    </w:p>
    <w:p w14:paraId="157F881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系统具备对多张图片进行车辆号牌识别、车辆品牌型号识别、车身颜色识别、车型识别的功能。</w:t>
      </w:r>
    </w:p>
    <w:p w14:paraId="75A93E68">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4、公安交通集成指挥平台集成实施</w:t>
      </w:r>
    </w:p>
    <w:p w14:paraId="7EABEDC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1）基础环境安装部署</w:t>
      </w:r>
    </w:p>
    <w:p w14:paraId="06686A0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（1）超融合应用服务一体机等设备上架安装并检查安装完整性；</w:t>
      </w:r>
    </w:p>
    <w:p w14:paraId="496F95B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（2）基础运行环境搭建，包括操作系统安装、参数调整；</w:t>
      </w:r>
    </w:p>
    <w:p w14:paraId="31F3665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（3）超融合应用服务一体机等硬件设备资源规划，定制具体分配策略；</w:t>
      </w:r>
    </w:p>
    <w:p w14:paraId="0AB976F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（4）数据处理一体机、数据库备份一体机配置；</w:t>
      </w:r>
    </w:p>
    <w:p w14:paraId="2F8AAA9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（5）基础软件安装调优；</w:t>
      </w:r>
    </w:p>
    <w:p w14:paraId="571229F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（6）融合调度网关一体机部署实施；</w:t>
      </w:r>
    </w:p>
    <w:p w14:paraId="59F60DC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2）数据迁移</w:t>
      </w:r>
    </w:p>
    <w:p w14:paraId="6799C4E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服务期内完成相关迁移服务，具体内容如下：</w:t>
      </w:r>
    </w:p>
    <w:p w14:paraId="406007B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（1）业务应用迁移服务，提供集成指挥平台系统功能、集成指挥平台接入服务，集成指挥平台APP等业务应用迁移服务；</w:t>
      </w:r>
    </w:p>
    <w:p w14:paraId="256C84E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（2）集成指挥平台数据库数据迁移服务；</w:t>
      </w:r>
    </w:p>
    <w:p w14:paraId="2B11CE6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（3）集成指挥平台大数据平台数据迁移服务；</w:t>
      </w:r>
    </w:p>
    <w:p w14:paraId="5CBEA30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（4）检查数据迁移后数据的完整性、一致性；</w:t>
      </w:r>
    </w:p>
    <w:p w14:paraId="4008EAB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3）系统对接</w:t>
      </w:r>
    </w:p>
    <w:p w14:paraId="464DD1B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（1）集成指挥平台应用与数据库、大数据平台对接；</w:t>
      </w:r>
    </w:p>
    <w:p w14:paraId="10E96AA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（2）接入服务与数据库对接；</w:t>
      </w:r>
    </w:p>
    <w:p w14:paraId="66F8A9A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（3）与支队、县大队卡口数据对接；</w:t>
      </w:r>
    </w:p>
    <w:p w14:paraId="4DA8C14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（4）与支队非现场平台对接；</w:t>
      </w:r>
    </w:p>
    <w:p w14:paraId="4707882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（5）与支队、县大队视频平台对接；</w:t>
      </w:r>
    </w:p>
    <w:p w14:paraId="54B2CC0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（6）与总队、部局集成指挥平台对接；</w:t>
      </w:r>
    </w:p>
    <w:p w14:paraId="421BE54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（7）与总队综合应用平台对接；</w:t>
      </w:r>
    </w:p>
    <w:p w14:paraId="3E073F3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（8）与总队集成指挥平台APP对接；</w:t>
      </w:r>
    </w:p>
    <w:p w14:paraId="391590E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（9）融合调度网关与核心版集成指挥平台对接集成；</w:t>
      </w:r>
    </w:p>
    <w:p w14:paraId="15D8889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4）系统备案</w:t>
      </w:r>
    </w:p>
    <w:p w14:paraId="3F0EBF6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（1）提供集成指挥平台数据库、应用服务、接入服务等设备备案；</w:t>
      </w:r>
    </w:p>
    <w:p w14:paraId="4F118AF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（2）集成指挥平台应用服务、大数据服务申请总队分发库访问权限备案；</w:t>
      </w:r>
    </w:p>
    <w:p w14:paraId="6B6D189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5）系统测试</w:t>
      </w:r>
    </w:p>
    <w:p w14:paraId="12B104D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（1）过车数据、非现场数据、视频平台数据接入测试；</w:t>
      </w:r>
    </w:p>
    <w:p w14:paraId="18008FC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（2）集成指挥平台应用功能点测试；</w:t>
      </w:r>
    </w:p>
    <w:p w14:paraId="50A7BC6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（3）与总队集成指挥平台、部局集成指挥平台数据流转测试验证；</w:t>
      </w:r>
    </w:p>
    <w:p w14:paraId="115A146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（4）与总队综合应用平台、互联网交通安全综合服务管理平台数据交互测试验证；</w:t>
      </w:r>
    </w:p>
    <w:p w14:paraId="15F4D4B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（5）与总队集成指挥平台APP对接测试；</w:t>
      </w:r>
    </w:p>
    <w:p w14:paraId="1403F3B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（6）与车辆特征智能识别及检索系统、卡口图片人脸智能识别系统对接测试；</w:t>
      </w:r>
    </w:p>
    <w:p w14:paraId="2D6E08C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（7）与融合调度网关一体机的对接集成测试；</w:t>
      </w:r>
    </w:p>
    <w:p w14:paraId="20820B7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6）专网融合通信模块部署</w:t>
      </w:r>
    </w:p>
    <w:p w14:paraId="0BD3322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（1）专网指挥调度软件运行环境配置；</w:t>
      </w:r>
    </w:p>
    <w:p w14:paraId="3B8F735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（2）专网指挥调度软件数据库配置；</w:t>
      </w:r>
    </w:p>
    <w:p w14:paraId="2CE5997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（3）组件安装，应用程序安装发布；</w:t>
      </w:r>
    </w:p>
    <w:p w14:paraId="44F5B30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（4）软件配置服务，包括融合通信网关配置、流媒体服务配置、代理服务配置、国标服务配置、下级国标平台对接；</w:t>
      </w:r>
    </w:p>
    <w:p w14:paraId="6B7E3FAE">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5、违法举报系统</w:t>
      </w:r>
    </w:p>
    <w:p w14:paraId="34BDB62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提供违法举报系统功能（互联网端）、违法举报后台审核管理系统、与警察叔叔系统对接等内容。服务期满后，处置权归建设单位所有。</w:t>
      </w:r>
    </w:p>
    <w:p w14:paraId="1D0BB94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（1）违法举报系统功能（互联网端）</w:t>
      </w:r>
    </w:p>
    <w:p w14:paraId="7C59084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1）公告信息</w:t>
      </w:r>
    </w:p>
    <w:p w14:paraId="26051B0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当事人点击进入违法举报功能，查看公告信息内容。</w:t>
      </w:r>
    </w:p>
    <w:p w14:paraId="11FB229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2）用户信息获取</w:t>
      </w:r>
    </w:p>
    <w:p w14:paraId="35A3D74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对接市局警察叔叔APP平台，获取当前登录用的信息账号，后续举报信息以该实名账号为举报人信息。</w:t>
      </w:r>
    </w:p>
    <w:p w14:paraId="4FEABB5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手机端展示获取的当事人姓名、手机号码，手机号允许进行调整；</w:t>
      </w:r>
    </w:p>
    <w:p w14:paraId="24FB85B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3）举报信息填写</w:t>
      </w:r>
    </w:p>
    <w:p w14:paraId="23DA438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群众可填写必填内容：违法类型（下拉式）、违法地址(手工填写，其中行政区划为下拉式，增加填写示例，提示当事人根据示例填写规范，便于后期处理，具体示例由事故对策处提供）、违法时间（选择式）、违法详情描述（手工填写）、行政区划（下拉式），选填内容：号牌号码（选择式）等信息进行举报上传；</w:t>
      </w:r>
    </w:p>
    <w:p w14:paraId="5426C4E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行政区划默认杭州市，当事人选择区划信息，全市各市县都能举报。 </w:t>
      </w:r>
    </w:p>
    <w:p w14:paraId="6884F4B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后台自动获取当事人定位信息在管理端审核页面进行展示；</w:t>
      </w:r>
    </w:p>
    <w:p w14:paraId="620AB35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4）证据材料上传</w:t>
      </w:r>
    </w:p>
    <w:p w14:paraId="62EB01D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群众从相册中选择视频上传，对视频大小进行限定，同时手机端页面进行提示；视频大小限制最大40兆。</w:t>
      </w:r>
    </w:p>
    <w:p w14:paraId="58B5002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也直接通过摄像头拍摄照片，或者从相册中选择照片上传；</w:t>
      </w:r>
    </w:p>
    <w:p w14:paraId="00CB6FD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证据照片，视频非必选上传项；</w:t>
      </w:r>
    </w:p>
    <w:p w14:paraId="159FC7D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允许当事人举报内容办结前进行证据补传。</w:t>
      </w:r>
    </w:p>
    <w:p w14:paraId="6993F55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举报信息提交成功后，页面留言，您的举报已受理，工作人员将在调查处理后与您联系，感谢对交通管理工作的关心和支持。</w:t>
      </w:r>
    </w:p>
    <w:p w14:paraId="4E7CEFD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5）违法举报信息查询</w:t>
      </w:r>
    </w:p>
    <w:p w14:paraId="02BEA2F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用户可查看之前违法举报的内容，以列表形式展示以往的举报内容(举报时间、举报违法地点、审核结果等信息)；</w:t>
      </w:r>
    </w:p>
    <w:p w14:paraId="7CCA0AA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用户可查看单条举报内容的处理进度。</w:t>
      </w:r>
    </w:p>
    <w:p w14:paraId="321393F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6）违法数据自动分派</w:t>
      </w:r>
    </w:p>
    <w:p w14:paraId="7935711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根据上报信息的行政区划自动分派至管辖大队进行处理。</w:t>
      </w:r>
    </w:p>
    <w:p w14:paraId="2CCBE45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（2）违法举报后台审核管理系统</w:t>
      </w:r>
    </w:p>
    <w:p w14:paraId="31AFDE7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1）违法数据查看</w:t>
      </w:r>
    </w:p>
    <w:p w14:paraId="2AEFB09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大队管理员根据举报人身份证、手机号、违法时间等条件查看上报的违法信息列表。</w:t>
      </w:r>
    </w:p>
    <w:p w14:paraId="6457FBF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2）违法详情查看</w:t>
      </w:r>
    </w:p>
    <w:p w14:paraId="4369CBA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管理员可查看违法基本信息、举报人信息及证据材料。</w:t>
      </w:r>
    </w:p>
    <w:p w14:paraId="23A2691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3）违法数据转派</w:t>
      </w:r>
    </w:p>
    <w:p w14:paraId="1D71532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大队管理员在受理过程中，核查到该违法不属于自己辖区管辖，可转派至其他大队进行处理。</w:t>
      </w:r>
    </w:p>
    <w:p w14:paraId="6F51C67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4）转派审核</w:t>
      </w:r>
    </w:p>
    <w:p w14:paraId="5A19E52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支队管理员针对大队转派的业务需要进行核查，确认可转派至对应大队则审核通过；确认不可转派，说明原因退回至原大队处理。</w:t>
      </w:r>
    </w:p>
    <w:p w14:paraId="39C976E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5）中队派单</w:t>
      </w:r>
    </w:p>
    <w:p w14:paraId="0E7E54F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大队管理员根据反馈内容可以派单至中队，由中队进行处理反馈。</w:t>
      </w:r>
    </w:p>
    <w:p w14:paraId="6C0D8EF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6）违法数据受理</w:t>
      </w:r>
    </w:p>
    <w:p w14:paraId="3F75478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各级管理员根据群众上报的违法信息，线下进行核查，针对违法事实进行回复。</w:t>
      </w:r>
    </w:p>
    <w:p w14:paraId="3E751CF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7）超期预警</w:t>
      </w:r>
    </w:p>
    <w:p w14:paraId="34B4BDB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根据举报处理时效性的要求，对于快要超期的举报内容进行一次弹窗提醒（可点击直接进入该条举报处理）后，对该举报信息进行标红显示（具体的时效性，由事故处提供规则）</w:t>
      </w:r>
    </w:p>
    <w:p w14:paraId="0273335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8）系统管理</w:t>
      </w:r>
    </w:p>
    <w:p w14:paraId="64AEEF9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包括系统用户、角色管理、部门管理和功能模块。</w:t>
      </w:r>
    </w:p>
    <w:p w14:paraId="68CAB6E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9）统计查询功能</w:t>
      </w:r>
    </w:p>
    <w:p w14:paraId="1DA7308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各级管理员可对本级管辖的举报内容根据时间段进行统计，包括举报违法类型的统计（含举报数，有效数，无效数），举报人的统计（含举报数，有效数，无效数）。</w:t>
      </w:r>
    </w:p>
    <w:p w14:paraId="3F689FF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（3）与警察叔叔系统对接 </w:t>
      </w:r>
    </w:p>
    <w:p w14:paraId="6F998E2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实现与警察叔叔系统对接，获取APP的实名用户信息。</w:t>
      </w:r>
    </w:p>
    <w:p w14:paraId="66405916">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6、道路交通信号“一见拍”系统</w:t>
      </w:r>
    </w:p>
    <w:p w14:paraId="68561C0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微信公众号设置交通信号社会反馈专栏功能，提供微信端道路交通信号安全问题上报功能。交警通过建设管理后台，将群众上报信息进行统一汇总，并根据用户上报区域实现上报信息的自动派送，支持大队群众上报的道路交通信号问题数据进行处置跟踪，并支持后台数据统计分析处理。服务期满后，处置权归建设单位所有。</w:t>
      </w:r>
    </w:p>
    <w:p w14:paraId="42C9665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（1）道路交通信号“一见拍”群众端</w:t>
      </w:r>
    </w:p>
    <w:p w14:paraId="1BF4B40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1）群众端首页</w:t>
      </w:r>
    </w:p>
    <w:p w14:paraId="3616380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手机端界面个性化设计</w:t>
      </w:r>
    </w:p>
    <w:p w14:paraId="5066F12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支持根据各地的部署平台的风格，对手机端上报界面首页进行适配设计。</w:t>
      </w:r>
    </w:p>
    <w:p w14:paraId="738EF63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2）信息采集</w:t>
      </w:r>
    </w:p>
    <w:p w14:paraId="29EF949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上报信息填写</w:t>
      </w:r>
    </w:p>
    <w:p w14:paraId="3A8C31A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针对群众发现的道路交通信号问题，支持群众手动填写问题信息。</w:t>
      </w:r>
    </w:p>
    <w:p w14:paraId="7DBB526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定位信息获取</w:t>
      </w:r>
    </w:p>
    <w:p w14:paraId="296D2C9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支持群众上报地点信息的自动获取，并记录获取的地点信息。</w:t>
      </w:r>
    </w:p>
    <w:p w14:paraId="444BF8A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问题照片采集</w:t>
      </w:r>
    </w:p>
    <w:p w14:paraId="75395CB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支持用户对道路交通信号的问题隐患进行拍照上传。</w:t>
      </w:r>
    </w:p>
    <w:p w14:paraId="588D837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3）数据上报</w:t>
      </w:r>
    </w:p>
    <w:p w14:paraId="3111C31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针对群众填写的问题基础信息进行上报，并提交至该区域的管辖大队。</w:t>
      </w:r>
    </w:p>
    <w:p w14:paraId="2628135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4）上报记录管理</w:t>
      </w:r>
    </w:p>
    <w:p w14:paraId="456C9B8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上报记录查询</w:t>
      </w:r>
    </w:p>
    <w:p w14:paraId="46BA6E1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针对群众上报的交通信号问题信息，支持根据上报手机号查询上报信息记录。</w:t>
      </w:r>
    </w:p>
    <w:p w14:paraId="1FFADC3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处置进度回溯</w:t>
      </w:r>
    </w:p>
    <w:p w14:paraId="50AEBE8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系统对上报信息的处置进度进行回溯，支持群众在手机端进行查看跟踪。</w:t>
      </w:r>
    </w:p>
    <w:p w14:paraId="12C539C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整改信息反馈</w:t>
      </w:r>
    </w:p>
    <w:p w14:paraId="3C1DB12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民警整改的信息记录会推送至相应的上报记录中，供群众查看。</w:t>
      </w:r>
    </w:p>
    <w:p w14:paraId="76C5124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5）处置进度反馈</w:t>
      </w:r>
    </w:p>
    <w:p w14:paraId="1CA4F18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消息推送</w:t>
      </w:r>
    </w:p>
    <w:p w14:paraId="679EF0F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针对系统部署平台的消息推送，系统提供统一的接口规范，实现反馈信息的消息推送。</w:t>
      </w:r>
    </w:p>
    <w:p w14:paraId="55F4EF4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（2）道路交通信号“一见拍”后台系统</w:t>
      </w:r>
    </w:p>
    <w:p w14:paraId="743FE1B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1）首页</w:t>
      </w:r>
    </w:p>
    <w:p w14:paraId="29AB809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数据看板</w:t>
      </w:r>
    </w:p>
    <w:p w14:paraId="5622447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针对系统汇聚的基础数据进行统计，并进行多样化的展示。</w:t>
      </w:r>
    </w:p>
    <w:p w14:paraId="30F5C2A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2）数据管理</w:t>
      </w:r>
    </w:p>
    <w:p w14:paraId="20F4399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上报信息查询</w:t>
      </w:r>
    </w:p>
    <w:p w14:paraId="71F73223">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针对系统汇聚的上报信息，支持用户根据问题类别、问题隐患描述、上报人姓名、处理部门、上报时间、上报地点进行筛选查询。</w:t>
      </w:r>
    </w:p>
    <w:p w14:paraId="47D54EA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上报记录详情查看</w:t>
      </w:r>
    </w:p>
    <w:p w14:paraId="43672DD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支持用户查看具体某项上报记录的上报详情。</w:t>
      </w:r>
    </w:p>
    <w:p w14:paraId="5E0940D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3）上报信息处置</w:t>
      </w:r>
    </w:p>
    <w:p w14:paraId="598723A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上报信息自动派送</w:t>
      </w:r>
    </w:p>
    <w:p w14:paraId="1BE0266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系统根据用户上报地点的信息和对接的行政区划信息，实现上报信息的自动派送。</w:t>
      </w:r>
    </w:p>
    <w:p w14:paraId="670CC8F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上报信息受理</w:t>
      </w:r>
    </w:p>
    <w:p w14:paraId="24DBC02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针对由公安机关维护管理且确需整改的，支持用户对上报信息进行受理。</w:t>
      </w:r>
    </w:p>
    <w:p w14:paraId="672FADB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上报信息解释反馈</w:t>
      </w:r>
    </w:p>
    <w:p w14:paraId="5168BCC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针对经民警核查无需整改的上报信息，进行政策、技术规范解释说明情形。</w:t>
      </w:r>
    </w:p>
    <w:p w14:paraId="5BE432D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上报信息流转</w:t>
      </w:r>
    </w:p>
    <w:p w14:paraId="58B0586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针对不属于由公安机关维护管理的，向反映者反馈举报线索去向。</w:t>
      </w:r>
    </w:p>
    <w:p w14:paraId="2DBA437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上报信息转派</w:t>
      </w:r>
    </w:p>
    <w:p w14:paraId="0866FB9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支持支队用户对上报信息归属机构进行修改，指定相应的中队进行上报信息的受理、整改等。</w:t>
      </w:r>
    </w:p>
    <w:p w14:paraId="414FECC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4）整改信息反馈</w:t>
      </w:r>
    </w:p>
    <w:p w14:paraId="0A68620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整改结果回复</w:t>
      </w:r>
    </w:p>
    <w:p w14:paraId="36B60A5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针对民警受理后的上报信息，提供整改结果回复的功能。</w:t>
      </w:r>
    </w:p>
    <w:p w14:paraId="322457E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整改照片上传</w:t>
      </w:r>
    </w:p>
    <w:p w14:paraId="1426960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支持民警对整改后的照片进行上传，同时反馈至群众端，并将上报记录的状态进行更新。</w:t>
      </w:r>
    </w:p>
    <w:p w14:paraId="0288540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5）数据统计分析</w:t>
      </w:r>
    </w:p>
    <w:p w14:paraId="0FA8B16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隐患地点分析</w:t>
      </w:r>
    </w:p>
    <w:p w14:paraId="6552EA1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针对系统汇聚的上报信息数据，支持以隐患地点为维度进行展开分析。</w:t>
      </w:r>
    </w:p>
    <w:p w14:paraId="2ACF251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问题类别分析</w:t>
      </w:r>
    </w:p>
    <w:p w14:paraId="27501AE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针对系统汇聚的上报信息数据，支持以上报问题类别为维度进行展开分析。</w:t>
      </w:r>
    </w:p>
    <w:p w14:paraId="53B82B5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问题描述分析</w:t>
      </w:r>
    </w:p>
    <w:p w14:paraId="1F467C6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针对系统汇聚的上报信息数据，支持以上报问题描述为维度进行展开分析。</w:t>
      </w:r>
    </w:p>
    <w:p w14:paraId="1EF20C3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处置类别分析</w:t>
      </w:r>
    </w:p>
    <w:p w14:paraId="32902A1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针对系统汇聚的上报信息处置数据，支持以处置类别为维度进行展开分析。</w:t>
      </w:r>
    </w:p>
    <w:p w14:paraId="0CAD89E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处理时效分析</w:t>
      </w:r>
    </w:p>
    <w:p w14:paraId="04EA979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针对系统汇聚的上报信息处置数据，支持以处理时效为维度进行展开分析。</w:t>
      </w:r>
    </w:p>
    <w:p w14:paraId="10668FF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6）上报信息选项自定义配置</w:t>
      </w:r>
    </w:p>
    <w:p w14:paraId="4B060F6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问题类别配置</w:t>
      </w:r>
    </w:p>
    <w:p w14:paraId="49B24D4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针对用户个性化的上报问题类别，支持用户进行自定义配置。</w:t>
      </w:r>
    </w:p>
    <w:p w14:paraId="292267C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问题描述配置</w:t>
      </w:r>
    </w:p>
    <w:p w14:paraId="5F8C638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支持对问题描述进行配置，并提供给群众端进行选择。</w:t>
      </w:r>
    </w:p>
    <w:p w14:paraId="7308F0A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7）系统管理</w:t>
      </w:r>
    </w:p>
    <w:p w14:paraId="40F1C80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用户管理：实现对系统管理员用户的信息管理；</w:t>
      </w:r>
    </w:p>
    <w:p w14:paraId="046142B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角色管理：可根据实际需要创建角色，配置角色拥有的权限与功能点权限；</w:t>
      </w:r>
    </w:p>
    <w:p w14:paraId="13D79C4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部门管理：实现与公安交通管理综合应用平台数据进行部门数据同步的功能，保持与综合应用平台的数据一致性；</w:t>
      </w:r>
    </w:p>
    <w:p w14:paraId="57FA661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参数管理：支持对系统参数进行新增、修改、删除、查看；</w:t>
      </w:r>
    </w:p>
    <w:p w14:paraId="7516F852">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数据字典管理：支持对数据字典类别及数据字典进行新增、修改、删除、查看。</w:t>
      </w:r>
    </w:p>
    <w:p w14:paraId="647632D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（3）系统对接及数据交互服务</w:t>
      </w:r>
    </w:p>
    <w:p w14:paraId="4AFEEC7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1）微信公众号对接</w:t>
      </w:r>
    </w:p>
    <w:p w14:paraId="087EC2B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将系统部署应用于微信公众号上。</w:t>
      </w:r>
    </w:p>
    <w:p w14:paraId="6CC8378D">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2）第三方上报平台数据统一接入</w:t>
      </w:r>
    </w:p>
    <w:p w14:paraId="39C6BE6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提供统一的对接规范，将第三方上报平台数据进行接入，统一存储。</w:t>
      </w:r>
    </w:p>
    <w:p w14:paraId="057A64E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3）与短信平台的对接</w:t>
      </w:r>
    </w:p>
    <w:p w14:paraId="2AF4FD6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与短信平台对接集成，在上报信息处置完成时，可根据上报人信息列表推送短信记录至上报人。</w:t>
      </w:r>
    </w:p>
    <w:p w14:paraId="36D0ECFD">
      <w:pPr>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三、安全要求</w:t>
      </w:r>
    </w:p>
    <w:p w14:paraId="5CC76C21">
      <w:pPr>
        <w:ind w:firstLine="480" w:firstLineChars="200"/>
        <w:jc w:val="left"/>
        <w:rPr>
          <w:rFonts w:ascii="宋体" w:hAnsi="宋体" w:eastAsia="仿宋" w:cs="宋体"/>
          <w:sz w:val="24"/>
          <w:highlight w:val="none"/>
        </w:rPr>
      </w:pPr>
      <w:r>
        <w:rPr>
          <w:rFonts w:hint="eastAsia" w:ascii="宋体" w:hAnsi="宋体" w:eastAsia="仿宋" w:cs="宋体"/>
          <w:sz w:val="24"/>
          <w:highlight w:val="none"/>
        </w:rPr>
        <w:t>本项目需在服务期结束前通过第三方检测（软件部分）及网络安全等级保护三级；根据商用密码应用安全管理要求，在服务期结束后完成商用密码应用测评和信创测评，</w:t>
      </w:r>
      <w:r>
        <w:rPr>
          <w:rFonts w:hint="eastAsia" w:ascii="仿宋" w:hAnsi="仿宋" w:eastAsia="仿宋" w:cs="仿宋"/>
          <w:sz w:val="24"/>
          <w:highlight w:val="none"/>
        </w:rPr>
        <w:t>乙方</w:t>
      </w:r>
      <w:r>
        <w:rPr>
          <w:rFonts w:hint="eastAsia" w:ascii="宋体" w:hAnsi="宋体" w:eastAsia="仿宋" w:cs="宋体"/>
          <w:sz w:val="24"/>
          <w:highlight w:val="none"/>
        </w:rPr>
        <w:t>需做好相关检测和测评的配合工作，如因</w:t>
      </w:r>
      <w:r>
        <w:rPr>
          <w:rFonts w:hint="eastAsia" w:ascii="仿宋" w:hAnsi="仿宋" w:eastAsia="仿宋" w:cs="仿宋"/>
          <w:sz w:val="24"/>
          <w:highlight w:val="none"/>
        </w:rPr>
        <w:t>乙方</w:t>
      </w:r>
      <w:r>
        <w:rPr>
          <w:rFonts w:hint="eastAsia" w:ascii="宋体" w:hAnsi="宋体" w:eastAsia="仿宋" w:cs="宋体"/>
          <w:sz w:val="24"/>
          <w:highlight w:val="none"/>
        </w:rPr>
        <w:t>原因符合要求的，需负责整改到位。</w:t>
      </w:r>
    </w:p>
    <w:p w14:paraId="353B01B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对于本项目中的超融合应用服务一体机、大数据平台、视频服务网关、集成指挥平台升级服务一体机、负载均衡器1、负载均衡器2、融合调度网关一体机、数据处理一体机、数据库备份一体机、违法举报、道路交通信号“一见拍”系统，需根据信创要求，完成信创测评，如因乙方原因未符合要求的，需负责整改到位。</w:t>
      </w:r>
    </w:p>
    <w:p w14:paraId="537E047A">
      <w:pPr>
        <w:ind w:firstLine="480" w:firstLineChars="200"/>
        <w:jc w:val="left"/>
        <w:rPr>
          <w:rFonts w:ascii="仿宋" w:hAnsi="仿宋" w:eastAsia="仿宋" w:cs="仿宋"/>
          <w:sz w:val="24"/>
          <w:highlight w:val="none"/>
        </w:rPr>
      </w:pPr>
    </w:p>
    <w:p w14:paraId="2E9F539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四、服务要求</w:t>
      </w:r>
    </w:p>
    <w:p w14:paraId="4E15C95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乙方应明确说明此次投标的服务策略，提供此次租赁的服务计划（服务内容、等级、相关服务指标、服务组织机构及人员安排情况及其联络信息）。</w:t>
      </w:r>
    </w:p>
    <w:p w14:paraId="42693A9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（1）租赁产品必须是符合国家技术规范和质量标准的合格产品，乙方在租赁服务期内安装的任何产品，必须是其租赁产品制造厂商原产的。满足甲方的使用需求，并具有可靠的服务体系，质量可靠、使用安全。</w:t>
      </w:r>
      <w:r>
        <w:rPr>
          <w:rFonts w:hint="eastAsia" w:ascii="宋体" w:hAnsi="宋体" w:eastAsia="仿宋" w:cs="宋体"/>
          <w:sz w:val="24"/>
          <w:highlight w:val="none"/>
        </w:rPr>
        <w:t>本项目服务期结束后，服务器存储硬盘内所存储数据需根据甲方要求做好迁移及清理工作。</w:t>
      </w:r>
    </w:p>
    <w:p w14:paraId="2A20DC5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在租赁服务期内，公安交通集成指挥平台核心版系统软件的技术架构、逻辑架构、视频联网架构应遵循《公安交通集成指挥平台技术实施方案》、《深化公安交通集成指挥平台建设方案》。同时，如遇公安部交管局集指平台版本升级及软件补丁发布，应提供系统软件更新、补丁修复服务。乙方保证其提供的产品中所有预装和为本项目安装的软件均为具有合法版权或使用权的正版软件且无质量瑕疵。</w:t>
      </w:r>
    </w:p>
    <w:p w14:paraId="2ACFD7C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在租赁期内，提供7*24小时服务。对设备和软件系统故障在10分钟内响应，半小时内到达现场，2小时提出解决方案，4小时内排除故障并解决所提供的投标设备和软件系统的任何问题。逾期未排除故障，乙方应提供备用设备并承担由于故障所造成的全部损失。</w:t>
      </w:r>
    </w:p>
    <w:p w14:paraId="6966A42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乙方的项目组人员对系统运行情况每周进行巡检，并建立巡检台账。根据招标文件或合同须在规定时间内提交的文档资料、甲方交办的工作、监理单位出具监理工程师通知单须乙方配合完成。维护记录表须填写完整，不弄虚作假。乙方每月租赁月报于次月15日前出具，服务期满后，15日内出具租赁总结报告。</w:t>
      </w:r>
    </w:p>
    <w:p w14:paraId="2D0B685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此项目具有监理，监理的工作职责内容如下：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753E0D7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6）发生因服务质量问题造成上级部门检查不合格，甲方无法正常工作，发生重大设备损坏导致现场无法及时处理，引起二次事故造成后果的，发生因服务质量问题引起媒体曝光，造成社会不良影响的乙方应及时处理。</w:t>
      </w:r>
    </w:p>
    <w:p w14:paraId="7CB0DF9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7）乙方在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w:t>
      </w:r>
    </w:p>
    <w:p w14:paraId="23452B2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（8）培训要求</w:t>
      </w:r>
    </w:p>
    <w:p w14:paraId="4B14074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1、培训目的</w:t>
      </w:r>
    </w:p>
    <w:p w14:paraId="5B74FA9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根据项目的目标和现实情况，对甲方相关人员进行培训，使系统操作人员、管理人员、运维人员全面了解和掌握本次项目建设系统的基本架构、系统配置流程、操作应用方法以及简单的异常/故障排除方法，能独立进行管理、维护测试和故障处理等工作。</w:t>
      </w:r>
    </w:p>
    <w:p w14:paraId="7094936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1.培训对象：系统操作人员、系统管理人员、系统运维人员。培训人数根据甲方要求确定（不少于一人）。</w:t>
      </w:r>
    </w:p>
    <w:p w14:paraId="09A9632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2.培训方式：</w:t>
      </w:r>
    </w:p>
    <w:p w14:paraId="084B570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1）现场培训</w:t>
      </w:r>
    </w:p>
    <w:p w14:paraId="37497F4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在整个项目安装、调试进程中进行现场培训。</w:t>
      </w:r>
    </w:p>
    <w:p w14:paraId="68AF348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2）课程培训</w:t>
      </w:r>
    </w:p>
    <w:p w14:paraId="08F7B02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提供专门的课程培训，包括理论教授，问题讨论和上机操作，具体包括：</w:t>
      </w:r>
    </w:p>
    <w:p w14:paraId="49FD820C">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（1）对支队领导、管理员、运维人员、系统应用人员及其他相关人员进行集中培训。</w:t>
      </w:r>
    </w:p>
    <w:p w14:paraId="57A53494">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（2）培训采用电脑模拟真实环境对相关人员进行重点培训。</w:t>
      </w:r>
    </w:p>
    <w:p w14:paraId="08BD1B68">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（3）培训时采用投影仪示范及教程讲解的方式，并让相关业务应用人员现场操作。</w:t>
      </w:r>
    </w:p>
    <w:p w14:paraId="16F75DA9">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3.培训地点：培训地点由乙方与甲方共同协商确定。</w:t>
      </w:r>
    </w:p>
    <w:p w14:paraId="4F9F27A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4.培训内容：培训内容包括系统架构及组成、系统功能模块及操作、系统日常管理、系统故障分析处理步骤、常见故障的排除及日常维护方法，所有培训以中文进行。</w:t>
      </w:r>
    </w:p>
    <w:p w14:paraId="4F4771E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5.培训师资：由乙方的专业工程师提供培训服务。</w:t>
      </w:r>
    </w:p>
    <w:p w14:paraId="7098F25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五、人员要求</w:t>
      </w:r>
    </w:p>
    <w:p w14:paraId="4B8526C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（1）人员配备数量</w:t>
      </w:r>
    </w:p>
    <w:p w14:paraId="469FE450">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服务团队：按照实际工作需要，安排1名项目负责人(负责项目管理与甲方对接)，提供至少2名技术人员（负责提供日常技术服务、问题咨询及系统故障处理）。</w:t>
      </w:r>
    </w:p>
    <w:p w14:paraId="4C384E5E">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服务人员工作时间：提供7*24小时在线服务，每周现场巡检服务。</w:t>
      </w:r>
    </w:p>
    <w:p w14:paraId="48CEEC0F">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服务地点：杭州市公安局交通警察支队（杭州市拱墅区文晖路336号）。</w:t>
      </w:r>
    </w:p>
    <w:p w14:paraId="16165161">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（2）人员配备标准及要求</w:t>
      </w:r>
    </w:p>
    <w:p w14:paraId="067ED23B">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服务团队人员年龄均在55周岁（含）以下，且均具有大专及以上学历。项目负责人需具有信息化软硬件运维项目管理经验，具有计算机技术与软件专业技术资格（系统集成项目管理工程师证书）。项目服务团队人员（除项目负责人外的技术人员）均需具有计算机技术与软件专业技术资格（软件设计师证书）。服务团队人员均具有信息化软硬件运维项目经验。</w:t>
      </w:r>
    </w:p>
    <w:p w14:paraId="6E6FDCA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六、乙方网络安全责任和义务</w:t>
      </w:r>
    </w:p>
    <w:p w14:paraId="2B1B919F">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（1）明确乙方法定代表人为合作事项网络安全第一责任人，具体承担合作事项的部门主要负责人为直接责任人。</w:t>
      </w:r>
    </w:p>
    <w:p w14:paraId="048FBE96">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（2）不得转包合同任务，未经甲方书面同意不得分包合同任务。</w:t>
      </w:r>
    </w:p>
    <w:p w14:paraId="6F69A5AB">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（3）乙方应制订与合作事项相关的网络安全保障方案和网络安全事件应急预案。</w:t>
      </w:r>
    </w:p>
    <w:p w14:paraId="47E85974">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（4）乙方发现网络安全漏洞、缺陷或者其他严重网络安全风险，应及时向甲方报告。</w:t>
      </w:r>
    </w:p>
    <w:p w14:paraId="0E597A22">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（5）处理合作事项的信息平台应当优先采用符合安全可靠测评要求的硬件和软件产品。</w:t>
      </w:r>
    </w:p>
    <w:p w14:paraId="57769325">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（6）发生可能影响合作事项的网络安全重大事项，包括负责人及重要工作人员变更、业务转型、合并重组和投资并购等，乙方应提前向甲方报告。</w:t>
      </w:r>
    </w:p>
    <w:p w14:paraId="38579ED2">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（7）采用社会公共网络平台实施合作事项时，严禁涉及国家秘密和警务工作秘密。</w:t>
      </w:r>
    </w:p>
    <w:p w14:paraId="4064E25E">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（8）乙方应于2026年8月1日之前向甲方提交网络安全报告。</w:t>
      </w:r>
    </w:p>
    <w:p w14:paraId="6DF0F9CA">
      <w:pPr>
        <w:adjustRightInd/>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（9）其他应当落实的网络安全责任和义务。</w:t>
      </w:r>
    </w:p>
    <w:p w14:paraId="50672EC8">
      <w:pPr>
        <w:ind w:firstLine="480" w:firstLineChars="200"/>
        <w:jc w:val="left"/>
        <w:rPr>
          <w:rFonts w:ascii="仿宋" w:hAnsi="仿宋" w:eastAsia="仿宋" w:cs="仿宋"/>
          <w:sz w:val="24"/>
          <w:highlight w:val="none"/>
        </w:rPr>
      </w:pPr>
    </w:p>
    <w:p w14:paraId="2CACF6F6">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七、保密要求</w:t>
      </w:r>
    </w:p>
    <w:p w14:paraId="5806A27A">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甲方对乙方及工作人员开展常态化安全保密教育，组织签订安全保密承诺书，履行具体安全管理内容、安全保密义务和责任；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14:paraId="1808AF95">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严格按照甲方规定使用、存储、处理文档资料和数据。合同终止时，应当交还全部资料和数据。</w:t>
      </w:r>
    </w:p>
    <w:p w14:paraId="40BCFBA7">
      <w:p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乙方需与甲方签署保密协议，乙方对在项目实施期间所获得的甲方的信息有保密义务（包括但不限于合同履约期内），泄漏秘密应承担的责任。如有违反，按合同的违约条款向甲方支付违约金，造成甲方损失的应予赔偿，涉嫌违法或犯罪的依法追究刑事责任。</w:t>
      </w:r>
    </w:p>
    <w:p w14:paraId="494EE5E5">
      <w:pPr>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若项目涉及分包的，乙方须按照以上保密要求，与分包供应商签订单位保密协议、个人保密承诺书、开展日常保密教育等措施，确保分包供应商严格落实各项保密规定，并与分包供应商承担连带责任。</w:t>
      </w:r>
    </w:p>
    <w:p w14:paraId="71611FF4">
      <w:pPr>
        <w:ind w:firstLine="480" w:firstLineChars="200"/>
        <w:jc w:val="left"/>
        <w:rPr>
          <w:rFonts w:ascii="仿宋" w:hAnsi="仿宋" w:eastAsia="仿宋" w:cs="仿宋"/>
          <w:sz w:val="24"/>
          <w:highlight w:val="none"/>
        </w:rPr>
      </w:pPr>
    </w:p>
    <w:p w14:paraId="27207599">
      <w:pPr>
        <w:numPr>
          <w:ilvl w:val="0"/>
          <w:numId w:val="2"/>
        </w:numPr>
        <w:ind w:firstLine="480" w:firstLineChars="200"/>
        <w:jc w:val="left"/>
        <w:rPr>
          <w:rFonts w:ascii="仿宋" w:hAnsi="仿宋" w:eastAsia="仿宋" w:cs="仿宋"/>
          <w:sz w:val="24"/>
          <w:highlight w:val="none"/>
        </w:rPr>
      </w:pPr>
      <w:r>
        <w:rPr>
          <w:rFonts w:hint="eastAsia" w:ascii="仿宋" w:hAnsi="仿宋" w:eastAsia="仿宋" w:cs="仿宋"/>
          <w:sz w:val="24"/>
          <w:highlight w:val="none"/>
        </w:rPr>
        <w:t>安全责任</w:t>
      </w:r>
    </w:p>
    <w:p w14:paraId="36ABB0E0">
      <w:pPr>
        <w:spacing w:line="276" w:lineRule="auto"/>
        <w:jc w:val="left"/>
        <w:rPr>
          <w:rFonts w:ascii="仿宋" w:hAnsi="仿宋" w:eastAsia="仿宋" w:cs="仿宋"/>
          <w:sz w:val="24"/>
          <w:highlight w:val="none"/>
        </w:rPr>
      </w:pPr>
      <w:r>
        <w:rPr>
          <w:rFonts w:hint="eastAsia" w:ascii="仿宋" w:hAnsi="仿宋" w:eastAsia="仿宋" w:cs="仿宋"/>
          <w:sz w:val="24"/>
          <w:highlight w:val="none"/>
        </w:rPr>
        <w:t>因乙方或乙方派遣人员工作过错造成的安全管理事故，乙方负全部责任及相关费用。</w:t>
      </w:r>
    </w:p>
    <w:p w14:paraId="5D32F48A">
      <w:pPr>
        <w:adjustRightInd/>
        <w:snapToGrid w:val="0"/>
        <w:spacing w:before="120" w:beforeLines="50" w:line="360" w:lineRule="auto"/>
        <w:jc w:val="left"/>
        <w:outlineLvl w:val="2"/>
        <w:rPr>
          <w:rFonts w:ascii="Calibri" w:hAnsi="Calibri" w:eastAsia="仿宋" w:cs="宋体"/>
          <w:b/>
          <w:snapToGrid w:val="0"/>
          <w:kern w:val="0"/>
          <w:sz w:val="24"/>
          <w:highlight w:val="none"/>
        </w:rPr>
      </w:pPr>
      <w:r>
        <w:rPr>
          <w:rFonts w:hint="eastAsia" w:ascii="仿宋" w:hAnsi="仿宋" w:eastAsia="仿宋" w:cs="仿宋"/>
          <w:b/>
          <w:snapToGrid w:val="0"/>
          <w:kern w:val="0"/>
          <w:sz w:val="24"/>
          <w:highlight w:val="none"/>
        </w:rPr>
        <w:t>附件一：</w:t>
      </w:r>
      <w:r>
        <w:rPr>
          <w:rFonts w:hint="eastAsia" w:ascii="Calibri" w:hAnsi="Calibri" w:eastAsia="仿宋" w:cs="宋体"/>
          <w:b/>
          <w:snapToGrid w:val="0"/>
          <w:kern w:val="0"/>
          <w:sz w:val="24"/>
          <w:highlight w:val="none"/>
        </w:rPr>
        <w:t>每月考核表</w:t>
      </w:r>
    </w:p>
    <w:p w14:paraId="07AD59E9">
      <w:pPr>
        <w:adjustRightInd/>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②考核：</w:t>
      </w:r>
    </w:p>
    <w:p w14:paraId="5540C2DF">
      <w:pPr>
        <w:adjustRightInd/>
        <w:snapToGrid w:val="0"/>
        <w:spacing w:line="360" w:lineRule="auto"/>
        <w:ind w:firstLine="480" w:firstLineChars="200"/>
        <w:jc w:val="left"/>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08E7DE33">
      <w:pPr>
        <w:adjustRightInd/>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本考核对乙方服务工作以月为考核周期，采用百分制计分方式，每月1日初始计分为100分，甲方委托监理单位根据逐条考核事项及对应扣分对乙方进行计分。乙方每被扣1分，处以违约金1000元。违约金在结算合同尾款时一次性扣除。当月考核结果低于80分的，应递交书面整改报告。乙方当月考核结果低于60分、或连续二个月考核结果低于70分、或连续三个月考核结果低于80分，</w:t>
      </w:r>
      <w:r>
        <w:rPr>
          <w:rFonts w:hint="eastAsia" w:ascii="仿宋" w:hAnsi="仿宋" w:eastAsia="仿宋" w:cs="仿宋"/>
          <w:sz w:val="24"/>
          <w:highlight w:val="none"/>
          <w:u w:val="single"/>
        </w:rPr>
        <w:t>甲方有权没收乙方全部履约保证金，并且甲方有权无条件解除合同，如给甲方造成损失的有权向乙方提出索赔。</w:t>
      </w:r>
    </w:p>
    <w:p w14:paraId="73387585">
      <w:pPr>
        <w:spacing w:before="120" w:beforeLines="50" w:line="360" w:lineRule="auto"/>
        <w:jc w:val="center"/>
        <w:rPr>
          <w:rFonts w:ascii="仿宋" w:hAnsi="仿宋" w:eastAsia="仿宋" w:cs="仿宋"/>
          <w:sz w:val="24"/>
          <w:highlight w:val="none"/>
          <w:u w:val="single"/>
          <w:lang w:val="zh-CN"/>
        </w:rPr>
      </w:pPr>
      <w:r>
        <w:rPr>
          <w:rFonts w:hint="eastAsia" w:ascii="仿宋" w:hAnsi="仿宋" w:eastAsia="仿宋" w:cs="仿宋"/>
          <w:sz w:val="24"/>
          <w:highlight w:val="none"/>
          <w:u w:val="single"/>
          <w:lang w:val="zh-CN"/>
        </w:rPr>
        <w:t>考核内容具体如下：</w:t>
      </w:r>
    </w:p>
    <w:p w14:paraId="12A3E1AF">
      <w:pPr>
        <w:spacing w:before="120" w:beforeLines="50" w:line="360" w:lineRule="auto"/>
        <w:jc w:val="center"/>
        <w:rPr>
          <w:rFonts w:ascii="仿宋" w:hAnsi="仿宋" w:eastAsia="仿宋" w:cs="仿宋"/>
          <w:sz w:val="24"/>
          <w:highlight w:val="none"/>
        </w:rPr>
      </w:pPr>
      <w:r>
        <w:rPr>
          <w:rFonts w:hint="eastAsia" w:ascii="仿宋" w:hAnsi="仿宋" w:eastAsia="仿宋" w:cs="仿宋"/>
          <w:sz w:val="24"/>
          <w:highlight w:val="none"/>
        </w:rPr>
        <w:t>每月考核表（    年  月）</w:t>
      </w:r>
    </w:p>
    <w:tbl>
      <w:tblPr>
        <w:tblStyle w:val="80"/>
        <w:tblW w:w="9287"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417"/>
        <w:gridCol w:w="2925"/>
        <w:gridCol w:w="1895"/>
        <w:gridCol w:w="1282"/>
        <w:gridCol w:w="882"/>
      </w:tblGrid>
      <w:tr w14:paraId="12D1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gridSpan w:val="3"/>
            <w:noWrap/>
          </w:tcPr>
          <w:p w14:paraId="20712F84">
            <w:pPr>
              <w:spacing w:line="360" w:lineRule="auto"/>
              <w:rPr>
                <w:rFonts w:ascii="仿宋" w:hAnsi="仿宋" w:eastAsia="仿宋" w:cs="仿宋"/>
                <w:sz w:val="24"/>
                <w:highlight w:val="none"/>
              </w:rPr>
            </w:pPr>
            <w:r>
              <w:rPr>
                <w:rFonts w:hint="eastAsia" w:ascii="仿宋" w:hAnsi="仿宋" w:eastAsia="仿宋" w:cs="仿宋"/>
                <w:bCs/>
                <w:sz w:val="24"/>
                <w:highlight w:val="none"/>
              </w:rPr>
              <w:t>乙方：</w:t>
            </w:r>
          </w:p>
        </w:tc>
        <w:tc>
          <w:tcPr>
            <w:tcW w:w="4059" w:type="dxa"/>
            <w:gridSpan w:val="3"/>
          </w:tcPr>
          <w:p w14:paraId="3FC7AA8E">
            <w:pPr>
              <w:spacing w:line="360" w:lineRule="auto"/>
              <w:rPr>
                <w:rFonts w:ascii="仿宋" w:hAnsi="仿宋" w:eastAsia="仿宋" w:cs="仿宋"/>
                <w:sz w:val="24"/>
                <w:highlight w:val="none"/>
              </w:rPr>
            </w:pPr>
            <w:r>
              <w:rPr>
                <w:rFonts w:hint="eastAsia" w:ascii="仿宋" w:hAnsi="仿宋" w:eastAsia="仿宋" w:cs="仿宋"/>
                <w:kern w:val="0"/>
                <w:sz w:val="24"/>
                <w:highlight w:val="none"/>
              </w:rPr>
              <w:t>填表日期：      年   月   日</w:t>
            </w:r>
          </w:p>
        </w:tc>
      </w:tr>
      <w:tr w14:paraId="7979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tcPr>
          <w:p w14:paraId="48298EF1">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序号</w:t>
            </w:r>
          </w:p>
        </w:tc>
        <w:tc>
          <w:tcPr>
            <w:tcW w:w="1417" w:type="dxa"/>
            <w:noWrap/>
          </w:tcPr>
          <w:p w14:paraId="588DD8FC">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考核项目</w:t>
            </w:r>
          </w:p>
        </w:tc>
        <w:tc>
          <w:tcPr>
            <w:tcW w:w="4820" w:type="dxa"/>
            <w:gridSpan w:val="2"/>
            <w:noWrap/>
          </w:tcPr>
          <w:p w14:paraId="13A12DA5">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考核内容</w:t>
            </w:r>
          </w:p>
        </w:tc>
        <w:tc>
          <w:tcPr>
            <w:tcW w:w="1282" w:type="dxa"/>
            <w:noWrap/>
          </w:tcPr>
          <w:p w14:paraId="0EFFD4B7">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考核扣分</w:t>
            </w:r>
          </w:p>
        </w:tc>
        <w:tc>
          <w:tcPr>
            <w:tcW w:w="882" w:type="dxa"/>
            <w:noWrap/>
          </w:tcPr>
          <w:p w14:paraId="2D997A88">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备注</w:t>
            </w:r>
          </w:p>
        </w:tc>
      </w:tr>
      <w:tr w14:paraId="113D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tcPr>
          <w:p w14:paraId="1F8DC39A">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1</w:t>
            </w:r>
          </w:p>
        </w:tc>
        <w:tc>
          <w:tcPr>
            <w:tcW w:w="1417" w:type="dxa"/>
            <w:vMerge w:val="restart"/>
            <w:noWrap/>
          </w:tcPr>
          <w:p w14:paraId="6432651C">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租赁设备</w:t>
            </w:r>
          </w:p>
        </w:tc>
        <w:tc>
          <w:tcPr>
            <w:tcW w:w="4820" w:type="dxa"/>
            <w:gridSpan w:val="2"/>
            <w:vMerge w:val="restart"/>
            <w:noWrap/>
          </w:tcPr>
          <w:p w14:paraId="2BA44E06">
            <w:pPr>
              <w:spacing w:line="360" w:lineRule="auto"/>
              <w:rPr>
                <w:rFonts w:ascii="仿宋" w:hAnsi="仿宋" w:eastAsia="仿宋" w:cs="仿宋"/>
                <w:sz w:val="24"/>
                <w:highlight w:val="none"/>
              </w:rPr>
            </w:pPr>
            <w:r>
              <w:rPr>
                <w:rFonts w:hint="eastAsia" w:ascii="仿宋" w:hAnsi="仿宋" w:eastAsia="仿宋" w:cs="仿宋"/>
                <w:bCs/>
                <w:sz w:val="24"/>
                <w:highlight w:val="none"/>
                <w:lang w:val="zh-CN"/>
              </w:rPr>
              <w:t>发现在租赁服务期内，提供设备数量、品牌、型号与合同不符合的。每出现一次扣1分/台。</w:t>
            </w:r>
          </w:p>
        </w:tc>
        <w:tc>
          <w:tcPr>
            <w:tcW w:w="1282" w:type="dxa"/>
            <w:noWrap/>
          </w:tcPr>
          <w:p w14:paraId="5424A029">
            <w:pPr>
              <w:spacing w:line="360" w:lineRule="auto"/>
              <w:rPr>
                <w:rFonts w:ascii="仿宋" w:hAnsi="仿宋" w:eastAsia="仿宋" w:cs="仿宋"/>
                <w:sz w:val="24"/>
                <w:highlight w:val="none"/>
              </w:rPr>
            </w:pPr>
          </w:p>
        </w:tc>
        <w:tc>
          <w:tcPr>
            <w:tcW w:w="882" w:type="dxa"/>
            <w:noWrap/>
          </w:tcPr>
          <w:p w14:paraId="00E8E843">
            <w:pPr>
              <w:spacing w:line="360" w:lineRule="auto"/>
              <w:rPr>
                <w:rFonts w:ascii="仿宋" w:hAnsi="仿宋" w:eastAsia="仿宋" w:cs="仿宋"/>
                <w:sz w:val="24"/>
                <w:highlight w:val="none"/>
              </w:rPr>
            </w:pPr>
          </w:p>
        </w:tc>
      </w:tr>
      <w:tr w14:paraId="0876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tcPr>
          <w:p w14:paraId="36C7BF1A">
            <w:pPr>
              <w:rPr>
                <w:highlight w:val="none"/>
              </w:rPr>
            </w:pPr>
          </w:p>
        </w:tc>
        <w:tc>
          <w:tcPr>
            <w:tcW w:w="1417" w:type="dxa"/>
            <w:vMerge w:val="continue"/>
            <w:noWrap/>
          </w:tcPr>
          <w:p w14:paraId="181B84DA">
            <w:pPr>
              <w:rPr>
                <w:highlight w:val="none"/>
              </w:rPr>
            </w:pPr>
          </w:p>
        </w:tc>
        <w:tc>
          <w:tcPr>
            <w:tcW w:w="4820" w:type="dxa"/>
            <w:gridSpan w:val="2"/>
            <w:vMerge w:val="continue"/>
            <w:noWrap/>
          </w:tcPr>
          <w:p w14:paraId="530E49D5">
            <w:pPr>
              <w:spacing w:line="360" w:lineRule="auto"/>
              <w:rPr>
                <w:rFonts w:ascii="仿宋" w:hAnsi="仿宋" w:eastAsia="仿宋" w:cs="仿宋"/>
                <w:sz w:val="24"/>
                <w:highlight w:val="none"/>
              </w:rPr>
            </w:pPr>
          </w:p>
        </w:tc>
        <w:tc>
          <w:tcPr>
            <w:tcW w:w="1282" w:type="dxa"/>
            <w:noWrap/>
          </w:tcPr>
          <w:p w14:paraId="7CF4D118">
            <w:pPr>
              <w:spacing w:line="360" w:lineRule="auto"/>
              <w:rPr>
                <w:rFonts w:ascii="仿宋" w:hAnsi="仿宋" w:eastAsia="仿宋" w:cs="仿宋"/>
                <w:sz w:val="24"/>
                <w:highlight w:val="none"/>
              </w:rPr>
            </w:pPr>
          </w:p>
        </w:tc>
        <w:tc>
          <w:tcPr>
            <w:tcW w:w="882" w:type="dxa"/>
            <w:noWrap/>
          </w:tcPr>
          <w:p w14:paraId="3ECAF8BE">
            <w:pPr>
              <w:spacing w:line="360" w:lineRule="auto"/>
              <w:rPr>
                <w:rFonts w:ascii="仿宋" w:hAnsi="仿宋" w:eastAsia="仿宋" w:cs="仿宋"/>
                <w:sz w:val="24"/>
                <w:highlight w:val="none"/>
              </w:rPr>
            </w:pPr>
          </w:p>
        </w:tc>
      </w:tr>
      <w:tr w14:paraId="1FA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tcPr>
          <w:p w14:paraId="5A902C49">
            <w:pPr>
              <w:spacing w:line="360" w:lineRule="auto"/>
              <w:rPr>
                <w:rFonts w:ascii="仿宋" w:hAnsi="仿宋" w:eastAsia="仿宋" w:cs="仿宋"/>
                <w:sz w:val="24"/>
                <w:highlight w:val="none"/>
              </w:rPr>
            </w:pPr>
            <w:r>
              <w:rPr>
                <w:rFonts w:hint="eastAsia" w:ascii="仿宋" w:hAnsi="仿宋" w:eastAsia="仿宋" w:cs="仿宋"/>
                <w:sz w:val="24"/>
                <w:highlight w:val="none"/>
              </w:rPr>
              <w:t>2</w:t>
            </w:r>
          </w:p>
        </w:tc>
        <w:tc>
          <w:tcPr>
            <w:tcW w:w="1417" w:type="dxa"/>
            <w:vMerge w:val="restart"/>
            <w:noWrap/>
          </w:tcPr>
          <w:p w14:paraId="7932F9D1">
            <w:pPr>
              <w:spacing w:line="360" w:lineRule="auto"/>
              <w:rPr>
                <w:rFonts w:ascii="仿宋" w:hAnsi="仿宋" w:eastAsia="仿宋" w:cs="仿宋"/>
                <w:sz w:val="24"/>
                <w:highlight w:val="none"/>
              </w:rPr>
            </w:pPr>
            <w:r>
              <w:rPr>
                <w:rFonts w:hint="eastAsia" w:ascii="仿宋" w:hAnsi="仿宋" w:eastAsia="仿宋" w:cs="仿宋"/>
                <w:sz w:val="24"/>
                <w:highlight w:val="none"/>
              </w:rPr>
              <w:t>软件服务</w:t>
            </w:r>
          </w:p>
        </w:tc>
        <w:tc>
          <w:tcPr>
            <w:tcW w:w="4820" w:type="dxa"/>
            <w:gridSpan w:val="2"/>
            <w:noWrap/>
          </w:tcPr>
          <w:p w14:paraId="2A21AC71">
            <w:pPr>
              <w:spacing w:line="360" w:lineRule="auto"/>
              <w:rPr>
                <w:rFonts w:ascii="仿宋" w:hAnsi="仿宋" w:eastAsia="仿宋" w:cs="仿宋"/>
                <w:sz w:val="24"/>
                <w:highlight w:val="none"/>
              </w:rPr>
            </w:pPr>
            <w:r>
              <w:rPr>
                <w:rFonts w:hint="eastAsia" w:ascii="仿宋" w:hAnsi="仿宋" w:eastAsia="仿宋" w:cs="仿宋"/>
                <w:sz w:val="24"/>
                <w:highlight w:val="none"/>
              </w:rPr>
              <w:t>在租赁服务期内，如遇公安部交管局集指平台版本升级及软件补丁发布，未提供系统软件更新、补丁修复服务。每出现一次扣4分。</w:t>
            </w:r>
          </w:p>
        </w:tc>
        <w:tc>
          <w:tcPr>
            <w:tcW w:w="1282" w:type="dxa"/>
            <w:noWrap/>
          </w:tcPr>
          <w:p w14:paraId="32DE1890">
            <w:pPr>
              <w:spacing w:line="360" w:lineRule="auto"/>
              <w:rPr>
                <w:rFonts w:ascii="仿宋" w:hAnsi="仿宋" w:eastAsia="仿宋" w:cs="仿宋"/>
                <w:sz w:val="24"/>
                <w:highlight w:val="none"/>
              </w:rPr>
            </w:pPr>
          </w:p>
        </w:tc>
        <w:tc>
          <w:tcPr>
            <w:tcW w:w="882" w:type="dxa"/>
            <w:noWrap/>
          </w:tcPr>
          <w:p w14:paraId="3E78143E">
            <w:pPr>
              <w:spacing w:line="360" w:lineRule="auto"/>
              <w:rPr>
                <w:rFonts w:ascii="仿宋" w:hAnsi="仿宋" w:eastAsia="仿宋" w:cs="仿宋"/>
                <w:sz w:val="24"/>
                <w:highlight w:val="none"/>
              </w:rPr>
            </w:pPr>
          </w:p>
        </w:tc>
      </w:tr>
      <w:tr w14:paraId="3AB4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tcPr>
          <w:p w14:paraId="235D5AC1">
            <w:pPr>
              <w:rPr>
                <w:highlight w:val="none"/>
              </w:rPr>
            </w:pPr>
          </w:p>
        </w:tc>
        <w:tc>
          <w:tcPr>
            <w:tcW w:w="1417" w:type="dxa"/>
            <w:vMerge w:val="continue"/>
            <w:noWrap/>
          </w:tcPr>
          <w:p w14:paraId="65C1C754">
            <w:pPr>
              <w:rPr>
                <w:highlight w:val="none"/>
              </w:rPr>
            </w:pPr>
          </w:p>
        </w:tc>
        <w:tc>
          <w:tcPr>
            <w:tcW w:w="4820" w:type="dxa"/>
            <w:gridSpan w:val="2"/>
            <w:noWrap/>
            <w:vAlign w:val="center"/>
          </w:tcPr>
          <w:p w14:paraId="510008DD">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在租赁服务期内，乙方提供的产品中所有预装和为本项目安装的软件不具有合法版权或使用权的，使用了非正版的软件，每出现一次扣4分。</w:t>
            </w:r>
          </w:p>
        </w:tc>
        <w:tc>
          <w:tcPr>
            <w:tcW w:w="1282" w:type="dxa"/>
            <w:noWrap/>
          </w:tcPr>
          <w:p w14:paraId="6736913D">
            <w:pPr>
              <w:spacing w:line="360" w:lineRule="auto"/>
              <w:rPr>
                <w:rFonts w:ascii="仿宋" w:hAnsi="仿宋" w:eastAsia="仿宋" w:cs="仿宋"/>
                <w:sz w:val="24"/>
                <w:highlight w:val="none"/>
              </w:rPr>
            </w:pPr>
          </w:p>
        </w:tc>
        <w:tc>
          <w:tcPr>
            <w:tcW w:w="882" w:type="dxa"/>
            <w:noWrap/>
          </w:tcPr>
          <w:p w14:paraId="79124EB8">
            <w:pPr>
              <w:spacing w:line="360" w:lineRule="auto"/>
              <w:rPr>
                <w:rFonts w:ascii="仿宋" w:hAnsi="仿宋" w:eastAsia="仿宋" w:cs="仿宋"/>
                <w:sz w:val="24"/>
                <w:highlight w:val="none"/>
              </w:rPr>
            </w:pPr>
          </w:p>
        </w:tc>
      </w:tr>
      <w:tr w14:paraId="0996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051A6D32">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3</w:t>
            </w:r>
          </w:p>
        </w:tc>
        <w:tc>
          <w:tcPr>
            <w:tcW w:w="1417" w:type="dxa"/>
            <w:noWrap/>
            <w:vAlign w:val="center"/>
          </w:tcPr>
          <w:p w14:paraId="0358CD79">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服务计划</w:t>
            </w:r>
          </w:p>
        </w:tc>
        <w:tc>
          <w:tcPr>
            <w:tcW w:w="4820" w:type="dxa"/>
            <w:gridSpan w:val="2"/>
            <w:noWrap/>
            <w:vAlign w:val="center"/>
          </w:tcPr>
          <w:p w14:paraId="5FB628D8">
            <w:pPr>
              <w:spacing w:line="360" w:lineRule="auto"/>
              <w:rPr>
                <w:rFonts w:ascii="仿宋" w:hAnsi="仿宋" w:eastAsia="仿宋" w:cs="仿宋"/>
                <w:sz w:val="24"/>
                <w:highlight w:val="none"/>
              </w:rPr>
            </w:pPr>
            <w:r>
              <w:rPr>
                <w:rFonts w:hint="eastAsia" w:ascii="仿宋" w:hAnsi="仿宋" w:eastAsia="仿宋" w:cs="仿宋"/>
                <w:sz w:val="24"/>
                <w:highlight w:val="none"/>
              </w:rPr>
              <w:t>乙方不按招标时的服务策略提供租赁的服务计划（服务内容、等级、相关服务指标、服务组织机构。</w:t>
            </w:r>
            <w:r>
              <w:rPr>
                <w:rFonts w:hint="eastAsia" w:ascii="仿宋" w:hAnsi="仿宋" w:eastAsia="仿宋" w:cs="仿宋"/>
                <w:snapToGrid w:val="0"/>
                <w:kern w:val="28"/>
                <w:sz w:val="24"/>
                <w:highlight w:val="none"/>
                <w:lang w:val="zh-CN"/>
              </w:rPr>
              <w:t>每出现一次扣1分。</w:t>
            </w:r>
          </w:p>
        </w:tc>
        <w:tc>
          <w:tcPr>
            <w:tcW w:w="1282" w:type="dxa"/>
            <w:noWrap/>
          </w:tcPr>
          <w:p w14:paraId="1BE470A0">
            <w:pPr>
              <w:spacing w:line="360" w:lineRule="auto"/>
              <w:rPr>
                <w:rFonts w:ascii="仿宋" w:hAnsi="仿宋" w:eastAsia="仿宋" w:cs="仿宋"/>
                <w:sz w:val="24"/>
                <w:highlight w:val="none"/>
              </w:rPr>
            </w:pPr>
          </w:p>
        </w:tc>
        <w:tc>
          <w:tcPr>
            <w:tcW w:w="882" w:type="dxa"/>
            <w:noWrap/>
          </w:tcPr>
          <w:p w14:paraId="05DFD6DE">
            <w:pPr>
              <w:spacing w:line="360" w:lineRule="auto"/>
              <w:rPr>
                <w:rFonts w:ascii="仿宋" w:hAnsi="仿宋" w:eastAsia="仿宋" w:cs="仿宋"/>
                <w:sz w:val="24"/>
                <w:highlight w:val="none"/>
              </w:rPr>
            </w:pPr>
          </w:p>
        </w:tc>
      </w:tr>
      <w:tr w14:paraId="1143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0894326">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4</w:t>
            </w:r>
          </w:p>
        </w:tc>
        <w:tc>
          <w:tcPr>
            <w:tcW w:w="1417" w:type="dxa"/>
            <w:noWrap/>
            <w:vAlign w:val="center"/>
          </w:tcPr>
          <w:p w14:paraId="7EDB0505">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实施要求</w:t>
            </w:r>
          </w:p>
        </w:tc>
        <w:tc>
          <w:tcPr>
            <w:tcW w:w="4820" w:type="dxa"/>
            <w:gridSpan w:val="2"/>
            <w:noWrap/>
            <w:vAlign w:val="center"/>
          </w:tcPr>
          <w:p w14:paraId="1F09C1F5">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技术架构、软件逻辑架构、视频联网架构不遵循《公安交通集成指挥平台建设指导意见》、《深化公安交通集成指挥平台建设方案》要求的</w:t>
            </w:r>
            <w:r>
              <w:rPr>
                <w:rFonts w:hint="eastAsia" w:ascii="仿宋" w:hAnsi="仿宋" w:eastAsia="仿宋" w:cs="仿宋"/>
                <w:snapToGrid w:val="0"/>
                <w:kern w:val="28"/>
                <w:sz w:val="24"/>
                <w:highlight w:val="none"/>
                <w:lang w:val="zh-CN"/>
              </w:rPr>
              <w:t>，扣</w:t>
            </w:r>
            <w:r>
              <w:rPr>
                <w:rFonts w:hint="eastAsia" w:ascii="仿宋" w:hAnsi="仿宋" w:eastAsia="仿宋" w:cs="仿宋"/>
                <w:snapToGrid w:val="0"/>
                <w:kern w:val="28"/>
                <w:sz w:val="24"/>
                <w:highlight w:val="none"/>
              </w:rPr>
              <w:t>10</w:t>
            </w:r>
            <w:r>
              <w:rPr>
                <w:rFonts w:hint="eastAsia" w:ascii="仿宋" w:hAnsi="仿宋" w:eastAsia="仿宋" w:cs="仿宋"/>
                <w:snapToGrid w:val="0"/>
                <w:kern w:val="28"/>
                <w:sz w:val="24"/>
                <w:highlight w:val="none"/>
                <w:lang w:val="zh-CN"/>
              </w:rPr>
              <w:t>分。</w:t>
            </w:r>
          </w:p>
        </w:tc>
        <w:tc>
          <w:tcPr>
            <w:tcW w:w="1282" w:type="dxa"/>
            <w:noWrap/>
          </w:tcPr>
          <w:p w14:paraId="7B47A83E">
            <w:pPr>
              <w:spacing w:line="360" w:lineRule="auto"/>
              <w:rPr>
                <w:rFonts w:ascii="仿宋" w:hAnsi="仿宋" w:eastAsia="仿宋" w:cs="仿宋"/>
                <w:sz w:val="24"/>
                <w:highlight w:val="none"/>
              </w:rPr>
            </w:pPr>
          </w:p>
        </w:tc>
        <w:tc>
          <w:tcPr>
            <w:tcW w:w="882" w:type="dxa"/>
            <w:noWrap/>
          </w:tcPr>
          <w:p w14:paraId="7C48CF87">
            <w:pPr>
              <w:spacing w:line="360" w:lineRule="auto"/>
              <w:rPr>
                <w:rFonts w:ascii="仿宋" w:hAnsi="仿宋" w:eastAsia="仿宋" w:cs="仿宋"/>
                <w:sz w:val="24"/>
                <w:highlight w:val="none"/>
              </w:rPr>
            </w:pPr>
          </w:p>
        </w:tc>
      </w:tr>
      <w:tr w14:paraId="7C08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46F2F628">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5</w:t>
            </w:r>
          </w:p>
        </w:tc>
        <w:tc>
          <w:tcPr>
            <w:tcW w:w="1417" w:type="dxa"/>
            <w:noWrap/>
            <w:vAlign w:val="center"/>
          </w:tcPr>
          <w:p w14:paraId="7FA91E90">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服务响应</w:t>
            </w:r>
          </w:p>
        </w:tc>
        <w:tc>
          <w:tcPr>
            <w:tcW w:w="4820" w:type="dxa"/>
            <w:gridSpan w:val="2"/>
            <w:noWrap/>
            <w:vAlign w:val="center"/>
          </w:tcPr>
          <w:p w14:paraId="11FA7BE5">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fldChar w:fldCharType="begin"/>
            </w:r>
            <w:r>
              <w:rPr>
                <w:rFonts w:hint="eastAsia" w:ascii="仿宋" w:hAnsi="仿宋" w:eastAsia="仿宋" w:cs="仿宋"/>
                <w:snapToGrid w:val="0"/>
                <w:kern w:val="28"/>
                <w:sz w:val="24"/>
                <w:highlight w:val="none"/>
                <w:lang w:val="zh-CN"/>
              </w:rPr>
              <w:instrText xml:space="preserve"> = 1 \* GB3 \* MERGEFORMAT </w:instrText>
            </w:r>
            <w:r>
              <w:rPr>
                <w:rFonts w:hint="eastAsia" w:ascii="仿宋" w:hAnsi="仿宋" w:eastAsia="仿宋" w:cs="仿宋"/>
                <w:snapToGrid w:val="0"/>
                <w:kern w:val="28"/>
                <w:sz w:val="24"/>
                <w:highlight w:val="none"/>
                <w:lang w:val="zh-CN"/>
              </w:rPr>
              <w:fldChar w:fldCharType="separate"/>
            </w:r>
            <w:r>
              <w:rPr>
                <w:rFonts w:hint="eastAsia" w:ascii="仿宋" w:hAnsi="仿宋" w:eastAsia="仿宋" w:cs="仿宋"/>
                <w:snapToGrid w:val="0"/>
                <w:kern w:val="28"/>
                <w:sz w:val="24"/>
                <w:highlight w:val="none"/>
                <w:lang w:val="zh-CN"/>
              </w:rPr>
              <w:t>①</w:t>
            </w:r>
            <w:r>
              <w:rPr>
                <w:rFonts w:hint="eastAsia" w:ascii="仿宋" w:hAnsi="仿宋" w:eastAsia="仿宋" w:cs="仿宋"/>
                <w:snapToGrid w:val="0"/>
                <w:kern w:val="28"/>
                <w:sz w:val="24"/>
                <w:highlight w:val="none"/>
                <w:lang w:val="zh-CN"/>
              </w:rPr>
              <w:fldChar w:fldCharType="end"/>
            </w:r>
            <w:r>
              <w:rPr>
                <w:rFonts w:hint="eastAsia" w:ascii="仿宋" w:hAnsi="仿宋" w:eastAsia="仿宋" w:cs="仿宋"/>
                <w:sz w:val="24"/>
                <w:highlight w:val="none"/>
              </w:rPr>
              <w:t>设备和软件系统故障未在10分钟内响应或未在半小时内到达现场或未在2小时提出解决方案</w:t>
            </w:r>
          </w:p>
          <w:p w14:paraId="1BD9C076">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fldChar w:fldCharType="begin"/>
            </w:r>
            <w:r>
              <w:rPr>
                <w:rFonts w:hint="eastAsia" w:ascii="仿宋" w:hAnsi="仿宋" w:eastAsia="仿宋" w:cs="仿宋"/>
                <w:snapToGrid w:val="0"/>
                <w:kern w:val="28"/>
                <w:sz w:val="24"/>
                <w:highlight w:val="none"/>
                <w:lang w:val="zh-CN"/>
              </w:rPr>
              <w:instrText xml:space="preserve"> = 2 \* GB3 \* MERGEFORMAT </w:instrText>
            </w:r>
            <w:r>
              <w:rPr>
                <w:rFonts w:hint="eastAsia" w:ascii="仿宋" w:hAnsi="仿宋" w:eastAsia="仿宋" w:cs="仿宋"/>
                <w:snapToGrid w:val="0"/>
                <w:kern w:val="28"/>
                <w:sz w:val="24"/>
                <w:highlight w:val="none"/>
                <w:lang w:val="zh-CN"/>
              </w:rPr>
              <w:fldChar w:fldCharType="separate"/>
            </w:r>
            <w:r>
              <w:rPr>
                <w:rFonts w:hint="eastAsia" w:ascii="仿宋" w:hAnsi="仿宋" w:eastAsia="仿宋" w:cs="仿宋"/>
                <w:snapToGrid w:val="0"/>
                <w:kern w:val="28"/>
                <w:sz w:val="24"/>
                <w:highlight w:val="none"/>
                <w:lang w:val="zh-CN"/>
              </w:rPr>
              <w:t>②</w:t>
            </w:r>
            <w:r>
              <w:rPr>
                <w:rFonts w:hint="eastAsia" w:ascii="仿宋" w:hAnsi="仿宋" w:eastAsia="仿宋" w:cs="仿宋"/>
                <w:snapToGrid w:val="0"/>
                <w:kern w:val="28"/>
                <w:sz w:val="24"/>
                <w:highlight w:val="none"/>
                <w:lang w:val="zh-CN"/>
              </w:rPr>
              <w:fldChar w:fldCharType="end"/>
            </w:r>
            <w:r>
              <w:rPr>
                <w:rFonts w:hint="eastAsia" w:ascii="仿宋" w:hAnsi="仿宋" w:eastAsia="仿宋" w:cs="仿宋"/>
                <w:sz w:val="24"/>
                <w:highlight w:val="none"/>
              </w:rPr>
              <w:t>4小时内未排除故障。逾期未排除故障，乙方未提供备用设备。</w:t>
            </w:r>
            <w:r>
              <w:rPr>
                <w:rFonts w:hint="eastAsia" w:ascii="仿宋" w:hAnsi="仿宋" w:eastAsia="仿宋" w:cs="仿宋"/>
                <w:snapToGrid w:val="0"/>
                <w:kern w:val="28"/>
                <w:sz w:val="24"/>
                <w:highlight w:val="none"/>
                <w:lang w:val="zh-CN"/>
              </w:rPr>
              <w:t>每出现一次扣2分。</w:t>
            </w:r>
          </w:p>
        </w:tc>
        <w:tc>
          <w:tcPr>
            <w:tcW w:w="1282" w:type="dxa"/>
            <w:noWrap/>
          </w:tcPr>
          <w:p w14:paraId="4D14F50F">
            <w:pPr>
              <w:spacing w:line="360" w:lineRule="auto"/>
              <w:rPr>
                <w:rFonts w:ascii="仿宋" w:hAnsi="仿宋" w:eastAsia="仿宋" w:cs="仿宋"/>
                <w:sz w:val="24"/>
                <w:highlight w:val="none"/>
              </w:rPr>
            </w:pPr>
          </w:p>
        </w:tc>
        <w:tc>
          <w:tcPr>
            <w:tcW w:w="882" w:type="dxa"/>
            <w:noWrap/>
          </w:tcPr>
          <w:p w14:paraId="3321118C">
            <w:pPr>
              <w:spacing w:line="360" w:lineRule="auto"/>
              <w:rPr>
                <w:rFonts w:ascii="仿宋" w:hAnsi="仿宋" w:eastAsia="仿宋" w:cs="仿宋"/>
                <w:sz w:val="24"/>
                <w:highlight w:val="none"/>
              </w:rPr>
            </w:pPr>
          </w:p>
        </w:tc>
      </w:tr>
      <w:tr w14:paraId="6584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225A0F7F">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6</w:t>
            </w:r>
          </w:p>
        </w:tc>
        <w:tc>
          <w:tcPr>
            <w:tcW w:w="1417" w:type="dxa"/>
            <w:noWrap/>
            <w:vAlign w:val="center"/>
          </w:tcPr>
          <w:p w14:paraId="069D2D62">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维护质量</w:t>
            </w:r>
          </w:p>
        </w:tc>
        <w:tc>
          <w:tcPr>
            <w:tcW w:w="4820" w:type="dxa"/>
            <w:gridSpan w:val="2"/>
            <w:noWrap/>
            <w:vAlign w:val="center"/>
          </w:tcPr>
          <w:p w14:paraId="55DB82F0">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由于维护质量问题造成上级部门检查不合格的，甲方无法正常使用，严重影响工作的，每发现一次扣2分。</w:t>
            </w:r>
          </w:p>
        </w:tc>
        <w:tc>
          <w:tcPr>
            <w:tcW w:w="1282" w:type="dxa"/>
            <w:noWrap/>
          </w:tcPr>
          <w:p w14:paraId="46EBD51E">
            <w:pPr>
              <w:spacing w:line="360" w:lineRule="auto"/>
              <w:rPr>
                <w:rFonts w:ascii="仿宋" w:hAnsi="仿宋" w:eastAsia="仿宋" w:cs="仿宋"/>
                <w:sz w:val="24"/>
                <w:highlight w:val="none"/>
              </w:rPr>
            </w:pPr>
          </w:p>
        </w:tc>
        <w:tc>
          <w:tcPr>
            <w:tcW w:w="882" w:type="dxa"/>
            <w:noWrap/>
          </w:tcPr>
          <w:p w14:paraId="531BC679">
            <w:pPr>
              <w:spacing w:line="360" w:lineRule="auto"/>
              <w:rPr>
                <w:rFonts w:ascii="仿宋" w:hAnsi="仿宋" w:eastAsia="仿宋" w:cs="仿宋"/>
                <w:sz w:val="24"/>
                <w:highlight w:val="none"/>
              </w:rPr>
            </w:pPr>
          </w:p>
        </w:tc>
      </w:tr>
      <w:tr w14:paraId="75FC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007C502">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7</w:t>
            </w:r>
          </w:p>
        </w:tc>
        <w:tc>
          <w:tcPr>
            <w:tcW w:w="1417" w:type="dxa"/>
            <w:noWrap/>
            <w:vAlign w:val="center"/>
          </w:tcPr>
          <w:p w14:paraId="66138E78">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资料信息</w:t>
            </w:r>
          </w:p>
        </w:tc>
        <w:tc>
          <w:tcPr>
            <w:tcW w:w="4820" w:type="dxa"/>
            <w:gridSpan w:val="2"/>
            <w:noWrap/>
            <w:vAlign w:val="center"/>
          </w:tcPr>
          <w:p w14:paraId="4CBA99F8">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lang w:val="zh-CN"/>
              </w:rPr>
              <w:t>出现未在规定时间内提交文档资料、提供虚假材料、维护记录表填写不完整、未按监理通知单配合工作等情况的，每出现一次扣15分。</w:t>
            </w:r>
          </w:p>
        </w:tc>
        <w:tc>
          <w:tcPr>
            <w:tcW w:w="1282" w:type="dxa"/>
            <w:noWrap/>
          </w:tcPr>
          <w:p w14:paraId="0271E196">
            <w:pPr>
              <w:spacing w:line="360" w:lineRule="auto"/>
              <w:rPr>
                <w:rFonts w:ascii="仿宋" w:hAnsi="仿宋" w:eastAsia="仿宋" w:cs="仿宋"/>
                <w:sz w:val="24"/>
                <w:highlight w:val="none"/>
              </w:rPr>
            </w:pPr>
          </w:p>
        </w:tc>
        <w:tc>
          <w:tcPr>
            <w:tcW w:w="882" w:type="dxa"/>
            <w:noWrap/>
          </w:tcPr>
          <w:p w14:paraId="4C62F272">
            <w:pPr>
              <w:spacing w:line="360" w:lineRule="auto"/>
              <w:rPr>
                <w:rFonts w:ascii="仿宋" w:hAnsi="仿宋" w:eastAsia="仿宋" w:cs="仿宋"/>
                <w:sz w:val="24"/>
                <w:highlight w:val="none"/>
              </w:rPr>
            </w:pPr>
          </w:p>
        </w:tc>
      </w:tr>
      <w:tr w14:paraId="51A4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noWrap/>
            <w:vAlign w:val="center"/>
          </w:tcPr>
          <w:p w14:paraId="6DD51E0B">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8</w:t>
            </w:r>
          </w:p>
        </w:tc>
        <w:tc>
          <w:tcPr>
            <w:tcW w:w="1417" w:type="dxa"/>
            <w:vMerge w:val="restart"/>
            <w:noWrap/>
            <w:vAlign w:val="center"/>
          </w:tcPr>
          <w:p w14:paraId="7D404C5F">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lang w:val="zh-CN"/>
              </w:rPr>
              <w:t>人员要求</w:t>
            </w:r>
          </w:p>
        </w:tc>
        <w:tc>
          <w:tcPr>
            <w:tcW w:w="4820" w:type="dxa"/>
            <w:gridSpan w:val="2"/>
            <w:noWrap/>
            <w:vAlign w:val="center"/>
          </w:tcPr>
          <w:p w14:paraId="1513249F">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lang w:val="zh-CN"/>
              </w:rPr>
              <w:t>未按</w:t>
            </w:r>
            <w:r>
              <w:rPr>
                <w:rFonts w:hint="eastAsia" w:ascii="仿宋" w:hAnsi="仿宋" w:eastAsia="仿宋" w:cs="仿宋"/>
                <w:snapToGrid w:val="0"/>
                <w:kern w:val="28"/>
                <w:sz w:val="24"/>
                <w:highlight w:val="none"/>
              </w:rPr>
              <w:t>合同</w:t>
            </w:r>
            <w:r>
              <w:rPr>
                <w:rFonts w:hint="eastAsia" w:ascii="仿宋" w:hAnsi="仿宋" w:eastAsia="仿宋" w:cs="仿宋"/>
                <w:snapToGrid w:val="0"/>
                <w:kern w:val="28"/>
                <w:sz w:val="24"/>
                <w:highlight w:val="none"/>
                <w:lang w:val="zh-CN"/>
              </w:rPr>
              <w:t>提供项目组人员，年龄、数量或资质不符合要求的，每出现一次扣2分。</w:t>
            </w:r>
          </w:p>
        </w:tc>
        <w:tc>
          <w:tcPr>
            <w:tcW w:w="1282" w:type="dxa"/>
            <w:noWrap/>
          </w:tcPr>
          <w:p w14:paraId="74EFC042">
            <w:pPr>
              <w:spacing w:line="360" w:lineRule="auto"/>
              <w:rPr>
                <w:rFonts w:ascii="仿宋" w:hAnsi="仿宋" w:eastAsia="仿宋" w:cs="仿宋"/>
                <w:sz w:val="24"/>
                <w:highlight w:val="none"/>
              </w:rPr>
            </w:pPr>
          </w:p>
        </w:tc>
        <w:tc>
          <w:tcPr>
            <w:tcW w:w="882" w:type="dxa"/>
            <w:noWrap/>
          </w:tcPr>
          <w:p w14:paraId="4911ABEF">
            <w:pPr>
              <w:spacing w:line="360" w:lineRule="auto"/>
              <w:rPr>
                <w:rFonts w:ascii="仿宋" w:hAnsi="仿宋" w:eastAsia="仿宋" w:cs="仿宋"/>
                <w:sz w:val="24"/>
                <w:highlight w:val="none"/>
              </w:rPr>
            </w:pPr>
          </w:p>
        </w:tc>
      </w:tr>
      <w:tr w14:paraId="0441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vAlign w:val="center"/>
          </w:tcPr>
          <w:p w14:paraId="06ACE07D">
            <w:pPr>
              <w:rPr>
                <w:highlight w:val="none"/>
              </w:rPr>
            </w:pPr>
          </w:p>
        </w:tc>
        <w:tc>
          <w:tcPr>
            <w:tcW w:w="1417" w:type="dxa"/>
            <w:vMerge w:val="continue"/>
            <w:noWrap/>
            <w:vAlign w:val="center"/>
          </w:tcPr>
          <w:p w14:paraId="62885503">
            <w:pPr>
              <w:rPr>
                <w:highlight w:val="none"/>
              </w:rPr>
            </w:pPr>
          </w:p>
        </w:tc>
        <w:tc>
          <w:tcPr>
            <w:tcW w:w="4820" w:type="dxa"/>
            <w:gridSpan w:val="2"/>
            <w:noWrap/>
            <w:vAlign w:val="center"/>
          </w:tcPr>
          <w:p w14:paraId="0238DB12">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lang w:val="zh-CN"/>
              </w:rPr>
              <w:t>乙方未每</w:t>
            </w:r>
            <w:r>
              <w:rPr>
                <w:rFonts w:hint="eastAsia" w:ascii="仿宋" w:hAnsi="仿宋" w:eastAsia="仿宋" w:cs="仿宋"/>
                <w:snapToGrid w:val="0"/>
                <w:kern w:val="28"/>
                <w:sz w:val="24"/>
                <w:highlight w:val="none"/>
              </w:rPr>
              <w:t>周</w:t>
            </w:r>
            <w:r>
              <w:rPr>
                <w:rFonts w:hint="eastAsia" w:ascii="仿宋" w:hAnsi="仿宋" w:eastAsia="仿宋" w:cs="仿宋"/>
                <w:snapToGrid w:val="0"/>
                <w:kern w:val="28"/>
                <w:sz w:val="24"/>
                <w:highlight w:val="none"/>
                <w:lang w:val="zh-CN"/>
              </w:rPr>
              <w:t>进行巡检的扣2分，巡检内容不符合要求的，每出现一次扣1分。</w:t>
            </w:r>
          </w:p>
        </w:tc>
        <w:tc>
          <w:tcPr>
            <w:tcW w:w="1282" w:type="dxa"/>
            <w:noWrap/>
          </w:tcPr>
          <w:p w14:paraId="68294E0B">
            <w:pPr>
              <w:spacing w:line="360" w:lineRule="auto"/>
              <w:rPr>
                <w:rFonts w:ascii="仿宋" w:hAnsi="仿宋" w:eastAsia="仿宋" w:cs="仿宋"/>
                <w:sz w:val="24"/>
                <w:highlight w:val="none"/>
              </w:rPr>
            </w:pPr>
          </w:p>
        </w:tc>
        <w:tc>
          <w:tcPr>
            <w:tcW w:w="882" w:type="dxa"/>
            <w:noWrap/>
          </w:tcPr>
          <w:p w14:paraId="6B9794C3">
            <w:pPr>
              <w:spacing w:line="360" w:lineRule="auto"/>
              <w:rPr>
                <w:rFonts w:ascii="仿宋" w:hAnsi="仿宋" w:eastAsia="仿宋" w:cs="仿宋"/>
                <w:sz w:val="24"/>
                <w:highlight w:val="none"/>
              </w:rPr>
            </w:pPr>
          </w:p>
        </w:tc>
      </w:tr>
      <w:tr w14:paraId="4BAE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vAlign w:val="center"/>
          </w:tcPr>
          <w:p w14:paraId="792693ED">
            <w:pPr>
              <w:rPr>
                <w:highlight w:val="none"/>
              </w:rPr>
            </w:pPr>
          </w:p>
        </w:tc>
        <w:tc>
          <w:tcPr>
            <w:tcW w:w="1417" w:type="dxa"/>
            <w:vMerge w:val="continue"/>
            <w:noWrap/>
            <w:vAlign w:val="center"/>
          </w:tcPr>
          <w:p w14:paraId="5A755788">
            <w:pPr>
              <w:rPr>
                <w:highlight w:val="none"/>
              </w:rPr>
            </w:pPr>
          </w:p>
        </w:tc>
        <w:tc>
          <w:tcPr>
            <w:tcW w:w="4820" w:type="dxa"/>
            <w:gridSpan w:val="2"/>
            <w:noWrap/>
            <w:vAlign w:val="center"/>
          </w:tcPr>
          <w:p w14:paraId="78A99D83">
            <w:pPr>
              <w:spacing w:line="360" w:lineRule="auto"/>
              <w:rPr>
                <w:rFonts w:ascii="仿宋" w:hAnsi="仿宋" w:eastAsia="仿宋" w:cs="仿宋"/>
                <w:snapToGrid w:val="0"/>
                <w:kern w:val="28"/>
                <w:sz w:val="24"/>
                <w:highlight w:val="none"/>
                <w:lang w:val="zh-CN"/>
              </w:rPr>
            </w:pPr>
            <w:r>
              <w:rPr>
                <w:rFonts w:hint="eastAsia" w:ascii="仿宋" w:hAnsi="仿宋" w:eastAsia="仿宋" w:cs="仿宋"/>
                <w:bCs/>
                <w:sz w:val="24"/>
                <w:highlight w:val="none"/>
              </w:rPr>
              <w:t>服务人员工作时间、地点不满足采购要求的，</w:t>
            </w:r>
            <w:r>
              <w:rPr>
                <w:rFonts w:hint="eastAsia" w:ascii="仿宋" w:hAnsi="仿宋" w:eastAsia="仿宋" w:cs="仿宋"/>
                <w:snapToGrid w:val="0"/>
                <w:kern w:val="28"/>
                <w:sz w:val="24"/>
                <w:highlight w:val="none"/>
                <w:lang w:val="zh-CN"/>
              </w:rPr>
              <w:t>每出现一次扣1分</w:t>
            </w:r>
            <w:r>
              <w:rPr>
                <w:rFonts w:hint="eastAsia" w:ascii="仿宋" w:hAnsi="仿宋" w:eastAsia="仿宋" w:cs="仿宋"/>
                <w:bCs/>
                <w:sz w:val="24"/>
                <w:highlight w:val="none"/>
              </w:rPr>
              <w:t>。</w:t>
            </w:r>
          </w:p>
        </w:tc>
        <w:tc>
          <w:tcPr>
            <w:tcW w:w="1282" w:type="dxa"/>
            <w:noWrap/>
          </w:tcPr>
          <w:p w14:paraId="48BD1BE4">
            <w:pPr>
              <w:spacing w:line="360" w:lineRule="auto"/>
              <w:rPr>
                <w:rFonts w:ascii="仿宋" w:hAnsi="仿宋" w:eastAsia="仿宋" w:cs="仿宋"/>
                <w:sz w:val="24"/>
                <w:highlight w:val="none"/>
              </w:rPr>
            </w:pPr>
          </w:p>
        </w:tc>
        <w:tc>
          <w:tcPr>
            <w:tcW w:w="882" w:type="dxa"/>
            <w:noWrap/>
          </w:tcPr>
          <w:p w14:paraId="602BA383">
            <w:pPr>
              <w:spacing w:line="360" w:lineRule="auto"/>
              <w:rPr>
                <w:rFonts w:ascii="仿宋" w:hAnsi="仿宋" w:eastAsia="仿宋" w:cs="仿宋"/>
                <w:sz w:val="24"/>
                <w:highlight w:val="none"/>
              </w:rPr>
            </w:pPr>
          </w:p>
        </w:tc>
      </w:tr>
      <w:tr w14:paraId="0C4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1D09A8E3">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9</w:t>
            </w:r>
          </w:p>
        </w:tc>
        <w:tc>
          <w:tcPr>
            <w:tcW w:w="1417" w:type="dxa"/>
            <w:noWrap/>
            <w:vAlign w:val="center"/>
          </w:tcPr>
          <w:p w14:paraId="5870CB5E">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lang w:val="zh-CN"/>
              </w:rPr>
              <w:t>培训</w:t>
            </w:r>
          </w:p>
        </w:tc>
        <w:tc>
          <w:tcPr>
            <w:tcW w:w="4820" w:type="dxa"/>
            <w:gridSpan w:val="2"/>
            <w:noWrap/>
            <w:vAlign w:val="center"/>
          </w:tcPr>
          <w:p w14:paraId="7C0A0379">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rPr>
              <w:t>未按采购需求</w:t>
            </w:r>
            <w:r>
              <w:rPr>
                <w:rFonts w:hint="eastAsia" w:ascii="仿宋" w:hAnsi="仿宋" w:eastAsia="仿宋" w:cs="仿宋"/>
                <w:snapToGrid w:val="0"/>
                <w:kern w:val="28"/>
                <w:sz w:val="24"/>
                <w:highlight w:val="none"/>
                <w:lang w:val="zh-CN"/>
              </w:rPr>
              <w:t>开展业务培训的扣3分。</w:t>
            </w:r>
          </w:p>
        </w:tc>
        <w:tc>
          <w:tcPr>
            <w:tcW w:w="1282" w:type="dxa"/>
            <w:noWrap/>
          </w:tcPr>
          <w:p w14:paraId="3124FAEF">
            <w:pPr>
              <w:spacing w:line="360" w:lineRule="auto"/>
              <w:rPr>
                <w:rFonts w:ascii="仿宋" w:hAnsi="仿宋" w:eastAsia="仿宋" w:cs="仿宋"/>
                <w:sz w:val="24"/>
                <w:highlight w:val="none"/>
              </w:rPr>
            </w:pPr>
          </w:p>
        </w:tc>
        <w:tc>
          <w:tcPr>
            <w:tcW w:w="882" w:type="dxa"/>
            <w:noWrap/>
          </w:tcPr>
          <w:p w14:paraId="4A903842">
            <w:pPr>
              <w:spacing w:line="360" w:lineRule="auto"/>
              <w:rPr>
                <w:rFonts w:ascii="仿宋" w:hAnsi="仿宋" w:eastAsia="仿宋" w:cs="仿宋"/>
                <w:sz w:val="24"/>
                <w:highlight w:val="none"/>
              </w:rPr>
            </w:pPr>
          </w:p>
        </w:tc>
      </w:tr>
      <w:tr w14:paraId="4382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4EBE4B8F">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10</w:t>
            </w:r>
          </w:p>
        </w:tc>
        <w:tc>
          <w:tcPr>
            <w:tcW w:w="1417" w:type="dxa"/>
            <w:noWrap/>
            <w:vAlign w:val="center"/>
          </w:tcPr>
          <w:p w14:paraId="5C7B8834">
            <w:pPr>
              <w:spacing w:line="360" w:lineRule="auto"/>
              <w:rPr>
                <w:rFonts w:ascii="仿宋" w:hAnsi="仿宋" w:eastAsia="仿宋" w:cs="仿宋"/>
                <w:snapToGrid w:val="0"/>
                <w:kern w:val="28"/>
                <w:sz w:val="24"/>
                <w:highlight w:val="none"/>
                <w:lang w:val="zh-CN"/>
              </w:rPr>
            </w:pPr>
            <w:r>
              <w:rPr>
                <w:rFonts w:hint="eastAsia" w:ascii="仿宋" w:hAnsi="仿宋" w:eastAsia="仿宋" w:cs="仿宋"/>
                <w:bCs/>
                <w:snapToGrid w:val="0"/>
                <w:kern w:val="28"/>
                <w:sz w:val="24"/>
                <w:highlight w:val="none"/>
              </w:rPr>
              <w:t>网络安全</w:t>
            </w:r>
          </w:p>
        </w:tc>
        <w:tc>
          <w:tcPr>
            <w:tcW w:w="4820" w:type="dxa"/>
            <w:gridSpan w:val="2"/>
            <w:noWrap/>
            <w:vAlign w:val="center"/>
          </w:tcPr>
          <w:p w14:paraId="063ED6E9">
            <w:pPr>
              <w:spacing w:line="360" w:lineRule="auto"/>
              <w:rPr>
                <w:rFonts w:ascii="仿宋" w:hAnsi="仿宋" w:eastAsia="仿宋" w:cs="仿宋"/>
                <w:snapToGrid w:val="0"/>
                <w:kern w:val="28"/>
                <w:sz w:val="24"/>
                <w:highlight w:val="none"/>
                <w:lang w:val="zh-CN"/>
              </w:rPr>
            </w:pPr>
            <w:r>
              <w:rPr>
                <w:rFonts w:hint="eastAsia" w:ascii="仿宋" w:hAnsi="仿宋" w:eastAsia="仿宋" w:cs="仿宋"/>
                <w:bCs/>
                <w:snapToGrid w:val="0"/>
                <w:kern w:val="28"/>
                <w:sz w:val="24"/>
                <w:highlight w:val="none"/>
              </w:rPr>
              <w:t>乙方未按网络安全履行责任和义务的，每发生一次扣除违约金10000元。</w:t>
            </w:r>
          </w:p>
        </w:tc>
        <w:tc>
          <w:tcPr>
            <w:tcW w:w="1282" w:type="dxa"/>
            <w:noWrap/>
          </w:tcPr>
          <w:p w14:paraId="136033DC">
            <w:pPr>
              <w:spacing w:line="360" w:lineRule="auto"/>
              <w:rPr>
                <w:rFonts w:ascii="仿宋" w:hAnsi="仿宋" w:eastAsia="仿宋" w:cs="仿宋"/>
                <w:sz w:val="24"/>
                <w:highlight w:val="none"/>
              </w:rPr>
            </w:pPr>
          </w:p>
        </w:tc>
        <w:tc>
          <w:tcPr>
            <w:tcW w:w="882" w:type="dxa"/>
            <w:noWrap/>
          </w:tcPr>
          <w:p w14:paraId="32F0D966">
            <w:pPr>
              <w:spacing w:line="360" w:lineRule="auto"/>
              <w:rPr>
                <w:rFonts w:ascii="仿宋" w:hAnsi="仿宋" w:eastAsia="仿宋" w:cs="仿宋"/>
                <w:sz w:val="24"/>
                <w:highlight w:val="none"/>
              </w:rPr>
            </w:pPr>
          </w:p>
        </w:tc>
      </w:tr>
      <w:tr w14:paraId="164E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5643DA56">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11</w:t>
            </w:r>
          </w:p>
        </w:tc>
        <w:tc>
          <w:tcPr>
            <w:tcW w:w="1417" w:type="dxa"/>
            <w:noWrap/>
            <w:vAlign w:val="center"/>
          </w:tcPr>
          <w:p w14:paraId="47282E67">
            <w:pPr>
              <w:spacing w:line="360" w:lineRule="auto"/>
              <w:rPr>
                <w:rFonts w:ascii="仿宋" w:hAnsi="仿宋" w:eastAsia="仿宋" w:cs="仿宋"/>
                <w:snapToGrid w:val="0"/>
                <w:kern w:val="28"/>
                <w:sz w:val="24"/>
                <w:highlight w:val="none"/>
                <w:lang w:val="zh-CN"/>
              </w:rPr>
            </w:pPr>
            <w:r>
              <w:rPr>
                <w:rFonts w:hint="eastAsia" w:ascii="仿宋" w:hAnsi="仿宋" w:eastAsia="仿宋" w:cs="仿宋"/>
                <w:bCs/>
                <w:sz w:val="24"/>
                <w:highlight w:val="none"/>
                <w:lang w:val="zh-CN"/>
              </w:rPr>
              <w:t>保密</w:t>
            </w:r>
          </w:p>
        </w:tc>
        <w:tc>
          <w:tcPr>
            <w:tcW w:w="4820" w:type="dxa"/>
            <w:gridSpan w:val="2"/>
            <w:noWrap/>
            <w:vAlign w:val="center"/>
          </w:tcPr>
          <w:p w14:paraId="1BAD78C9">
            <w:pPr>
              <w:spacing w:line="360" w:lineRule="auto"/>
              <w:rPr>
                <w:rFonts w:ascii="仿宋" w:hAnsi="仿宋" w:eastAsia="仿宋" w:cs="仿宋"/>
                <w:snapToGrid w:val="0"/>
                <w:kern w:val="28"/>
                <w:sz w:val="24"/>
                <w:highlight w:val="none"/>
                <w:lang w:val="zh-CN"/>
              </w:rPr>
            </w:pPr>
            <w:r>
              <w:rPr>
                <w:rFonts w:hint="eastAsia" w:ascii="仿宋" w:hAnsi="仿宋" w:eastAsia="仿宋" w:cs="仿宋"/>
                <w:sz w:val="24"/>
                <w:highlight w:val="none"/>
              </w:rPr>
              <w:t>未按保密管理条款规定执行的，每发现一次处违约金10000元，如发生泄密事件，除赔偿甲方损失外，还应承担全部法律责任。</w:t>
            </w:r>
          </w:p>
        </w:tc>
        <w:tc>
          <w:tcPr>
            <w:tcW w:w="1282" w:type="dxa"/>
            <w:noWrap/>
          </w:tcPr>
          <w:p w14:paraId="653DDE2B">
            <w:pPr>
              <w:spacing w:line="360" w:lineRule="auto"/>
              <w:rPr>
                <w:rFonts w:ascii="仿宋" w:hAnsi="仿宋" w:eastAsia="仿宋" w:cs="仿宋"/>
                <w:sz w:val="24"/>
                <w:highlight w:val="none"/>
              </w:rPr>
            </w:pPr>
          </w:p>
        </w:tc>
        <w:tc>
          <w:tcPr>
            <w:tcW w:w="882" w:type="dxa"/>
            <w:noWrap/>
          </w:tcPr>
          <w:p w14:paraId="4B8F856C">
            <w:pPr>
              <w:spacing w:line="360" w:lineRule="auto"/>
              <w:rPr>
                <w:rFonts w:ascii="仿宋" w:hAnsi="仿宋" w:eastAsia="仿宋" w:cs="仿宋"/>
                <w:sz w:val="24"/>
                <w:highlight w:val="none"/>
              </w:rPr>
            </w:pPr>
          </w:p>
        </w:tc>
      </w:tr>
      <w:tr w14:paraId="1457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13176C8">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12</w:t>
            </w:r>
          </w:p>
        </w:tc>
        <w:tc>
          <w:tcPr>
            <w:tcW w:w="1417" w:type="dxa"/>
            <w:noWrap/>
            <w:vAlign w:val="center"/>
          </w:tcPr>
          <w:p w14:paraId="45F0D8D2">
            <w:pPr>
              <w:spacing w:line="360" w:lineRule="auto"/>
              <w:rPr>
                <w:rFonts w:ascii="仿宋" w:hAnsi="仿宋" w:eastAsia="仿宋" w:cs="仿宋"/>
                <w:sz w:val="24"/>
                <w:highlight w:val="none"/>
              </w:rPr>
            </w:pPr>
            <w:r>
              <w:rPr>
                <w:rFonts w:hint="eastAsia" w:ascii="仿宋" w:hAnsi="仿宋" w:eastAsia="仿宋" w:cs="仿宋"/>
                <w:sz w:val="24"/>
                <w:highlight w:val="none"/>
              </w:rPr>
              <w:t>小微企业佐证</w:t>
            </w:r>
          </w:p>
        </w:tc>
        <w:tc>
          <w:tcPr>
            <w:tcW w:w="4820" w:type="dxa"/>
            <w:gridSpan w:val="2"/>
            <w:noWrap/>
          </w:tcPr>
          <w:p w14:paraId="1E7AB2CA">
            <w:pPr>
              <w:spacing w:line="360" w:lineRule="auto"/>
              <w:rPr>
                <w:rFonts w:ascii="仿宋" w:hAnsi="仿宋" w:eastAsia="仿宋" w:cs="仿宋"/>
                <w:sz w:val="24"/>
                <w:highlight w:val="none"/>
              </w:rPr>
            </w:pPr>
            <w:r>
              <w:rPr>
                <w:rFonts w:hint="eastAsia" w:ascii="仿宋" w:hAnsi="仿宋" w:eastAsia="仿宋" w:cs="仿宋"/>
                <w:sz w:val="24"/>
                <w:highlight w:val="none"/>
                <w:u w:val="none"/>
              </w:rPr>
              <w:t>本项目履约过程中，乙方承诺预留小微企业的比例应达到合同总价的【</w:t>
            </w:r>
            <w:r>
              <w:rPr>
                <w:rFonts w:ascii="仿宋" w:hAnsi="仿宋" w:eastAsia="仿宋" w:cs="仿宋"/>
                <w:sz w:val="24"/>
                <w:highlight w:val="none"/>
                <w:u w:val="none"/>
              </w:rPr>
              <w:t>100】%，若未达到此要求，甲方有权没收全部履约保证金，报送相关采购监管部门，提前列入失信行为</w:t>
            </w:r>
            <w:r>
              <w:rPr>
                <w:rFonts w:hint="eastAsia" w:ascii="仿宋" w:hAnsi="仿宋" w:eastAsia="仿宋" w:cs="仿宋"/>
                <w:sz w:val="24"/>
                <w:highlight w:val="none"/>
                <w:u w:val="none"/>
              </w:rPr>
              <w:t>记录名单，追究相关责任，且乙方应向甲方支付合同总价</w:t>
            </w:r>
            <w:r>
              <w:rPr>
                <w:rFonts w:ascii="仿宋" w:hAnsi="仿宋" w:eastAsia="仿宋" w:cs="仿宋"/>
                <w:sz w:val="24"/>
                <w:highlight w:val="none"/>
                <w:u w:val="none"/>
              </w:rPr>
              <w:t>30%的违约金。</w:t>
            </w:r>
          </w:p>
        </w:tc>
        <w:tc>
          <w:tcPr>
            <w:tcW w:w="1282" w:type="dxa"/>
            <w:noWrap/>
          </w:tcPr>
          <w:p w14:paraId="1F17120D">
            <w:pPr>
              <w:spacing w:line="360" w:lineRule="auto"/>
              <w:rPr>
                <w:rFonts w:ascii="仿宋" w:hAnsi="仿宋" w:eastAsia="仿宋" w:cs="仿宋"/>
                <w:sz w:val="24"/>
                <w:highlight w:val="none"/>
              </w:rPr>
            </w:pPr>
          </w:p>
        </w:tc>
        <w:tc>
          <w:tcPr>
            <w:tcW w:w="882" w:type="dxa"/>
            <w:noWrap/>
          </w:tcPr>
          <w:p w14:paraId="048E3D64">
            <w:pPr>
              <w:spacing w:line="360" w:lineRule="auto"/>
              <w:rPr>
                <w:rFonts w:ascii="仿宋" w:hAnsi="仿宋" w:eastAsia="仿宋" w:cs="仿宋"/>
                <w:sz w:val="24"/>
                <w:highlight w:val="none"/>
              </w:rPr>
            </w:pPr>
          </w:p>
        </w:tc>
      </w:tr>
      <w:tr w14:paraId="49A0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ign w:val="center"/>
          </w:tcPr>
          <w:p w14:paraId="37FF8F40">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13</w:t>
            </w:r>
          </w:p>
        </w:tc>
        <w:tc>
          <w:tcPr>
            <w:tcW w:w="1417" w:type="dxa"/>
            <w:noWrap/>
            <w:vAlign w:val="center"/>
          </w:tcPr>
          <w:p w14:paraId="13818223">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其他服务</w:t>
            </w:r>
          </w:p>
        </w:tc>
        <w:tc>
          <w:tcPr>
            <w:tcW w:w="4820" w:type="dxa"/>
            <w:gridSpan w:val="2"/>
            <w:noWrap/>
            <w:vAlign w:val="center"/>
          </w:tcPr>
          <w:p w14:paraId="18F1A451">
            <w:pPr>
              <w:spacing w:line="360" w:lineRule="auto"/>
              <w:rPr>
                <w:rFonts w:ascii="仿宋" w:hAnsi="仿宋" w:eastAsia="仿宋" w:cs="仿宋"/>
                <w:snapToGrid w:val="0"/>
                <w:kern w:val="28"/>
                <w:sz w:val="24"/>
                <w:highlight w:val="none"/>
                <w:lang w:val="zh-CN"/>
              </w:rPr>
            </w:pPr>
            <w:r>
              <w:rPr>
                <w:rFonts w:hint="eastAsia" w:ascii="仿宋" w:hAnsi="仿宋" w:eastAsia="仿宋" w:cs="仿宋"/>
                <w:snapToGrid w:val="0"/>
                <w:kern w:val="28"/>
                <w:sz w:val="24"/>
                <w:highlight w:val="none"/>
                <w:lang w:val="zh-CN"/>
              </w:rPr>
              <w:t>存在其他未按采购需求提供服务情况的，</w:t>
            </w:r>
            <w:r>
              <w:rPr>
                <w:rFonts w:hint="eastAsia" w:ascii="仿宋" w:hAnsi="仿宋" w:eastAsia="仿宋" w:cs="仿宋"/>
                <w:snapToGrid w:val="0"/>
                <w:kern w:val="28"/>
                <w:sz w:val="24"/>
                <w:highlight w:val="none"/>
              </w:rPr>
              <w:t>每出现一次扣2分。</w:t>
            </w:r>
          </w:p>
        </w:tc>
        <w:tc>
          <w:tcPr>
            <w:tcW w:w="1282" w:type="dxa"/>
            <w:noWrap/>
          </w:tcPr>
          <w:p w14:paraId="2910DC11">
            <w:pPr>
              <w:spacing w:line="360" w:lineRule="auto"/>
              <w:rPr>
                <w:rFonts w:ascii="仿宋" w:hAnsi="仿宋" w:eastAsia="仿宋" w:cs="仿宋"/>
                <w:sz w:val="24"/>
                <w:highlight w:val="none"/>
              </w:rPr>
            </w:pPr>
          </w:p>
        </w:tc>
        <w:tc>
          <w:tcPr>
            <w:tcW w:w="882" w:type="dxa"/>
            <w:noWrap/>
          </w:tcPr>
          <w:p w14:paraId="7EDFA798">
            <w:pPr>
              <w:spacing w:line="360" w:lineRule="auto"/>
              <w:rPr>
                <w:rFonts w:ascii="仿宋" w:hAnsi="仿宋" w:eastAsia="仿宋" w:cs="仿宋"/>
                <w:sz w:val="24"/>
                <w:highlight w:val="none"/>
              </w:rPr>
            </w:pPr>
          </w:p>
        </w:tc>
      </w:tr>
      <w:tr w14:paraId="6889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6"/>
            <w:noWrap/>
            <w:vAlign w:val="center"/>
          </w:tcPr>
          <w:p w14:paraId="3FEDC55C">
            <w:pPr>
              <w:spacing w:line="360" w:lineRule="auto"/>
              <w:rPr>
                <w:rFonts w:ascii="仿宋" w:hAnsi="仿宋" w:eastAsia="仿宋" w:cs="仿宋"/>
                <w:sz w:val="24"/>
                <w:highlight w:val="none"/>
              </w:rPr>
            </w:pPr>
            <w:r>
              <w:rPr>
                <w:rFonts w:hint="eastAsia" w:ascii="仿宋" w:hAnsi="仿宋" w:eastAsia="仿宋" w:cs="仿宋"/>
                <w:snapToGrid w:val="0"/>
                <w:kern w:val="28"/>
                <w:sz w:val="24"/>
                <w:highlight w:val="none"/>
              </w:rPr>
              <w:t>当月考核得分小计：</w:t>
            </w:r>
          </w:p>
        </w:tc>
      </w:tr>
      <w:tr w14:paraId="17F6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6"/>
            <w:noWrap/>
            <w:vAlign w:val="center"/>
          </w:tcPr>
          <w:p w14:paraId="73E124F2">
            <w:pPr>
              <w:snapToGrid w:val="0"/>
              <w:spacing w:line="360" w:lineRule="auto"/>
              <w:jc w:val="left"/>
              <w:rPr>
                <w:rFonts w:ascii="仿宋" w:hAnsi="仿宋" w:eastAsia="仿宋" w:cs="仿宋"/>
                <w:b/>
                <w:bCs/>
                <w:snapToGrid w:val="0"/>
                <w:kern w:val="28"/>
                <w:sz w:val="24"/>
                <w:highlight w:val="none"/>
                <w:lang w:val="zh-CN"/>
              </w:rPr>
            </w:pPr>
            <w:r>
              <w:rPr>
                <w:rFonts w:hint="eastAsia" w:ascii="仿宋" w:hAnsi="仿宋" w:eastAsia="仿宋" w:cs="仿宋"/>
                <w:b/>
                <w:bCs/>
                <w:snapToGrid w:val="0"/>
                <w:kern w:val="28"/>
                <w:sz w:val="24"/>
                <w:highlight w:val="none"/>
                <w:lang w:val="zh-CN"/>
              </w:rPr>
              <w:t xml:space="preserve">乙方签字（盖章）：                        监理单位签字（盖章）：          </w:t>
            </w:r>
          </w:p>
          <w:p w14:paraId="4F15421F">
            <w:pPr>
              <w:autoSpaceDE w:val="0"/>
              <w:autoSpaceDN w:val="0"/>
              <w:spacing w:line="360" w:lineRule="auto"/>
              <w:rPr>
                <w:rFonts w:ascii="仿宋" w:hAnsi="仿宋" w:eastAsia="仿宋" w:cs="仿宋"/>
                <w:snapToGrid w:val="0"/>
                <w:sz w:val="24"/>
                <w:highlight w:val="none"/>
              </w:rPr>
            </w:pPr>
          </w:p>
          <w:p w14:paraId="0EDEE634">
            <w:pPr>
              <w:spacing w:line="360" w:lineRule="auto"/>
              <w:rPr>
                <w:rFonts w:ascii="仿宋" w:hAnsi="仿宋" w:eastAsia="仿宋" w:cs="仿宋"/>
                <w:sz w:val="24"/>
                <w:highlight w:val="none"/>
              </w:rPr>
            </w:pPr>
            <w:r>
              <w:rPr>
                <w:rFonts w:hint="eastAsia" w:ascii="仿宋" w:hAnsi="仿宋" w:eastAsia="仿宋" w:cs="仿宋"/>
                <w:b/>
                <w:bCs/>
                <w:snapToGrid w:val="0"/>
                <w:kern w:val="28"/>
                <w:sz w:val="24"/>
                <w:highlight w:val="none"/>
                <w:lang w:val="zh-CN"/>
              </w:rPr>
              <w:t>甲方经办人、 审核人签字（盖章）：</w:t>
            </w:r>
          </w:p>
        </w:tc>
      </w:tr>
    </w:tbl>
    <w:p w14:paraId="48DF3832">
      <w:pPr>
        <w:adjustRightInd/>
        <w:snapToGrid w:val="0"/>
        <w:spacing w:line="360" w:lineRule="auto"/>
        <w:jc w:val="left"/>
        <w:rPr>
          <w:rFonts w:ascii="宋体" w:hAnsi="宋体" w:eastAsia="仿宋" w:cs="宋体"/>
          <w:b/>
          <w:sz w:val="24"/>
          <w:highlight w:val="none"/>
        </w:rPr>
      </w:pPr>
    </w:p>
    <w:p w14:paraId="7D6E0CFE">
      <w:pPr>
        <w:adjustRightInd/>
        <w:snapToGrid w:val="0"/>
        <w:spacing w:before="120" w:beforeLines="50" w:line="360" w:lineRule="auto"/>
        <w:jc w:val="left"/>
        <w:outlineLvl w:val="2"/>
        <w:rPr>
          <w:rFonts w:ascii="Calibri" w:hAnsi="Calibri" w:eastAsia="仿宋" w:cs="宋体"/>
          <w:b/>
          <w:snapToGrid w:val="0"/>
          <w:kern w:val="0"/>
          <w:sz w:val="24"/>
          <w:highlight w:val="none"/>
        </w:rPr>
      </w:pPr>
    </w:p>
    <w:p w14:paraId="7BA895C3">
      <w:pPr>
        <w:snapToGrid w:val="0"/>
        <w:spacing w:line="360" w:lineRule="auto"/>
        <w:outlineLvl w:val="2"/>
        <w:rPr>
          <w:rFonts w:ascii="仿宋" w:hAnsi="仿宋" w:eastAsia="仿宋" w:cs="仿宋"/>
          <w:b/>
          <w:snapToGrid w:val="0"/>
          <w:kern w:val="0"/>
          <w:sz w:val="24"/>
          <w:highlight w:val="none"/>
        </w:rPr>
      </w:pPr>
      <w:r>
        <w:rPr>
          <w:rFonts w:hint="eastAsia" w:ascii="仿宋" w:hAnsi="仿宋" w:eastAsia="仿宋" w:cs="仿宋"/>
          <w:b/>
          <w:snapToGrid w:val="0"/>
          <w:kern w:val="0"/>
          <w:sz w:val="24"/>
          <w:highlight w:val="none"/>
        </w:rPr>
        <w:t>附件二：项目小组人员清单</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68"/>
        <w:gridCol w:w="1342"/>
        <w:gridCol w:w="1464"/>
        <w:gridCol w:w="1076"/>
        <w:gridCol w:w="1852"/>
        <w:gridCol w:w="1461"/>
      </w:tblGrid>
      <w:tr w14:paraId="6208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61335977">
            <w:pPr>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1268" w:type="dxa"/>
            <w:vAlign w:val="center"/>
          </w:tcPr>
          <w:p w14:paraId="32F77A58">
            <w:pPr>
              <w:jc w:val="center"/>
              <w:rPr>
                <w:rFonts w:ascii="仿宋" w:hAnsi="仿宋" w:eastAsia="仿宋" w:cs="仿宋"/>
                <w:bCs/>
                <w:sz w:val="24"/>
                <w:highlight w:val="none"/>
              </w:rPr>
            </w:pPr>
            <w:r>
              <w:rPr>
                <w:rFonts w:hint="eastAsia" w:ascii="仿宋" w:hAnsi="仿宋" w:eastAsia="仿宋" w:cs="仿宋"/>
                <w:bCs/>
                <w:sz w:val="24"/>
                <w:highlight w:val="none"/>
              </w:rPr>
              <w:t>姓名</w:t>
            </w:r>
          </w:p>
        </w:tc>
        <w:tc>
          <w:tcPr>
            <w:tcW w:w="1342" w:type="dxa"/>
            <w:vAlign w:val="center"/>
          </w:tcPr>
          <w:p w14:paraId="2ADD4A03">
            <w:pPr>
              <w:jc w:val="center"/>
              <w:rPr>
                <w:rFonts w:ascii="仿宋" w:hAnsi="仿宋" w:eastAsia="仿宋" w:cs="仿宋"/>
                <w:bCs/>
                <w:sz w:val="24"/>
                <w:highlight w:val="none"/>
              </w:rPr>
            </w:pPr>
            <w:r>
              <w:rPr>
                <w:rFonts w:hint="eastAsia" w:ascii="仿宋" w:hAnsi="仿宋" w:eastAsia="仿宋" w:cs="仿宋"/>
                <w:bCs/>
                <w:sz w:val="24"/>
                <w:highlight w:val="none"/>
              </w:rPr>
              <w:t>联系方式</w:t>
            </w:r>
          </w:p>
        </w:tc>
        <w:tc>
          <w:tcPr>
            <w:tcW w:w="1464" w:type="dxa"/>
            <w:vAlign w:val="center"/>
          </w:tcPr>
          <w:p w14:paraId="55B0D928">
            <w:pPr>
              <w:jc w:val="center"/>
              <w:rPr>
                <w:rFonts w:ascii="仿宋" w:hAnsi="仿宋" w:eastAsia="仿宋" w:cs="仿宋"/>
                <w:bCs/>
                <w:sz w:val="24"/>
                <w:highlight w:val="none"/>
              </w:rPr>
            </w:pPr>
            <w:r>
              <w:rPr>
                <w:rFonts w:hint="eastAsia" w:ascii="仿宋" w:hAnsi="仿宋" w:eastAsia="仿宋" w:cs="仿宋"/>
                <w:bCs/>
                <w:sz w:val="24"/>
                <w:highlight w:val="none"/>
              </w:rPr>
              <w:t>身份证号码</w:t>
            </w:r>
          </w:p>
        </w:tc>
        <w:tc>
          <w:tcPr>
            <w:tcW w:w="1076" w:type="dxa"/>
            <w:vAlign w:val="center"/>
          </w:tcPr>
          <w:p w14:paraId="267EA17D">
            <w:pPr>
              <w:jc w:val="center"/>
              <w:rPr>
                <w:rFonts w:ascii="仿宋" w:hAnsi="仿宋" w:eastAsia="仿宋" w:cs="仿宋"/>
                <w:bCs/>
                <w:sz w:val="24"/>
                <w:highlight w:val="none"/>
              </w:rPr>
            </w:pPr>
            <w:r>
              <w:rPr>
                <w:rFonts w:hint="eastAsia" w:ascii="仿宋" w:hAnsi="仿宋" w:eastAsia="仿宋" w:cs="仿宋"/>
                <w:bCs/>
                <w:sz w:val="24"/>
                <w:highlight w:val="none"/>
              </w:rPr>
              <w:t>学历</w:t>
            </w:r>
          </w:p>
        </w:tc>
        <w:tc>
          <w:tcPr>
            <w:tcW w:w="1852" w:type="dxa"/>
            <w:vAlign w:val="center"/>
          </w:tcPr>
          <w:p w14:paraId="6F32894D">
            <w:pPr>
              <w:jc w:val="center"/>
              <w:rPr>
                <w:rFonts w:ascii="仿宋" w:hAnsi="仿宋" w:eastAsia="仿宋" w:cs="仿宋"/>
                <w:bCs/>
                <w:sz w:val="24"/>
                <w:highlight w:val="none"/>
              </w:rPr>
            </w:pPr>
            <w:r>
              <w:rPr>
                <w:rFonts w:hint="eastAsia" w:ascii="仿宋" w:hAnsi="仿宋" w:eastAsia="仿宋" w:cs="仿宋"/>
                <w:bCs/>
                <w:sz w:val="24"/>
                <w:highlight w:val="none"/>
              </w:rPr>
              <w:t>本项目承担的岗位</w:t>
            </w:r>
          </w:p>
        </w:tc>
        <w:tc>
          <w:tcPr>
            <w:tcW w:w="1461" w:type="dxa"/>
            <w:vAlign w:val="center"/>
          </w:tcPr>
          <w:p w14:paraId="4A84DFDB">
            <w:pPr>
              <w:jc w:val="center"/>
              <w:rPr>
                <w:rFonts w:ascii="仿宋" w:hAnsi="仿宋" w:eastAsia="仿宋" w:cs="仿宋"/>
                <w:bCs/>
                <w:sz w:val="24"/>
                <w:highlight w:val="none"/>
              </w:rPr>
            </w:pPr>
            <w:r>
              <w:rPr>
                <w:rFonts w:hint="eastAsia" w:ascii="仿宋" w:hAnsi="仿宋" w:eastAsia="仿宋" w:cs="仿宋"/>
                <w:bCs/>
                <w:sz w:val="24"/>
                <w:highlight w:val="none"/>
              </w:rPr>
              <w:t>备注</w:t>
            </w:r>
          </w:p>
        </w:tc>
      </w:tr>
      <w:tr w14:paraId="2941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00629E03">
            <w:pPr>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1268" w:type="dxa"/>
            <w:vAlign w:val="center"/>
          </w:tcPr>
          <w:p w14:paraId="41839253">
            <w:pPr>
              <w:jc w:val="center"/>
              <w:rPr>
                <w:rFonts w:ascii="仿宋" w:hAnsi="仿宋" w:eastAsia="仿宋" w:cs="仿宋"/>
                <w:bCs/>
                <w:sz w:val="24"/>
                <w:highlight w:val="none"/>
              </w:rPr>
            </w:pPr>
          </w:p>
        </w:tc>
        <w:tc>
          <w:tcPr>
            <w:tcW w:w="1342" w:type="dxa"/>
            <w:vAlign w:val="center"/>
          </w:tcPr>
          <w:p w14:paraId="6B5457E9">
            <w:pPr>
              <w:jc w:val="center"/>
              <w:rPr>
                <w:rFonts w:ascii="仿宋" w:hAnsi="仿宋" w:eastAsia="仿宋" w:cs="仿宋"/>
                <w:bCs/>
                <w:sz w:val="24"/>
                <w:highlight w:val="none"/>
              </w:rPr>
            </w:pPr>
          </w:p>
        </w:tc>
        <w:tc>
          <w:tcPr>
            <w:tcW w:w="1464" w:type="dxa"/>
            <w:vAlign w:val="center"/>
          </w:tcPr>
          <w:p w14:paraId="7FEE5FFE">
            <w:pPr>
              <w:jc w:val="center"/>
              <w:rPr>
                <w:rFonts w:ascii="仿宋" w:hAnsi="仿宋" w:eastAsia="仿宋" w:cs="仿宋"/>
                <w:bCs/>
                <w:sz w:val="24"/>
                <w:highlight w:val="none"/>
              </w:rPr>
            </w:pPr>
          </w:p>
        </w:tc>
        <w:tc>
          <w:tcPr>
            <w:tcW w:w="1076" w:type="dxa"/>
            <w:vAlign w:val="center"/>
          </w:tcPr>
          <w:p w14:paraId="547B8350">
            <w:pPr>
              <w:jc w:val="center"/>
              <w:rPr>
                <w:rFonts w:ascii="仿宋" w:hAnsi="仿宋" w:eastAsia="仿宋" w:cs="仿宋"/>
                <w:bCs/>
                <w:sz w:val="24"/>
                <w:highlight w:val="none"/>
              </w:rPr>
            </w:pPr>
          </w:p>
        </w:tc>
        <w:tc>
          <w:tcPr>
            <w:tcW w:w="1852" w:type="dxa"/>
            <w:vAlign w:val="center"/>
          </w:tcPr>
          <w:p w14:paraId="711E9AEE">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项目负责人</w:t>
            </w:r>
          </w:p>
        </w:tc>
        <w:tc>
          <w:tcPr>
            <w:tcW w:w="1461" w:type="dxa"/>
            <w:vAlign w:val="center"/>
          </w:tcPr>
          <w:p w14:paraId="5B4FE2AF">
            <w:pPr>
              <w:jc w:val="center"/>
              <w:rPr>
                <w:rFonts w:ascii="仿宋" w:hAnsi="仿宋" w:eastAsia="仿宋" w:cs="仿宋"/>
                <w:bCs/>
                <w:sz w:val="24"/>
                <w:highlight w:val="none"/>
              </w:rPr>
            </w:pPr>
          </w:p>
        </w:tc>
      </w:tr>
      <w:tr w14:paraId="1000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32485217">
            <w:pPr>
              <w:jc w:val="center"/>
              <w:rPr>
                <w:rFonts w:ascii="仿宋" w:hAnsi="仿宋" w:eastAsia="仿宋" w:cs="仿宋"/>
                <w:bCs/>
                <w:sz w:val="24"/>
                <w:highlight w:val="none"/>
              </w:rPr>
            </w:pPr>
            <w:r>
              <w:rPr>
                <w:rFonts w:hint="eastAsia" w:ascii="仿宋" w:hAnsi="仿宋" w:eastAsia="仿宋" w:cs="仿宋"/>
                <w:bCs/>
                <w:sz w:val="24"/>
                <w:highlight w:val="none"/>
              </w:rPr>
              <w:t>2</w:t>
            </w:r>
          </w:p>
        </w:tc>
        <w:tc>
          <w:tcPr>
            <w:tcW w:w="1268" w:type="dxa"/>
            <w:vAlign w:val="center"/>
          </w:tcPr>
          <w:p w14:paraId="2C86E40C">
            <w:pPr>
              <w:jc w:val="center"/>
              <w:rPr>
                <w:rFonts w:ascii="仿宋" w:hAnsi="仿宋" w:eastAsia="仿宋" w:cs="仿宋"/>
                <w:bCs/>
                <w:sz w:val="24"/>
                <w:highlight w:val="none"/>
              </w:rPr>
            </w:pPr>
          </w:p>
        </w:tc>
        <w:tc>
          <w:tcPr>
            <w:tcW w:w="1342" w:type="dxa"/>
            <w:vAlign w:val="center"/>
          </w:tcPr>
          <w:p w14:paraId="09B562D7">
            <w:pPr>
              <w:jc w:val="center"/>
              <w:rPr>
                <w:rFonts w:ascii="仿宋" w:hAnsi="仿宋" w:eastAsia="仿宋" w:cs="仿宋"/>
                <w:bCs/>
                <w:sz w:val="24"/>
                <w:highlight w:val="none"/>
              </w:rPr>
            </w:pPr>
          </w:p>
        </w:tc>
        <w:tc>
          <w:tcPr>
            <w:tcW w:w="1464" w:type="dxa"/>
            <w:vAlign w:val="center"/>
          </w:tcPr>
          <w:p w14:paraId="0ECFABA1">
            <w:pPr>
              <w:jc w:val="center"/>
              <w:rPr>
                <w:rFonts w:ascii="仿宋" w:hAnsi="仿宋" w:eastAsia="仿宋" w:cs="仿宋"/>
                <w:bCs/>
                <w:kern w:val="0"/>
                <w:sz w:val="24"/>
                <w:highlight w:val="none"/>
              </w:rPr>
            </w:pPr>
          </w:p>
        </w:tc>
        <w:tc>
          <w:tcPr>
            <w:tcW w:w="1076" w:type="dxa"/>
            <w:vAlign w:val="center"/>
          </w:tcPr>
          <w:p w14:paraId="458D6D23">
            <w:pPr>
              <w:jc w:val="center"/>
              <w:rPr>
                <w:rFonts w:ascii="仿宋" w:hAnsi="仿宋" w:eastAsia="仿宋" w:cs="仿宋"/>
                <w:bCs/>
                <w:kern w:val="0"/>
                <w:sz w:val="24"/>
                <w:highlight w:val="none"/>
              </w:rPr>
            </w:pPr>
          </w:p>
        </w:tc>
        <w:tc>
          <w:tcPr>
            <w:tcW w:w="1852" w:type="dxa"/>
            <w:vAlign w:val="center"/>
          </w:tcPr>
          <w:p w14:paraId="10546EC1">
            <w:pPr>
              <w:snapToGrid w:val="0"/>
              <w:spacing w:line="360" w:lineRule="auto"/>
              <w:jc w:val="center"/>
              <w:rPr>
                <w:rFonts w:ascii="仿宋" w:hAnsi="仿宋" w:eastAsia="仿宋" w:cs="仿宋"/>
                <w:szCs w:val="21"/>
                <w:highlight w:val="none"/>
              </w:rPr>
            </w:pPr>
          </w:p>
        </w:tc>
        <w:tc>
          <w:tcPr>
            <w:tcW w:w="1461" w:type="dxa"/>
            <w:vAlign w:val="center"/>
          </w:tcPr>
          <w:p w14:paraId="1D62E07D">
            <w:pPr>
              <w:jc w:val="center"/>
              <w:rPr>
                <w:rFonts w:ascii="仿宋" w:hAnsi="仿宋" w:eastAsia="仿宋" w:cs="仿宋"/>
                <w:bCs/>
                <w:kern w:val="0"/>
                <w:sz w:val="24"/>
                <w:highlight w:val="none"/>
              </w:rPr>
            </w:pPr>
          </w:p>
        </w:tc>
      </w:tr>
      <w:tr w14:paraId="4C4C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72D97A4A">
            <w:pPr>
              <w:jc w:val="center"/>
              <w:rPr>
                <w:rFonts w:ascii="仿宋" w:hAnsi="仿宋" w:eastAsia="仿宋" w:cs="仿宋"/>
                <w:bCs/>
                <w:sz w:val="24"/>
                <w:highlight w:val="none"/>
              </w:rPr>
            </w:pPr>
            <w:r>
              <w:rPr>
                <w:rFonts w:hint="eastAsia" w:ascii="仿宋" w:hAnsi="仿宋" w:eastAsia="仿宋" w:cs="仿宋"/>
                <w:bCs/>
                <w:sz w:val="24"/>
                <w:highlight w:val="none"/>
              </w:rPr>
              <w:t>3</w:t>
            </w:r>
          </w:p>
        </w:tc>
        <w:tc>
          <w:tcPr>
            <w:tcW w:w="1268" w:type="dxa"/>
            <w:vAlign w:val="center"/>
          </w:tcPr>
          <w:p w14:paraId="709E2727">
            <w:pPr>
              <w:jc w:val="center"/>
              <w:rPr>
                <w:rFonts w:ascii="仿宋" w:hAnsi="仿宋" w:eastAsia="仿宋" w:cs="仿宋"/>
                <w:bCs/>
                <w:sz w:val="24"/>
                <w:highlight w:val="none"/>
              </w:rPr>
            </w:pPr>
          </w:p>
        </w:tc>
        <w:tc>
          <w:tcPr>
            <w:tcW w:w="1342" w:type="dxa"/>
            <w:vAlign w:val="center"/>
          </w:tcPr>
          <w:p w14:paraId="38C0D8EA">
            <w:pPr>
              <w:jc w:val="center"/>
              <w:rPr>
                <w:rFonts w:ascii="仿宋" w:hAnsi="仿宋" w:eastAsia="仿宋" w:cs="仿宋"/>
                <w:bCs/>
                <w:sz w:val="24"/>
                <w:highlight w:val="none"/>
              </w:rPr>
            </w:pPr>
          </w:p>
        </w:tc>
        <w:tc>
          <w:tcPr>
            <w:tcW w:w="1464" w:type="dxa"/>
            <w:vAlign w:val="center"/>
          </w:tcPr>
          <w:p w14:paraId="64CD04A5">
            <w:pPr>
              <w:jc w:val="center"/>
              <w:rPr>
                <w:rFonts w:ascii="仿宋" w:hAnsi="仿宋" w:eastAsia="仿宋" w:cs="仿宋"/>
                <w:bCs/>
                <w:kern w:val="0"/>
                <w:sz w:val="24"/>
                <w:highlight w:val="none"/>
              </w:rPr>
            </w:pPr>
          </w:p>
        </w:tc>
        <w:tc>
          <w:tcPr>
            <w:tcW w:w="1076" w:type="dxa"/>
            <w:vAlign w:val="center"/>
          </w:tcPr>
          <w:p w14:paraId="279BF24B">
            <w:pPr>
              <w:jc w:val="center"/>
              <w:rPr>
                <w:rFonts w:ascii="仿宋" w:hAnsi="仿宋" w:eastAsia="仿宋" w:cs="仿宋"/>
                <w:bCs/>
                <w:kern w:val="0"/>
                <w:sz w:val="24"/>
                <w:highlight w:val="none"/>
              </w:rPr>
            </w:pPr>
          </w:p>
        </w:tc>
        <w:tc>
          <w:tcPr>
            <w:tcW w:w="1852" w:type="dxa"/>
            <w:vAlign w:val="center"/>
          </w:tcPr>
          <w:p w14:paraId="6C6B4133">
            <w:pPr>
              <w:jc w:val="center"/>
              <w:rPr>
                <w:rFonts w:ascii="仿宋" w:hAnsi="仿宋" w:eastAsia="仿宋" w:cs="仿宋"/>
                <w:bCs/>
                <w:kern w:val="0"/>
                <w:sz w:val="24"/>
                <w:highlight w:val="none"/>
              </w:rPr>
            </w:pPr>
          </w:p>
        </w:tc>
        <w:tc>
          <w:tcPr>
            <w:tcW w:w="1461" w:type="dxa"/>
            <w:vAlign w:val="center"/>
          </w:tcPr>
          <w:p w14:paraId="7AD9AEFE">
            <w:pPr>
              <w:jc w:val="center"/>
              <w:rPr>
                <w:rFonts w:ascii="仿宋" w:hAnsi="仿宋" w:eastAsia="仿宋" w:cs="仿宋"/>
                <w:bCs/>
                <w:kern w:val="0"/>
                <w:sz w:val="24"/>
                <w:highlight w:val="none"/>
              </w:rPr>
            </w:pPr>
          </w:p>
        </w:tc>
      </w:tr>
      <w:tr w14:paraId="5EF2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6DA432EE">
            <w:pPr>
              <w:jc w:val="center"/>
              <w:rPr>
                <w:rFonts w:ascii="仿宋" w:hAnsi="仿宋" w:eastAsia="仿宋" w:cs="仿宋"/>
                <w:bCs/>
                <w:sz w:val="24"/>
                <w:highlight w:val="none"/>
              </w:rPr>
            </w:pPr>
            <w:r>
              <w:rPr>
                <w:rFonts w:hint="eastAsia" w:ascii="仿宋" w:hAnsi="仿宋" w:eastAsia="仿宋" w:cs="仿宋"/>
                <w:bCs/>
                <w:sz w:val="24"/>
                <w:highlight w:val="none"/>
              </w:rPr>
              <w:t>4</w:t>
            </w:r>
          </w:p>
        </w:tc>
        <w:tc>
          <w:tcPr>
            <w:tcW w:w="1268" w:type="dxa"/>
            <w:vAlign w:val="center"/>
          </w:tcPr>
          <w:p w14:paraId="5B1B4D25">
            <w:pPr>
              <w:jc w:val="center"/>
              <w:rPr>
                <w:rFonts w:ascii="仿宋" w:hAnsi="仿宋" w:eastAsia="仿宋" w:cs="仿宋"/>
                <w:bCs/>
                <w:sz w:val="24"/>
                <w:highlight w:val="none"/>
              </w:rPr>
            </w:pPr>
          </w:p>
        </w:tc>
        <w:tc>
          <w:tcPr>
            <w:tcW w:w="1342" w:type="dxa"/>
            <w:vAlign w:val="center"/>
          </w:tcPr>
          <w:p w14:paraId="35D3ADC5">
            <w:pPr>
              <w:jc w:val="center"/>
              <w:rPr>
                <w:rFonts w:ascii="仿宋" w:hAnsi="仿宋" w:eastAsia="仿宋" w:cs="仿宋"/>
                <w:bCs/>
                <w:sz w:val="24"/>
                <w:highlight w:val="none"/>
              </w:rPr>
            </w:pPr>
          </w:p>
        </w:tc>
        <w:tc>
          <w:tcPr>
            <w:tcW w:w="1464" w:type="dxa"/>
            <w:vAlign w:val="center"/>
          </w:tcPr>
          <w:p w14:paraId="25CB2426">
            <w:pPr>
              <w:jc w:val="center"/>
              <w:rPr>
                <w:rFonts w:ascii="仿宋" w:hAnsi="仿宋" w:eastAsia="仿宋" w:cs="仿宋"/>
                <w:bCs/>
                <w:kern w:val="0"/>
                <w:sz w:val="24"/>
                <w:highlight w:val="none"/>
              </w:rPr>
            </w:pPr>
          </w:p>
        </w:tc>
        <w:tc>
          <w:tcPr>
            <w:tcW w:w="1076" w:type="dxa"/>
            <w:vAlign w:val="center"/>
          </w:tcPr>
          <w:p w14:paraId="538BC259">
            <w:pPr>
              <w:jc w:val="center"/>
              <w:rPr>
                <w:rFonts w:ascii="仿宋" w:hAnsi="仿宋" w:eastAsia="仿宋" w:cs="仿宋"/>
                <w:bCs/>
                <w:kern w:val="0"/>
                <w:sz w:val="24"/>
                <w:highlight w:val="none"/>
              </w:rPr>
            </w:pPr>
          </w:p>
        </w:tc>
        <w:tc>
          <w:tcPr>
            <w:tcW w:w="1852" w:type="dxa"/>
            <w:vAlign w:val="center"/>
          </w:tcPr>
          <w:p w14:paraId="0F6F36B2">
            <w:pPr>
              <w:jc w:val="center"/>
              <w:rPr>
                <w:rFonts w:ascii="仿宋" w:hAnsi="仿宋" w:eastAsia="仿宋" w:cs="仿宋"/>
                <w:bCs/>
                <w:kern w:val="0"/>
                <w:sz w:val="24"/>
                <w:highlight w:val="none"/>
              </w:rPr>
            </w:pPr>
          </w:p>
        </w:tc>
        <w:tc>
          <w:tcPr>
            <w:tcW w:w="1461" w:type="dxa"/>
            <w:vAlign w:val="center"/>
          </w:tcPr>
          <w:p w14:paraId="75B59146">
            <w:pPr>
              <w:jc w:val="center"/>
              <w:rPr>
                <w:rFonts w:ascii="仿宋" w:hAnsi="仿宋" w:eastAsia="仿宋" w:cs="仿宋"/>
                <w:bCs/>
                <w:kern w:val="0"/>
                <w:sz w:val="24"/>
                <w:highlight w:val="none"/>
              </w:rPr>
            </w:pPr>
          </w:p>
        </w:tc>
      </w:tr>
      <w:tr w14:paraId="0F96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0ED471D0">
            <w:pPr>
              <w:jc w:val="center"/>
              <w:rPr>
                <w:rFonts w:ascii="仿宋" w:hAnsi="仿宋" w:eastAsia="仿宋" w:cs="仿宋"/>
                <w:bCs/>
                <w:sz w:val="24"/>
                <w:highlight w:val="none"/>
              </w:rPr>
            </w:pPr>
            <w:r>
              <w:rPr>
                <w:rFonts w:hint="eastAsia" w:ascii="仿宋" w:hAnsi="仿宋" w:eastAsia="仿宋" w:cs="仿宋"/>
                <w:bCs/>
                <w:sz w:val="24"/>
                <w:highlight w:val="none"/>
              </w:rPr>
              <w:t>5</w:t>
            </w:r>
          </w:p>
        </w:tc>
        <w:tc>
          <w:tcPr>
            <w:tcW w:w="1268" w:type="dxa"/>
            <w:vAlign w:val="center"/>
          </w:tcPr>
          <w:p w14:paraId="14E9C673">
            <w:pPr>
              <w:jc w:val="center"/>
              <w:rPr>
                <w:rFonts w:ascii="仿宋" w:hAnsi="仿宋" w:eastAsia="仿宋" w:cs="仿宋"/>
                <w:bCs/>
                <w:sz w:val="24"/>
                <w:highlight w:val="none"/>
              </w:rPr>
            </w:pPr>
          </w:p>
        </w:tc>
        <w:tc>
          <w:tcPr>
            <w:tcW w:w="1342" w:type="dxa"/>
            <w:vAlign w:val="center"/>
          </w:tcPr>
          <w:p w14:paraId="1B0A68FA">
            <w:pPr>
              <w:jc w:val="center"/>
              <w:rPr>
                <w:rFonts w:ascii="仿宋" w:hAnsi="仿宋" w:eastAsia="仿宋" w:cs="仿宋"/>
                <w:bCs/>
                <w:sz w:val="24"/>
                <w:highlight w:val="none"/>
              </w:rPr>
            </w:pPr>
          </w:p>
        </w:tc>
        <w:tc>
          <w:tcPr>
            <w:tcW w:w="1464" w:type="dxa"/>
            <w:vAlign w:val="center"/>
          </w:tcPr>
          <w:p w14:paraId="6E67A080">
            <w:pPr>
              <w:jc w:val="center"/>
              <w:rPr>
                <w:rFonts w:ascii="仿宋" w:hAnsi="仿宋" w:eastAsia="仿宋" w:cs="仿宋"/>
                <w:bCs/>
                <w:kern w:val="0"/>
                <w:sz w:val="24"/>
                <w:highlight w:val="none"/>
              </w:rPr>
            </w:pPr>
          </w:p>
        </w:tc>
        <w:tc>
          <w:tcPr>
            <w:tcW w:w="1076" w:type="dxa"/>
            <w:vAlign w:val="center"/>
          </w:tcPr>
          <w:p w14:paraId="0461C6AE">
            <w:pPr>
              <w:jc w:val="center"/>
              <w:rPr>
                <w:rFonts w:ascii="仿宋" w:hAnsi="仿宋" w:eastAsia="仿宋" w:cs="仿宋"/>
                <w:bCs/>
                <w:kern w:val="0"/>
                <w:sz w:val="24"/>
                <w:highlight w:val="none"/>
              </w:rPr>
            </w:pPr>
          </w:p>
        </w:tc>
        <w:tc>
          <w:tcPr>
            <w:tcW w:w="1852" w:type="dxa"/>
            <w:vAlign w:val="center"/>
          </w:tcPr>
          <w:p w14:paraId="62F660C0">
            <w:pPr>
              <w:jc w:val="center"/>
              <w:rPr>
                <w:rFonts w:ascii="仿宋" w:hAnsi="仿宋" w:eastAsia="仿宋" w:cs="仿宋"/>
                <w:bCs/>
                <w:kern w:val="0"/>
                <w:sz w:val="24"/>
                <w:highlight w:val="none"/>
              </w:rPr>
            </w:pPr>
          </w:p>
        </w:tc>
        <w:tc>
          <w:tcPr>
            <w:tcW w:w="1461" w:type="dxa"/>
            <w:vAlign w:val="center"/>
          </w:tcPr>
          <w:p w14:paraId="0542A681">
            <w:pPr>
              <w:jc w:val="center"/>
              <w:rPr>
                <w:rFonts w:ascii="仿宋" w:hAnsi="仿宋" w:eastAsia="仿宋" w:cs="仿宋"/>
                <w:bCs/>
                <w:kern w:val="0"/>
                <w:sz w:val="24"/>
                <w:highlight w:val="none"/>
              </w:rPr>
            </w:pPr>
          </w:p>
        </w:tc>
      </w:tr>
      <w:tr w14:paraId="6862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0A26D894">
            <w:pPr>
              <w:jc w:val="center"/>
              <w:rPr>
                <w:rFonts w:ascii="仿宋" w:hAnsi="仿宋" w:eastAsia="仿宋" w:cs="仿宋"/>
                <w:bCs/>
                <w:sz w:val="24"/>
                <w:highlight w:val="none"/>
              </w:rPr>
            </w:pPr>
            <w:r>
              <w:rPr>
                <w:rFonts w:hint="eastAsia" w:ascii="仿宋" w:hAnsi="仿宋" w:eastAsia="仿宋" w:cs="仿宋"/>
                <w:bCs/>
                <w:sz w:val="24"/>
                <w:highlight w:val="none"/>
              </w:rPr>
              <w:t>6</w:t>
            </w:r>
          </w:p>
        </w:tc>
        <w:tc>
          <w:tcPr>
            <w:tcW w:w="1268" w:type="dxa"/>
            <w:vAlign w:val="center"/>
          </w:tcPr>
          <w:p w14:paraId="5298D4B1">
            <w:pPr>
              <w:jc w:val="center"/>
              <w:rPr>
                <w:rFonts w:ascii="仿宋" w:hAnsi="仿宋" w:eastAsia="仿宋" w:cs="仿宋"/>
                <w:bCs/>
                <w:sz w:val="24"/>
                <w:highlight w:val="none"/>
              </w:rPr>
            </w:pPr>
          </w:p>
        </w:tc>
        <w:tc>
          <w:tcPr>
            <w:tcW w:w="1342" w:type="dxa"/>
            <w:vAlign w:val="center"/>
          </w:tcPr>
          <w:p w14:paraId="59461FFC">
            <w:pPr>
              <w:jc w:val="center"/>
              <w:rPr>
                <w:rFonts w:ascii="仿宋" w:hAnsi="仿宋" w:eastAsia="仿宋" w:cs="仿宋"/>
                <w:bCs/>
                <w:sz w:val="24"/>
                <w:highlight w:val="none"/>
              </w:rPr>
            </w:pPr>
          </w:p>
        </w:tc>
        <w:tc>
          <w:tcPr>
            <w:tcW w:w="1464" w:type="dxa"/>
            <w:vAlign w:val="center"/>
          </w:tcPr>
          <w:p w14:paraId="46FD0EA3">
            <w:pPr>
              <w:jc w:val="center"/>
              <w:rPr>
                <w:rFonts w:ascii="仿宋" w:hAnsi="仿宋" w:eastAsia="仿宋" w:cs="仿宋"/>
                <w:bCs/>
                <w:kern w:val="0"/>
                <w:sz w:val="24"/>
                <w:highlight w:val="none"/>
              </w:rPr>
            </w:pPr>
          </w:p>
        </w:tc>
        <w:tc>
          <w:tcPr>
            <w:tcW w:w="1076" w:type="dxa"/>
            <w:vAlign w:val="center"/>
          </w:tcPr>
          <w:p w14:paraId="152A40F2">
            <w:pPr>
              <w:jc w:val="center"/>
              <w:rPr>
                <w:rFonts w:ascii="仿宋" w:hAnsi="仿宋" w:eastAsia="仿宋" w:cs="仿宋"/>
                <w:bCs/>
                <w:kern w:val="0"/>
                <w:sz w:val="24"/>
                <w:highlight w:val="none"/>
              </w:rPr>
            </w:pPr>
          </w:p>
        </w:tc>
        <w:tc>
          <w:tcPr>
            <w:tcW w:w="1852" w:type="dxa"/>
            <w:vAlign w:val="center"/>
          </w:tcPr>
          <w:p w14:paraId="1CE05D9B">
            <w:pPr>
              <w:jc w:val="center"/>
              <w:rPr>
                <w:rFonts w:ascii="仿宋" w:hAnsi="仿宋" w:eastAsia="仿宋" w:cs="仿宋"/>
                <w:bCs/>
                <w:kern w:val="0"/>
                <w:sz w:val="24"/>
                <w:highlight w:val="none"/>
              </w:rPr>
            </w:pPr>
          </w:p>
        </w:tc>
        <w:tc>
          <w:tcPr>
            <w:tcW w:w="1461" w:type="dxa"/>
            <w:vAlign w:val="center"/>
          </w:tcPr>
          <w:p w14:paraId="74661657">
            <w:pPr>
              <w:jc w:val="center"/>
              <w:rPr>
                <w:rFonts w:ascii="仿宋" w:hAnsi="仿宋" w:eastAsia="仿宋" w:cs="仿宋"/>
                <w:bCs/>
                <w:kern w:val="0"/>
                <w:sz w:val="24"/>
                <w:highlight w:val="none"/>
              </w:rPr>
            </w:pPr>
          </w:p>
        </w:tc>
      </w:tr>
      <w:tr w14:paraId="06F5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554C3B22">
            <w:pPr>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1268" w:type="dxa"/>
            <w:vAlign w:val="center"/>
          </w:tcPr>
          <w:p w14:paraId="76141FA2">
            <w:pPr>
              <w:jc w:val="center"/>
              <w:rPr>
                <w:rFonts w:ascii="仿宋" w:hAnsi="仿宋" w:eastAsia="仿宋" w:cs="仿宋"/>
                <w:bCs/>
                <w:sz w:val="24"/>
                <w:highlight w:val="none"/>
              </w:rPr>
            </w:pPr>
          </w:p>
        </w:tc>
        <w:tc>
          <w:tcPr>
            <w:tcW w:w="1342" w:type="dxa"/>
            <w:vAlign w:val="center"/>
          </w:tcPr>
          <w:p w14:paraId="10C98BD7">
            <w:pPr>
              <w:jc w:val="center"/>
              <w:rPr>
                <w:rFonts w:ascii="仿宋" w:hAnsi="仿宋" w:eastAsia="仿宋" w:cs="仿宋"/>
                <w:bCs/>
                <w:sz w:val="24"/>
                <w:highlight w:val="none"/>
              </w:rPr>
            </w:pPr>
          </w:p>
        </w:tc>
        <w:tc>
          <w:tcPr>
            <w:tcW w:w="1464" w:type="dxa"/>
            <w:vAlign w:val="center"/>
          </w:tcPr>
          <w:p w14:paraId="71CB68BD">
            <w:pPr>
              <w:jc w:val="center"/>
              <w:rPr>
                <w:rFonts w:ascii="仿宋" w:hAnsi="仿宋" w:eastAsia="仿宋" w:cs="仿宋"/>
                <w:bCs/>
                <w:kern w:val="0"/>
                <w:sz w:val="24"/>
                <w:highlight w:val="none"/>
              </w:rPr>
            </w:pPr>
          </w:p>
        </w:tc>
        <w:tc>
          <w:tcPr>
            <w:tcW w:w="1076" w:type="dxa"/>
            <w:vAlign w:val="center"/>
          </w:tcPr>
          <w:p w14:paraId="59A72D1B">
            <w:pPr>
              <w:jc w:val="center"/>
              <w:rPr>
                <w:rFonts w:ascii="仿宋" w:hAnsi="仿宋" w:eastAsia="仿宋" w:cs="仿宋"/>
                <w:bCs/>
                <w:kern w:val="0"/>
                <w:sz w:val="24"/>
                <w:highlight w:val="none"/>
              </w:rPr>
            </w:pPr>
          </w:p>
        </w:tc>
        <w:tc>
          <w:tcPr>
            <w:tcW w:w="1852" w:type="dxa"/>
            <w:vAlign w:val="center"/>
          </w:tcPr>
          <w:p w14:paraId="41EF7E74">
            <w:pPr>
              <w:jc w:val="center"/>
              <w:rPr>
                <w:rFonts w:ascii="仿宋" w:hAnsi="仿宋" w:eastAsia="仿宋" w:cs="仿宋"/>
                <w:bCs/>
                <w:kern w:val="0"/>
                <w:sz w:val="24"/>
                <w:highlight w:val="none"/>
              </w:rPr>
            </w:pPr>
          </w:p>
        </w:tc>
        <w:tc>
          <w:tcPr>
            <w:tcW w:w="1461" w:type="dxa"/>
            <w:vAlign w:val="center"/>
          </w:tcPr>
          <w:p w14:paraId="74B41002">
            <w:pPr>
              <w:jc w:val="center"/>
              <w:rPr>
                <w:rFonts w:ascii="仿宋" w:hAnsi="仿宋" w:eastAsia="仿宋" w:cs="仿宋"/>
                <w:bCs/>
                <w:kern w:val="0"/>
                <w:sz w:val="24"/>
                <w:highlight w:val="none"/>
              </w:rPr>
            </w:pPr>
          </w:p>
        </w:tc>
      </w:tr>
      <w:tr w14:paraId="2583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26F47087">
            <w:pPr>
              <w:jc w:val="center"/>
              <w:rPr>
                <w:rFonts w:ascii="仿宋" w:hAnsi="仿宋" w:eastAsia="仿宋" w:cs="仿宋"/>
                <w:bCs/>
                <w:sz w:val="24"/>
                <w:highlight w:val="none"/>
              </w:rPr>
            </w:pPr>
            <w:r>
              <w:rPr>
                <w:rFonts w:hint="eastAsia" w:ascii="仿宋" w:hAnsi="仿宋" w:eastAsia="仿宋" w:cs="仿宋"/>
                <w:bCs/>
                <w:sz w:val="24"/>
                <w:highlight w:val="none"/>
              </w:rPr>
              <w:t>8</w:t>
            </w:r>
          </w:p>
        </w:tc>
        <w:tc>
          <w:tcPr>
            <w:tcW w:w="1268" w:type="dxa"/>
            <w:vAlign w:val="center"/>
          </w:tcPr>
          <w:p w14:paraId="0115D4EC">
            <w:pPr>
              <w:jc w:val="center"/>
              <w:rPr>
                <w:rFonts w:ascii="仿宋" w:hAnsi="仿宋" w:eastAsia="仿宋" w:cs="仿宋"/>
                <w:bCs/>
                <w:sz w:val="24"/>
                <w:highlight w:val="none"/>
              </w:rPr>
            </w:pPr>
          </w:p>
        </w:tc>
        <w:tc>
          <w:tcPr>
            <w:tcW w:w="1342" w:type="dxa"/>
            <w:vAlign w:val="center"/>
          </w:tcPr>
          <w:p w14:paraId="667F5B05">
            <w:pPr>
              <w:jc w:val="center"/>
              <w:rPr>
                <w:rFonts w:ascii="仿宋" w:hAnsi="仿宋" w:eastAsia="仿宋" w:cs="仿宋"/>
                <w:bCs/>
                <w:sz w:val="24"/>
                <w:highlight w:val="none"/>
              </w:rPr>
            </w:pPr>
          </w:p>
        </w:tc>
        <w:tc>
          <w:tcPr>
            <w:tcW w:w="1464" w:type="dxa"/>
            <w:vAlign w:val="center"/>
          </w:tcPr>
          <w:p w14:paraId="35142BF9">
            <w:pPr>
              <w:jc w:val="center"/>
              <w:rPr>
                <w:rFonts w:ascii="仿宋" w:hAnsi="仿宋" w:eastAsia="仿宋" w:cs="仿宋"/>
                <w:bCs/>
                <w:kern w:val="0"/>
                <w:sz w:val="24"/>
                <w:highlight w:val="none"/>
              </w:rPr>
            </w:pPr>
          </w:p>
        </w:tc>
        <w:tc>
          <w:tcPr>
            <w:tcW w:w="1076" w:type="dxa"/>
            <w:vAlign w:val="center"/>
          </w:tcPr>
          <w:p w14:paraId="67B34F38">
            <w:pPr>
              <w:jc w:val="center"/>
              <w:rPr>
                <w:rFonts w:ascii="仿宋" w:hAnsi="仿宋" w:eastAsia="仿宋" w:cs="仿宋"/>
                <w:bCs/>
                <w:kern w:val="0"/>
                <w:sz w:val="24"/>
                <w:highlight w:val="none"/>
              </w:rPr>
            </w:pPr>
          </w:p>
        </w:tc>
        <w:tc>
          <w:tcPr>
            <w:tcW w:w="1852" w:type="dxa"/>
            <w:vAlign w:val="center"/>
          </w:tcPr>
          <w:p w14:paraId="4CEC9C89">
            <w:pPr>
              <w:jc w:val="center"/>
              <w:rPr>
                <w:rFonts w:ascii="仿宋" w:hAnsi="仿宋" w:eastAsia="仿宋" w:cs="仿宋"/>
                <w:bCs/>
                <w:kern w:val="0"/>
                <w:sz w:val="24"/>
                <w:highlight w:val="none"/>
              </w:rPr>
            </w:pPr>
          </w:p>
        </w:tc>
        <w:tc>
          <w:tcPr>
            <w:tcW w:w="1461" w:type="dxa"/>
            <w:vAlign w:val="center"/>
          </w:tcPr>
          <w:p w14:paraId="7B4D08D6">
            <w:pPr>
              <w:jc w:val="center"/>
              <w:rPr>
                <w:rFonts w:ascii="仿宋" w:hAnsi="仿宋" w:eastAsia="仿宋" w:cs="仿宋"/>
                <w:bCs/>
                <w:kern w:val="0"/>
                <w:sz w:val="24"/>
                <w:highlight w:val="none"/>
              </w:rPr>
            </w:pPr>
          </w:p>
        </w:tc>
      </w:tr>
      <w:tr w14:paraId="2A64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05ADB3A2">
            <w:pPr>
              <w:jc w:val="center"/>
              <w:rPr>
                <w:rFonts w:ascii="仿宋" w:hAnsi="仿宋" w:eastAsia="仿宋" w:cs="仿宋"/>
                <w:bCs/>
                <w:sz w:val="24"/>
                <w:highlight w:val="none"/>
              </w:rPr>
            </w:pPr>
            <w:r>
              <w:rPr>
                <w:rFonts w:hint="eastAsia" w:ascii="仿宋" w:hAnsi="仿宋" w:eastAsia="仿宋" w:cs="仿宋"/>
                <w:bCs/>
                <w:sz w:val="24"/>
                <w:highlight w:val="none"/>
              </w:rPr>
              <w:t>9</w:t>
            </w:r>
          </w:p>
        </w:tc>
        <w:tc>
          <w:tcPr>
            <w:tcW w:w="1268" w:type="dxa"/>
            <w:vAlign w:val="center"/>
          </w:tcPr>
          <w:p w14:paraId="138FE934">
            <w:pPr>
              <w:jc w:val="center"/>
              <w:rPr>
                <w:rFonts w:ascii="仿宋" w:hAnsi="仿宋" w:eastAsia="仿宋" w:cs="仿宋"/>
                <w:bCs/>
                <w:sz w:val="24"/>
                <w:highlight w:val="none"/>
              </w:rPr>
            </w:pPr>
          </w:p>
        </w:tc>
        <w:tc>
          <w:tcPr>
            <w:tcW w:w="1342" w:type="dxa"/>
            <w:vAlign w:val="center"/>
          </w:tcPr>
          <w:p w14:paraId="02F2609E">
            <w:pPr>
              <w:jc w:val="center"/>
              <w:rPr>
                <w:rFonts w:ascii="仿宋" w:hAnsi="仿宋" w:eastAsia="仿宋" w:cs="仿宋"/>
                <w:bCs/>
                <w:sz w:val="24"/>
                <w:highlight w:val="none"/>
              </w:rPr>
            </w:pPr>
          </w:p>
        </w:tc>
        <w:tc>
          <w:tcPr>
            <w:tcW w:w="1464" w:type="dxa"/>
            <w:vAlign w:val="center"/>
          </w:tcPr>
          <w:p w14:paraId="2613AB78">
            <w:pPr>
              <w:jc w:val="center"/>
              <w:rPr>
                <w:rFonts w:ascii="仿宋" w:hAnsi="仿宋" w:eastAsia="仿宋" w:cs="仿宋"/>
                <w:bCs/>
                <w:kern w:val="0"/>
                <w:sz w:val="24"/>
                <w:highlight w:val="none"/>
              </w:rPr>
            </w:pPr>
          </w:p>
        </w:tc>
        <w:tc>
          <w:tcPr>
            <w:tcW w:w="1076" w:type="dxa"/>
            <w:vAlign w:val="center"/>
          </w:tcPr>
          <w:p w14:paraId="18B6C43B">
            <w:pPr>
              <w:jc w:val="center"/>
              <w:rPr>
                <w:rFonts w:ascii="仿宋" w:hAnsi="仿宋" w:eastAsia="仿宋" w:cs="仿宋"/>
                <w:bCs/>
                <w:kern w:val="0"/>
                <w:sz w:val="24"/>
                <w:highlight w:val="none"/>
              </w:rPr>
            </w:pPr>
          </w:p>
        </w:tc>
        <w:tc>
          <w:tcPr>
            <w:tcW w:w="1852" w:type="dxa"/>
            <w:vAlign w:val="center"/>
          </w:tcPr>
          <w:p w14:paraId="3AE2A3AF">
            <w:pPr>
              <w:jc w:val="center"/>
              <w:rPr>
                <w:rFonts w:ascii="仿宋" w:hAnsi="仿宋" w:eastAsia="仿宋" w:cs="仿宋"/>
                <w:bCs/>
                <w:kern w:val="0"/>
                <w:sz w:val="24"/>
                <w:highlight w:val="none"/>
              </w:rPr>
            </w:pPr>
          </w:p>
        </w:tc>
        <w:tc>
          <w:tcPr>
            <w:tcW w:w="1461" w:type="dxa"/>
            <w:vAlign w:val="center"/>
          </w:tcPr>
          <w:p w14:paraId="2962D86E">
            <w:pPr>
              <w:jc w:val="center"/>
              <w:rPr>
                <w:rFonts w:ascii="仿宋" w:hAnsi="仿宋" w:eastAsia="仿宋" w:cs="仿宋"/>
                <w:bCs/>
                <w:kern w:val="0"/>
                <w:sz w:val="24"/>
                <w:highlight w:val="none"/>
              </w:rPr>
            </w:pPr>
          </w:p>
        </w:tc>
      </w:tr>
      <w:tr w14:paraId="4CF2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62C702E0">
            <w:pPr>
              <w:jc w:val="center"/>
              <w:rPr>
                <w:rFonts w:ascii="仿宋" w:hAnsi="仿宋" w:eastAsia="仿宋" w:cs="仿宋"/>
                <w:bCs/>
                <w:sz w:val="24"/>
                <w:highlight w:val="none"/>
              </w:rPr>
            </w:pPr>
            <w:r>
              <w:rPr>
                <w:rFonts w:hint="eastAsia" w:ascii="仿宋" w:hAnsi="仿宋" w:eastAsia="仿宋" w:cs="仿宋"/>
                <w:bCs/>
                <w:sz w:val="24"/>
                <w:highlight w:val="none"/>
              </w:rPr>
              <w:t>10</w:t>
            </w:r>
          </w:p>
        </w:tc>
        <w:tc>
          <w:tcPr>
            <w:tcW w:w="1268" w:type="dxa"/>
            <w:vAlign w:val="center"/>
          </w:tcPr>
          <w:p w14:paraId="5D191408">
            <w:pPr>
              <w:jc w:val="center"/>
              <w:rPr>
                <w:rFonts w:ascii="仿宋" w:hAnsi="仿宋" w:eastAsia="仿宋" w:cs="仿宋"/>
                <w:bCs/>
                <w:sz w:val="24"/>
                <w:highlight w:val="none"/>
              </w:rPr>
            </w:pPr>
          </w:p>
        </w:tc>
        <w:tc>
          <w:tcPr>
            <w:tcW w:w="1342" w:type="dxa"/>
            <w:vAlign w:val="center"/>
          </w:tcPr>
          <w:p w14:paraId="1370034C">
            <w:pPr>
              <w:jc w:val="center"/>
              <w:rPr>
                <w:rFonts w:ascii="仿宋" w:hAnsi="仿宋" w:eastAsia="仿宋" w:cs="仿宋"/>
                <w:bCs/>
                <w:sz w:val="24"/>
                <w:highlight w:val="none"/>
              </w:rPr>
            </w:pPr>
          </w:p>
        </w:tc>
        <w:tc>
          <w:tcPr>
            <w:tcW w:w="1464" w:type="dxa"/>
            <w:vAlign w:val="center"/>
          </w:tcPr>
          <w:p w14:paraId="20660F78">
            <w:pPr>
              <w:jc w:val="center"/>
              <w:rPr>
                <w:rFonts w:ascii="仿宋" w:hAnsi="仿宋" w:eastAsia="仿宋" w:cs="仿宋"/>
                <w:bCs/>
                <w:kern w:val="0"/>
                <w:sz w:val="24"/>
                <w:highlight w:val="none"/>
              </w:rPr>
            </w:pPr>
          </w:p>
        </w:tc>
        <w:tc>
          <w:tcPr>
            <w:tcW w:w="1076" w:type="dxa"/>
            <w:vAlign w:val="center"/>
          </w:tcPr>
          <w:p w14:paraId="13E75291">
            <w:pPr>
              <w:jc w:val="center"/>
              <w:rPr>
                <w:rFonts w:ascii="仿宋" w:hAnsi="仿宋" w:eastAsia="仿宋" w:cs="仿宋"/>
                <w:bCs/>
                <w:kern w:val="0"/>
                <w:sz w:val="24"/>
                <w:highlight w:val="none"/>
              </w:rPr>
            </w:pPr>
          </w:p>
        </w:tc>
        <w:tc>
          <w:tcPr>
            <w:tcW w:w="1852" w:type="dxa"/>
            <w:vAlign w:val="center"/>
          </w:tcPr>
          <w:p w14:paraId="2A4EAF3A">
            <w:pPr>
              <w:jc w:val="center"/>
              <w:rPr>
                <w:rFonts w:ascii="仿宋" w:hAnsi="仿宋" w:eastAsia="仿宋" w:cs="仿宋"/>
                <w:bCs/>
                <w:kern w:val="0"/>
                <w:sz w:val="24"/>
                <w:highlight w:val="none"/>
              </w:rPr>
            </w:pPr>
          </w:p>
        </w:tc>
        <w:tc>
          <w:tcPr>
            <w:tcW w:w="1461" w:type="dxa"/>
            <w:vAlign w:val="center"/>
          </w:tcPr>
          <w:p w14:paraId="21200EDA">
            <w:pPr>
              <w:jc w:val="center"/>
              <w:rPr>
                <w:rFonts w:ascii="仿宋" w:hAnsi="仿宋" w:eastAsia="仿宋" w:cs="仿宋"/>
                <w:bCs/>
                <w:kern w:val="0"/>
                <w:sz w:val="24"/>
                <w:highlight w:val="none"/>
              </w:rPr>
            </w:pPr>
          </w:p>
        </w:tc>
      </w:tr>
      <w:tr w14:paraId="2677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6DE93DA7">
            <w:pPr>
              <w:jc w:val="center"/>
              <w:rPr>
                <w:rFonts w:ascii="仿宋" w:hAnsi="仿宋" w:eastAsia="仿宋" w:cs="仿宋"/>
                <w:bCs/>
                <w:sz w:val="24"/>
                <w:highlight w:val="none"/>
              </w:rPr>
            </w:pPr>
            <w:r>
              <w:rPr>
                <w:rFonts w:hint="eastAsia" w:ascii="仿宋" w:hAnsi="仿宋" w:eastAsia="仿宋" w:cs="仿宋"/>
                <w:bCs/>
                <w:sz w:val="24"/>
                <w:highlight w:val="none"/>
              </w:rPr>
              <w:t>11</w:t>
            </w:r>
          </w:p>
        </w:tc>
        <w:tc>
          <w:tcPr>
            <w:tcW w:w="1268" w:type="dxa"/>
            <w:vAlign w:val="center"/>
          </w:tcPr>
          <w:p w14:paraId="54F7C00E">
            <w:pPr>
              <w:jc w:val="center"/>
              <w:rPr>
                <w:rFonts w:ascii="仿宋" w:hAnsi="仿宋" w:eastAsia="仿宋" w:cs="仿宋"/>
                <w:bCs/>
                <w:sz w:val="24"/>
                <w:highlight w:val="none"/>
              </w:rPr>
            </w:pPr>
          </w:p>
        </w:tc>
        <w:tc>
          <w:tcPr>
            <w:tcW w:w="1342" w:type="dxa"/>
            <w:vAlign w:val="center"/>
          </w:tcPr>
          <w:p w14:paraId="79B448D9">
            <w:pPr>
              <w:jc w:val="center"/>
              <w:rPr>
                <w:rFonts w:ascii="仿宋" w:hAnsi="仿宋" w:eastAsia="仿宋" w:cs="仿宋"/>
                <w:bCs/>
                <w:sz w:val="24"/>
                <w:highlight w:val="none"/>
              </w:rPr>
            </w:pPr>
          </w:p>
        </w:tc>
        <w:tc>
          <w:tcPr>
            <w:tcW w:w="1464" w:type="dxa"/>
            <w:vAlign w:val="center"/>
          </w:tcPr>
          <w:p w14:paraId="225CBE1D">
            <w:pPr>
              <w:jc w:val="center"/>
              <w:rPr>
                <w:rFonts w:ascii="仿宋" w:hAnsi="仿宋" w:eastAsia="仿宋" w:cs="仿宋"/>
                <w:bCs/>
                <w:kern w:val="0"/>
                <w:sz w:val="24"/>
                <w:highlight w:val="none"/>
              </w:rPr>
            </w:pPr>
          </w:p>
        </w:tc>
        <w:tc>
          <w:tcPr>
            <w:tcW w:w="1076" w:type="dxa"/>
            <w:vAlign w:val="center"/>
          </w:tcPr>
          <w:p w14:paraId="41AAB63F">
            <w:pPr>
              <w:jc w:val="center"/>
              <w:rPr>
                <w:rFonts w:ascii="仿宋" w:hAnsi="仿宋" w:eastAsia="仿宋" w:cs="仿宋"/>
                <w:bCs/>
                <w:kern w:val="0"/>
                <w:sz w:val="24"/>
                <w:highlight w:val="none"/>
              </w:rPr>
            </w:pPr>
          </w:p>
        </w:tc>
        <w:tc>
          <w:tcPr>
            <w:tcW w:w="1852" w:type="dxa"/>
            <w:vAlign w:val="center"/>
          </w:tcPr>
          <w:p w14:paraId="7DE1C685">
            <w:pPr>
              <w:jc w:val="center"/>
              <w:rPr>
                <w:rFonts w:ascii="仿宋" w:hAnsi="仿宋" w:eastAsia="仿宋" w:cs="仿宋"/>
                <w:bCs/>
                <w:kern w:val="0"/>
                <w:sz w:val="24"/>
                <w:highlight w:val="none"/>
              </w:rPr>
            </w:pPr>
          </w:p>
        </w:tc>
        <w:tc>
          <w:tcPr>
            <w:tcW w:w="1461" w:type="dxa"/>
            <w:vAlign w:val="center"/>
          </w:tcPr>
          <w:p w14:paraId="7731D966">
            <w:pPr>
              <w:jc w:val="center"/>
              <w:rPr>
                <w:rFonts w:ascii="仿宋" w:hAnsi="仿宋" w:eastAsia="仿宋" w:cs="仿宋"/>
                <w:bCs/>
                <w:kern w:val="0"/>
                <w:sz w:val="24"/>
                <w:highlight w:val="none"/>
              </w:rPr>
            </w:pPr>
          </w:p>
        </w:tc>
      </w:tr>
      <w:tr w14:paraId="0404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17" w:type="dxa"/>
            <w:vAlign w:val="center"/>
          </w:tcPr>
          <w:p w14:paraId="7F7A3664">
            <w:pPr>
              <w:jc w:val="center"/>
              <w:rPr>
                <w:rFonts w:ascii="仿宋" w:hAnsi="仿宋" w:eastAsia="仿宋" w:cs="仿宋"/>
                <w:bCs/>
                <w:sz w:val="24"/>
                <w:highlight w:val="none"/>
              </w:rPr>
            </w:pPr>
            <w:r>
              <w:rPr>
                <w:rFonts w:hint="eastAsia" w:ascii="仿宋" w:hAnsi="仿宋" w:eastAsia="仿宋" w:cs="仿宋"/>
                <w:bCs/>
                <w:sz w:val="24"/>
                <w:highlight w:val="none"/>
              </w:rPr>
              <w:t>12</w:t>
            </w:r>
          </w:p>
        </w:tc>
        <w:tc>
          <w:tcPr>
            <w:tcW w:w="1268" w:type="dxa"/>
            <w:vAlign w:val="center"/>
          </w:tcPr>
          <w:p w14:paraId="7A35924E">
            <w:pPr>
              <w:jc w:val="center"/>
              <w:rPr>
                <w:rFonts w:ascii="仿宋" w:hAnsi="仿宋" w:eastAsia="仿宋" w:cs="仿宋"/>
                <w:bCs/>
                <w:sz w:val="24"/>
                <w:highlight w:val="none"/>
              </w:rPr>
            </w:pPr>
          </w:p>
        </w:tc>
        <w:tc>
          <w:tcPr>
            <w:tcW w:w="1342" w:type="dxa"/>
            <w:vAlign w:val="center"/>
          </w:tcPr>
          <w:p w14:paraId="3C9B2F52">
            <w:pPr>
              <w:jc w:val="center"/>
              <w:rPr>
                <w:rFonts w:ascii="仿宋" w:hAnsi="仿宋" w:eastAsia="仿宋" w:cs="仿宋"/>
                <w:bCs/>
                <w:sz w:val="24"/>
                <w:highlight w:val="none"/>
              </w:rPr>
            </w:pPr>
          </w:p>
        </w:tc>
        <w:tc>
          <w:tcPr>
            <w:tcW w:w="1464" w:type="dxa"/>
            <w:vAlign w:val="center"/>
          </w:tcPr>
          <w:p w14:paraId="76A17FFB">
            <w:pPr>
              <w:jc w:val="center"/>
              <w:rPr>
                <w:rFonts w:ascii="仿宋" w:hAnsi="仿宋" w:eastAsia="仿宋" w:cs="仿宋"/>
                <w:bCs/>
                <w:kern w:val="0"/>
                <w:sz w:val="24"/>
                <w:highlight w:val="none"/>
              </w:rPr>
            </w:pPr>
          </w:p>
        </w:tc>
        <w:tc>
          <w:tcPr>
            <w:tcW w:w="1076" w:type="dxa"/>
            <w:vAlign w:val="center"/>
          </w:tcPr>
          <w:p w14:paraId="70BB53DB">
            <w:pPr>
              <w:jc w:val="center"/>
              <w:rPr>
                <w:rFonts w:ascii="仿宋" w:hAnsi="仿宋" w:eastAsia="仿宋" w:cs="仿宋"/>
                <w:bCs/>
                <w:kern w:val="0"/>
                <w:sz w:val="24"/>
                <w:highlight w:val="none"/>
              </w:rPr>
            </w:pPr>
          </w:p>
        </w:tc>
        <w:tc>
          <w:tcPr>
            <w:tcW w:w="1852" w:type="dxa"/>
            <w:vAlign w:val="center"/>
          </w:tcPr>
          <w:p w14:paraId="275BCFC1">
            <w:pPr>
              <w:jc w:val="center"/>
              <w:rPr>
                <w:rFonts w:ascii="仿宋" w:hAnsi="仿宋" w:eastAsia="仿宋" w:cs="仿宋"/>
                <w:bCs/>
                <w:kern w:val="0"/>
                <w:sz w:val="24"/>
                <w:highlight w:val="none"/>
              </w:rPr>
            </w:pPr>
          </w:p>
        </w:tc>
        <w:tc>
          <w:tcPr>
            <w:tcW w:w="1461" w:type="dxa"/>
            <w:vAlign w:val="center"/>
          </w:tcPr>
          <w:p w14:paraId="700E3D74">
            <w:pPr>
              <w:jc w:val="center"/>
              <w:rPr>
                <w:rFonts w:ascii="仿宋" w:hAnsi="仿宋" w:eastAsia="仿宋" w:cs="仿宋"/>
                <w:bCs/>
                <w:kern w:val="0"/>
                <w:sz w:val="24"/>
                <w:highlight w:val="none"/>
              </w:rPr>
            </w:pPr>
          </w:p>
        </w:tc>
      </w:tr>
      <w:tr w14:paraId="489A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7" w:type="dxa"/>
            <w:vAlign w:val="center"/>
          </w:tcPr>
          <w:p w14:paraId="7C69468E">
            <w:pPr>
              <w:jc w:val="center"/>
              <w:rPr>
                <w:rFonts w:ascii="仿宋" w:hAnsi="仿宋" w:eastAsia="仿宋" w:cs="仿宋"/>
                <w:bCs/>
                <w:sz w:val="24"/>
                <w:highlight w:val="none"/>
              </w:rPr>
            </w:pPr>
            <w:r>
              <w:rPr>
                <w:rFonts w:hint="eastAsia" w:ascii="仿宋" w:hAnsi="仿宋" w:eastAsia="仿宋" w:cs="仿宋"/>
                <w:bCs/>
                <w:sz w:val="24"/>
                <w:highlight w:val="none"/>
              </w:rPr>
              <w:t>.....</w:t>
            </w:r>
          </w:p>
        </w:tc>
        <w:tc>
          <w:tcPr>
            <w:tcW w:w="1268" w:type="dxa"/>
            <w:vAlign w:val="center"/>
          </w:tcPr>
          <w:p w14:paraId="4D6D4E32">
            <w:pPr>
              <w:jc w:val="center"/>
              <w:rPr>
                <w:rFonts w:ascii="仿宋" w:hAnsi="仿宋" w:eastAsia="仿宋" w:cs="仿宋"/>
                <w:bCs/>
                <w:sz w:val="24"/>
                <w:highlight w:val="none"/>
              </w:rPr>
            </w:pPr>
          </w:p>
        </w:tc>
        <w:tc>
          <w:tcPr>
            <w:tcW w:w="1342" w:type="dxa"/>
            <w:vAlign w:val="center"/>
          </w:tcPr>
          <w:p w14:paraId="5B197895">
            <w:pPr>
              <w:jc w:val="center"/>
              <w:rPr>
                <w:rFonts w:ascii="仿宋" w:hAnsi="仿宋" w:eastAsia="仿宋" w:cs="仿宋"/>
                <w:bCs/>
                <w:sz w:val="24"/>
                <w:highlight w:val="none"/>
              </w:rPr>
            </w:pPr>
          </w:p>
        </w:tc>
        <w:tc>
          <w:tcPr>
            <w:tcW w:w="1464" w:type="dxa"/>
            <w:vAlign w:val="center"/>
          </w:tcPr>
          <w:p w14:paraId="4F7FB0E3">
            <w:pPr>
              <w:jc w:val="center"/>
              <w:rPr>
                <w:rFonts w:ascii="仿宋" w:hAnsi="仿宋" w:eastAsia="仿宋" w:cs="仿宋"/>
                <w:bCs/>
                <w:kern w:val="0"/>
                <w:sz w:val="24"/>
                <w:highlight w:val="none"/>
              </w:rPr>
            </w:pPr>
          </w:p>
        </w:tc>
        <w:tc>
          <w:tcPr>
            <w:tcW w:w="1076" w:type="dxa"/>
            <w:vAlign w:val="center"/>
          </w:tcPr>
          <w:p w14:paraId="2F125B31">
            <w:pPr>
              <w:jc w:val="center"/>
              <w:rPr>
                <w:rFonts w:ascii="仿宋" w:hAnsi="仿宋" w:eastAsia="仿宋" w:cs="仿宋"/>
                <w:bCs/>
                <w:kern w:val="0"/>
                <w:sz w:val="24"/>
                <w:highlight w:val="none"/>
              </w:rPr>
            </w:pPr>
          </w:p>
        </w:tc>
        <w:tc>
          <w:tcPr>
            <w:tcW w:w="1852" w:type="dxa"/>
            <w:vAlign w:val="center"/>
          </w:tcPr>
          <w:p w14:paraId="197F7BDE">
            <w:pPr>
              <w:jc w:val="center"/>
              <w:rPr>
                <w:rFonts w:ascii="仿宋" w:hAnsi="仿宋" w:eastAsia="仿宋" w:cs="仿宋"/>
                <w:bCs/>
                <w:kern w:val="0"/>
                <w:sz w:val="24"/>
                <w:highlight w:val="none"/>
              </w:rPr>
            </w:pPr>
          </w:p>
        </w:tc>
        <w:tc>
          <w:tcPr>
            <w:tcW w:w="1461" w:type="dxa"/>
            <w:vAlign w:val="center"/>
          </w:tcPr>
          <w:p w14:paraId="3CD38EEE">
            <w:pPr>
              <w:jc w:val="center"/>
              <w:rPr>
                <w:rFonts w:ascii="仿宋" w:hAnsi="仿宋" w:eastAsia="仿宋" w:cs="仿宋"/>
                <w:bCs/>
                <w:kern w:val="0"/>
                <w:sz w:val="24"/>
                <w:highlight w:val="none"/>
              </w:rPr>
            </w:pPr>
          </w:p>
        </w:tc>
      </w:tr>
    </w:tbl>
    <w:p w14:paraId="26146BA2">
      <w:pPr>
        <w:rPr>
          <w:rFonts w:ascii="仿宋" w:hAnsi="仿宋" w:eastAsia="仿宋" w:cs="仿宋"/>
          <w:sz w:val="24"/>
          <w:highlight w:val="none"/>
        </w:rPr>
        <w:sectPr>
          <w:footerReference r:id="rId7" w:type="first"/>
          <w:footerReference r:id="rId6" w:type="default"/>
          <w:pgSz w:w="11906" w:h="16838"/>
          <w:pgMar w:top="1418" w:right="1418" w:bottom="1418" w:left="1418" w:header="851" w:footer="992" w:gutter="0"/>
          <w:cols w:space="720" w:num="1"/>
          <w:docGrid w:linePitch="312" w:charSpace="0"/>
        </w:sectPr>
      </w:pPr>
    </w:p>
    <w:p w14:paraId="1880CF1E">
      <w:pPr>
        <w:tabs>
          <w:tab w:val="center" w:pos="4535"/>
        </w:tabs>
        <w:snapToGrid w:val="0"/>
        <w:spacing w:line="360" w:lineRule="auto"/>
        <w:jc w:val="left"/>
        <w:outlineLvl w:val="2"/>
        <w:rPr>
          <w:rFonts w:ascii="Calibri" w:hAnsi="Calibri" w:eastAsia="仿宋" w:cs="宋体"/>
          <w:b/>
          <w:snapToGrid w:val="0"/>
          <w:kern w:val="0"/>
          <w:sz w:val="24"/>
          <w:highlight w:val="none"/>
        </w:rPr>
      </w:pPr>
      <w:r>
        <w:rPr>
          <w:rFonts w:hint="eastAsia" w:ascii="Calibri" w:hAnsi="Calibri" w:eastAsia="仿宋" w:cs="宋体"/>
          <w:b/>
          <w:snapToGrid w:val="0"/>
          <w:kern w:val="0"/>
          <w:sz w:val="24"/>
          <w:highlight w:val="none"/>
        </w:rPr>
        <w:t>附件三：合同价格清单</w:t>
      </w:r>
      <w:r>
        <w:rPr>
          <w:rFonts w:hint="eastAsia" w:ascii="Calibri" w:hAnsi="Calibri" w:eastAsia="仿宋" w:cs="宋体"/>
          <w:b/>
          <w:snapToGrid w:val="0"/>
          <w:kern w:val="0"/>
          <w:sz w:val="24"/>
          <w:highlight w:val="none"/>
        </w:rPr>
        <w:tab/>
      </w:r>
    </w:p>
    <w:tbl>
      <w:tblPr>
        <w:tblStyle w:val="80"/>
        <w:tblW w:w="140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22"/>
        <w:gridCol w:w="2704"/>
        <w:gridCol w:w="2052"/>
        <w:gridCol w:w="925"/>
        <w:gridCol w:w="1276"/>
        <w:gridCol w:w="1417"/>
        <w:gridCol w:w="993"/>
        <w:gridCol w:w="1417"/>
        <w:gridCol w:w="2017"/>
      </w:tblGrid>
      <w:tr w14:paraId="017A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515CF280">
            <w:pPr>
              <w:widowControl/>
              <w:adjustRightInd/>
              <w:jc w:val="center"/>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序号</w:t>
            </w:r>
          </w:p>
        </w:tc>
        <w:tc>
          <w:tcPr>
            <w:tcW w:w="3326" w:type="dxa"/>
            <w:gridSpan w:val="2"/>
            <w:vAlign w:val="center"/>
          </w:tcPr>
          <w:p w14:paraId="02C2C2A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设备名称</w:t>
            </w:r>
            <w:r>
              <w:rPr>
                <w:rFonts w:hint="eastAsia" w:ascii="仿宋" w:hAnsi="仿宋" w:eastAsia="仿宋" w:cs="仿宋"/>
                <w:bCs/>
                <w:snapToGrid w:val="0"/>
                <w:sz w:val="24"/>
                <w:highlight w:val="none"/>
              </w:rPr>
              <w:t>（或服务内容）</w:t>
            </w:r>
          </w:p>
        </w:tc>
        <w:tc>
          <w:tcPr>
            <w:tcW w:w="2052" w:type="dxa"/>
          </w:tcPr>
          <w:p w14:paraId="761EE3C0">
            <w:pPr>
              <w:widowControl/>
              <w:adjustRightInd/>
              <w:jc w:val="center"/>
              <w:rPr>
                <w:rFonts w:ascii="仿宋" w:hAnsi="仿宋" w:eastAsia="仿宋" w:cs="仿宋"/>
                <w:bCs/>
                <w:snapToGrid w:val="0"/>
                <w:sz w:val="24"/>
                <w:highlight w:val="none"/>
              </w:rPr>
            </w:pPr>
            <w:r>
              <w:rPr>
                <w:rFonts w:hint="eastAsia" w:ascii="仿宋" w:hAnsi="仿宋" w:eastAsia="仿宋" w:cs="仿宋"/>
                <w:bCs/>
                <w:snapToGrid w:val="0"/>
                <w:sz w:val="24"/>
                <w:highlight w:val="none"/>
              </w:rPr>
              <w:t>品牌、型号（或服务内容）</w:t>
            </w:r>
          </w:p>
        </w:tc>
        <w:tc>
          <w:tcPr>
            <w:tcW w:w="925" w:type="dxa"/>
            <w:vAlign w:val="center"/>
          </w:tcPr>
          <w:p w14:paraId="34A8047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数量</w:t>
            </w:r>
          </w:p>
        </w:tc>
        <w:tc>
          <w:tcPr>
            <w:tcW w:w="1276" w:type="dxa"/>
            <w:vAlign w:val="center"/>
          </w:tcPr>
          <w:p w14:paraId="67E9A43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单位</w:t>
            </w:r>
          </w:p>
        </w:tc>
        <w:tc>
          <w:tcPr>
            <w:tcW w:w="1417" w:type="dxa"/>
            <w:vAlign w:val="center"/>
          </w:tcPr>
          <w:p w14:paraId="13911FED">
            <w:pPr>
              <w:adjustRightInd/>
              <w:snapToGrid w:val="0"/>
              <w:jc w:val="center"/>
              <w:rPr>
                <w:rFonts w:ascii="仿宋" w:hAnsi="仿宋" w:eastAsia="仿宋" w:cs="仿宋"/>
                <w:bCs/>
                <w:sz w:val="24"/>
                <w:highlight w:val="none"/>
              </w:rPr>
            </w:pPr>
            <w:r>
              <w:rPr>
                <w:rFonts w:hint="eastAsia" w:ascii="仿宋" w:hAnsi="仿宋" w:eastAsia="仿宋" w:cs="仿宋"/>
                <w:bCs/>
                <w:sz w:val="24"/>
                <w:highlight w:val="none"/>
              </w:rPr>
              <w:t>单价</w:t>
            </w:r>
          </w:p>
          <w:p w14:paraId="037E427C">
            <w:pPr>
              <w:widowControl/>
              <w:adjustRightInd/>
              <w:jc w:val="center"/>
              <w:rPr>
                <w:rFonts w:ascii="仿宋" w:hAnsi="仿宋" w:eastAsia="仿宋" w:cs="宋体"/>
                <w:color w:val="000000"/>
                <w:kern w:val="0"/>
                <w:sz w:val="24"/>
                <w:highlight w:val="none"/>
              </w:rPr>
            </w:pPr>
            <w:r>
              <w:rPr>
                <w:rFonts w:hint="eastAsia" w:ascii="仿宋" w:hAnsi="仿宋" w:eastAsia="仿宋" w:cs="仿宋"/>
                <w:bCs/>
                <w:sz w:val="24"/>
                <w:highlight w:val="none"/>
              </w:rPr>
              <w:t>（元/月）</w:t>
            </w:r>
          </w:p>
        </w:tc>
        <w:tc>
          <w:tcPr>
            <w:tcW w:w="993" w:type="dxa"/>
            <w:vAlign w:val="center"/>
          </w:tcPr>
          <w:p w14:paraId="324D078C">
            <w:pPr>
              <w:widowControl/>
              <w:adjustRightInd/>
              <w:jc w:val="center"/>
              <w:rPr>
                <w:rFonts w:ascii="仿宋" w:hAnsi="仿宋" w:eastAsia="仿宋" w:cs="宋体"/>
                <w:color w:val="000000"/>
                <w:kern w:val="0"/>
                <w:sz w:val="24"/>
                <w:highlight w:val="none"/>
              </w:rPr>
            </w:pPr>
            <w:r>
              <w:rPr>
                <w:rFonts w:hint="eastAsia" w:ascii="仿宋" w:hAnsi="仿宋" w:eastAsia="仿宋" w:cs="仿宋"/>
                <w:bCs/>
                <w:sz w:val="24"/>
                <w:highlight w:val="none"/>
              </w:rPr>
              <w:t>服务期限（月）</w:t>
            </w:r>
          </w:p>
        </w:tc>
        <w:tc>
          <w:tcPr>
            <w:tcW w:w="1417" w:type="dxa"/>
            <w:vAlign w:val="center"/>
          </w:tcPr>
          <w:p w14:paraId="6EC01FB0">
            <w:pPr>
              <w:widowControl/>
              <w:adjustRightInd/>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合计（元）</w:t>
            </w:r>
          </w:p>
        </w:tc>
        <w:tc>
          <w:tcPr>
            <w:tcW w:w="2017" w:type="dxa"/>
            <w:vAlign w:val="center"/>
          </w:tcPr>
          <w:p w14:paraId="7740F1C9">
            <w:pPr>
              <w:widowControl/>
              <w:adjustRightInd/>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备注</w:t>
            </w:r>
          </w:p>
        </w:tc>
      </w:tr>
      <w:tr w14:paraId="11DD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61" w:type="dxa"/>
            <w:gridSpan w:val="10"/>
            <w:vAlign w:val="center"/>
          </w:tcPr>
          <w:p w14:paraId="25BCDC4A">
            <w:pPr>
              <w:widowControl/>
              <w:adjustRightInd/>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一、硬件部分</w:t>
            </w:r>
          </w:p>
        </w:tc>
      </w:tr>
      <w:tr w14:paraId="2D3A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56C7224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3326" w:type="dxa"/>
            <w:gridSpan w:val="2"/>
            <w:vAlign w:val="center"/>
          </w:tcPr>
          <w:p w14:paraId="2E6F80B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超融合应用服务一体机</w:t>
            </w:r>
          </w:p>
        </w:tc>
        <w:tc>
          <w:tcPr>
            <w:tcW w:w="2052" w:type="dxa"/>
            <w:vAlign w:val="center"/>
          </w:tcPr>
          <w:p w14:paraId="30BCA5A8">
            <w:pPr>
              <w:widowControl/>
              <w:adjustRightInd/>
              <w:jc w:val="center"/>
              <w:rPr>
                <w:rFonts w:ascii="宋体" w:hAnsi="宋体" w:eastAsia="仿宋" w:cs="宋体"/>
                <w:color w:val="000000"/>
                <w:kern w:val="0"/>
                <w:sz w:val="24"/>
                <w:highlight w:val="none"/>
              </w:rPr>
            </w:pPr>
          </w:p>
        </w:tc>
        <w:tc>
          <w:tcPr>
            <w:tcW w:w="925" w:type="dxa"/>
            <w:vAlign w:val="center"/>
          </w:tcPr>
          <w:p w14:paraId="53EBB63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540079E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58966C36">
            <w:pPr>
              <w:widowControl/>
              <w:adjustRightInd/>
              <w:jc w:val="center"/>
              <w:rPr>
                <w:rFonts w:ascii="宋体" w:hAnsi="宋体" w:eastAsia="仿宋" w:cs="宋体"/>
                <w:color w:val="000000"/>
                <w:kern w:val="0"/>
                <w:sz w:val="24"/>
                <w:highlight w:val="none"/>
              </w:rPr>
            </w:pPr>
          </w:p>
        </w:tc>
        <w:tc>
          <w:tcPr>
            <w:tcW w:w="993" w:type="dxa"/>
            <w:vAlign w:val="center"/>
          </w:tcPr>
          <w:p w14:paraId="371396B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807688A">
            <w:pPr>
              <w:widowControl/>
              <w:adjustRightInd/>
              <w:jc w:val="center"/>
              <w:rPr>
                <w:rFonts w:ascii="宋体" w:hAnsi="宋体" w:eastAsia="仿宋" w:cs="宋体"/>
                <w:color w:val="000000"/>
                <w:kern w:val="0"/>
                <w:sz w:val="24"/>
                <w:highlight w:val="none"/>
              </w:rPr>
            </w:pPr>
          </w:p>
        </w:tc>
        <w:tc>
          <w:tcPr>
            <w:tcW w:w="2017" w:type="dxa"/>
          </w:tcPr>
          <w:p w14:paraId="4698A990">
            <w:pPr>
              <w:widowControl/>
              <w:adjustRightInd/>
              <w:jc w:val="center"/>
              <w:rPr>
                <w:rFonts w:ascii="宋体" w:hAnsi="宋体" w:eastAsia="仿宋" w:cs="宋体"/>
                <w:color w:val="000000"/>
                <w:kern w:val="0"/>
                <w:sz w:val="24"/>
                <w:highlight w:val="none"/>
              </w:rPr>
            </w:pPr>
          </w:p>
        </w:tc>
      </w:tr>
      <w:tr w14:paraId="259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restart"/>
            <w:vAlign w:val="center"/>
          </w:tcPr>
          <w:p w14:paraId="6F9C5D1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622" w:type="dxa"/>
            <w:vMerge w:val="restart"/>
            <w:vAlign w:val="center"/>
          </w:tcPr>
          <w:p w14:paraId="2D8D97A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w:t>
            </w:r>
          </w:p>
        </w:tc>
        <w:tc>
          <w:tcPr>
            <w:tcW w:w="2704" w:type="dxa"/>
            <w:vAlign w:val="center"/>
          </w:tcPr>
          <w:p w14:paraId="19E9161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大数据平台流式计算服务一体机</w:t>
            </w:r>
          </w:p>
        </w:tc>
        <w:tc>
          <w:tcPr>
            <w:tcW w:w="2052" w:type="dxa"/>
            <w:vAlign w:val="center"/>
          </w:tcPr>
          <w:p w14:paraId="7F52D694">
            <w:pPr>
              <w:widowControl/>
              <w:adjustRightInd/>
              <w:jc w:val="center"/>
              <w:rPr>
                <w:rFonts w:ascii="宋体" w:hAnsi="宋体" w:eastAsia="仿宋" w:cs="宋体"/>
                <w:color w:val="000000"/>
                <w:kern w:val="0"/>
                <w:sz w:val="24"/>
                <w:highlight w:val="none"/>
              </w:rPr>
            </w:pPr>
          </w:p>
        </w:tc>
        <w:tc>
          <w:tcPr>
            <w:tcW w:w="925" w:type="dxa"/>
            <w:vAlign w:val="center"/>
          </w:tcPr>
          <w:p w14:paraId="688AC0E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276" w:type="dxa"/>
            <w:vAlign w:val="center"/>
          </w:tcPr>
          <w:p w14:paraId="172D80A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32314AE2">
            <w:pPr>
              <w:widowControl/>
              <w:adjustRightInd/>
              <w:jc w:val="center"/>
              <w:rPr>
                <w:rFonts w:ascii="宋体" w:hAnsi="宋体" w:eastAsia="仿宋" w:cs="宋体"/>
                <w:color w:val="000000"/>
                <w:kern w:val="0"/>
                <w:sz w:val="24"/>
                <w:highlight w:val="none"/>
              </w:rPr>
            </w:pPr>
          </w:p>
        </w:tc>
        <w:tc>
          <w:tcPr>
            <w:tcW w:w="993" w:type="dxa"/>
            <w:vAlign w:val="center"/>
          </w:tcPr>
          <w:p w14:paraId="0465000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44A483D1">
            <w:pPr>
              <w:widowControl/>
              <w:adjustRightInd/>
              <w:jc w:val="center"/>
              <w:rPr>
                <w:rFonts w:ascii="宋体" w:hAnsi="宋体" w:eastAsia="仿宋" w:cs="宋体"/>
                <w:color w:val="000000"/>
                <w:kern w:val="0"/>
                <w:sz w:val="24"/>
                <w:highlight w:val="none"/>
              </w:rPr>
            </w:pPr>
          </w:p>
        </w:tc>
        <w:tc>
          <w:tcPr>
            <w:tcW w:w="2017" w:type="dxa"/>
          </w:tcPr>
          <w:p w14:paraId="396F4869">
            <w:pPr>
              <w:widowControl/>
              <w:adjustRightInd/>
              <w:jc w:val="center"/>
              <w:rPr>
                <w:rFonts w:ascii="宋体" w:hAnsi="宋体" w:eastAsia="仿宋" w:cs="宋体"/>
                <w:color w:val="000000"/>
                <w:kern w:val="0"/>
                <w:sz w:val="24"/>
                <w:highlight w:val="none"/>
              </w:rPr>
            </w:pPr>
          </w:p>
        </w:tc>
      </w:tr>
      <w:tr w14:paraId="59EB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12700DF7">
            <w:pPr>
              <w:rPr>
                <w:highlight w:val="none"/>
              </w:rPr>
            </w:pPr>
          </w:p>
        </w:tc>
        <w:tc>
          <w:tcPr>
            <w:tcW w:w="622" w:type="dxa"/>
            <w:vMerge w:val="continue"/>
            <w:vAlign w:val="center"/>
          </w:tcPr>
          <w:p w14:paraId="0AD9785E">
            <w:pPr>
              <w:rPr>
                <w:highlight w:val="none"/>
              </w:rPr>
            </w:pPr>
          </w:p>
        </w:tc>
        <w:tc>
          <w:tcPr>
            <w:tcW w:w="2704" w:type="dxa"/>
            <w:vAlign w:val="center"/>
          </w:tcPr>
          <w:p w14:paraId="57DAFBE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实时流处理引擎软件</w:t>
            </w:r>
          </w:p>
        </w:tc>
        <w:tc>
          <w:tcPr>
            <w:tcW w:w="2052" w:type="dxa"/>
            <w:vAlign w:val="center"/>
          </w:tcPr>
          <w:p w14:paraId="1BBE7D11">
            <w:pPr>
              <w:widowControl/>
              <w:adjustRightInd/>
              <w:jc w:val="center"/>
              <w:rPr>
                <w:rFonts w:ascii="宋体" w:hAnsi="宋体" w:eastAsia="仿宋" w:cs="宋体"/>
                <w:color w:val="000000"/>
                <w:kern w:val="0"/>
                <w:sz w:val="24"/>
                <w:highlight w:val="none"/>
              </w:rPr>
            </w:pPr>
          </w:p>
        </w:tc>
        <w:tc>
          <w:tcPr>
            <w:tcW w:w="925" w:type="dxa"/>
            <w:vAlign w:val="center"/>
          </w:tcPr>
          <w:p w14:paraId="1D0CCE3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276" w:type="dxa"/>
            <w:vAlign w:val="center"/>
          </w:tcPr>
          <w:p w14:paraId="43D2D50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7EE1E21E">
            <w:pPr>
              <w:widowControl/>
              <w:adjustRightInd/>
              <w:jc w:val="center"/>
              <w:rPr>
                <w:rFonts w:ascii="宋体" w:hAnsi="宋体" w:eastAsia="仿宋" w:cs="宋体"/>
                <w:color w:val="000000"/>
                <w:kern w:val="0"/>
                <w:sz w:val="24"/>
                <w:highlight w:val="none"/>
              </w:rPr>
            </w:pPr>
          </w:p>
        </w:tc>
        <w:tc>
          <w:tcPr>
            <w:tcW w:w="993" w:type="dxa"/>
            <w:vAlign w:val="center"/>
          </w:tcPr>
          <w:p w14:paraId="04A7F48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F69CC78">
            <w:pPr>
              <w:widowControl/>
              <w:adjustRightInd/>
              <w:jc w:val="center"/>
              <w:rPr>
                <w:rFonts w:ascii="宋体" w:hAnsi="宋体" w:eastAsia="仿宋" w:cs="宋体"/>
                <w:color w:val="000000"/>
                <w:kern w:val="0"/>
                <w:sz w:val="24"/>
                <w:highlight w:val="none"/>
              </w:rPr>
            </w:pPr>
          </w:p>
        </w:tc>
        <w:tc>
          <w:tcPr>
            <w:tcW w:w="2017" w:type="dxa"/>
          </w:tcPr>
          <w:p w14:paraId="1DA360DE">
            <w:pPr>
              <w:widowControl/>
              <w:adjustRightInd/>
              <w:jc w:val="center"/>
              <w:rPr>
                <w:rFonts w:ascii="宋体" w:hAnsi="宋体" w:eastAsia="仿宋" w:cs="宋体"/>
                <w:color w:val="000000"/>
                <w:kern w:val="0"/>
                <w:sz w:val="24"/>
                <w:highlight w:val="none"/>
              </w:rPr>
            </w:pPr>
          </w:p>
        </w:tc>
      </w:tr>
      <w:tr w14:paraId="5549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577C4992">
            <w:pPr>
              <w:rPr>
                <w:highlight w:val="none"/>
              </w:rPr>
            </w:pPr>
          </w:p>
        </w:tc>
        <w:tc>
          <w:tcPr>
            <w:tcW w:w="622" w:type="dxa"/>
            <w:vMerge w:val="continue"/>
            <w:vAlign w:val="center"/>
          </w:tcPr>
          <w:p w14:paraId="05679922">
            <w:pPr>
              <w:rPr>
                <w:highlight w:val="none"/>
              </w:rPr>
            </w:pPr>
          </w:p>
        </w:tc>
        <w:tc>
          <w:tcPr>
            <w:tcW w:w="2704" w:type="dxa"/>
            <w:vAlign w:val="center"/>
          </w:tcPr>
          <w:p w14:paraId="011105F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大数据平台数据存储服务一体机</w:t>
            </w:r>
          </w:p>
        </w:tc>
        <w:tc>
          <w:tcPr>
            <w:tcW w:w="2052" w:type="dxa"/>
            <w:vAlign w:val="center"/>
          </w:tcPr>
          <w:p w14:paraId="3ADFE490">
            <w:pPr>
              <w:widowControl/>
              <w:adjustRightInd/>
              <w:jc w:val="center"/>
              <w:rPr>
                <w:rFonts w:ascii="宋体" w:hAnsi="宋体" w:eastAsia="仿宋" w:cs="宋体"/>
                <w:color w:val="000000"/>
                <w:kern w:val="0"/>
                <w:sz w:val="24"/>
                <w:highlight w:val="none"/>
              </w:rPr>
            </w:pPr>
          </w:p>
        </w:tc>
        <w:tc>
          <w:tcPr>
            <w:tcW w:w="925" w:type="dxa"/>
            <w:vAlign w:val="center"/>
          </w:tcPr>
          <w:p w14:paraId="6B7CF9E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3DAE52E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7F9EFF84">
            <w:pPr>
              <w:widowControl/>
              <w:adjustRightInd/>
              <w:jc w:val="center"/>
              <w:rPr>
                <w:rFonts w:ascii="宋体" w:hAnsi="宋体" w:eastAsia="仿宋" w:cs="宋体"/>
                <w:color w:val="000000"/>
                <w:kern w:val="0"/>
                <w:sz w:val="24"/>
                <w:highlight w:val="none"/>
              </w:rPr>
            </w:pPr>
          </w:p>
        </w:tc>
        <w:tc>
          <w:tcPr>
            <w:tcW w:w="993" w:type="dxa"/>
            <w:vAlign w:val="center"/>
          </w:tcPr>
          <w:p w14:paraId="70574C8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A480E77">
            <w:pPr>
              <w:widowControl/>
              <w:adjustRightInd/>
              <w:jc w:val="center"/>
              <w:rPr>
                <w:rFonts w:ascii="宋体" w:hAnsi="宋体" w:eastAsia="仿宋" w:cs="宋体"/>
                <w:color w:val="000000"/>
                <w:kern w:val="0"/>
                <w:sz w:val="24"/>
                <w:highlight w:val="none"/>
              </w:rPr>
            </w:pPr>
          </w:p>
        </w:tc>
        <w:tc>
          <w:tcPr>
            <w:tcW w:w="2017" w:type="dxa"/>
          </w:tcPr>
          <w:p w14:paraId="420EB279">
            <w:pPr>
              <w:widowControl/>
              <w:adjustRightInd/>
              <w:jc w:val="center"/>
              <w:rPr>
                <w:rFonts w:ascii="宋体" w:hAnsi="宋体" w:eastAsia="仿宋" w:cs="宋体"/>
                <w:color w:val="000000"/>
                <w:kern w:val="0"/>
                <w:sz w:val="24"/>
                <w:highlight w:val="none"/>
              </w:rPr>
            </w:pPr>
          </w:p>
        </w:tc>
      </w:tr>
      <w:tr w14:paraId="5857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0B66A446">
            <w:pPr>
              <w:rPr>
                <w:highlight w:val="none"/>
              </w:rPr>
            </w:pPr>
          </w:p>
        </w:tc>
        <w:tc>
          <w:tcPr>
            <w:tcW w:w="622" w:type="dxa"/>
            <w:vMerge w:val="continue"/>
            <w:vAlign w:val="center"/>
          </w:tcPr>
          <w:p w14:paraId="5274DE82">
            <w:pPr>
              <w:rPr>
                <w:highlight w:val="none"/>
              </w:rPr>
            </w:pPr>
          </w:p>
        </w:tc>
        <w:tc>
          <w:tcPr>
            <w:tcW w:w="2704" w:type="dxa"/>
            <w:vAlign w:val="center"/>
          </w:tcPr>
          <w:p w14:paraId="4B48B02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实时数据管理软件</w:t>
            </w:r>
          </w:p>
        </w:tc>
        <w:tc>
          <w:tcPr>
            <w:tcW w:w="2052" w:type="dxa"/>
            <w:vAlign w:val="center"/>
          </w:tcPr>
          <w:p w14:paraId="7DD17542">
            <w:pPr>
              <w:widowControl/>
              <w:adjustRightInd/>
              <w:jc w:val="center"/>
              <w:rPr>
                <w:rFonts w:ascii="宋体" w:hAnsi="宋体" w:eastAsia="仿宋" w:cs="宋体"/>
                <w:color w:val="000000"/>
                <w:kern w:val="0"/>
                <w:sz w:val="24"/>
                <w:highlight w:val="none"/>
              </w:rPr>
            </w:pPr>
          </w:p>
        </w:tc>
        <w:tc>
          <w:tcPr>
            <w:tcW w:w="925" w:type="dxa"/>
            <w:vAlign w:val="center"/>
          </w:tcPr>
          <w:p w14:paraId="21B748B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091A735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2E289C91">
            <w:pPr>
              <w:widowControl/>
              <w:adjustRightInd/>
              <w:jc w:val="center"/>
              <w:rPr>
                <w:rFonts w:ascii="宋体" w:hAnsi="宋体" w:eastAsia="仿宋" w:cs="宋体"/>
                <w:color w:val="000000"/>
                <w:kern w:val="0"/>
                <w:sz w:val="24"/>
                <w:highlight w:val="none"/>
              </w:rPr>
            </w:pPr>
          </w:p>
        </w:tc>
        <w:tc>
          <w:tcPr>
            <w:tcW w:w="993" w:type="dxa"/>
            <w:vAlign w:val="center"/>
          </w:tcPr>
          <w:p w14:paraId="7564D87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C08FB6E">
            <w:pPr>
              <w:widowControl/>
              <w:adjustRightInd/>
              <w:jc w:val="center"/>
              <w:rPr>
                <w:rFonts w:ascii="宋体" w:hAnsi="宋体" w:eastAsia="仿宋" w:cs="宋体"/>
                <w:color w:val="000000"/>
                <w:kern w:val="0"/>
                <w:sz w:val="24"/>
                <w:highlight w:val="none"/>
              </w:rPr>
            </w:pPr>
          </w:p>
        </w:tc>
        <w:tc>
          <w:tcPr>
            <w:tcW w:w="2017" w:type="dxa"/>
          </w:tcPr>
          <w:p w14:paraId="511FAF72">
            <w:pPr>
              <w:widowControl/>
              <w:adjustRightInd/>
              <w:jc w:val="center"/>
              <w:rPr>
                <w:rFonts w:ascii="宋体" w:hAnsi="宋体" w:eastAsia="仿宋" w:cs="宋体"/>
                <w:color w:val="000000"/>
                <w:kern w:val="0"/>
                <w:sz w:val="24"/>
                <w:highlight w:val="none"/>
              </w:rPr>
            </w:pPr>
          </w:p>
        </w:tc>
      </w:tr>
      <w:tr w14:paraId="1E7B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652ED332">
            <w:pPr>
              <w:rPr>
                <w:highlight w:val="none"/>
              </w:rPr>
            </w:pPr>
          </w:p>
        </w:tc>
        <w:tc>
          <w:tcPr>
            <w:tcW w:w="622" w:type="dxa"/>
            <w:vMerge w:val="continue"/>
            <w:vAlign w:val="center"/>
          </w:tcPr>
          <w:p w14:paraId="4E9BD51E">
            <w:pPr>
              <w:rPr>
                <w:highlight w:val="none"/>
              </w:rPr>
            </w:pPr>
          </w:p>
        </w:tc>
        <w:tc>
          <w:tcPr>
            <w:tcW w:w="2704" w:type="dxa"/>
            <w:vAlign w:val="center"/>
          </w:tcPr>
          <w:p w14:paraId="092D6C8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现场安装调试服务</w:t>
            </w:r>
          </w:p>
        </w:tc>
        <w:tc>
          <w:tcPr>
            <w:tcW w:w="2052" w:type="dxa"/>
            <w:vAlign w:val="center"/>
          </w:tcPr>
          <w:p w14:paraId="33A63A6A">
            <w:pPr>
              <w:widowControl/>
              <w:adjustRightInd/>
              <w:jc w:val="center"/>
              <w:rPr>
                <w:rFonts w:ascii="宋体" w:hAnsi="宋体" w:eastAsia="仿宋" w:cs="宋体"/>
                <w:color w:val="000000"/>
                <w:kern w:val="0"/>
                <w:sz w:val="24"/>
                <w:highlight w:val="none"/>
              </w:rPr>
            </w:pPr>
          </w:p>
        </w:tc>
        <w:tc>
          <w:tcPr>
            <w:tcW w:w="925" w:type="dxa"/>
            <w:vAlign w:val="center"/>
          </w:tcPr>
          <w:p w14:paraId="6845E3D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245ED62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5DF9476A">
            <w:pPr>
              <w:widowControl/>
              <w:adjustRightInd/>
              <w:jc w:val="center"/>
              <w:rPr>
                <w:rFonts w:ascii="宋体" w:hAnsi="宋体" w:eastAsia="仿宋" w:cs="宋体"/>
                <w:color w:val="000000"/>
                <w:kern w:val="0"/>
                <w:sz w:val="24"/>
                <w:highlight w:val="none"/>
              </w:rPr>
            </w:pPr>
          </w:p>
        </w:tc>
        <w:tc>
          <w:tcPr>
            <w:tcW w:w="993" w:type="dxa"/>
            <w:vAlign w:val="center"/>
          </w:tcPr>
          <w:p w14:paraId="582B6FD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441059A">
            <w:pPr>
              <w:widowControl/>
              <w:adjustRightInd/>
              <w:jc w:val="center"/>
              <w:rPr>
                <w:rFonts w:ascii="宋体" w:hAnsi="宋体" w:eastAsia="仿宋" w:cs="宋体"/>
                <w:color w:val="000000"/>
                <w:kern w:val="0"/>
                <w:sz w:val="24"/>
                <w:highlight w:val="none"/>
              </w:rPr>
            </w:pPr>
          </w:p>
        </w:tc>
        <w:tc>
          <w:tcPr>
            <w:tcW w:w="2017" w:type="dxa"/>
          </w:tcPr>
          <w:p w14:paraId="3BF83507">
            <w:pPr>
              <w:widowControl/>
              <w:adjustRightInd/>
              <w:jc w:val="center"/>
              <w:rPr>
                <w:rFonts w:ascii="宋体" w:hAnsi="宋体" w:eastAsia="仿宋" w:cs="宋体"/>
                <w:color w:val="000000"/>
                <w:kern w:val="0"/>
                <w:sz w:val="24"/>
                <w:highlight w:val="none"/>
              </w:rPr>
            </w:pPr>
          </w:p>
        </w:tc>
      </w:tr>
      <w:tr w14:paraId="6286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65B880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3326" w:type="dxa"/>
            <w:gridSpan w:val="2"/>
            <w:vAlign w:val="center"/>
          </w:tcPr>
          <w:p w14:paraId="1307382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视频服务网关</w:t>
            </w:r>
          </w:p>
        </w:tc>
        <w:tc>
          <w:tcPr>
            <w:tcW w:w="2052" w:type="dxa"/>
            <w:vAlign w:val="center"/>
          </w:tcPr>
          <w:p w14:paraId="02E7E0D1">
            <w:pPr>
              <w:widowControl/>
              <w:adjustRightInd/>
              <w:jc w:val="center"/>
              <w:rPr>
                <w:rFonts w:ascii="宋体" w:hAnsi="宋体" w:eastAsia="仿宋" w:cs="宋体"/>
                <w:color w:val="000000"/>
                <w:kern w:val="0"/>
                <w:sz w:val="24"/>
                <w:highlight w:val="none"/>
              </w:rPr>
            </w:pPr>
          </w:p>
        </w:tc>
        <w:tc>
          <w:tcPr>
            <w:tcW w:w="925" w:type="dxa"/>
            <w:vAlign w:val="center"/>
          </w:tcPr>
          <w:p w14:paraId="13A7392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4E2F024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6458F445">
            <w:pPr>
              <w:widowControl/>
              <w:adjustRightInd/>
              <w:jc w:val="center"/>
              <w:rPr>
                <w:rFonts w:ascii="宋体" w:hAnsi="宋体" w:eastAsia="仿宋" w:cs="宋体"/>
                <w:color w:val="000000"/>
                <w:kern w:val="0"/>
                <w:sz w:val="24"/>
                <w:highlight w:val="none"/>
              </w:rPr>
            </w:pPr>
          </w:p>
        </w:tc>
        <w:tc>
          <w:tcPr>
            <w:tcW w:w="993" w:type="dxa"/>
            <w:vAlign w:val="center"/>
          </w:tcPr>
          <w:p w14:paraId="00693F6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4D0957FC">
            <w:pPr>
              <w:widowControl/>
              <w:adjustRightInd/>
              <w:jc w:val="center"/>
              <w:rPr>
                <w:rFonts w:ascii="宋体" w:hAnsi="宋体" w:eastAsia="仿宋" w:cs="宋体"/>
                <w:color w:val="000000"/>
                <w:kern w:val="0"/>
                <w:sz w:val="24"/>
                <w:highlight w:val="none"/>
              </w:rPr>
            </w:pPr>
          </w:p>
        </w:tc>
        <w:tc>
          <w:tcPr>
            <w:tcW w:w="2017" w:type="dxa"/>
          </w:tcPr>
          <w:p w14:paraId="55864F0B">
            <w:pPr>
              <w:widowControl/>
              <w:adjustRightInd/>
              <w:jc w:val="center"/>
              <w:rPr>
                <w:rFonts w:ascii="宋体" w:hAnsi="宋体" w:eastAsia="仿宋" w:cs="宋体"/>
                <w:color w:val="000000"/>
                <w:kern w:val="0"/>
                <w:sz w:val="24"/>
                <w:highlight w:val="none"/>
              </w:rPr>
            </w:pPr>
          </w:p>
        </w:tc>
      </w:tr>
      <w:tr w14:paraId="2FDA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0DF858C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w:t>
            </w:r>
          </w:p>
        </w:tc>
        <w:tc>
          <w:tcPr>
            <w:tcW w:w="3326" w:type="dxa"/>
            <w:gridSpan w:val="2"/>
            <w:vAlign w:val="center"/>
          </w:tcPr>
          <w:p w14:paraId="3F93F6F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集成指挥平台升级服务一体机</w:t>
            </w:r>
          </w:p>
        </w:tc>
        <w:tc>
          <w:tcPr>
            <w:tcW w:w="2052" w:type="dxa"/>
            <w:vAlign w:val="center"/>
          </w:tcPr>
          <w:p w14:paraId="39A88F23">
            <w:pPr>
              <w:widowControl/>
              <w:adjustRightInd/>
              <w:jc w:val="center"/>
              <w:rPr>
                <w:rFonts w:ascii="宋体" w:hAnsi="宋体" w:eastAsia="仿宋" w:cs="宋体"/>
                <w:color w:val="000000"/>
                <w:kern w:val="0"/>
                <w:sz w:val="24"/>
                <w:highlight w:val="none"/>
              </w:rPr>
            </w:pPr>
          </w:p>
        </w:tc>
        <w:tc>
          <w:tcPr>
            <w:tcW w:w="925" w:type="dxa"/>
            <w:vAlign w:val="center"/>
          </w:tcPr>
          <w:p w14:paraId="4BBE765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2C86A4E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593828DB">
            <w:pPr>
              <w:widowControl/>
              <w:adjustRightInd/>
              <w:jc w:val="center"/>
              <w:rPr>
                <w:rFonts w:ascii="宋体" w:hAnsi="宋体" w:eastAsia="仿宋" w:cs="宋体"/>
                <w:color w:val="000000"/>
                <w:kern w:val="0"/>
                <w:sz w:val="24"/>
                <w:highlight w:val="none"/>
              </w:rPr>
            </w:pPr>
          </w:p>
        </w:tc>
        <w:tc>
          <w:tcPr>
            <w:tcW w:w="993" w:type="dxa"/>
            <w:vAlign w:val="center"/>
          </w:tcPr>
          <w:p w14:paraId="06B4151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CD22C06">
            <w:pPr>
              <w:widowControl/>
              <w:adjustRightInd/>
              <w:jc w:val="center"/>
              <w:rPr>
                <w:rFonts w:ascii="宋体" w:hAnsi="宋体" w:eastAsia="仿宋" w:cs="宋体"/>
                <w:color w:val="000000"/>
                <w:kern w:val="0"/>
                <w:sz w:val="24"/>
                <w:highlight w:val="none"/>
              </w:rPr>
            </w:pPr>
          </w:p>
        </w:tc>
        <w:tc>
          <w:tcPr>
            <w:tcW w:w="2017" w:type="dxa"/>
          </w:tcPr>
          <w:p w14:paraId="7D0D35B7">
            <w:pPr>
              <w:widowControl/>
              <w:adjustRightInd/>
              <w:jc w:val="center"/>
              <w:rPr>
                <w:rFonts w:ascii="宋体" w:hAnsi="宋体" w:eastAsia="仿宋" w:cs="宋体"/>
                <w:color w:val="000000"/>
                <w:kern w:val="0"/>
                <w:sz w:val="24"/>
                <w:highlight w:val="none"/>
              </w:rPr>
            </w:pPr>
          </w:p>
        </w:tc>
      </w:tr>
      <w:tr w14:paraId="7206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6A075D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3326" w:type="dxa"/>
            <w:gridSpan w:val="2"/>
            <w:vAlign w:val="center"/>
          </w:tcPr>
          <w:p w14:paraId="2800E9F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负载均衡器1</w:t>
            </w:r>
          </w:p>
        </w:tc>
        <w:tc>
          <w:tcPr>
            <w:tcW w:w="2052" w:type="dxa"/>
            <w:vAlign w:val="center"/>
          </w:tcPr>
          <w:p w14:paraId="58C72D93">
            <w:pPr>
              <w:widowControl/>
              <w:adjustRightInd/>
              <w:jc w:val="left"/>
              <w:rPr>
                <w:rFonts w:ascii="宋体" w:hAnsi="宋体" w:eastAsia="仿宋" w:cs="宋体"/>
                <w:color w:val="000000"/>
                <w:kern w:val="0"/>
                <w:sz w:val="24"/>
                <w:highlight w:val="none"/>
              </w:rPr>
            </w:pPr>
          </w:p>
        </w:tc>
        <w:tc>
          <w:tcPr>
            <w:tcW w:w="925" w:type="dxa"/>
            <w:vAlign w:val="center"/>
          </w:tcPr>
          <w:p w14:paraId="2BA04AC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3CC1C2F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760A2CB1">
            <w:pPr>
              <w:widowControl/>
              <w:adjustRightInd/>
              <w:jc w:val="center"/>
              <w:rPr>
                <w:rFonts w:ascii="宋体" w:hAnsi="宋体" w:eastAsia="仿宋" w:cs="宋体"/>
                <w:color w:val="000000"/>
                <w:kern w:val="0"/>
                <w:sz w:val="24"/>
                <w:highlight w:val="none"/>
              </w:rPr>
            </w:pPr>
          </w:p>
        </w:tc>
        <w:tc>
          <w:tcPr>
            <w:tcW w:w="993" w:type="dxa"/>
            <w:vAlign w:val="center"/>
          </w:tcPr>
          <w:p w14:paraId="736A882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C422AFD">
            <w:pPr>
              <w:widowControl/>
              <w:adjustRightInd/>
              <w:jc w:val="center"/>
              <w:rPr>
                <w:rFonts w:ascii="宋体" w:hAnsi="宋体" w:eastAsia="仿宋" w:cs="宋体"/>
                <w:color w:val="000000"/>
                <w:kern w:val="0"/>
                <w:sz w:val="24"/>
                <w:highlight w:val="none"/>
              </w:rPr>
            </w:pPr>
          </w:p>
        </w:tc>
        <w:tc>
          <w:tcPr>
            <w:tcW w:w="2017" w:type="dxa"/>
          </w:tcPr>
          <w:p w14:paraId="77DBC9F9">
            <w:pPr>
              <w:widowControl/>
              <w:adjustRightInd/>
              <w:jc w:val="center"/>
              <w:rPr>
                <w:rFonts w:ascii="宋体" w:hAnsi="宋体" w:eastAsia="仿宋" w:cs="宋体"/>
                <w:color w:val="000000"/>
                <w:kern w:val="0"/>
                <w:sz w:val="24"/>
                <w:highlight w:val="none"/>
              </w:rPr>
            </w:pPr>
          </w:p>
        </w:tc>
      </w:tr>
      <w:tr w14:paraId="71D7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17526D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6</w:t>
            </w:r>
          </w:p>
        </w:tc>
        <w:tc>
          <w:tcPr>
            <w:tcW w:w="3326" w:type="dxa"/>
            <w:gridSpan w:val="2"/>
            <w:vAlign w:val="center"/>
          </w:tcPr>
          <w:p w14:paraId="1374B50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负载均衡器2</w:t>
            </w:r>
          </w:p>
        </w:tc>
        <w:tc>
          <w:tcPr>
            <w:tcW w:w="2052" w:type="dxa"/>
            <w:vAlign w:val="center"/>
          </w:tcPr>
          <w:p w14:paraId="3F554E2E">
            <w:pPr>
              <w:widowControl/>
              <w:adjustRightInd/>
              <w:jc w:val="left"/>
              <w:rPr>
                <w:rFonts w:ascii="宋体" w:hAnsi="宋体" w:eastAsia="仿宋" w:cs="宋体"/>
                <w:color w:val="000000"/>
                <w:kern w:val="0"/>
                <w:sz w:val="24"/>
                <w:highlight w:val="none"/>
              </w:rPr>
            </w:pPr>
          </w:p>
        </w:tc>
        <w:tc>
          <w:tcPr>
            <w:tcW w:w="925" w:type="dxa"/>
            <w:vAlign w:val="center"/>
          </w:tcPr>
          <w:p w14:paraId="035FDDD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62C805D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3BF6A0F1">
            <w:pPr>
              <w:widowControl/>
              <w:adjustRightInd/>
              <w:jc w:val="center"/>
              <w:rPr>
                <w:rFonts w:ascii="宋体" w:hAnsi="宋体" w:eastAsia="仿宋" w:cs="宋体"/>
                <w:color w:val="000000"/>
                <w:kern w:val="0"/>
                <w:sz w:val="24"/>
                <w:highlight w:val="none"/>
              </w:rPr>
            </w:pPr>
          </w:p>
        </w:tc>
        <w:tc>
          <w:tcPr>
            <w:tcW w:w="993" w:type="dxa"/>
            <w:vAlign w:val="center"/>
          </w:tcPr>
          <w:p w14:paraId="43CF505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B976E84">
            <w:pPr>
              <w:widowControl/>
              <w:adjustRightInd/>
              <w:jc w:val="center"/>
              <w:rPr>
                <w:rFonts w:ascii="宋体" w:hAnsi="宋体" w:eastAsia="仿宋" w:cs="宋体"/>
                <w:color w:val="000000"/>
                <w:kern w:val="0"/>
                <w:sz w:val="24"/>
                <w:highlight w:val="none"/>
              </w:rPr>
            </w:pPr>
          </w:p>
        </w:tc>
        <w:tc>
          <w:tcPr>
            <w:tcW w:w="2017" w:type="dxa"/>
          </w:tcPr>
          <w:p w14:paraId="5382081B">
            <w:pPr>
              <w:widowControl/>
              <w:adjustRightInd/>
              <w:jc w:val="center"/>
              <w:rPr>
                <w:rFonts w:ascii="宋体" w:hAnsi="宋体" w:eastAsia="仿宋" w:cs="宋体"/>
                <w:color w:val="000000"/>
                <w:kern w:val="0"/>
                <w:sz w:val="24"/>
                <w:highlight w:val="none"/>
              </w:rPr>
            </w:pPr>
          </w:p>
        </w:tc>
      </w:tr>
      <w:tr w14:paraId="6C05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A3B34D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3326" w:type="dxa"/>
            <w:gridSpan w:val="2"/>
            <w:vAlign w:val="center"/>
          </w:tcPr>
          <w:p w14:paraId="0F39B4B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融合调度网关一体机</w:t>
            </w:r>
          </w:p>
        </w:tc>
        <w:tc>
          <w:tcPr>
            <w:tcW w:w="2052" w:type="dxa"/>
            <w:vAlign w:val="center"/>
          </w:tcPr>
          <w:p w14:paraId="612DF469">
            <w:pPr>
              <w:widowControl/>
              <w:adjustRightInd/>
              <w:jc w:val="left"/>
              <w:rPr>
                <w:rFonts w:ascii="宋体" w:hAnsi="宋体" w:eastAsia="仿宋" w:cs="宋体"/>
                <w:color w:val="000000"/>
                <w:kern w:val="0"/>
                <w:sz w:val="24"/>
                <w:highlight w:val="none"/>
              </w:rPr>
            </w:pPr>
          </w:p>
        </w:tc>
        <w:tc>
          <w:tcPr>
            <w:tcW w:w="925" w:type="dxa"/>
            <w:vAlign w:val="center"/>
          </w:tcPr>
          <w:p w14:paraId="1138227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5E16577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1C0C56F2">
            <w:pPr>
              <w:widowControl/>
              <w:adjustRightInd/>
              <w:jc w:val="center"/>
              <w:rPr>
                <w:rFonts w:ascii="宋体" w:hAnsi="宋体" w:eastAsia="仿宋" w:cs="宋体"/>
                <w:color w:val="000000"/>
                <w:kern w:val="0"/>
                <w:sz w:val="24"/>
                <w:highlight w:val="none"/>
              </w:rPr>
            </w:pPr>
          </w:p>
        </w:tc>
        <w:tc>
          <w:tcPr>
            <w:tcW w:w="993" w:type="dxa"/>
            <w:vAlign w:val="center"/>
          </w:tcPr>
          <w:p w14:paraId="03788A0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146832C">
            <w:pPr>
              <w:widowControl/>
              <w:adjustRightInd/>
              <w:jc w:val="center"/>
              <w:rPr>
                <w:rFonts w:ascii="宋体" w:hAnsi="宋体" w:eastAsia="仿宋" w:cs="宋体"/>
                <w:color w:val="000000"/>
                <w:kern w:val="0"/>
                <w:sz w:val="24"/>
                <w:highlight w:val="none"/>
              </w:rPr>
            </w:pPr>
          </w:p>
        </w:tc>
        <w:tc>
          <w:tcPr>
            <w:tcW w:w="2017" w:type="dxa"/>
          </w:tcPr>
          <w:p w14:paraId="77C90CBC">
            <w:pPr>
              <w:widowControl/>
              <w:adjustRightInd/>
              <w:jc w:val="center"/>
              <w:rPr>
                <w:rFonts w:ascii="宋体" w:hAnsi="宋体" w:eastAsia="仿宋" w:cs="宋体"/>
                <w:color w:val="000000"/>
                <w:kern w:val="0"/>
                <w:sz w:val="24"/>
                <w:highlight w:val="none"/>
              </w:rPr>
            </w:pPr>
          </w:p>
        </w:tc>
      </w:tr>
      <w:tr w14:paraId="02A1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restart"/>
            <w:vAlign w:val="center"/>
          </w:tcPr>
          <w:p w14:paraId="359786B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8</w:t>
            </w:r>
          </w:p>
        </w:tc>
        <w:tc>
          <w:tcPr>
            <w:tcW w:w="622" w:type="dxa"/>
            <w:vMerge w:val="restart"/>
            <w:vAlign w:val="center"/>
          </w:tcPr>
          <w:p w14:paraId="0937226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数据处理一体机</w:t>
            </w:r>
          </w:p>
        </w:tc>
        <w:tc>
          <w:tcPr>
            <w:tcW w:w="2704" w:type="dxa"/>
            <w:vAlign w:val="center"/>
          </w:tcPr>
          <w:p w14:paraId="3761D844">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计算节点</w:t>
            </w:r>
          </w:p>
        </w:tc>
        <w:tc>
          <w:tcPr>
            <w:tcW w:w="2052" w:type="dxa"/>
            <w:vAlign w:val="center"/>
          </w:tcPr>
          <w:p w14:paraId="7EE0E5FD">
            <w:pPr>
              <w:widowControl/>
              <w:adjustRightInd/>
              <w:jc w:val="left"/>
              <w:rPr>
                <w:rFonts w:ascii="宋体" w:hAnsi="宋体" w:eastAsia="仿宋" w:cs="宋体"/>
                <w:color w:val="000000"/>
                <w:kern w:val="0"/>
                <w:sz w:val="24"/>
                <w:highlight w:val="none"/>
              </w:rPr>
            </w:pPr>
          </w:p>
        </w:tc>
        <w:tc>
          <w:tcPr>
            <w:tcW w:w="925" w:type="dxa"/>
            <w:vAlign w:val="center"/>
          </w:tcPr>
          <w:p w14:paraId="5AF3D83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19B5AE7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5ADA3923">
            <w:pPr>
              <w:widowControl/>
              <w:adjustRightInd/>
              <w:jc w:val="center"/>
              <w:rPr>
                <w:rFonts w:ascii="宋体" w:hAnsi="宋体" w:eastAsia="仿宋" w:cs="宋体"/>
                <w:color w:val="000000"/>
                <w:kern w:val="0"/>
                <w:sz w:val="24"/>
                <w:highlight w:val="none"/>
              </w:rPr>
            </w:pPr>
          </w:p>
        </w:tc>
        <w:tc>
          <w:tcPr>
            <w:tcW w:w="993" w:type="dxa"/>
            <w:vAlign w:val="center"/>
          </w:tcPr>
          <w:p w14:paraId="7E6E69E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DB163BA">
            <w:pPr>
              <w:widowControl/>
              <w:adjustRightInd/>
              <w:jc w:val="center"/>
              <w:rPr>
                <w:rFonts w:ascii="宋体" w:hAnsi="宋体" w:eastAsia="仿宋" w:cs="宋体"/>
                <w:color w:val="000000"/>
                <w:kern w:val="0"/>
                <w:sz w:val="24"/>
                <w:highlight w:val="none"/>
              </w:rPr>
            </w:pPr>
          </w:p>
        </w:tc>
        <w:tc>
          <w:tcPr>
            <w:tcW w:w="2017" w:type="dxa"/>
          </w:tcPr>
          <w:p w14:paraId="3BB45F47">
            <w:pPr>
              <w:widowControl/>
              <w:adjustRightInd/>
              <w:jc w:val="center"/>
              <w:rPr>
                <w:rFonts w:ascii="宋体" w:hAnsi="宋体" w:eastAsia="仿宋" w:cs="宋体"/>
                <w:color w:val="000000"/>
                <w:kern w:val="0"/>
                <w:sz w:val="24"/>
                <w:highlight w:val="none"/>
              </w:rPr>
            </w:pPr>
          </w:p>
        </w:tc>
      </w:tr>
      <w:tr w14:paraId="00C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4B5443A8">
            <w:pPr>
              <w:rPr>
                <w:highlight w:val="none"/>
              </w:rPr>
            </w:pPr>
          </w:p>
        </w:tc>
        <w:tc>
          <w:tcPr>
            <w:tcW w:w="622" w:type="dxa"/>
            <w:vMerge w:val="continue"/>
            <w:vAlign w:val="center"/>
          </w:tcPr>
          <w:p w14:paraId="1837CC04">
            <w:pPr>
              <w:rPr>
                <w:highlight w:val="none"/>
              </w:rPr>
            </w:pPr>
          </w:p>
        </w:tc>
        <w:tc>
          <w:tcPr>
            <w:tcW w:w="2704" w:type="dxa"/>
            <w:vAlign w:val="center"/>
          </w:tcPr>
          <w:p w14:paraId="51AA13CD">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存储节点</w:t>
            </w:r>
          </w:p>
        </w:tc>
        <w:tc>
          <w:tcPr>
            <w:tcW w:w="2052" w:type="dxa"/>
            <w:vAlign w:val="center"/>
          </w:tcPr>
          <w:p w14:paraId="7D6AD630">
            <w:pPr>
              <w:widowControl/>
              <w:adjustRightInd/>
              <w:jc w:val="left"/>
              <w:rPr>
                <w:rFonts w:ascii="宋体" w:hAnsi="宋体" w:eastAsia="仿宋" w:cs="宋体"/>
                <w:color w:val="000000"/>
                <w:kern w:val="0"/>
                <w:sz w:val="24"/>
                <w:highlight w:val="none"/>
              </w:rPr>
            </w:pPr>
          </w:p>
        </w:tc>
        <w:tc>
          <w:tcPr>
            <w:tcW w:w="925" w:type="dxa"/>
            <w:vAlign w:val="center"/>
          </w:tcPr>
          <w:p w14:paraId="5C1B5F4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0B23CF7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365AAC1A">
            <w:pPr>
              <w:widowControl/>
              <w:adjustRightInd/>
              <w:jc w:val="center"/>
              <w:rPr>
                <w:rFonts w:ascii="宋体" w:hAnsi="宋体" w:eastAsia="仿宋" w:cs="宋体"/>
                <w:color w:val="000000"/>
                <w:kern w:val="0"/>
                <w:sz w:val="24"/>
                <w:highlight w:val="none"/>
              </w:rPr>
            </w:pPr>
          </w:p>
        </w:tc>
        <w:tc>
          <w:tcPr>
            <w:tcW w:w="993" w:type="dxa"/>
            <w:vAlign w:val="center"/>
          </w:tcPr>
          <w:p w14:paraId="197D108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B0360B1">
            <w:pPr>
              <w:widowControl/>
              <w:adjustRightInd/>
              <w:jc w:val="center"/>
              <w:rPr>
                <w:rFonts w:ascii="宋体" w:hAnsi="宋体" w:eastAsia="仿宋" w:cs="宋体"/>
                <w:color w:val="000000"/>
                <w:kern w:val="0"/>
                <w:sz w:val="24"/>
                <w:highlight w:val="none"/>
              </w:rPr>
            </w:pPr>
          </w:p>
        </w:tc>
        <w:tc>
          <w:tcPr>
            <w:tcW w:w="2017" w:type="dxa"/>
          </w:tcPr>
          <w:p w14:paraId="37580F93">
            <w:pPr>
              <w:widowControl/>
              <w:adjustRightInd/>
              <w:jc w:val="center"/>
              <w:rPr>
                <w:rFonts w:ascii="宋体" w:hAnsi="宋体" w:eastAsia="仿宋" w:cs="宋体"/>
                <w:color w:val="000000"/>
                <w:kern w:val="0"/>
                <w:sz w:val="24"/>
                <w:highlight w:val="none"/>
              </w:rPr>
            </w:pPr>
          </w:p>
        </w:tc>
      </w:tr>
      <w:tr w14:paraId="3E30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2B8D7AC6">
            <w:pPr>
              <w:rPr>
                <w:highlight w:val="none"/>
              </w:rPr>
            </w:pPr>
          </w:p>
        </w:tc>
        <w:tc>
          <w:tcPr>
            <w:tcW w:w="622" w:type="dxa"/>
            <w:vMerge w:val="continue"/>
            <w:vAlign w:val="center"/>
          </w:tcPr>
          <w:p w14:paraId="72809F41">
            <w:pPr>
              <w:rPr>
                <w:highlight w:val="none"/>
              </w:rPr>
            </w:pPr>
          </w:p>
        </w:tc>
        <w:tc>
          <w:tcPr>
            <w:tcW w:w="2704" w:type="dxa"/>
            <w:vAlign w:val="center"/>
          </w:tcPr>
          <w:p w14:paraId="635D1076">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网络节点</w:t>
            </w:r>
          </w:p>
        </w:tc>
        <w:tc>
          <w:tcPr>
            <w:tcW w:w="2052" w:type="dxa"/>
            <w:vAlign w:val="center"/>
          </w:tcPr>
          <w:p w14:paraId="608F52FD">
            <w:pPr>
              <w:widowControl/>
              <w:adjustRightInd/>
              <w:jc w:val="left"/>
              <w:rPr>
                <w:rFonts w:ascii="宋体" w:hAnsi="宋体" w:eastAsia="仿宋" w:cs="宋体"/>
                <w:color w:val="000000"/>
                <w:kern w:val="0"/>
                <w:sz w:val="24"/>
                <w:highlight w:val="none"/>
              </w:rPr>
            </w:pPr>
          </w:p>
        </w:tc>
        <w:tc>
          <w:tcPr>
            <w:tcW w:w="925" w:type="dxa"/>
            <w:vAlign w:val="center"/>
          </w:tcPr>
          <w:p w14:paraId="4457FE6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7812D76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36E45065">
            <w:pPr>
              <w:widowControl/>
              <w:adjustRightInd/>
              <w:jc w:val="center"/>
              <w:rPr>
                <w:rFonts w:ascii="宋体" w:hAnsi="宋体" w:eastAsia="仿宋" w:cs="宋体"/>
                <w:color w:val="000000"/>
                <w:kern w:val="0"/>
                <w:sz w:val="24"/>
                <w:highlight w:val="none"/>
              </w:rPr>
            </w:pPr>
          </w:p>
        </w:tc>
        <w:tc>
          <w:tcPr>
            <w:tcW w:w="993" w:type="dxa"/>
            <w:vAlign w:val="center"/>
          </w:tcPr>
          <w:p w14:paraId="4A295BA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7E8A9E6">
            <w:pPr>
              <w:widowControl/>
              <w:adjustRightInd/>
              <w:jc w:val="center"/>
              <w:rPr>
                <w:rFonts w:ascii="宋体" w:hAnsi="宋体" w:eastAsia="仿宋" w:cs="宋体"/>
                <w:color w:val="000000"/>
                <w:kern w:val="0"/>
                <w:sz w:val="24"/>
                <w:highlight w:val="none"/>
              </w:rPr>
            </w:pPr>
          </w:p>
        </w:tc>
        <w:tc>
          <w:tcPr>
            <w:tcW w:w="2017" w:type="dxa"/>
          </w:tcPr>
          <w:p w14:paraId="30ED7929">
            <w:pPr>
              <w:widowControl/>
              <w:adjustRightInd/>
              <w:jc w:val="center"/>
              <w:rPr>
                <w:rFonts w:ascii="宋体" w:hAnsi="宋体" w:eastAsia="仿宋" w:cs="宋体"/>
                <w:color w:val="000000"/>
                <w:kern w:val="0"/>
                <w:sz w:val="24"/>
                <w:highlight w:val="none"/>
              </w:rPr>
            </w:pPr>
          </w:p>
        </w:tc>
      </w:tr>
      <w:tr w14:paraId="616C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465D312C">
            <w:pPr>
              <w:rPr>
                <w:highlight w:val="none"/>
              </w:rPr>
            </w:pPr>
          </w:p>
        </w:tc>
        <w:tc>
          <w:tcPr>
            <w:tcW w:w="622" w:type="dxa"/>
            <w:vMerge w:val="continue"/>
            <w:vAlign w:val="center"/>
          </w:tcPr>
          <w:p w14:paraId="65471640">
            <w:pPr>
              <w:rPr>
                <w:highlight w:val="none"/>
              </w:rPr>
            </w:pPr>
          </w:p>
        </w:tc>
        <w:tc>
          <w:tcPr>
            <w:tcW w:w="2704" w:type="dxa"/>
            <w:vAlign w:val="center"/>
          </w:tcPr>
          <w:p w14:paraId="68DC8515">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管理软件</w:t>
            </w:r>
          </w:p>
        </w:tc>
        <w:tc>
          <w:tcPr>
            <w:tcW w:w="2052" w:type="dxa"/>
            <w:vAlign w:val="center"/>
          </w:tcPr>
          <w:p w14:paraId="70E3C7FB">
            <w:pPr>
              <w:widowControl/>
              <w:adjustRightInd/>
              <w:jc w:val="left"/>
              <w:rPr>
                <w:rFonts w:ascii="宋体" w:hAnsi="宋体" w:eastAsia="仿宋" w:cs="宋体"/>
                <w:color w:val="000000"/>
                <w:kern w:val="0"/>
                <w:sz w:val="24"/>
                <w:highlight w:val="none"/>
              </w:rPr>
            </w:pPr>
          </w:p>
        </w:tc>
        <w:tc>
          <w:tcPr>
            <w:tcW w:w="925" w:type="dxa"/>
            <w:vAlign w:val="center"/>
          </w:tcPr>
          <w:p w14:paraId="7F59460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1276" w:type="dxa"/>
            <w:vAlign w:val="center"/>
          </w:tcPr>
          <w:p w14:paraId="001B174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7DE8D102">
            <w:pPr>
              <w:widowControl/>
              <w:adjustRightInd/>
              <w:jc w:val="center"/>
              <w:rPr>
                <w:rFonts w:ascii="宋体" w:hAnsi="宋体" w:eastAsia="仿宋" w:cs="宋体"/>
                <w:color w:val="000000"/>
                <w:kern w:val="0"/>
                <w:sz w:val="24"/>
                <w:highlight w:val="none"/>
              </w:rPr>
            </w:pPr>
          </w:p>
        </w:tc>
        <w:tc>
          <w:tcPr>
            <w:tcW w:w="993" w:type="dxa"/>
            <w:vAlign w:val="center"/>
          </w:tcPr>
          <w:p w14:paraId="6FB3710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F164BF7">
            <w:pPr>
              <w:widowControl/>
              <w:adjustRightInd/>
              <w:jc w:val="center"/>
              <w:rPr>
                <w:rFonts w:ascii="宋体" w:hAnsi="宋体" w:eastAsia="仿宋" w:cs="宋体"/>
                <w:color w:val="000000"/>
                <w:kern w:val="0"/>
                <w:sz w:val="24"/>
                <w:highlight w:val="none"/>
              </w:rPr>
            </w:pPr>
          </w:p>
        </w:tc>
        <w:tc>
          <w:tcPr>
            <w:tcW w:w="2017" w:type="dxa"/>
          </w:tcPr>
          <w:p w14:paraId="43677C03">
            <w:pPr>
              <w:widowControl/>
              <w:adjustRightInd/>
              <w:jc w:val="center"/>
              <w:rPr>
                <w:rFonts w:ascii="宋体" w:hAnsi="宋体" w:eastAsia="仿宋" w:cs="宋体"/>
                <w:color w:val="000000"/>
                <w:kern w:val="0"/>
                <w:sz w:val="24"/>
                <w:highlight w:val="none"/>
              </w:rPr>
            </w:pPr>
          </w:p>
        </w:tc>
      </w:tr>
      <w:tr w14:paraId="53CB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03283CC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9</w:t>
            </w:r>
          </w:p>
        </w:tc>
        <w:tc>
          <w:tcPr>
            <w:tcW w:w="3326" w:type="dxa"/>
            <w:gridSpan w:val="2"/>
            <w:vAlign w:val="center"/>
          </w:tcPr>
          <w:p w14:paraId="30B724B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数据库备份一体机</w:t>
            </w:r>
          </w:p>
        </w:tc>
        <w:tc>
          <w:tcPr>
            <w:tcW w:w="2052" w:type="dxa"/>
            <w:vAlign w:val="center"/>
          </w:tcPr>
          <w:p w14:paraId="3A979D73">
            <w:pPr>
              <w:widowControl/>
              <w:adjustRightInd/>
              <w:jc w:val="left"/>
              <w:rPr>
                <w:rFonts w:ascii="宋体" w:hAnsi="宋体" w:eastAsia="仿宋" w:cs="宋体"/>
                <w:color w:val="000000"/>
                <w:kern w:val="0"/>
                <w:sz w:val="24"/>
                <w:highlight w:val="none"/>
              </w:rPr>
            </w:pPr>
          </w:p>
        </w:tc>
        <w:tc>
          <w:tcPr>
            <w:tcW w:w="925" w:type="dxa"/>
            <w:vAlign w:val="center"/>
          </w:tcPr>
          <w:p w14:paraId="3B56C61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5AE0FF3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2CC72E1C">
            <w:pPr>
              <w:widowControl/>
              <w:adjustRightInd/>
              <w:jc w:val="center"/>
              <w:rPr>
                <w:rFonts w:ascii="宋体" w:hAnsi="宋体" w:eastAsia="仿宋" w:cs="宋体"/>
                <w:color w:val="000000"/>
                <w:kern w:val="0"/>
                <w:sz w:val="24"/>
                <w:highlight w:val="none"/>
              </w:rPr>
            </w:pPr>
          </w:p>
        </w:tc>
        <w:tc>
          <w:tcPr>
            <w:tcW w:w="993" w:type="dxa"/>
            <w:vAlign w:val="center"/>
          </w:tcPr>
          <w:p w14:paraId="14BB11C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D98F379">
            <w:pPr>
              <w:widowControl/>
              <w:adjustRightInd/>
              <w:jc w:val="center"/>
              <w:rPr>
                <w:rFonts w:ascii="宋体" w:hAnsi="宋体" w:eastAsia="仿宋" w:cs="宋体"/>
                <w:color w:val="000000"/>
                <w:kern w:val="0"/>
                <w:sz w:val="24"/>
                <w:highlight w:val="none"/>
              </w:rPr>
            </w:pPr>
          </w:p>
        </w:tc>
        <w:tc>
          <w:tcPr>
            <w:tcW w:w="2017" w:type="dxa"/>
          </w:tcPr>
          <w:p w14:paraId="3AE58E54">
            <w:pPr>
              <w:widowControl/>
              <w:adjustRightInd/>
              <w:jc w:val="center"/>
              <w:rPr>
                <w:rFonts w:ascii="宋体" w:hAnsi="宋体" w:eastAsia="仿宋" w:cs="宋体"/>
                <w:color w:val="000000"/>
                <w:kern w:val="0"/>
                <w:sz w:val="24"/>
                <w:highlight w:val="none"/>
              </w:rPr>
            </w:pPr>
          </w:p>
        </w:tc>
      </w:tr>
      <w:tr w14:paraId="7C7C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882929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10</w:t>
            </w:r>
          </w:p>
        </w:tc>
        <w:tc>
          <w:tcPr>
            <w:tcW w:w="3326" w:type="dxa"/>
            <w:gridSpan w:val="2"/>
            <w:vAlign w:val="center"/>
          </w:tcPr>
          <w:p w14:paraId="7E1E9FF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48口万兆交换机</w:t>
            </w:r>
          </w:p>
        </w:tc>
        <w:tc>
          <w:tcPr>
            <w:tcW w:w="2052" w:type="dxa"/>
            <w:vAlign w:val="center"/>
          </w:tcPr>
          <w:p w14:paraId="6F13F6F6">
            <w:pPr>
              <w:widowControl/>
              <w:adjustRightInd/>
              <w:jc w:val="left"/>
              <w:rPr>
                <w:rFonts w:ascii="宋体" w:hAnsi="宋体" w:eastAsia="仿宋" w:cs="宋体"/>
                <w:color w:val="000000"/>
                <w:kern w:val="0"/>
                <w:sz w:val="24"/>
                <w:highlight w:val="none"/>
              </w:rPr>
            </w:pPr>
          </w:p>
        </w:tc>
        <w:tc>
          <w:tcPr>
            <w:tcW w:w="925" w:type="dxa"/>
            <w:vAlign w:val="center"/>
          </w:tcPr>
          <w:p w14:paraId="694CBB2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271F819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6206A451">
            <w:pPr>
              <w:widowControl/>
              <w:adjustRightInd/>
              <w:jc w:val="center"/>
              <w:rPr>
                <w:rFonts w:ascii="宋体" w:hAnsi="宋体" w:eastAsia="仿宋" w:cs="宋体"/>
                <w:color w:val="000000"/>
                <w:kern w:val="0"/>
                <w:sz w:val="24"/>
                <w:highlight w:val="none"/>
              </w:rPr>
            </w:pPr>
          </w:p>
        </w:tc>
        <w:tc>
          <w:tcPr>
            <w:tcW w:w="993" w:type="dxa"/>
            <w:vAlign w:val="center"/>
          </w:tcPr>
          <w:p w14:paraId="54A309D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B61EAF0">
            <w:pPr>
              <w:widowControl/>
              <w:adjustRightInd/>
              <w:jc w:val="center"/>
              <w:rPr>
                <w:rFonts w:ascii="宋体" w:hAnsi="宋体" w:eastAsia="仿宋" w:cs="宋体"/>
                <w:color w:val="000000"/>
                <w:kern w:val="0"/>
                <w:sz w:val="24"/>
                <w:highlight w:val="none"/>
              </w:rPr>
            </w:pPr>
          </w:p>
        </w:tc>
        <w:tc>
          <w:tcPr>
            <w:tcW w:w="2017" w:type="dxa"/>
          </w:tcPr>
          <w:p w14:paraId="583B9F95">
            <w:pPr>
              <w:widowControl/>
              <w:adjustRightInd/>
              <w:jc w:val="center"/>
              <w:rPr>
                <w:rFonts w:ascii="宋体" w:hAnsi="宋体" w:eastAsia="仿宋" w:cs="宋体"/>
                <w:color w:val="000000"/>
                <w:kern w:val="0"/>
                <w:sz w:val="24"/>
                <w:highlight w:val="none"/>
              </w:rPr>
            </w:pPr>
          </w:p>
        </w:tc>
      </w:tr>
      <w:tr w14:paraId="14AC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27B8079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11</w:t>
            </w:r>
          </w:p>
        </w:tc>
        <w:tc>
          <w:tcPr>
            <w:tcW w:w="3326" w:type="dxa"/>
            <w:gridSpan w:val="2"/>
            <w:vAlign w:val="center"/>
          </w:tcPr>
          <w:p w14:paraId="2C25872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路由器</w:t>
            </w:r>
          </w:p>
        </w:tc>
        <w:tc>
          <w:tcPr>
            <w:tcW w:w="2052" w:type="dxa"/>
            <w:vAlign w:val="center"/>
          </w:tcPr>
          <w:p w14:paraId="6071C680">
            <w:pPr>
              <w:widowControl/>
              <w:adjustRightInd/>
              <w:jc w:val="center"/>
              <w:rPr>
                <w:rFonts w:ascii="宋体" w:hAnsi="宋体" w:eastAsia="仿宋" w:cs="宋体"/>
                <w:color w:val="000000"/>
                <w:kern w:val="0"/>
                <w:sz w:val="24"/>
                <w:highlight w:val="none"/>
              </w:rPr>
            </w:pPr>
          </w:p>
        </w:tc>
        <w:tc>
          <w:tcPr>
            <w:tcW w:w="925" w:type="dxa"/>
            <w:vAlign w:val="center"/>
          </w:tcPr>
          <w:p w14:paraId="2E035A3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3DD3675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6091BA58">
            <w:pPr>
              <w:widowControl/>
              <w:adjustRightInd/>
              <w:jc w:val="center"/>
              <w:rPr>
                <w:rFonts w:ascii="宋体" w:hAnsi="宋体" w:eastAsia="仿宋" w:cs="宋体"/>
                <w:color w:val="000000"/>
                <w:kern w:val="0"/>
                <w:sz w:val="24"/>
                <w:highlight w:val="none"/>
              </w:rPr>
            </w:pPr>
          </w:p>
        </w:tc>
        <w:tc>
          <w:tcPr>
            <w:tcW w:w="993" w:type="dxa"/>
            <w:vAlign w:val="center"/>
          </w:tcPr>
          <w:p w14:paraId="2907869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38027577">
            <w:pPr>
              <w:widowControl/>
              <w:adjustRightInd/>
              <w:jc w:val="center"/>
              <w:rPr>
                <w:rFonts w:ascii="宋体" w:hAnsi="宋体" w:eastAsia="仿宋" w:cs="宋体"/>
                <w:color w:val="000000"/>
                <w:kern w:val="0"/>
                <w:sz w:val="24"/>
                <w:highlight w:val="none"/>
              </w:rPr>
            </w:pPr>
          </w:p>
        </w:tc>
        <w:tc>
          <w:tcPr>
            <w:tcW w:w="2017" w:type="dxa"/>
          </w:tcPr>
          <w:p w14:paraId="4D0E0581">
            <w:pPr>
              <w:widowControl/>
              <w:adjustRightInd/>
              <w:jc w:val="center"/>
              <w:rPr>
                <w:rFonts w:ascii="宋体" w:hAnsi="宋体" w:eastAsia="仿宋" w:cs="宋体"/>
                <w:color w:val="000000"/>
                <w:kern w:val="0"/>
                <w:sz w:val="24"/>
                <w:highlight w:val="none"/>
              </w:rPr>
            </w:pPr>
          </w:p>
        </w:tc>
      </w:tr>
      <w:tr w14:paraId="4C86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4BB4D4B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3326" w:type="dxa"/>
            <w:gridSpan w:val="2"/>
            <w:vAlign w:val="center"/>
          </w:tcPr>
          <w:p w14:paraId="7A65E5A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万兆交换机</w:t>
            </w:r>
          </w:p>
        </w:tc>
        <w:tc>
          <w:tcPr>
            <w:tcW w:w="2052" w:type="dxa"/>
            <w:vAlign w:val="center"/>
          </w:tcPr>
          <w:p w14:paraId="1113E03B">
            <w:pPr>
              <w:widowControl/>
              <w:adjustRightInd/>
              <w:jc w:val="center"/>
              <w:rPr>
                <w:rFonts w:ascii="宋体" w:hAnsi="宋体" w:eastAsia="仿宋" w:cs="宋体"/>
                <w:color w:val="000000"/>
                <w:kern w:val="0"/>
                <w:sz w:val="24"/>
                <w:highlight w:val="none"/>
              </w:rPr>
            </w:pPr>
          </w:p>
        </w:tc>
        <w:tc>
          <w:tcPr>
            <w:tcW w:w="925" w:type="dxa"/>
            <w:vAlign w:val="center"/>
          </w:tcPr>
          <w:p w14:paraId="0D5E6FE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39E0A71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46BAE44D">
            <w:pPr>
              <w:widowControl/>
              <w:adjustRightInd/>
              <w:jc w:val="center"/>
              <w:rPr>
                <w:rFonts w:ascii="宋体" w:hAnsi="宋体" w:eastAsia="仿宋" w:cs="宋体"/>
                <w:color w:val="000000"/>
                <w:kern w:val="0"/>
                <w:sz w:val="24"/>
                <w:highlight w:val="none"/>
              </w:rPr>
            </w:pPr>
          </w:p>
        </w:tc>
        <w:tc>
          <w:tcPr>
            <w:tcW w:w="993" w:type="dxa"/>
            <w:vAlign w:val="center"/>
          </w:tcPr>
          <w:p w14:paraId="61DA5A5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F59AB22">
            <w:pPr>
              <w:widowControl/>
              <w:adjustRightInd/>
              <w:jc w:val="center"/>
              <w:rPr>
                <w:rFonts w:ascii="宋体" w:hAnsi="宋体" w:eastAsia="仿宋" w:cs="宋体"/>
                <w:color w:val="000000"/>
                <w:kern w:val="0"/>
                <w:sz w:val="24"/>
                <w:highlight w:val="none"/>
              </w:rPr>
            </w:pPr>
          </w:p>
        </w:tc>
        <w:tc>
          <w:tcPr>
            <w:tcW w:w="2017" w:type="dxa"/>
          </w:tcPr>
          <w:p w14:paraId="68D52339">
            <w:pPr>
              <w:widowControl/>
              <w:adjustRightInd/>
              <w:jc w:val="center"/>
              <w:rPr>
                <w:rFonts w:ascii="宋体" w:hAnsi="宋体" w:eastAsia="仿宋" w:cs="宋体"/>
                <w:color w:val="000000"/>
                <w:kern w:val="0"/>
                <w:sz w:val="24"/>
                <w:highlight w:val="none"/>
              </w:rPr>
            </w:pPr>
          </w:p>
        </w:tc>
      </w:tr>
      <w:tr w14:paraId="315C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482211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13</w:t>
            </w:r>
          </w:p>
        </w:tc>
        <w:tc>
          <w:tcPr>
            <w:tcW w:w="3326" w:type="dxa"/>
            <w:gridSpan w:val="2"/>
            <w:vAlign w:val="center"/>
          </w:tcPr>
          <w:p w14:paraId="75452FC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IP千兆交换机1（千兆）</w:t>
            </w:r>
          </w:p>
        </w:tc>
        <w:tc>
          <w:tcPr>
            <w:tcW w:w="2052" w:type="dxa"/>
            <w:vAlign w:val="center"/>
          </w:tcPr>
          <w:p w14:paraId="03A65169">
            <w:pPr>
              <w:widowControl/>
              <w:adjustRightInd/>
              <w:jc w:val="center"/>
              <w:rPr>
                <w:rFonts w:ascii="宋体" w:hAnsi="宋体" w:eastAsia="仿宋" w:cs="宋体"/>
                <w:color w:val="000000"/>
                <w:kern w:val="0"/>
                <w:sz w:val="24"/>
                <w:highlight w:val="none"/>
              </w:rPr>
            </w:pPr>
          </w:p>
        </w:tc>
        <w:tc>
          <w:tcPr>
            <w:tcW w:w="925" w:type="dxa"/>
            <w:vAlign w:val="center"/>
          </w:tcPr>
          <w:p w14:paraId="77A5C43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311F48C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58FD4E01">
            <w:pPr>
              <w:widowControl/>
              <w:adjustRightInd/>
              <w:jc w:val="center"/>
              <w:rPr>
                <w:rFonts w:ascii="宋体" w:hAnsi="宋体" w:eastAsia="仿宋" w:cs="宋体"/>
                <w:color w:val="000000"/>
                <w:kern w:val="0"/>
                <w:sz w:val="24"/>
                <w:highlight w:val="none"/>
              </w:rPr>
            </w:pPr>
          </w:p>
        </w:tc>
        <w:tc>
          <w:tcPr>
            <w:tcW w:w="993" w:type="dxa"/>
            <w:vAlign w:val="center"/>
          </w:tcPr>
          <w:p w14:paraId="61224C5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BF98168">
            <w:pPr>
              <w:widowControl/>
              <w:adjustRightInd/>
              <w:jc w:val="center"/>
              <w:rPr>
                <w:rFonts w:ascii="宋体" w:hAnsi="宋体" w:eastAsia="仿宋" w:cs="宋体"/>
                <w:color w:val="000000"/>
                <w:kern w:val="0"/>
                <w:sz w:val="24"/>
                <w:highlight w:val="none"/>
              </w:rPr>
            </w:pPr>
          </w:p>
        </w:tc>
        <w:tc>
          <w:tcPr>
            <w:tcW w:w="2017" w:type="dxa"/>
          </w:tcPr>
          <w:p w14:paraId="77C21F71">
            <w:pPr>
              <w:widowControl/>
              <w:adjustRightInd/>
              <w:jc w:val="center"/>
              <w:rPr>
                <w:rFonts w:ascii="宋体" w:hAnsi="宋体" w:eastAsia="仿宋" w:cs="宋体"/>
                <w:color w:val="000000"/>
                <w:kern w:val="0"/>
                <w:sz w:val="24"/>
                <w:highlight w:val="none"/>
              </w:rPr>
            </w:pPr>
          </w:p>
        </w:tc>
      </w:tr>
      <w:tr w14:paraId="11F8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FC0396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14</w:t>
            </w:r>
          </w:p>
        </w:tc>
        <w:tc>
          <w:tcPr>
            <w:tcW w:w="3326" w:type="dxa"/>
            <w:gridSpan w:val="2"/>
            <w:vAlign w:val="center"/>
          </w:tcPr>
          <w:p w14:paraId="6E0F4AF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IP千兆交换机2</w:t>
            </w:r>
          </w:p>
        </w:tc>
        <w:tc>
          <w:tcPr>
            <w:tcW w:w="2052" w:type="dxa"/>
            <w:vAlign w:val="center"/>
          </w:tcPr>
          <w:p w14:paraId="1282DBD4">
            <w:pPr>
              <w:widowControl/>
              <w:adjustRightInd/>
              <w:jc w:val="center"/>
              <w:rPr>
                <w:rFonts w:ascii="宋体" w:hAnsi="宋体" w:eastAsia="仿宋" w:cs="宋体"/>
                <w:color w:val="000000"/>
                <w:kern w:val="0"/>
                <w:sz w:val="24"/>
                <w:highlight w:val="none"/>
              </w:rPr>
            </w:pPr>
          </w:p>
        </w:tc>
        <w:tc>
          <w:tcPr>
            <w:tcW w:w="925" w:type="dxa"/>
            <w:vAlign w:val="center"/>
          </w:tcPr>
          <w:p w14:paraId="1099FD7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5CB4AAF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1F2FC215">
            <w:pPr>
              <w:widowControl/>
              <w:adjustRightInd/>
              <w:jc w:val="center"/>
              <w:rPr>
                <w:rFonts w:ascii="宋体" w:hAnsi="宋体" w:eastAsia="仿宋" w:cs="宋体"/>
                <w:color w:val="000000"/>
                <w:kern w:val="0"/>
                <w:sz w:val="24"/>
                <w:highlight w:val="none"/>
              </w:rPr>
            </w:pPr>
          </w:p>
        </w:tc>
        <w:tc>
          <w:tcPr>
            <w:tcW w:w="993" w:type="dxa"/>
            <w:vAlign w:val="center"/>
          </w:tcPr>
          <w:p w14:paraId="7AC5007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36F53C9F">
            <w:pPr>
              <w:widowControl/>
              <w:adjustRightInd/>
              <w:jc w:val="center"/>
              <w:rPr>
                <w:rFonts w:ascii="宋体" w:hAnsi="宋体" w:eastAsia="仿宋" w:cs="宋体"/>
                <w:color w:val="000000"/>
                <w:kern w:val="0"/>
                <w:sz w:val="24"/>
                <w:highlight w:val="none"/>
              </w:rPr>
            </w:pPr>
          </w:p>
        </w:tc>
        <w:tc>
          <w:tcPr>
            <w:tcW w:w="2017" w:type="dxa"/>
          </w:tcPr>
          <w:p w14:paraId="24057F91">
            <w:pPr>
              <w:widowControl/>
              <w:adjustRightInd/>
              <w:jc w:val="center"/>
              <w:rPr>
                <w:rFonts w:ascii="宋体" w:hAnsi="宋体" w:eastAsia="仿宋" w:cs="宋体"/>
                <w:color w:val="000000"/>
                <w:kern w:val="0"/>
                <w:sz w:val="24"/>
                <w:highlight w:val="none"/>
              </w:rPr>
            </w:pPr>
          </w:p>
        </w:tc>
      </w:tr>
      <w:tr w14:paraId="5B54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43E790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15</w:t>
            </w:r>
          </w:p>
        </w:tc>
        <w:tc>
          <w:tcPr>
            <w:tcW w:w="3326" w:type="dxa"/>
            <w:gridSpan w:val="2"/>
            <w:vAlign w:val="center"/>
          </w:tcPr>
          <w:p w14:paraId="155EE9A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SAN交换机</w:t>
            </w:r>
          </w:p>
        </w:tc>
        <w:tc>
          <w:tcPr>
            <w:tcW w:w="2052" w:type="dxa"/>
            <w:vAlign w:val="center"/>
          </w:tcPr>
          <w:p w14:paraId="399D3279">
            <w:pPr>
              <w:widowControl/>
              <w:adjustRightInd/>
              <w:jc w:val="center"/>
              <w:rPr>
                <w:rFonts w:ascii="宋体" w:hAnsi="宋体" w:eastAsia="仿宋" w:cs="宋体"/>
                <w:color w:val="000000"/>
                <w:kern w:val="0"/>
                <w:sz w:val="24"/>
                <w:highlight w:val="none"/>
              </w:rPr>
            </w:pPr>
          </w:p>
        </w:tc>
        <w:tc>
          <w:tcPr>
            <w:tcW w:w="925" w:type="dxa"/>
            <w:vAlign w:val="center"/>
          </w:tcPr>
          <w:p w14:paraId="23CF49F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5C1EA27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6E630C5E">
            <w:pPr>
              <w:widowControl/>
              <w:adjustRightInd/>
              <w:jc w:val="center"/>
              <w:rPr>
                <w:rFonts w:ascii="宋体" w:hAnsi="宋体" w:eastAsia="仿宋" w:cs="宋体"/>
                <w:color w:val="000000"/>
                <w:kern w:val="0"/>
                <w:sz w:val="24"/>
                <w:highlight w:val="none"/>
              </w:rPr>
            </w:pPr>
          </w:p>
        </w:tc>
        <w:tc>
          <w:tcPr>
            <w:tcW w:w="993" w:type="dxa"/>
            <w:vAlign w:val="center"/>
          </w:tcPr>
          <w:p w14:paraId="0E62B53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40D16F12">
            <w:pPr>
              <w:widowControl/>
              <w:adjustRightInd/>
              <w:jc w:val="center"/>
              <w:rPr>
                <w:rFonts w:ascii="宋体" w:hAnsi="宋体" w:eastAsia="仿宋" w:cs="宋体"/>
                <w:color w:val="000000"/>
                <w:kern w:val="0"/>
                <w:sz w:val="24"/>
                <w:highlight w:val="none"/>
              </w:rPr>
            </w:pPr>
          </w:p>
        </w:tc>
        <w:tc>
          <w:tcPr>
            <w:tcW w:w="2017" w:type="dxa"/>
          </w:tcPr>
          <w:p w14:paraId="05D71329">
            <w:pPr>
              <w:widowControl/>
              <w:adjustRightInd/>
              <w:jc w:val="center"/>
              <w:rPr>
                <w:rFonts w:ascii="宋体" w:hAnsi="宋体" w:eastAsia="仿宋" w:cs="宋体"/>
                <w:color w:val="000000"/>
                <w:kern w:val="0"/>
                <w:sz w:val="24"/>
                <w:highlight w:val="none"/>
              </w:rPr>
            </w:pPr>
          </w:p>
        </w:tc>
      </w:tr>
      <w:tr w14:paraId="57F0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61" w:type="dxa"/>
            <w:gridSpan w:val="10"/>
            <w:vAlign w:val="center"/>
          </w:tcPr>
          <w:p w14:paraId="1596D50C">
            <w:pPr>
              <w:widowControl/>
              <w:adjustRightInd/>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二、</w:t>
            </w:r>
            <w:r>
              <w:rPr>
                <w:rFonts w:hint="eastAsia" w:ascii="宋体" w:hAnsi="宋体" w:eastAsia="仿宋" w:cs="宋体"/>
                <w:bCs/>
                <w:color w:val="000000"/>
                <w:kern w:val="0"/>
                <w:sz w:val="24"/>
                <w:highlight w:val="none"/>
              </w:rPr>
              <w:t>软件部分</w:t>
            </w:r>
          </w:p>
        </w:tc>
      </w:tr>
      <w:tr w14:paraId="510B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D58A96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3326" w:type="dxa"/>
            <w:gridSpan w:val="2"/>
            <w:vAlign w:val="center"/>
          </w:tcPr>
          <w:p w14:paraId="435CA2A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车辆特征智能识别及检索系统</w:t>
            </w:r>
          </w:p>
        </w:tc>
        <w:tc>
          <w:tcPr>
            <w:tcW w:w="2052" w:type="dxa"/>
            <w:vAlign w:val="center"/>
          </w:tcPr>
          <w:p w14:paraId="6350EEBA">
            <w:pPr>
              <w:widowControl/>
              <w:adjustRightInd/>
              <w:jc w:val="center"/>
              <w:rPr>
                <w:rFonts w:ascii="宋体" w:hAnsi="宋体" w:eastAsia="仿宋" w:cs="宋体"/>
                <w:color w:val="000000"/>
                <w:kern w:val="0"/>
                <w:sz w:val="24"/>
                <w:highlight w:val="none"/>
              </w:rPr>
            </w:pPr>
          </w:p>
        </w:tc>
        <w:tc>
          <w:tcPr>
            <w:tcW w:w="925" w:type="dxa"/>
            <w:vAlign w:val="center"/>
          </w:tcPr>
          <w:p w14:paraId="330625F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693F133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75300A58">
            <w:pPr>
              <w:widowControl/>
              <w:adjustRightInd/>
              <w:jc w:val="center"/>
              <w:rPr>
                <w:rFonts w:ascii="宋体" w:hAnsi="宋体" w:eastAsia="仿宋" w:cs="宋体"/>
                <w:color w:val="000000"/>
                <w:kern w:val="0"/>
                <w:sz w:val="24"/>
                <w:highlight w:val="none"/>
              </w:rPr>
            </w:pPr>
          </w:p>
        </w:tc>
        <w:tc>
          <w:tcPr>
            <w:tcW w:w="993" w:type="dxa"/>
            <w:vAlign w:val="center"/>
          </w:tcPr>
          <w:p w14:paraId="096964F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38418C16">
            <w:pPr>
              <w:widowControl/>
              <w:adjustRightInd/>
              <w:jc w:val="center"/>
              <w:rPr>
                <w:rFonts w:ascii="宋体" w:hAnsi="宋体" w:eastAsia="仿宋" w:cs="宋体"/>
                <w:color w:val="000000"/>
                <w:kern w:val="0"/>
                <w:sz w:val="24"/>
                <w:highlight w:val="none"/>
              </w:rPr>
            </w:pPr>
          </w:p>
        </w:tc>
        <w:tc>
          <w:tcPr>
            <w:tcW w:w="2017" w:type="dxa"/>
          </w:tcPr>
          <w:p w14:paraId="0D8C4001">
            <w:pPr>
              <w:widowControl/>
              <w:adjustRightInd/>
              <w:jc w:val="center"/>
              <w:rPr>
                <w:rFonts w:ascii="宋体" w:hAnsi="宋体" w:eastAsia="仿宋" w:cs="宋体"/>
                <w:color w:val="000000"/>
                <w:kern w:val="0"/>
                <w:sz w:val="24"/>
                <w:highlight w:val="none"/>
              </w:rPr>
            </w:pPr>
          </w:p>
        </w:tc>
      </w:tr>
      <w:tr w14:paraId="62A2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CDF2AC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3326" w:type="dxa"/>
            <w:gridSpan w:val="2"/>
            <w:vAlign w:val="center"/>
          </w:tcPr>
          <w:p w14:paraId="4FB2BBF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卡口图片人脸智能识别预警系统</w:t>
            </w:r>
          </w:p>
        </w:tc>
        <w:tc>
          <w:tcPr>
            <w:tcW w:w="2052" w:type="dxa"/>
            <w:vAlign w:val="center"/>
          </w:tcPr>
          <w:p w14:paraId="52BF3E64">
            <w:pPr>
              <w:widowControl/>
              <w:adjustRightInd/>
              <w:jc w:val="center"/>
              <w:rPr>
                <w:rFonts w:ascii="宋体" w:hAnsi="宋体" w:eastAsia="仿宋" w:cs="宋体"/>
                <w:color w:val="000000"/>
                <w:kern w:val="0"/>
                <w:sz w:val="24"/>
                <w:highlight w:val="none"/>
              </w:rPr>
            </w:pPr>
          </w:p>
        </w:tc>
        <w:tc>
          <w:tcPr>
            <w:tcW w:w="925" w:type="dxa"/>
            <w:vAlign w:val="center"/>
          </w:tcPr>
          <w:p w14:paraId="5A94946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61D0E82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69370A73">
            <w:pPr>
              <w:widowControl/>
              <w:adjustRightInd/>
              <w:jc w:val="center"/>
              <w:rPr>
                <w:rFonts w:ascii="宋体" w:hAnsi="宋体" w:eastAsia="仿宋" w:cs="宋体"/>
                <w:color w:val="000000"/>
                <w:kern w:val="0"/>
                <w:sz w:val="24"/>
                <w:highlight w:val="none"/>
              </w:rPr>
            </w:pPr>
          </w:p>
        </w:tc>
        <w:tc>
          <w:tcPr>
            <w:tcW w:w="993" w:type="dxa"/>
            <w:vAlign w:val="center"/>
          </w:tcPr>
          <w:p w14:paraId="50B25BE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A3E081F">
            <w:pPr>
              <w:widowControl/>
              <w:adjustRightInd/>
              <w:jc w:val="center"/>
              <w:rPr>
                <w:rFonts w:ascii="宋体" w:hAnsi="宋体" w:eastAsia="仿宋" w:cs="宋体"/>
                <w:color w:val="000000"/>
                <w:kern w:val="0"/>
                <w:sz w:val="24"/>
                <w:highlight w:val="none"/>
              </w:rPr>
            </w:pPr>
          </w:p>
        </w:tc>
        <w:tc>
          <w:tcPr>
            <w:tcW w:w="2017" w:type="dxa"/>
          </w:tcPr>
          <w:p w14:paraId="3E7A3E35">
            <w:pPr>
              <w:widowControl/>
              <w:adjustRightInd/>
              <w:jc w:val="center"/>
              <w:rPr>
                <w:rFonts w:ascii="宋体" w:hAnsi="宋体" w:eastAsia="仿宋" w:cs="宋体"/>
                <w:color w:val="000000"/>
                <w:kern w:val="0"/>
                <w:sz w:val="24"/>
                <w:highlight w:val="none"/>
              </w:rPr>
            </w:pPr>
          </w:p>
        </w:tc>
      </w:tr>
      <w:tr w14:paraId="6A4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EA516C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3326" w:type="dxa"/>
            <w:gridSpan w:val="2"/>
            <w:vAlign w:val="center"/>
          </w:tcPr>
          <w:p w14:paraId="005131F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图像二次识别</w:t>
            </w:r>
          </w:p>
        </w:tc>
        <w:tc>
          <w:tcPr>
            <w:tcW w:w="2052" w:type="dxa"/>
            <w:vAlign w:val="center"/>
          </w:tcPr>
          <w:p w14:paraId="56FBE2F4">
            <w:pPr>
              <w:widowControl/>
              <w:adjustRightInd/>
              <w:jc w:val="center"/>
              <w:rPr>
                <w:rFonts w:ascii="宋体" w:hAnsi="宋体" w:eastAsia="仿宋" w:cs="宋体"/>
                <w:color w:val="000000"/>
                <w:kern w:val="0"/>
                <w:sz w:val="24"/>
                <w:highlight w:val="none"/>
              </w:rPr>
            </w:pPr>
          </w:p>
        </w:tc>
        <w:tc>
          <w:tcPr>
            <w:tcW w:w="925" w:type="dxa"/>
            <w:vAlign w:val="center"/>
          </w:tcPr>
          <w:p w14:paraId="023A4EE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00EDB38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56E6E719">
            <w:pPr>
              <w:widowControl/>
              <w:adjustRightInd/>
              <w:jc w:val="center"/>
              <w:rPr>
                <w:rFonts w:ascii="宋体" w:hAnsi="宋体" w:eastAsia="仿宋" w:cs="宋体"/>
                <w:color w:val="000000"/>
                <w:kern w:val="0"/>
                <w:sz w:val="24"/>
                <w:highlight w:val="none"/>
              </w:rPr>
            </w:pPr>
          </w:p>
        </w:tc>
        <w:tc>
          <w:tcPr>
            <w:tcW w:w="993" w:type="dxa"/>
            <w:vAlign w:val="center"/>
          </w:tcPr>
          <w:p w14:paraId="11CAD23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2153E62">
            <w:pPr>
              <w:widowControl/>
              <w:adjustRightInd/>
              <w:jc w:val="center"/>
              <w:rPr>
                <w:rFonts w:ascii="宋体" w:hAnsi="宋体" w:eastAsia="仿宋" w:cs="宋体"/>
                <w:color w:val="000000"/>
                <w:kern w:val="0"/>
                <w:sz w:val="24"/>
                <w:highlight w:val="none"/>
              </w:rPr>
            </w:pPr>
          </w:p>
        </w:tc>
        <w:tc>
          <w:tcPr>
            <w:tcW w:w="2017" w:type="dxa"/>
          </w:tcPr>
          <w:p w14:paraId="4F999162">
            <w:pPr>
              <w:widowControl/>
              <w:adjustRightInd/>
              <w:jc w:val="center"/>
              <w:rPr>
                <w:rFonts w:ascii="宋体" w:hAnsi="宋体" w:eastAsia="仿宋" w:cs="宋体"/>
                <w:color w:val="000000"/>
                <w:kern w:val="0"/>
                <w:sz w:val="24"/>
                <w:highlight w:val="none"/>
              </w:rPr>
            </w:pPr>
          </w:p>
        </w:tc>
      </w:tr>
      <w:tr w14:paraId="4B07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32BF89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w:t>
            </w:r>
          </w:p>
        </w:tc>
        <w:tc>
          <w:tcPr>
            <w:tcW w:w="3326" w:type="dxa"/>
            <w:gridSpan w:val="2"/>
            <w:vAlign w:val="center"/>
          </w:tcPr>
          <w:p w14:paraId="30D7E96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集成实施</w:t>
            </w:r>
          </w:p>
        </w:tc>
        <w:tc>
          <w:tcPr>
            <w:tcW w:w="2052" w:type="dxa"/>
            <w:vAlign w:val="center"/>
          </w:tcPr>
          <w:p w14:paraId="13391F83">
            <w:pPr>
              <w:widowControl/>
              <w:adjustRightInd/>
              <w:jc w:val="center"/>
              <w:rPr>
                <w:rFonts w:ascii="宋体" w:hAnsi="宋体" w:eastAsia="仿宋" w:cs="宋体"/>
                <w:color w:val="000000"/>
                <w:kern w:val="0"/>
                <w:sz w:val="24"/>
                <w:highlight w:val="none"/>
              </w:rPr>
            </w:pPr>
          </w:p>
        </w:tc>
        <w:tc>
          <w:tcPr>
            <w:tcW w:w="925" w:type="dxa"/>
            <w:vAlign w:val="center"/>
          </w:tcPr>
          <w:p w14:paraId="709C68D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709B642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项</w:t>
            </w:r>
          </w:p>
        </w:tc>
        <w:tc>
          <w:tcPr>
            <w:tcW w:w="1417" w:type="dxa"/>
            <w:vAlign w:val="center"/>
          </w:tcPr>
          <w:p w14:paraId="7D304056">
            <w:pPr>
              <w:widowControl/>
              <w:adjustRightInd/>
              <w:jc w:val="center"/>
              <w:rPr>
                <w:rFonts w:ascii="宋体" w:hAnsi="宋体" w:eastAsia="仿宋" w:cs="宋体"/>
                <w:color w:val="000000"/>
                <w:kern w:val="0"/>
                <w:sz w:val="24"/>
                <w:highlight w:val="none"/>
              </w:rPr>
            </w:pPr>
          </w:p>
        </w:tc>
        <w:tc>
          <w:tcPr>
            <w:tcW w:w="993" w:type="dxa"/>
            <w:vAlign w:val="center"/>
          </w:tcPr>
          <w:p w14:paraId="194739C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6A4EFEE">
            <w:pPr>
              <w:widowControl/>
              <w:adjustRightInd/>
              <w:jc w:val="center"/>
              <w:rPr>
                <w:rFonts w:ascii="宋体" w:hAnsi="宋体" w:eastAsia="仿宋" w:cs="宋体"/>
                <w:color w:val="000000"/>
                <w:kern w:val="0"/>
                <w:sz w:val="24"/>
                <w:highlight w:val="none"/>
              </w:rPr>
            </w:pPr>
          </w:p>
        </w:tc>
        <w:tc>
          <w:tcPr>
            <w:tcW w:w="2017" w:type="dxa"/>
          </w:tcPr>
          <w:p w14:paraId="717AC757">
            <w:pPr>
              <w:widowControl/>
              <w:adjustRightInd/>
              <w:jc w:val="center"/>
              <w:rPr>
                <w:rFonts w:ascii="宋体" w:hAnsi="宋体" w:eastAsia="仿宋" w:cs="宋体"/>
                <w:color w:val="000000"/>
                <w:kern w:val="0"/>
                <w:sz w:val="24"/>
                <w:highlight w:val="none"/>
              </w:rPr>
            </w:pPr>
          </w:p>
        </w:tc>
      </w:tr>
      <w:tr w14:paraId="403B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0E0B5E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3326" w:type="dxa"/>
            <w:gridSpan w:val="2"/>
            <w:vAlign w:val="center"/>
          </w:tcPr>
          <w:p w14:paraId="4600A96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违法举报</w:t>
            </w:r>
          </w:p>
        </w:tc>
        <w:tc>
          <w:tcPr>
            <w:tcW w:w="2052" w:type="dxa"/>
            <w:vAlign w:val="center"/>
          </w:tcPr>
          <w:p w14:paraId="37805720">
            <w:pPr>
              <w:widowControl/>
              <w:adjustRightInd/>
              <w:jc w:val="center"/>
              <w:rPr>
                <w:rFonts w:ascii="宋体" w:hAnsi="宋体" w:eastAsia="仿宋" w:cs="宋体"/>
                <w:color w:val="000000"/>
                <w:kern w:val="0"/>
                <w:sz w:val="24"/>
                <w:highlight w:val="none"/>
              </w:rPr>
            </w:pPr>
          </w:p>
        </w:tc>
        <w:tc>
          <w:tcPr>
            <w:tcW w:w="925" w:type="dxa"/>
            <w:vAlign w:val="center"/>
          </w:tcPr>
          <w:p w14:paraId="33028F7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02718CC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6E256687">
            <w:pPr>
              <w:widowControl/>
              <w:adjustRightInd/>
              <w:jc w:val="center"/>
              <w:rPr>
                <w:rFonts w:ascii="宋体" w:hAnsi="宋体" w:eastAsia="仿宋" w:cs="宋体"/>
                <w:color w:val="000000"/>
                <w:kern w:val="0"/>
                <w:sz w:val="24"/>
                <w:highlight w:val="none"/>
              </w:rPr>
            </w:pPr>
          </w:p>
        </w:tc>
        <w:tc>
          <w:tcPr>
            <w:tcW w:w="993" w:type="dxa"/>
            <w:vAlign w:val="center"/>
          </w:tcPr>
          <w:p w14:paraId="619AAD0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3B9D84E">
            <w:pPr>
              <w:widowControl/>
              <w:adjustRightInd/>
              <w:jc w:val="center"/>
              <w:rPr>
                <w:rFonts w:ascii="宋体" w:hAnsi="宋体" w:eastAsia="仿宋" w:cs="宋体"/>
                <w:color w:val="000000"/>
                <w:kern w:val="0"/>
                <w:sz w:val="24"/>
                <w:highlight w:val="none"/>
              </w:rPr>
            </w:pPr>
          </w:p>
        </w:tc>
        <w:tc>
          <w:tcPr>
            <w:tcW w:w="2017" w:type="dxa"/>
          </w:tcPr>
          <w:p w14:paraId="52873A14">
            <w:pPr>
              <w:widowControl/>
              <w:adjustRightInd/>
              <w:jc w:val="center"/>
              <w:rPr>
                <w:rFonts w:ascii="宋体" w:hAnsi="宋体" w:eastAsia="仿宋" w:cs="宋体"/>
                <w:color w:val="000000"/>
                <w:kern w:val="0"/>
                <w:sz w:val="24"/>
                <w:highlight w:val="none"/>
              </w:rPr>
            </w:pPr>
          </w:p>
        </w:tc>
      </w:tr>
      <w:tr w14:paraId="4387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359280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6</w:t>
            </w:r>
          </w:p>
        </w:tc>
        <w:tc>
          <w:tcPr>
            <w:tcW w:w="3326" w:type="dxa"/>
            <w:gridSpan w:val="2"/>
            <w:vAlign w:val="center"/>
          </w:tcPr>
          <w:p w14:paraId="26ED3BD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道路交通信号“一见拍”系统</w:t>
            </w:r>
          </w:p>
        </w:tc>
        <w:tc>
          <w:tcPr>
            <w:tcW w:w="2052" w:type="dxa"/>
            <w:vAlign w:val="center"/>
          </w:tcPr>
          <w:p w14:paraId="088F6D84">
            <w:pPr>
              <w:widowControl/>
              <w:adjustRightInd/>
              <w:jc w:val="center"/>
              <w:rPr>
                <w:rFonts w:ascii="宋体" w:hAnsi="宋体" w:eastAsia="仿宋" w:cs="宋体"/>
                <w:color w:val="000000"/>
                <w:kern w:val="0"/>
                <w:sz w:val="24"/>
                <w:highlight w:val="none"/>
              </w:rPr>
            </w:pPr>
          </w:p>
        </w:tc>
        <w:tc>
          <w:tcPr>
            <w:tcW w:w="925" w:type="dxa"/>
            <w:vAlign w:val="center"/>
          </w:tcPr>
          <w:p w14:paraId="4E682E0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5B94761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2E2BFC0B">
            <w:pPr>
              <w:widowControl/>
              <w:adjustRightInd/>
              <w:jc w:val="center"/>
              <w:rPr>
                <w:rFonts w:ascii="宋体" w:hAnsi="宋体" w:eastAsia="仿宋" w:cs="宋体"/>
                <w:color w:val="000000"/>
                <w:kern w:val="0"/>
                <w:sz w:val="24"/>
                <w:highlight w:val="none"/>
              </w:rPr>
            </w:pPr>
          </w:p>
        </w:tc>
        <w:tc>
          <w:tcPr>
            <w:tcW w:w="993" w:type="dxa"/>
            <w:vAlign w:val="center"/>
          </w:tcPr>
          <w:p w14:paraId="54A40FB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990EB66">
            <w:pPr>
              <w:widowControl/>
              <w:adjustRightInd/>
              <w:jc w:val="center"/>
              <w:rPr>
                <w:rFonts w:ascii="宋体" w:hAnsi="宋体" w:eastAsia="仿宋" w:cs="宋体"/>
                <w:color w:val="000000"/>
                <w:kern w:val="0"/>
                <w:sz w:val="24"/>
                <w:highlight w:val="none"/>
              </w:rPr>
            </w:pPr>
          </w:p>
        </w:tc>
        <w:tc>
          <w:tcPr>
            <w:tcW w:w="2017" w:type="dxa"/>
          </w:tcPr>
          <w:p w14:paraId="2366AB95">
            <w:pPr>
              <w:widowControl/>
              <w:adjustRightInd/>
              <w:jc w:val="center"/>
              <w:rPr>
                <w:rFonts w:ascii="宋体" w:hAnsi="宋体" w:eastAsia="仿宋" w:cs="宋体"/>
                <w:color w:val="000000"/>
                <w:kern w:val="0"/>
                <w:sz w:val="24"/>
                <w:highlight w:val="none"/>
              </w:rPr>
            </w:pPr>
          </w:p>
        </w:tc>
      </w:tr>
      <w:tr w14:paraId="7FF5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17" w:type="dxa"/>
            <w:gridSpan w:val="6"/>
            <w:vAlign w:val="center"/>
          </w:tcPr>
          <w:p w14:paraId="67732A1F">
            <w:pPr>
              <w:jc w:val="center"/>
              <w:rPr>
                <w:rFonts w:ascii="仿宋" w:hAnsi="仿宋" w:eastAsia="仿宋" w:cs="仿宋"/>
                <w:b/>
                <w:bCs/>
                <w:snapToGrid w:val="0"/>
                <w:sz w:val="24"/>
                <w:highlight w:val="none"/>
              </w:rPr>
            </w:pPr>
            <w:r>
              <w:rPr>
                <w:rFonts w:hint="eastAsia" w:ascii="仿宋" w:hAnsi="仿宋" w:eastAsia="仿宋" w:cs="仿宋"/>
                <w:b/>
                <w:bCs/>
                <w:snapToGrid w:val="0"/>
                <w:sz w:val="24"/>
                <w:highlight w:val="none"/>
              </w:rPr>
              <w:t>合同总价人民币（小写）</w:t>
            </w:r>
          </w:p>
        </w:tc>
        <w:tc>
          <w:tcPr>
            <w:tcW w:w="5844" w:type="dxa"/>
            <w:gridSpan w:val="4"/>
            <w:vAlign w:val="center"/>
          </w:tcPr>
          <w:p w14:paraId="10C87315">
            <w:pPr>
              <w:widowControl/>
              <w:adjustRightInd/>
              <w:jc w:val="center"/>
              <w:rPr>
                <w:rFonts w:ascii="宋体" w:hAnsi="宋体" w:eastAsia="仿宋" w:cs="宋体"/>
                <w:color w:val="000000"/>
                <w:kern w:val="0"/>
                <w:sz w:val="24"/>
                <w:highlight w:val="none"/>
              </w:rPr>
            </w:pPr>
          </w:p>
        </w:tc>
      </w:tr>
      <w:tr w14:paraId="288B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17" w:type="dxa"/>
            <w:gridSpan w:val="6"/>
            <w:vAlign w:val="center"/>
          </w:tcPr>
          <w:p w14:paraId="44ACF665">
            <w:pPr>
              <w:jc w:val="center"/>
              <w:rPr>
                <w:rFonts w:ascii="仿宋" w:hAnsi="仿宋" w:eastAsia="仿宋" w:cs="仿宋"/>
                <w:b/>
                <w:bCs/>
                <w:snapToGrid w:val="0"/>
                <w:sz w:val="24"/>
                <w:highlight w:val="none"/>
              </w:rPr>
            </w:pPr>
            <w:r>
              <w:rPr>
                <w:rFonts w:hint="eastAsia" w:ascii="仿宋" w:hAnsi="仿宋" w:eastAsia="仿宋" w:cs="仿宋"/>
                <w:b/>
                <w:bCs/>
                <w:snapToGrid w:val="0"/>
                <w:sz w:val="24"/>
                <w:highlight w:val="none"/>
              </w:rPr>
              <w:t>合同总价人民币（大写）</w:t>
            </w:r>
          </w:p>
        </w:tc>
        <w:tc>
          <w:tcPr>
            <w:tcW w:w="5844" w:type="dxa"/>
            <w:gridSpan w:val="4"/>
            <w:vAlign w:val="center"/>
          </w:tcPr>
          <w:p w14:paraId="13BB4040">
            <w:pPr>
              <w:widowControl/>
              <w:adjustRightInd/>
              <w:jc w:val="center"/>
              <w:rPr>
                <w:rFonts w:ascii="宋体" w:hAnsi="宋体" w:eastAsia="仿宋" w:cs="宋体"/>
                <w:color w:val="000000"/>
                <w:kern w:val="0"/>
                <w:sz w:val="24"/>
                <w:highlight w:val="none"/>
              </w:rPr>
            </w:pPr>
          </w:p>
        </w:tc>
      </w:tr>
    </w:tbl>
    <w:p w14:paraId="1C3D8A9E">
      <w:pPr>
        <w:snapToGrid w:val="0"/>
        <w:spacing w:line="360" w:lineRule="auto"/>
        <w:jc w:val="left"/>
        <w:outlineLvl w:val="2"/>
        <w:rPr>
          <w:rFonts w:ascii="仿宋" w:hAnsi="仿宋" w:eastAsia="仿宋" w:cs="仿宋"/>
          <w:snapToGrid w:val="0"/>
          <w:kern w:val="0"/>
          <w:sz w:val="24"/>
          <w:highlight w:val="none"/>
        </w:rPr>
      </w:pPr>
    </w:p>
    <w:bookmarkEnd w:id="49"/>
    <w:bookmarkEnd w:id="50"/>
    <w:p w14:paraId="7662CBA0">
      <w:pPr>
        <w:spacing w:line="360" w:lineRule="auto"/>
        <w:ind w:left="-420" w:leftChars="-200" w:right="-420" w:rightChars="-200"/>
        <w:outlineLvl w:val="0"/>
        <w:rPr>
          <w:rFonts w:ascii="仿宋" w:hAnsi="仿宋" w:eastAsia="仿宋" w:cs="仿宋"/>
          <w:sz w:val="36"/>
          <w:szCs w:val="20"/>
          <w:highlight w:val="none"/>
        </w:rPr>
        <w:sectPr>
          <w:type w:val="continuous"/>
          <w:pgSz w:w="16838" w:h="11906" w:orient="landscape"/>
          <w:pgMar w:top="1418" w:right="1418" w:bottom="1418" w:left="1418" w:header="851" w:footer="992" w:gutter="0"/>
          <w:cols w:space="720" w:num="1"/>
          <w:docGrid w:linePitch="312" w:charSpace="0"/>
        </w:sectPr>
      </w:pPr>
      <w:bookmarkStart w:id="162" w:name="_Hlk125843013"/>
    </w:p>
    <w:p w14:paraId="230957D2">
      <w:pPr>
        <w:spacing w:line="360" w:lineRule="auto"/>
        <w:ind w:left="-420" w:leftChars="-200" w:right="-420" w:rightChars="-200"/>
        <w:outlineLvl w:val="0"/>
        <w:rPr>
          <w:rFonts w:ascii="仿宋" w:hAnsi="仿宋" w:eastAsia="仿宋" w:cs="仿宋"/>
          <w:b/>
          <w:sz w:val="36"/>
          <w:szCs w:val="20"/>
          <w:highlight w:val="none"/>
        </w:rPr>
      </w:pPr>
    </w:p>
    <w:p w14:paraId="09C25C1F">
      <w:pPr>
        <w:spacing w:line="360" w:lineRule="auto"/>
        <w:ind w:right="-420" w:rightChars="-200"/>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第六部分  应提交的有关格式范例</w:t>
      </w:r>
    </w:p>
    <w:p w14:paraId="5DA05AFC">
      <w:pPr>
        <w:spacing w:line="360" w:lineRule="auto"/>
        <w:jc w:val="center"/>
        <w:rPr>
          <w:rFonts w:ascii="仿宋" w:hAnsi="仿宋" w:eastAsia="仿宋" w:cs="仿宋"/>
          <w:b/>
          <w:kern w:val="0"/>
          <w:sz w:val="36"/>
          <w:szCs w:val="36"/>
          <w:highlight w:val="none"/>
        </w:rPr>
      </w:pPr>
    </w:p>
    <w:p w14:paraId="560F398B">
      <w:pPr>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790694CF">
      <w:pPr>
        <w:spacing w:line="360" w:lineRule="auto"/>
        <w:jc w:val="center"/>
        <w:rPr>
          <w:rFonts w:ascii="仿宋" w:hAnsi="仿宋" w:eastAsia="仿宋" w:cs="仿宋"/>
          <w:b/>
          <w:kern w:val="0"/>
          <w:sz w:val="36"/>
          <w:szCs w:val="36"/>
          <w:highlight w:val="none"/>
        </w:rPr>
      </w:pPr>
    </w:p>
    <w:p w14:paraId="04C7661A">
      <w:pPr>
        <w:spacing w:line="360" w:lineRule="auto"/>
        <w:jc w:val="center"/>
        <w:outlineLvl w:val="2"/>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D5AA084">
      <w:pPr>
        <w:spacing w:line="360" w:lineRule="auto"/>
        <w:jc w:val="center"/>
        <w:rPr>
          <w:rFonts w:ascii="仿宋" w:hAnsi="仿宋" w:eastAsia="仿宋" w:cs="仿宋"/>
          <w:b/>
          <w:kern w:val="0"/>
          <w:sz w:val="36"/>
          <w:szCs w:val="36"/>
          <w:highlight w:val="none"/>
        </w:rPr>
      </w:pPr>
    </w:p>
    <w:bookmarkEnd w:id="162"/>
    <w:p w14:paraId="370AF19C">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2DEC026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（2）联合协议………………………………………………………………（页码）</w:t>
      </w:r>
    </w:p>
    <w:p w14:paraId="6C8B635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4B46CDC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（4）本项目的特定资格要求………………………………………………（页码）</w:t>
      </w:r>
    </w:p>
    <w:p w14:paraId="2B73C8F3">
      <w:pPr>
        <w:snapToGrid w:val="0"/>
        <w:spacing w:line="360" w:lineRule="auto"/>
        <w:ind w:firstLine="480" w:firstLineChars="200"/>
        <w:rPr>
          <w:rFonts w:ascii="仿宋" w:hAnsi="仿宋" w:eastAsia="仿宋" w:cs="仿宋"/>
          <w:sz w:val="24"/>
          <w:highlight w:val="none"/>
        </w:rPr>
      </w:pPr>
    </w:p>
    <w:p w14:paraId="734CCC15">
      <w:pPr>
        <w:spacing w:line="360" w:lineRule="auto"/>
        <w:ind w:firstLine="480" w:firstLineChars="200"/>
        <w:rPr>
          <w:rFonts w:ascii="仿宋" w:hAnsi="仿宋" w:eastAsia="仿宋" w:cs="仿宋"/>
          <w:sz w:val="24"/>
          <w:highlight w:val="none"/>
        </w:rPr>
      </w:pPr>
    </w:p>
    <w:p w14:paraId="1919EBDF">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一、符合参加政府采购活动应当具备的一般条件的承诺函</w:t>
      </w:r>
    </w:p>
    <w:p w14:paraId="4E6134C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杭州市公安局交通警察支队、浙江中诺招标代理有限公司：</w:t>
      </w:r>
    </w:p>
    <w:p w14:paraId="7F28335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我方参与2025年杭州交警业务系统租赁使用服务-2025年公安交通集成指挥平台使用项目【招标编号：ZJZN-25022-HZGA15】政府采购活动，郑重承诺：</w:t>
      </w:r>
    </w:p>
    <w:p w14:paraId="5DEF690D">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2ECDF2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3927087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2506D9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4EFB9B8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44B98A7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B599CA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5D76B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5D87B3C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0D40609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53E4E5E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709AA0BE">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390FA7E1">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FFA2F20">
      <w:pPr>
        <w:snapToGrid w:val="0"/>
        <w:spacing w:line="360" w:lineRule="auto"/>
        <w:ind w:right="480"/>
        <w:jc w:val="center"/>
        <w:rPr>
          <w:rFonts w:ascii="仿宋" w:hAnsi="仿宋" w:eastAsia="仿宋" w:cs="仿宋"/>
          <w:b/>
          <w:kern w:val="0"/>
          <w:sz w:val="32"/>
          <w:szCs w:val="32"/>
          <w:highlight w:val="none"/>
        </w:rPr>
      </w:pPr>
    </w:p>
    <w:p w14:paraId="5474B603">
      <w:pPr>
        <w:snapToGrid w:val="0"/>
        <w:spacing w:line="360" w:lineRule="auto"/>
        <w:ind w:right="480"/>
        <w:jc w:val="center"/>
        <w:rPr>
          <w:rFonts w:ascii="仿宋" w:hAnsi="仿宋" w:eastAsia="仿宋" w:cs="仿宋"/>
          <w:b/>
          <w:kern w:val="0"/>
          <w:sz w:val="32"/>
          <w:szCs w:val="32"/>
          <w:highlight w:val="none"/>
        </w:rPr>
      </w:pPr>
    </w:p>
    <w:p w14:paraId="6F87D232">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343D878">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79998C83">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[以联合体形式投标的，提供联合协议（附件5）；本项目不接受联合体投标或者供应商不以联合体形式投标的，则不需要提供）]</w:t>
      </w:r>
    </w:p>
    <w:p w14:paraId="566371E3">
      <w:pPr>
        <w:widowControl/>
        <w:spacing w:line="360" w:lineRule="auto"/>
        <w:ind w:left="150"/>
        <w:jc w:val="center"/>
        <w:rPr>
          <w:rFonts w:ascii="仿宋" w:hAnsi="仿宋" w:eastAsia="仿宋" w:cs="仿宋"/>
          <w:b/>
          <w:kern w:val="0"/>
          <w:sz w:val="32"/>
          <w:szCs w:val="32"/>
          <w:highlight w:val="none"/>
        </w:rPr>
      </w:pPr>
    </w:p>
    <w:p w14:paraId="7743E42C">
      <w:pPr>
        <w:widowControl/>
        <w:spacing w:line="360" w:lineRule="auto"/>
        <w:ind w:left="150"/>
        <w:jc w:val="center"/>
        <w:rPr>
          <w:rFonts w:ascii="仿宋" w:hAnsi="仿宋" w:eastAsia="仿宋" w:cs="仿宋"/>
          <w:b/>
          <w:kern w:val="0"/>
          <w:sz w:val="32"/>
          <w:szCs w:val="32"/>
          <w:highlight w:val="none"/>
        </w:rPr>
      </w:pPr>
    </w:p>
    <w:p w14:paraId="68F0FC5A">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6A6FB01F">
      <w:pPr>
        <w:spacing w:line="360" w:lineRule="auto"/>
        <w:rPr>
          <w:rFonts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06F8FDF0">
      <w:pPr>
        <w:snapToGrid w:val="0"/>
        <w:spacing w:before="50" w:after="5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14:paraId="5965C92F">
      <w:pPr>
        <w:widowControl/>
        <w:spacing w:line="360" w:lineRule="auto"/>
        <w:ind w:left="150"/>
        <w:jc w:val="center"/>
        <w:rPr>
          <w:rFonts w:ascii="仿宋" w:hAnsi="仿宋" w:eastAsia="仿宋" w:cs="仿宋"/>
          <w:b/>
          <w:kern w:val="0"/>
          <w:sz w:val="32"/>
          <w:szCs w:val="32"/>
          <w:highlight w:val="none"/>
        </w:rPr>
      </w:pPr>
    </w:p>
    <w:p w14:paraId="2B67D4EA">
      <w:pPr>
        <w:widowControl/>
        <w:spacing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39091DE">
      <w:pPr>
        <w:widowControl/>
        <w:spacing w:line="360" w:lineRule="auto"/>
        <w:ind w:left="150"/>
        <w:jc w:val="center"/>
        <w:rPr>
          <w:rFonts w:ascii="仿宋" w:hAnsi="仿宋" w:eastAsia="仿宋" w:cs="仿宋"/>
          <w:b/>
          <w:kern w:val="0"/>
          <w:sz w:val="32"/>
          <w:szCs w:val="32"/>
          <w:highlight w:val="none"/>
        </w:rPr>
      </w:pPr>
    </w:p>
    <w:p w14:paraId="1EAE3B0E">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14:paraId="6F61C43D">
      <w:pPr>
        <w:widowControl/>
        <w:spacing w:line="360" w:lineRule="auto"/>
        <w:ind w:left="150"/>
        <w:jc w:val="center"/>
        <w:rPr>
          <w:rFonts w:ascii="仿宋" w:hAnsi="仿宋" w:eastAsia="仿宋" w:cs="仿宋"/>
          <w:b/>
          <w:kern w:val="0"/>
          <w:sz w:val="32"/>
          <w:szCs w:val="32"/>
          <w:highlight w:val="none"/>
        </w:rPr>
      </w:pPr>
    </w:p>
    <w:p w14:paraId="66152E97">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14:paraId="627A464A">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59D3F4A4">
      <w:pPr>
        <w:widowControl/>
        <w:spacing w:line="360" w:lineRule="auto"/>
        <w:ind w:left="150"/>
        <w:jc w:val="center"/>
        <w:rPr>
          <w:rFonts w:ascii="仿宋" w:hAnsi="仿宋" w:eastAsia="仿宋" w:cs="仿宋"/>
          <w:b/>
          <w:kern w:val="0"/>
          <w:sz w:val="32"/>
          <w:szCs w:val="32"/>
          <w:highlight w:val="none"/>
        </w:rPr>
      </w:pPr>
    </w:p>
    <w:p w14:paraId="10B56A26">
      <w:pPr>
        <w:widowControl/>
        <w:spacing w:line="360" w:lineRule="auto"/>
        <w:ind w:left="150"/>
        <w:jc w:val="center"/>
        <w:rPr>
          <w:rFonts w:ascii="仿宋" w:hAnsi="仿宋" w:eastAsia="仿宋" w:cs="仿宋"/>
          <w:b/>
          <w:kern w:val="0"/>
          <w:sz w:val="32"/>
          <w:szCs w:val="32"/>
          <w:highlight w:val="none"/>
        </w:rPr>
      </w:pPr>
    </w:p>
    <w:p w14:paraId="7FC816D6">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0DEAA8E7">
      <w:pPr>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12BE4FB6">
      <w:pPr>
        <w:spacing w:line="360" w:lineRule="auto"/>
        <w:jc w:val="center"/>
        <w:rPr>
          <w:rFonts w:ascii="仿宋" w:hAnsi="仿宋" w:eastAsia="仿宋" w:cs="仿宋"/>
          <w:b/>
          <w:kern w:val="0"/>
          <w:sz w:val="24"/>
          <w:highlight w:val="none"/>
        </w:rPr>
      </w:pPr>
    </w:p>
    <w:p w14:paraId="4CB01AEE">
      <w:pPr>
        <w:spacing w:line="360" w:lineRule="auto"/>
        <w:jc w:val="center"/>
        <w:outlineLvl w:val="2"/>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2AA15250">
      <w:pPr>
        <w:spacing w:line="360" w:lineRule="auto"/>
        <w:jc w:val="center"/>
        <w:rPr>
          <w:rFonts w:ascii="仿宋" w:hAnsi="仿宋" w:eastAsia="仿宋" w:cs="仿宋"/>
          <w:b/>
          <w:kern w:val="0"/>
          <w:sz w:val="36"/>
          <w:szCs w:val="36"/>
          <w:highlight w:val="none"/>
        </w:rPr>
      </w:pPr>
    </w:p>
    <w:p w14:paraId="540289C3">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（1）投标函…………………………………………………………………………（页码）</w:t>
      </w:r>
    </w:p>
    <w:p w14:paraId="67158A1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（2）授权委托书或法定代表人（单位负责人、自然人本人）身份证明………（页码）</w:t>
      </w:r>
    </w:p>
    <w:p w14:paraId="09EEC17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（3）分包意向协议…………………………………………………………………（页码）</w:t>
      </w:r>
    </w:p>
    <w:p w14:paraId="2B158DE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（4）符合性审查资料………………………………………………………………（页码）</w:t>
      </w:r>
    </w:p>
    <w:p w14:paraId="6DEBDDB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（5）评标标准相应的商务技术资料………………………………………………（页码）</w:t>
      </w:r>
    </w:p>
    <w:p w14:paraId="19DDD04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（6）投标标的清单…………………………………………………………………（页码）</w:t>
      </w:r>
    </w:p>
    <w:p w14:paraId="5F74729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（7）商务技术偏离表………………………………………………………………（页码）</w:t>
      </w:r>
    </w:p>
    <w:p w14:paraId="788747E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（8）政府采购供应商廉洁自律承诺书……………………………………………（页码）</w:t>
      </w:r>
    </w:p>
    <w:p w14:paraId="39F4EB4F">
      <w:pPr>
        <w:snapToGrid w:val="0"/>
        <w:spacing w:line="360" w:lineRule="auto"/>
        <w:rPr>
          <w:rFonts w:ascii="仿宋" w:hAnsi="仿宋" w:eastAsia="仿宋" w:cs="仿宋"/>
          <w:sz w:val="24"/>
          <w:highlight w:val="none"/>
        </w:rPr>
      </w:pPr>
    </w:p>
    <w:p w14:paraId="247756C8">
      <w:pPr>
        <w:snapToGrid w:val="0"/>
        <w:spacing w:line="360" w:lineRule="auto"/>
        <w:jc w:val="center"/>
        <w:rPr>
          <w:rFonts w:ascii="仿宋" w:hAnsi="仿宋" w:eastAsia="仿宋" w:cs="仿宋"/>
          <w:b/>
          <w:kern w:val="0"/>
          <w:sz w:val="32"/>
          <w:szCs w:val="32"/>
          <w:highlight w:val="none"/>
        </w:rPr>
      </w:pPr>
    </w:p>
    <w:p w14:paraId="04D2ABCD">
      <w:pPr>
        <w:snapToGrid w:val="0"/>
        <w:spacing w:line="360" w:lineRule="auto"/>
        <w:jc w:val="center"/>
        <w:rPr>
          <w:rFonts w:ascii="仿宋" w:hAnsi="仿宋" w:eastAsia="仿宋" w:cs="仿宋"/>
          <w:b/>
          <w:kern w:val="0"/>
          <w:sz w:val="32"/>
          <w:szCs w:val="32"/>
          <w:highlight w:val="none"/>
          <w:lang w:val="zh-CN"/>
        </w:rPr>
      </w:pPr>
    </w:p>
    <w:p w14:paraId="2BCFD66E">
      <w:pPr>
        <w:snapToGrid w:val="0"/>
        <w:spacing w:line="360" w:lineRule="auto"/>
        <w:jc w:val="center"/>
        <w:rPr>
          <w:rFonts w:ascii="仿宋" w:hAnsi="仿宋" w:eastAsia="仿宋" w:cs="仿宋"/>
          <w:b/>
          <w:kern w:val="0"/>
          <w:sz w:val="32"/>
          <w:szCs w:val="32"/>
          <w:highlight w:val="none"/>
          <w:lang w:val="zh-CN"/>
        </w:rPr>
      </w:pPr>
    </w:p>
    <w:p w14:paraId="720751C3">
      <w:pPr>
        <w:snapToGrid w:val="0"/>
        <w:spacing w:line="360" w:lineRule="auto"/>
        <w:jc w:val="center"/>
        <w:rPr>
          <w:rFonts w:ascii="仿宋" w:hAnsi="仿宋" w:eastAsia="仿宋" w:cs="仿宋"/>
          <w:b/>
          <w:kern w:val="0"/>
          <w:sz w:val="32"/>
          <w:szCs w:val="32"/>
          <w:highlight w:val="none"/>
          <w:lang w:val="zh-CN"/>
        </w:rPr>
      </w:pPr>
    </w:p>
    <w:p w14:paraId="70BCB81A">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45659A9">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一、投标函</w:t>
      </w:r>
    </w:p>
    <w:p w14:paraId="680F850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杭州市公安局交通警察支队、浙江中诺招标代理有限公司：</w:t>
      </w:r>
    </w:p>
    <w:p w14:paraId="7A23994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我方参加你方组织的2025年杭州交警业务系统租赁使用服务-2025年公安交通集成指挥平台使用项目【招标编号：ZJZN-25022-HZGA15】招标的有关活动，并对此项目进行投标。为此：</w:t>
      </w:r>
    </w:p>
    <w:p w14:paraId="4DF824E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90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471AF5D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14:paraId="2A99F77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14:paraId="065813F8">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2.1.1承诺函；</w:t>
      </w:r>
    </w:p>
    <w:p w14:paraId="4655D6C5">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w:t>
      </w:r>
      <w:bookmarkStart w:id="163" w:name="_Hlk101257010"/>
      <w:r>
        <w:rPr>
          <w:rFonts w:hint="eastAsia" w:ascii="仿宋" w:hAnsi="仿宋" w:eastAsia="仿宋" w:cs="仿宋"/>
          <w:sz w:val="24"/>
          <w:highlight w:val="none"/>
        </w:rPr>
        <w:t>（如果有)</w:t>
      </w:r>
      <w:bookmarkEnd w:id="163"/>
      <w:r>
        <w:rPr>
          <w:rFonts w:hint="eastAsia" w:ascii="仿宋" w:hAnsi="仿宋" w:eastAsia="仿宋" w:cs="仿宋"/>
          <w:snapToGrid w:val="0"/>
          <w:kern w:val="28"/>
          <w:sz w:val="24"/>
          <w:szCs w:val="20"/>
          <w:highlight w:val="none"/>
        </w:rPr>
        <w:t>；</w:t>
      </w:r>
    </w:p>
    <w:p w14:paraId="4635C63E">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2.1.3落实政府采购政策需满足的资格要求（中小企业声明函）；</w:t>
      </w:r>
    </w:p>
    <w:p w14:paraId="1A3E8C34">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2.1.4本项目的特定资格要求（如果有)。</w:t>
      </w:r>
    </w:p>
    <w:p w14:paraId="05A6CFB1">
      <w:pPr>
        <w:snapToGrid w:val="0"/>
        <w:spacing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12359B9D">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p>
    <w:p w14:paraId="5821EF3B">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6AFD4DD5">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2.2.3分包意向协议（如果有)；</w:t>
      </w:r>
    </w:p>
    <w:p w14:paraId="0D433950">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14:paraId="48BF5054">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14:paraId="1D64DEB7">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2.2.6投标标的清单；</w:t>
      </w:r>
    </w:p>
    <w:p w14:paraId="4306CE16">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2.2.7商务技术偏离表；</w:t>
      </w:r>
    </w:p>
    <w:p w14:paraId="5CA37824">
      <w:pPr>
        <w:snapToGrid w:val="0"/>
        <w:spacing w:line="360" w:lineRule="auto"/>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4844A079">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38C7D96D">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14:paraId="21F0682E">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2.3.2 报价情况说明（如果有）</w:t>
      </w:r>
    </w:p>
    <w:p w14:paraId="205DFA0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3、我方承诺除商务技术偏离表列出的偏离外，我方响应招标文件的全部要求。对投标文件中材料的真实性、合法性负责，积极配合采购人、采购代理机构复核投标文件中的资料。</w:t>
      </w:r>
    </w:p>
    <w:p w14:paraId="5F128FD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14:paraId="6958DB7C">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539293A5">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548CECA3">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6560FD2D">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3EAC778B">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1D699E4">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6、其他补充说明: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62CF8656">
      <w:pPr>
        <w:snapToGrid w:val="0"/>
        <w:spacing w:line="360" w:lineRule="auto"/>
        <w:ind w:left="210" w:leftChars="100" w:firstLine="480" w:firstLineChars="200"/>
        <w:rPr>
          <w:rFonts w:ascii="仿宋" w:hAnsi="仿宋" w:eastAsia="仿宋" w:cs="仿宋"/>
          <w:sz w:val="24"/>
          <w:highlight w:val="none"/>
        </w:rPr>
      </w:pPr>
    </w:p>
    <w:p w14:paraId="2F153FD0">
      <w:pPr>
        <w:snapToGrid w:val="0"/>
        <w:spacing w:line="360" w:lineRule="auto"/>
        <w:ind w:left="4200" w:leftChars="2000"/>
        <w:jc w:val="left"/>
        <w:rPr>
          <w:rFonts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p>
    <w:p w14:paraId="0FC37AA8">
      <w:pPr>
        <w:snapToGrid w:val="0"/>
        <w:spacing w:line="360" w:lineRule="auto"/>
        <w:ind w:left="4200" w:leftChars="2000"/>
        <w:jc w:val="left"/>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sz w:val="24"/>
          <w:highlight w:val="none"/>
        </w:rPr>
        <w:t>：  年   月   日</w:t>
      </w:r>
    </w:p>
    <w:p w14:paraId="35636267">
      <w:pPr>
        <w:snapToGrid w:val="0"/>
        <w:spacing w:line="360" w:lineRule="auto"/>
        <w:ind w:left="420" w:leftChars="200" w:firstLine="4200" w:firstLineChars="1750"/>
        <w:rPr>
          <w:rFonts w:ascii="仿宋" w:hAnsi="仿宋" w:eastAsia="仿宋" w:cs="仿宋"/>
          <w:kern w:val="0"/>
          <w:sz w:val="24"/>
          <w:highlight w:val="none"/>
          <w:u w:val="single"/>
        </w:rPr>
      </w:pPr>
    </w:p>
    <w:p w14:paraId="4B0B55F0">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3BB2AD8">
      <w:pPr>
        <w:snapToGrid w:val="0"/>
        <w:spacing w:line="360" w:lineRule="auto"/>
        <w:jc w:val="center"/>
        <w:rPr>
          <w:rFonts w:ascii="仿宋" w:hAnsi="仿宋" w:eastAsia="仿宋" w:cs="仿宋"/>
          <w:b/>
          <w:kern w:val="0"/>
          <w:sz w:val="32"/>
          <w:szCs w:val="32"/>
          <w:highlight w:val="none"/>
        </w:rPr>
      </w:pPr>
    </w:p>
    <w:p w14:paraId="58747B18">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10578DF">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二、授权委托书或法定代表人（单位负责人、自然人本人）身份证明</w:t>
      </w:r>
    </w:p>
    <w:p w14:paraId="6833A8FA">
      <w:pPr>
        <w:snapToGrid w:val="0"/>
        <w:spacing w:line="360" w:lineRule="auto"/>
        <w:rPr>
          <w:rFonts w:ascii="仿宋" w:hAnsi="仿宋" w:eastAsia="仿宋" w:cs="仿宋"/>
          <w:sz w:val="24"/>
          <w:highlight w:val="none"/>
        </w:rPr>
      </w:pPr>
    </w:p>
    <w:p w14:paraId="2DB8E48D">
      <w:pPr>
        <w:snapToGrid w:val="0"/>
        <w:spacing w:before="50" w:after="50" w:line="360" w:lineRule="auto"/>
        <w:jc w:val="center"/>
        <w:outlineLvl w:val="3"/>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授权委托书（适用于非联合体投标）</w:t>
      </w:r>
    </w:p>
    <w:p w14:paraId="407B4A46">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杭州市公安局交通警察支队、浙江中诺招标代理有限公司</w:t>
      </w:r>
      <w:r>
        <w:rPr>
          <w:rFonts w:hint="eastAsia" w:ascii="仿宋" w:hAnsi="仿宋" w:eastAsia="仿宋" w:cs="仿宋"/>
          <w:kern w:val="0"/>
          <w:sz w:val="24"/>
          <w:highlight w:val="none"/>
          <w:lang w:val="zh-CN"/>
        </w:rPr>
        <w:t>：</w:t>
      </w:r>
    </w:p>
    <w:p w14:paraId="25A3940A">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w:t>
      </w:r>
      <w:r>
        <w:rPr>
          <w:rFonts w:hint="eastAsia" w:ascii="仿宋" w:hAnsi="仿宋" w:eastAsia="仿宋" w:cs="仿宋"/>
          <w:kern w:val="0"/>
          <w:sz w:val="24"/>
          <w:highlight w:val="none"/>
        </w:rPr>
        <w:t xml:space="preserve">所在单位：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2025年杭州交警业务系统租赁使用服务-2025年公安交通集成指挥平台使用项目【招标编号：ZJZN-25022-HZGA15】</w:t>
      </w:r>
      <w:r>
        <w:rPr>
          <w:rFonts w:hint="eastAsia" w:ascii="仿宋" w:hAnsi="仿宋" w:eastAsia="仿宋" w:cs="仿宋"/>
          <w:kern w:val="0"/>
          <w:sz w:val="24"/>
          <w:highlight w:val="none"/>
          <w:lang w:val="zh-CN"/>
        </w:rPr>
        <w:t>政府采购投标的一切事项，其法律后果由我方承担。</w:t>
      </w:r>
    </w:p>
    <w:p w14:paraId="37F1569B">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4A0BD24B">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4D4274C1">
      <w:pPr>
        <w:snapToGrid w:val="0"/>
        <w:spacing w:line="360" w:lineRule="auto"/>
        <w:ind w:left="4200" w:leftChars="2000"/>
        <w:jc w:val="left"/>
        <w:rPr>
          <w:rFonts w:ascii="仿宋" w:hAnsi="仿宋" w:eastAsia="仿宋" w:cs="仿宋"/>
          <w:kern w:val="0"/>
          <w:sz w:val="24"/>
          <w:highlight w:val="none"/>
        </w:rPr>
      </w:pPr>
      <w:bookmarkStart w:id="164" w:name="_Hlk125844109"/>
      <w:r>
        <w:rPr>
          <w:rFonts w:hint="eastAsia" w:ascii="仿宋" w:hAnsi="仿宋" w:eastAsia="仿宋" w:cs="仿宋"/>
          <w:kern w:val="0"/>
          <w:sz w:val="24"/>
          <w:highlight w:val="none"/>
          <w:lang w:val="zh-CN"/>
        </w:rPr>
        <w:t>供应商名称（电子签名）：</w:t>
      </w:r>
    </w:p>
    <w:p w14:paraId="15259092">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签发日期：  年  月   日</w:t>
      </w:r>
    </w:p>
    <w:p w14:paraId="1B35C8E4">
      <w:pPr>
        <w:snapToGrid w:val="0"/>
        <w:spacing w:line="360" w:lineRule="auto"/>
        <w:rPr>
          <w:rFonts w:ascii="仿宋" w:hAnsi="仿宋" w:eastAsia="仿宋" w:cs="仿宋"/>
          <w:sz w:val="24"/>
          <w:highlight w:val="none"/>
        </w:rPr>
      </w:pPr>
    </w:p>
    <w:p w14:paraId="4A960104">
      <w:pPr>
        <w:snapToGrid w:val="0"/>
        <w:spacing w:line="360" w:lineRule="auto"/>
        <w:rPr>
          <w:rFonts w:ascii="仿宋" w:hAnsi="仿宋" w:eastAsia="仿宋" w:cs="仿宋"/>
          <w:sz w:val="24"/>
          <w:highlight w:val="none"/>
        </w:rPr>
      </w:pPr>
    </w:p>
    <w:bookmarkEnd w:id="164"/>
    <w:p w14:paraId="736436EA">
      <w:pPr>
        <w:snapToGrid w:val="0"/>
        <w:spacing w:before="50" w:after="50" w:line="360" w:lineRule="auto"/>
        <w:jc w:val="center"/>
        <w:outlineLvl w:val="3"/>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授权委托书（适用于联合体投标）</w:t>
      </w:r>
    </w:p>
    <w:p w14:paraId="759B044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杭州市公安局交通警察支队、浙江中诺招标代理有限公司</w:t>
      </w:r>
      <w:r>
        <w:rPr>
          <w:rFonts w:hint="eastAsia" w:ascii="仿宋" w:hAnsi="仿宋" w:eastAsia="仿宋" w:cs="仿宋"/>
          <w:kern w:val="0"/>
          <w:sz w:val="24"/>
          <w:highlight w:val="none"/>
          <w:lang w:val="zh-CN"/>
        </w:rPr>
        <w:t>：</w:t>
      </w:r>
    </w:p>
    <w:p w14:paraId="6C261E7F">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委托（姓名）为我方代理人（身份证号码：，手机：），以我方名义处理</w:t>
      </w:r>
      <w:r>
        <w:rPr>
          <w:rFonts w:hint="eastAsia" w:ascii="仿宋" w:hAnsi="仿宋" w:eastAsia="仿宋" w:cs="仿宋"/>
          <w:sz w:val="24"/>
          <w:highlight w:val="none"/>
        </w:rPr>
        <w:t>2025年杭州交警业务系统租赁使用服务-2025年公安交通集成指挥平台使用项目【招标编号：ZJZN-25022-HZGA15】</w:t>
      </w:r>
      <w:r>
        <w:rPr>
          <w:rFonts w:hint="eastAsia" w:ascii="仿宋" w:hAnsi="仿宋" w:eastAsia="仿宋" w:cs="仿宋"/>
          <w:kern w:val="0"/>
          <w:sz w:val="24"/>
          <w:highlight w:val="none"/>
          <w:lang w:val="zh-CN"/>
        </w:rPr>
        <w:t>政府采购投标的一切事项，其法律后果由我方承担。</w:t>
      </w:r>
    </w:p>
    <w:p w14:paraId="5E1F834E">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自年月日起至年月日止。</w:t>
      </w:r>
    </w:p>
    <w:p w14:paraId="4E43BB80">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769CF9DC">
      <w:pPr>
        <w:pStyle w:val="7"/>
        <w:ind w:firstLine="480"/>
        <w:rPr>
          <w:rFonts w:ascii="仿宋" w:hAnsi="仿宋" w:eastAsia="仿宋" w:cs="仿宋"/>
          <w:highlight w:val="none"/>
          <w:lang w:val="zh-CN"/>
        </w:rPr>
      </w:pPr>
    </w:p>
    <w:p w14:paraId="79B7B8D8">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4B4A796">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C767227">
      <w:pPr>
        <w:snapToGrid w:val="0"/>
        <w:spacing w:line="360" w:lineRule="auto"/>
        <w:ind w:left="4200" w:leftChars="2000"/>
        <w:jc w:val="left"/>
        <w:rPr>
          <w:rFonts w:ascii="仿宋" w:hAnsi="仿宋" w:eastAsia="仿宋" w:cs="仿宋"/>
          <w:highlight w:val="none"/>
        </w:rPr>
      </w:pPr>
      <w:r>
        <w:rPr>
          <w:rFonts w:hint="eastAsia" w:ascii="仿宋" w:hAnsi="仿宋" w:eastAsia="仿宋" w:cs="仿宋"/>
          <w:kern w:val="0"/>
          <w:sz w:val="24"/>
          <w:highlight w:val="none"/>
          <w:lang w:val="zh-CN"/>
        </w:rPr>
        <w:t>……</w:t>
      </w:r>
    </w:p>
    <w:p w14:paraId="6A8090D8">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37CD7933">
      <w:pPr>
        <w:snapToGrid w:val="0"/>
        <w:spacing w:before="50" w:after="50" w:line="360" w:lineRule="auto"/>
        <w:ind w:left="-420" w:leftChars="-200" w:right="-420" w:rightChars="-200"/>
        <w:jc w:val="center"/>
        <w:outlineLvl w:val="3"/>
        <w:rPr>
          <w:rFonts w:ascii="仿宋" w:hAnsi="仿宋" w:eastAsia="仿宋" w:cs="仿宋"/>
          <w:b/>
          <w:kern w:val="0"/>
          <w:sz w:val="32"/>
          <w:szCs w:val="32"/>
          <w:highlight w:val="none"/>
          <w:lang w:val="zh-CN"/>
        </w:rPr>
      </w:pPr>
      <w:r>
        <w:rPr>
          <w:rFonts w:hint="eastAsia" w:ascii="仿宋" w:hAnsi="仿宋" w:eastAsia="仿宋" w:cs="仿宋"/>
          <w:highlight w:val="none"/>
        </w:rPr>
        <w:br w:type="page"/>
      </w:r>
      <w:r>
        <w:rPr>
          <w:rFonts w:hint="eastAsia" w:ascii="仿宋" w:hAnsi="仿宋" w:eastAsia="仿宋" w:cs="仿宋"/>
          <w:b/>
          <w:kern w:val="0"/>
          <w:sz w:val="32"/>
          <w:szCs w:val="32"/>
          <w:highlight w:val="none"/>
          <w:lang w:val="zh-CN"/>
        </w:rPr>
        <w:t>法定代表人、单位负责人或自然人本人的身份证明</w:t>
      </w:r>
    </w:p>
    <w:p w14:paraId="48825939">
      <w:pPr>
        <w:snapToGrid w:val="0"/>
        <w:spacing w:before="50" w:after="50" w:line="360" w:lineRule="auto"/>
        <w:ind w:left="-420" w:leftChars="-200" w:right="-420" w:rightChars="-200"/>
        <w:jc w:val="center"/>
        <w:outlineLvl w:val="3"/>
        <w:rPr>
          <w:rFonts w:ascii="仿宋" w:hAnsi="仿宋" w:eastAsia="仿宋" w:cs="仿宋"/>
          <w:b/>
          <w:sz w:val="24"/>
          <w:highlight w:val="none"/>
        </w:rPr>
      </w:pPr>
      <w:r>
        <w:rPr>
          <w:rFonts w:hint="eastAsia" w:ascii="仿宋" w:hAnsi="仿宋" w:eastAsia="仿宋" w:cs="仿宋"/>
          <w:b/>
          <w:kern w:val="0"/>
          <w:sz w:val="32"/>
          <w:szCs w:val="32"/>
          <w:highlight w:val="none"/>
          <w:lang w:val="zh-CN"/>
        </w:rPr>
        <w:t>（适用于法定代表人、单位负责人或者自然人本人代表供应商参加投标）</w:t>
      </w:r>
    </w:p>
    <w:p w14:paraId="2107DC6B">
      <w:pPr>
        <w:pStyle w:val="194"/>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7A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8851EB">
            <w:pPr>
              <w:pStyle w:val="194"/>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697DD445">
            <w:pPr>
              <w:pStyle w:val="194"/>
              <w:adjustRightInd w:val="0"/>
              <w:spacing w:line="360" w:lineRule="auto"/>
              <w:rPr>
                <w:rFonts w:ascii="仿宋" w:hAnsi="仿宋" w:eastAsia="仿宋" w:cs="仿宋"/>
                <w:bCs/>
                <w:sz w:val="24"/>
                <w:highlight w:val="none"/>
              </w:rPr>
            </w:pPr>
          </w:p>
        </w:tc>
      </w:tr>
    </w:tbl>
    <w:p w14:paraId="3CCBDA2C">
      <w:pPr>
        <w:snapToGrid w:val="0"/>
        <w:spacing w:line="360" w:lineRule="auto"/>
        <w:ind w:firstLine="576"/>
        <w:jc w:val="center"/>
        <w:rPr>
          <w:rFonts w:ascii="仿宋" w:hAnsi="仿宋" w:eastAsia="仿宋" w:cs="仿宋"/>
          <w:kern w:val="0"/>
          <w:sz w:val="24"/>
          <w:highlight w:val="none"/>
          <w:lang w:val="zh-CN"/>
        </w:rPr>
      </w:pPr>
    </w:p>
    <w:p w14:paraId="1FDBFBED">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38826F46">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3F33EE5C">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0D7BDD0">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三、分包意向协议（如果有）</w:t>
      </w:r>
    </w:p>
    <w:p w14:paraId="2FD2A728">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中标后以分包方式履行合同的，提供分包意向协议(附件6)；采购人不同意分包或者供应商中标后不以分包方式履行合同的，则不需要提供。</w:t>
      </w:r>
      <w:r>
        <w:rPr>
          <w:rFonts w:hint="eastAsia" w:ascii="仿宋" w:hAnsi="仿宋" w:eastAsia="仿宋" w:cs="仿宋"/>
          <w:sz w:val="24"/>
          <w:highlight w:val="none"/>
        </w:rPr>
        <w:t>]</w:t>
      </w:r>
    </w:p>
    <w:p w14:paraId="6355E2B6">
      <w:pPr>
        <w:widowControl/>
        <w:spacing w:line="360" w:lineRule="auto"/>
        <w:ind w:left="150"/>
        <w:jc w:val="center"/>
        <w:rPr>
          <w:rFonts w:ascii="仿宋" w:hAnsi="仿宋" w:eastAsia="仿宋" w:cs="仿宋"/>
          <w:b/>
          <w:kern w:val="0"/>
          <w:sz w:val="32"/>
          <w:szCs w:val="32"/>
          <w:highlight w:val="none"/>
        </w:rPr>
      </w:pPr>
    </w:p>
    <w:p w14:paraId="17736128">
      <w:pPr>
        <w:widowControl/>
        <w:spacing w:line="360" w:lineRule="auto"/>
        <w:ind w:left="150"/>
        <w:jc w:val="center"/>
        <w:rPr>
          <w:rFonts w:ascii="仿宋" w:hAnsi="仿宋" w:eastAsia="仿宋" w:cs="仿宋"/>
          <w:b/>
          <w:kern w:val="0"/>
          <w:sz w:val="32"/>
          <w:szCs w:val="32"/>
          <w:highlight w:val="none"/>
        </w:rPr>
      </w:pPr>
    </w:p>
    <w:p w14:paraId="239F593A">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25B0E381">
      <w:pPr>
        <w:jc w:val="center"/>
        <w:rPr>
          <w:rFonts w:ascii="仿宋" w:hAnsi="仿宋" w:eastAsia="仿宋" w:cs="仿宋"/>
          <w:b/>
          <w:kern w:val="0"/>
          <w:sz w:val="32"/>
          <w:szCs w:val="32"/>
          <w:highlight w:val="none"/>
        </w:rPr>
      </w:pP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02"/>
        <w:gridCol w:w="3402"/>
        <w:gridCol w:w="1701"/>
      </w:tblGrid>
      <w:tr w14:paraId="7193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37" w:type="dxa"/>
            <w:vAlign w:val="center"/>
          </w:tcPr>
          <w:p w14:paraId="22A558A2">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3402" w:type="dxa"/>
            <w:vAlign w:val="center"/>
          </w:tcPr>
          <w:p w14:paraId="57A5EB9F">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3402" w:type="dxa"/>
            <w:vAlign w:val="center"/>
          </w:tcPr>
          <w:p w14:paraId="6F3C2F0A">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01" w:type="dxa"/>
            <w:vAlign w:val="center"/>
          </w:tcPr>
          <w:p w14:paraId="5AA2A8E6">
            <w:pPr>
              <w:snapToGrid w:val="0"/>
              <w:jc w:val="center"/>
              <w:rPr>
                <w:rFonts w:ascii="仿宋" w:hAnsi="仿宋" w:eastAsia="仿宋" w:cs="仿宋"/>
                <w:b/>
                <w:sz w:val="24"/>
                <w:highlight w:val="none"/>
              </w:rPr>
            </w:pPr>
            <w:r>
              <w:rPr>
                <w:rFonts w:hint="eastAsia" w:ascii="仿宋" w:hAnsi="仿宋" w:eastAsia="仿宋" w:cs="仿宋"/>
                <w:b/>
                <w:sz w:val="24"/>
                <w:highlight w:val="none"/>
              </w:rPr>
              <w:t>投标文件中的</w:t>
            </w:r>
          </w:p>
          <w:p w14:paraId="051249DD">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14:paraId="7E3C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64CE8750">
            <w:pPr>
              <w:jc w:val="center"/>
              <w:rPr>
                <w:rFonts w:ascii="仿宋" w:hAnsi="仿宋" w:eastAsia="仿宋" w:cs="仿宋"/>
                <w:sz w:val="24"/>
                <w:highlight w:val="none"/>
              </w:rPr>
            </w:pPr>
            <w:r>
              <w:rPr>
                <w:rFonts w:hint="eastAsia" w:ascii="仿宋" w:hAnsi="仿宋" w:eastAsia="仿宋" w:cs="仿宋"/>
                <w:sz w:val="24"/>
                <w:highlight w:val="none"/>
              </w:rPr>
              <w:t>1</w:t>
            </w:r>
          </w:p>
        </w:tc>
        <w:tc>
          <w:tcPr>
            <w:tcW w:w="3402" w:type="dxa"/>
            <w:vAlign w:val="center"/>
          </w:tcPr>
          <w:p w14:paraId="45C4F63C">
            <w:pPr>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402" w:type="dxa"/>
            <w:vAlign w:val="center"/>
          </w:tcPr>
          <w:p w14:paraId="2AF35459">
            <w:pPr>
              <w:spacing w:line="360" w:lineRule="auto"/>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701" w:type="dxa"/>
            <w:vAlign w:val="center"/>
          </w:tcPr>
          <w:p w14:paraId="56B054C4">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18845D2D">
            <w:pPr>
              <w:spacing w:line="360" w:lineRule="auto"/>
              <w:jc w:val="center"/>
              <w:rPr>
                <w:rFonts w:ascii="仿宋" w:hAnsi="仿宋" w:eastAsia="仿宋" w:cs="仿宋"/>
                <w:highlight w:val="none"/>
              </w:rPr>
            </w:pPr>
            <w:r>
              <w:rPr>
                <w:rFonts w:hint="eastAsia" w:ascii="仿宋" w:hAnsi="仿宋" w:eastAsia="仿宋" w:cs="仿宋"/>
                <w:sz w:val="24"/>
                <w:highlight w:val="none"/>
              </w:rPr>
              <w:t>第页</w:t>
            </w:r>
          </w:p>
        </w:tc>
      </w:tr>
      <w:tr w14:paraId="404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7" w:type="dxa"/>
            <w:vAlign w:val="center"/>
          </w:tcPr>
          <w:p w14:paraId="752BD93D">
            <w:pPr>
              <w:jc w:val="center"/>
              <w:rPr>
                <w:rFonts w:ascii="仿宋" w:hAnsi="仿宋" w:eastAsia="仿宋" w:cs="仿宋"/>
                <w:sz w:val="24"/>
                <w:highlight w:val="none"/>
              </w:rPr>
            </w:pPr>
            <w:r>
              <w:rPr>
                <w:rFonts w:hint="eastAsia" w:ascii="仿宋" w:hAnsi="仿宋" w:eastAsia="仿宋" w:cs="仿宋"/>
                <w:sz w:val="24"/>
                <w:highlight w:val="none"/>
              </w:rPr>
              <w:t>2</w:t>
            </w:r>
          </w:p>
        </w:tc>
        <w:tc>
          <w:tcPr>
            <w:tcW w:w="3402" w:type="dxa"/>
            <w:vAlign w:val="center"/>
          </w:tcPr>
          <w:p w14:paraId="2FC0A857">
            <w:pPr>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402" w:type="dxa"/>
            <w:vAlign w:val="center"/>
          </w:tcPr>
          <w:p w14:paraId="0F28BE3D">
            <w:pPr>
              <w:spacing w:line="360" w:lineRule="auto"/>
              <w:rPr>
                <w:rFonts w:ascii="仿宋" w:hAnsi="仿宋" w:eastAsia="仿宋" w:cs="仿宋"/>
                <w:sz w:val="24"/>
                <w:highlight w:val="none"/>
              </w:rPr>
            </w:pPr>
            <w:r>
              <w:rPr>
                <w:rFonts w:hint="eastAsia" w:ascii="仿宋" w:hAnsi="仿宋" w:eastAsia="仿宋" w:cs="仿宋"/>
                <w:sz w:val="24"/>
                <w:highlight w:val="none"/>
              </w:rPr>
              <w:t>投标函</w:t>
            </w:r>
          </w:p>
        </w:tc>
        <w:tc>
          <w:tcPr>
            <w:tcW w:w="1701" w:type="dxa"/>
            <w:vAlign w:val="center"/>
          </w:tcPr>
          <w:p w14:paraId="2443DE6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3F1631F7">
            <w:pPr>
              <w:spacing w:line="360" w:lineRule="auto"/>
              <w:jc w:val="center"/>
              <w:rPr>
                <w:rFonts w:ascii="仿宋" w:hAnsi="仿宋" w:eastAsia="仿宋" w:cs="仿宋"/>
                <w:highlight w:val="none"/>
              </w:rPr>
            </w:pPr>
            <w:r>
              <w:rPr>
                <w:rFonts w:hint="eastAsia" w:ascii="仿宋" w:hAnsi="仿宋" w:eastAsia="仿宋" w:cs="仿宋"/>
                <w:sz w:val="24"/>
                <w:highlight w:val="none"/>
              </w:rPr>
              <w:t>第页</w:t>
            </w:r>
          </w:p>
        </w:tc>
      </w:tr>
      <w:tr w14:paraId="1C7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37" w:type="dxa"/>
            <w:vAlign w:val="center"/>
          </w:tcPr>
          <w:p w14:paraId="5812C71E">
            <w:pPr>
              <w:jc w:val="center"/>
              <w:rPr>
                <w:rFonts w:ascii="仿宋" w:hAnsi="仿宋" w:eastAsia="仿宋" w:cs="仿宋"/>
                <w:sz w:val="24"/>
                <w:highlight w:val="none"/>
              </w:rPr>
            </w:pPr>
            <w:r>
              <w:rPr>
                <w:rFonts w:hint="eastAsia" w:ascii="仿宋" w:hAnsi="仿宋" w:eastAsia="仿宋" w:cs="仿宋"/>
                <w:sz w:val="24"/>
                <w:highlight w:val="none"/>
              </w:rPr>
              <w:t>3</w:t>
            </w:r>
          </w:p>
        </w:tc>
        <w:tc>
          <w:tcPr>
            <w:tcW w:w="3402" w:type="dxa"/>
            <w:vAlign w:val="center"/>
          </w:tcPr>
          <w:p w14:paraId="55423385">
            <w:pPr>
              <w:adjustRightInd/>
              <w:spacing w:line="360" w:lineRule="auto"/>
              <w:rPr>
                <w:rFonts w:ascii="宋体" w:hAnsi="宋体" w:eastAsia="仿宋" w:cs="宋体"/>
                <w:bCs/>
                <w:sz w:val="24"/>
                <w:highlight w:val="none"/>
                <w:u w:val="single"/>
              </w:rPr>
            </w:pPr>
            <w:r>
              <w:rPr>
                <w:rFonts w:hint="eastAsia" w:ascii="仿宋" w:hAnsi="仿宋" w:eastAsia="仿宋" w:cs="仿宋"/>
                <w:sz w:val="24"/>
                <w:highlight w:val="none"/>
              </w:rPr>
              <w:t>其他实质性要求1</w:t>
            </w:r>
          </w:p>
          <w:p w14:paraId="214BA757">
            <w:pPr>
              <w:spacing w:line="360" w:lineRule="auto"/>
              <w:rPr>
                <w:rFonts w:ascii="仿宋" w:hAnsi="仿宋" w:eastAsia="仿宋" w:cs="仿宋"/>
                <w:sz w:val="24"/>
                <w:highlight w:val="none"/>
              </w:rPr>
            </w:pPr>
          </w:p>
        </w:tc>
        <w:tc>
          <w:tcPr>
            <w:tcW w:w="3402" w:type="dxa"/>
            <w:vAlign w:val="center"/>
          </w:tcPr>
          <w:p w14:paraId="1E30A246">
            <w:pPr>
              <w:spacing w:line="360" w:lineRule="auto"/>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招标文件其它实质性要求相应的材料（“▲”系指实质性要求条款，招标文件无其它实质性要求的，无需提供）</w:t>
            </w:r>
          </w:p>
        </w:tc>
        <w:tc>
          <w:tcPr>
            <w:tcW w:w="1701" w:type="dxa"/>
            <w:vAlign w:val="center"/>
          </w:tcPr>
          <w:p w14:paraId="0CD24368">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79D73BD5">
            <w:pPr>
              <w:spacing w:line="360" w:lineRule="auto"/>
              <w:jc w:val="center"/>
              <w:rPr>
                <w:rFonts w:ascii="仿宋" w:hAnsi="仿宋" w:eastAsia="仿宋" w:cs="仿宋"/>
                <w:highlight w:val="none"/>
              </w:rPr>
            </w:pPr>
            <w:r>
              <w:rPr>
                <w:rFonts w:hint="eastAsia" w:ascii="仿宋" w:hAnsi="仿宋" w:eastAsia="仿宋" w:cs="仿宋"/>
                <w:sz w:val="24"/>
                <w:highlight w:val="none"/>
              </w:rPr>
              <w:t>第页</w:t>
            </w:r>
          </w:p>
        </w:tc>
      </w:tr>
    </w:tbl>
    <w:p w14:paraId="64CBBF5D">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14:paraId="2D6EDACB">
      <w:pPr>
        <w:spacing w:line="360" w:lineRule="auto"/>
        <w:ind w:right="420"/>
        <w:rPr>
          <w:rFonts w:ascii="仿宋" w:hAnsi="仿宋" w:eastAsia="仿宋" w:cs="仿宋"/>
          <w:sz w:val="24"/>
          <w:highlight w:val="none"/>
        </w:rPr>
      </w:pPr>
      <w:r>
        <w:rPr>
          <w:rFonts w:hint="eastAsia" w:ascii="仿宋" w:hAnsi="仿宋" w:eastAsia="仿宋" w:cs="仿宋"/>
          <w:sz w:val="24"/>
          <w:highlight w:val="none"/>
        </w:rPr>
        <w:t>2、招标文件中实质性要求必须明确响应。</w:t>
      </w:r>
    </w:p>
    <w:p w14:paraId="480635D2">
      <w:pPr>
        <w:spacing w:line="360" w:lineRule="auto"/>
        <w:ind w:right="420"/>
        <w:rPr>
          <w:rFonts w:ascii="仿宋" w:hAnsi="仿宋" w:eastAsia="仿宋" w:cs="仿宋"/>
          <w:sz w:val="24"/>
          <w:highlight w:val="none"/>
        </w:rPr>
      </w:pPr>
    </w:p>
    <w:p w14:paraId="649A7D21">
      <w:pPr>
        <w:jc w:val="center"/>
        <w:rPr>
          <w:rFonts w:ascii="仿宋" w:hAnsi="仿宋" w:eastAsia="仿宋" w:cs="仿宋"/>
          <w:b/>
          <w:kern w:val="0"/>
          <w:sz w:val="32"/>
          <w:szCs w:val="32"/>
          <w:highlight w:val="none"/>
        </w:rPr>
      </w:pPr>
    </w:p>
    <w:p w14:paraId="27CF24B1">
      <w:pPr>
        <w:jc w:val="center"/>
        <w:rPr>
          <w:rFonts w:ascii="仿宋" w:hAnsi="仿宋" w:eastAsia="仿宋" w:cs="仿宋"/>
          <w:b/>
          <w:kern w:val="0"/>
          <w:sz w:val="32"/>
          <w:szCs w:val="32"/>
          <w:highlight w:val="none"/>
        </w:rPr>
      </w:pPr>
    </w:p>
    <w:p w14:paraId="509FC28E">
      <w:pPr>
        <w:jc w:val="center"/>
        <w:rPr>
          <w:rFonts w:ascii="仿宋" w:hAnsi="仿宋" w:eastAsia="仿宋" w:cs="仿宋"/>
          <w:b/>
          <w:kern w:val="0"/>
          <w:sz w:val="32"/>
          <w:szCs w:val="32"/>
          <w:highlight w:val="none"/>
        </w:rPr>
      </w:pPr>
    </w:p>
    <w:p w14:paraId="40589DAB">
      <w:pPr>
        <w:jc w:val="center"/>
        <w:rPr>
          <w:rFonts w:ascii="仿宋" w:hAnsi="仿宋" w:eastAsia="仿宋" w:cs="仿宋"/>
          <w:b/>
          <w:kern w:val="0"/>
          <w:sz w:val="32"/>
          <w:szCs w:val="32"/>
          <w:highlight w:val="none"/>
        </w:rPr>
      </w:pPr>
    </w:p>
    <w:p w14:paraId="06BD6589">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42F981E">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五、评标标准相应的商务技术资料</w:t>
      </w:r>
    </w:p>
    <w:p w14:paraId="2856A77C">
      <w:pPr>
        <w:snapToGrid w:val="0"/>
        <w:spacing w:line="360" w:lineRule="auto"/>
        <w:jc w:val="left"/>
        <w:rPr>
          <w:rFonts w:ascii="华文楷体" w:hAnsi="华文楷体" w:eastAsia="仿宋" w:cs="华文楷体"/>
          <w:kern w:val="0"/>
          <w:sz w:val="22"/>
          <w:szCs w:val="21"/>
          <w:highlight w:val="none"/>
        </w:rPr>
      </w:pPr>
      <w:r>
        <w:rPr>
          <w:rFonts w:hint="eastAsia" w:ascii="宋体" w:hAnsi="宋体" w:eastAsia="仿宋" w:cs="宋体"/>
          <w:b/>
          <w:sz w:val="24"/>
          <w:highlight w:val="none"/>
        </w:rPr>
        <w:t>（按招标文件第四部分评标办法前附表中“投标文件中评标标准相应的商务技术资料目录”提供资料。）</w:t>
      </w:r>
    </w:p>
    <w:tbl>
      <w:tblPr>
        <w:tblStyle w:val="80"/>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8"/>
        <w:gridCol w:w="3048"/>
      </w:tblGrid>
      <w:tr w14:paraId="0B4D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F4E561A">
            <w:pPr>
              <w:snapToGrid w:val="0"/>
              <w:spacing w:line="360" w:lineRule="auto"/>
              <w:jc w:val="center"/>
              <w:rPr>
                <w:rFonts w:ascii="宋体" w:hAnsi="宋体" w:eastAsia="仿宋" w:cs="仿宋_GB2312"/>
                <w:bCs/>
                <w:sz w:val="24"/>
                <w:highlight w:val="none"/>
              </w:rPr>
            </w:pPr>
            <w:r>
              <w:rPr>
                <w:rFonts w:hint="eastAsia" w:ascii="宋体" w:hAnsi="宋体" w:eastAsia="仿宋" w:cs="仿宋_GB2312"/>
                <w:bCs/>
                <w:sz w:val="24"/>
                <w:highlight w:val="none"/>
              </w:rPr>
              <w:t>序号</w:t>
            </w:r>
          </w:p>
        </w:tc>
        <w:tc>
          <w:tcPr>
            <w:tcW w:w="5468" w:type="dxa"/>
            <w:tcBorders>
              <w:top w:val="single" w:color="auto" w:sz="4" w:space="0"/>
              <w:left w:val="single" w:color="auto" w:sz="4" w:space="0"/>
              <w:bottom w:val="single" w:color="auto" w:sz="4" w:space="0"/>
              <w:right w:val="single" w:color="auto" w:sz="4" w:space="0"/>
            </w:tcBorders>
          </w:tcPr>
          <w:p w14:paraId="557DDB40">
            <w:pPr>
              <w:snapToGrid w:val="0"/>
              <w:spacing w:line="360" w:lineRule="auto"/>
              <w:jc w:val="center"/>
              <w:rPr>
                <w:rFonts w:ascii="宋体" w:hAnsi="宋体" w:eastAsia="仿宋" w:cs="宋体"/>
                <w:bCs/>
                <w:sz w:val="24"/>
                <w:highlight w:val="none"/>
              </w:rPr>
            </w:pPr>
            <w:r>
              <w:rPr>
                <w:rFonts w:hint="eastAsia" w:ascii="宋体" w:hAnsi="宋体" w:eastAsia="仿宋" w:cs="仿宋_GB2312"/>
                <w:bCs/>
                <w:sz w:val="24"/>
                <w:highlight w:val="none"/>
              </w:rPr>
              <w:t>投标文件中评标标准相应的商务技术资料目录*</w:t>
            </w:r>
          </w:p>
        </w:tc>
        <w:tc>
          <w:tcPr>
            <w:tcW w:w="3048" w:type="dxa"/>
            <w:tcBorders>
              <w:top w:val="single" w:color="auto" w:sz="4" w:space="0"/>
              <w:left w:val="single" w:color="auto" w:sz="4" w:space="0"/>
              <w:bottom w:val="single" w:color="auto" w:sz="4" w:space="0"/>
              <w:right w:val="single" w:color="auto" w:sz="4" w:space="0"/>
            </w:tcBorders>
          </w:tcPr>
          <w:p w14:paraId="14AD0018">
            <w:pPr>
              <w:snapToGrid w:val="0"/>
              <w:spacing w:line="240" w:lineRule="atLeast"/>
              <w:jc w:val="center"/>
              <w:rPr>
                <w:rFonts w:ascii="宋体" w:hAnsi="宋体" w:eastAsia="仿宋" w:cs="宋体"/>
                <w:bCs/>
                <w:sz w:val="24"/>
                <w:highlight w:val="none"/>
              </w:rPr>
            </w:pPr>
            <w:r>
              <w:rPr>
                <w:rFonts w:hint="eastAsia" w:ascii="宋体" w:hAnsi="宋体" w:eastAsia="仿宋" w:cs="宋体"/>
                <w:bCs/>
                <w:sz w:val="24"/>
                <w:highlight w:val="none"/>
              </w:rPr>
              <w:t>投标文件中的页码位置</w:t>
            </w:r>
          </w:p>
        </w:tc>
      </w:tr>
      <w:tr w14:paraId="1F4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0CC32897">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1</w:t>
            </w:r>
          </w:p>
        </w:tc>
        <w:tc>
          <w:tcPr>
            <w:tcW w:w="5468" w:type="dxa"/>
            <w:tcBorders>
              <w:top w:val="single" w:color="auto" w:sz="4" w:space="0"/>
              <w:left w:val="single" w:color="auto" w:sz="4" w:space="0"/>
              <w:bottom w:val="single" w:color="auto" w:sz="4" w:space="0"/>
              <w:right w:val="single" w:color="auto" w:sz="4" w:space="0"/>
            </w:tcBorders>
            <w:vAlign w:val="center"/>
          </w:tcPr>
          <w:p w14:paraId="684E6AB8">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技术解决和实施方案</w:t>
            </w:r>
          </w:p>
        </w:tc>
        <w:tc>
          <w:tcPr>
            <w:tcW w:w="3048" w:type="dxa"/>
            <w:tcBorders>
              <w:top w:val="single" w:color="auto" w:sz="4" w:space="0"/>
              <w:left w:val="single" w:color="auto" w:sz="4" w:space="0"/>
              <w:bottom w:val="single" w:color="auto" w:sz="4" w:space="0"/>
              <w:right w:val="single" w:color="auto" w:sz="4" w:space="0"/>
            </w:tcBorders>
          </w:tcPr>
          <w:p w14:paraId="18B3E7E7">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44F8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581EE1B">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2</w:t>
            </w:r>
          </w:p>
        </w:tc>
        <w:tc>
          <w:tcPr>
            <w:tcW w:w="5468" w:type="dxa"/>
            <w:tcBorders>
              <w:top w:val="single" w:color="auto" w:sz="4" w:space="0"/>
              <w:left w:val="single" w:color="auto" w:sz="4" w:space="0"/>
              <w:bottom w:val="single" w:color="auto" w:sz="4" w:space="0"/>
              <w:right w:val="single" w:color="auto" w:sz="4" w:space="0"/>
            </w:tcBorders>
            <w:vAlign w:val="center"/>
          </w:tcPr>
          <w:p w14:paraId="243277C9">
            <w:pPr>
              <w:spacing w:line="360" w:lineRule="auto"/>
              <w:jc w:val="center"/>
              <w:rPr>
                <w:rFonts w:ascii="仿宋" w:hAnsi="仿宋" w:eastAsia="仿宋" w:cs="仿宋"/>
                <w:b/>
                <w:bCs/>
                <w:sz w:val="24"/>
                <w:highlight w:val="none"/>
              </w:rPr>
            </w:pPr>
            <w:r>
              <w:rPr>
                <w:rFonts w:hint="eastAsia" w:ascii="仿宋" w:hAnsi="仿宋" w:eastAsia="仿宋" w:cs="仿宋"/>
                <w:b/>
                <w:bCs/>
                <w:snapToGrid w:val="0"/>
                <w:sz w:val="24"/>
                <w:highlight w:val="none"/>
                <w:lang w:val="zh-CN"/>
              </w:rPr>
              <w:t>租赁产品的性能与需求的吻合程度</w:t>
            </w:r>
          </w:p>
        </w:tc>
        <w:tc>
          <w:tcPr>
            <w:tcW w:w="3048" w:type="dxa"/>
            <w:tcBorders>
              <w:top w:val="single" w:color="auto" w:sz="4" w:space="0"/>
              <w:left w:val="single" w:color="auto" w:sz="4" w:space="0"/>
              <w:bottom w:val="single" w:color="auto" w:sz="4" w:space="0"/>
              <w:right w:val="single" w:color="auto" w:sz="4" w:space="0"/>
            </w:tcBorders>
          </w:tcPr>
          <w:p w14:paraId="7782D4EF">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3F22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BA46405">
            <w:pPr>
              <w:snapToGrid w:val="0"/>
              <w:spacing w:line="360" w:lineRule="auto"/>
              <w:jc w:val="center"/>
              <w:rPr>
                <w:rFonts w:ascii="宋体" w:hAnsi="宋体" w:eastAsia="仿宋" w:cs="宋体"/>
                <w:bCs/>
                <w:sz w:val="24"/>
                <w:highlight w:val="none"/>
              </w:rPr>
            </w:pPr>
            <w:r>
              <w:rPr>
                <w:rFonts w:hint="eastAsia" w:ascii="宋体" w:hAnsi="宋体" w:eastAsia="仿宋" w:cs="宋体"/>
                <w:bCs/>
                <w:sz w:val="24"/>
                <w:highlight w:val="none"/>
              </w:rPr>
              <w:t>3</w:t>
            </w:r>
          </w:p>
        </w:tc>
        <w:tc>
          <w:tcPr>
            <w:tcW w:w="5468" w:type="dxa"/>
            <w:tcBorders>
              <w:top w:val="single" w:color="auto" w:sz="4" w:space="0"/>
              <w:left w:val="single" w:color="auto" w:sz="4" w:space="0"/>
              <w:bottom w:val="single" w:color="auto" w:sz="4" w:space="0"/>
              <w:right w:val="single" w:color="auto" w:sz="4" w:space="0"/>
            </w:tcBorders>
            <w:vAlign w:val="center"/>
          </w:tcPr>
          <w:p w14:paraId="4D56DA7D">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培训方案</w:t>
            </w:r>
          </w:p>
        </w:tc>
        <w:tc>
          <w:tcPr>
            <w:tcW w:w="3048" w:type="dxa"/>
            <w:tcBorders>
              <w:top w:val="single" w:color="auto" w:sz="4" w:space="0"/>
              <w:left w:val="single" w:color="auto" w:sz="4" w:space="0"/>
              <w:bottom w:val="single" w:color="auto" w:sz="4" w:space="0"/>
              <w:right w:val="single" w:color="auto" w:sz="4" w:space="0"/>
            </w:tcBorders>
          </w:tcPr>
          <w:p w14:paraId="11EEA357">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57FB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84B5452">
            <w:pPr>
              <w:snapToGrid w:val="0"/>
              <w:spacing w:line="360" w:lineRule="auto"/>
              <w:jc w:val="center"/>
              <w:rPr>
                <w:rFonts w:ascii="宋体" w:hAnsi="宋体" w:eastAsia="仿宋" w:cs="宋体"/>
                <w:kern w:val="0"/>
                <w:sz w:val="24"/>
                <w:highlight w:val="none"/>
              </w:rPr>
            </w:pPr>
            <w:r>
              <w:rPr>
                <w:rFonts w:hint="eastAsia" w:ascii="宋体" w:hAnsi="宋体" w:eastAsia="仿宋" w:cs="宋体"/>
                <w:kern w:val="0"/>
                <w:sz w:val="24"/>
                <w:highlight w:val="none"/>
              </w:rPr>
              <w:t>4</w:t>
            </w:r>
          </w:p>
        </w:tc>
        <w:tc>
          <w:tcPr>
            <w:tcW w:w="5468" w:type="dxa"/>
            <w:tcBorders>
              <w:top w:val="single" w:color="auto" w:sz="4" w:space="0"/>
              <w:left w:val="single" w:color="auto" w:sz="4" w:space="0"/>
              <w:bottom w:val="single" w:color="auto" w:sz="4" w:space="0"/>
              <w:right w:val="single" w:color="auto" w:sz="4" w:space="0"/>
            </w:tcBorders>
            <w:vAlign w:val="center"/>
          </w:tcPr>
          <w:p w14:paraId="6F3354E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服务承诺</w:t>
            </w:r>
          </w:p>
        </w:tc>
        <w:tc>
          <w:tcPr>
            <w:tcW w:w="3048" w:type="dxa"/>
            <w:tcBorders>
              <w:top w:val="single" w:color="auto" w:sz="4" w:space="0"/>
              <w:left w:val="single" w:color="auto" w:sz="4" w:space="0"/>
              <w:bottom w:val="single" w:color="auto" w:sz="4" w:space="0"/>
              <w:right w:val="single" w:color="auto" w:sz="4" w:space="0"/>
            </w:tcBorders>
          </w:tcPr>
          <w:p w14:paraId="7896E37D">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04F5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711EC430">
            <w:pPr>
              <w:snapToGrid w:val="0"/>
              <w:spacing w:line="360" w:lineRule="auto"/>
              <w:jc w:val="center"/>
              <w:rPr>
                <w:rFonts w:ascii="宋体" w:hAnsi="宋体" w:eastAsia="仿宋" w:cs="宋体"/>
                <w:kern w:val="0"/>
                <w:sz w:val="24"/>
                <w:highlight w:val="none"/>
              </w:rPr>
            </w:pPr>
            <w:r>
              <w:rPr>
                <w:rFonts w:hint="eastAsia" w:ascii="宋体" w:hAnsi="宋体" w:eastAsia="仿宋" w:cs="宋体"/>
                <w:kern w:val="0"/>
                <w:sz w:val="24"/>
                <w:highlight w:val="none"/>
              </w:rPr>
              <w:t>5</w:t>
            </w:r>
          </w:p>
        </w:tc>
        <w:tc>
          <w:tcPr>
            <w:tcW w:w="5468" w:type="dxa"/>
            <w:tcBorders>
              <w:top w:val="single" w:color="auto" w:sz="4" w:space="0"/>
              <w:left w:val="single" w:color="auto" w:sz="4" w:space="0"/>
              <w:bottom w:val="single" w:color="auto" w:sz="4" w:space="0"/>
              <w:right w:val="single" w:color="auto" w:sz="4" w:space="0"/>
            </w:tcBorders>
            <w:vAlign w:val="center"/>
          </w:tcPr>
          <w:p w14:paraId="64E9482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项目组人员情况</w:t>
            </w:r>
          </w:p>
        </w:tc>
        <w:tc>
          <w:tcPr>
            <w:tcW w:w="3048" w:type="dxa"/>
            <w:tcBorders>
              <w:top w:val="single" w:color="auto" w:sz="4" w:space="0"/>
              <w:left w:val="single" w:color="auto" w:sz="4" w:space="0"/>
              <w:bottom w:val="single" w:color="auto" w:sz="4" w:space="0"/>
              <w:right w:val="single" w:color="auto" w:sz="4" w:space="0"/>
            </w:tcBorders>
          </w:tcPr>
          <w:p w14:paraId="0069B07C">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6B8B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4540A153">
            <w:pPr>
              <w:snapToGrid w:val="0"/>
              <w:spacing w:line="360" w:lineRule="auto"/>
              <w:jc w:val="center"/>
              <w:rPr>
                <w:rFonts w:ascii="宋体" w:hAnsi="宋体" w:eastAsia="仿宋" w:cs="宋体"/>
                <w:kern w:val="0"/>
                <w:sz w:val="24"/>
                <w:highlight w:val="none"/>
              </w:rPr>
            </w:pPr>
            <w:r>
              <w:rPr>
                <w:rFonts w:hint="eastAsia" w:ascii="宋体" w:hAnsi="宋体" w:eastAsia="仿宋" w:cs="宋体"/>
                <w:kern w:val="0"/>
                <w:sz w:val="24"/>
                <w:highlight w:val="none"/>
              </w:rPr>
              <w:t>6</w:t>
            </w:r>
          </w:p>
        </w:tc>
        <w:tc>
          <w:tcPr>
            <w:tcW w:w="5468" w:type="dxa"/>
            <w:tcBorders>
              <w:top w:val="single" w:color="auto" w:sz="4" w:space="0"/>
              <w:left w:val="single" w:color="auto" w:sz="4" w:space="0"/>
              <w:bottom w:val="single" w:color="auto" w:sz="4" w:space="0"/>
              <w:right w:val="single" w:color="auto" w:sz="4" w:space="0"/>
            </w:tcBorders>
            <w:vAlign w:val="center"/>
          </w:tcPr>
          <w:p w14:paraId="56166DF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网络安全责任与义务承诺</w:t>
            </w:r>
          </w:p>
        </w:tc>
        <w:tc>
          <w:tcPr>
            <w:tcW w:w="3048" w:type="dxa"/>
            <w:tcBorders>
              <w:top w:val="single" w:color="auto" w:sz="4" w:space="0"/>
              <w:left w:val="single" w:color="auto" w:sz="4" w:space="0"/>
              <w:bottom w:val="single" w:color="auto" w:sz="4" w:space="0"/>
              <w:right w:val="single" w:color="auto" w:sz="4" w:space="0"/>
            </w:tcBorders>
          </w:tcPr>
          <w:p w14:paraId="0E685F39">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103D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98D95DF">
            <w:pPr>
              <w:snapToGrid w:val="0"/>
              <w:spacing w:line="360" w:lineRule="auto"/>
              <w:jc w:val="center"/>
              <w:rPr>
                <w:rFonts w:ascii="宋体" w:hAnsi="宋体" w:eastAsia="仿宋" w:cs="宋体"/>
                <w:kern w:val="0"/>
                <w:sz w:val="24"/>
                <w:highlight w:val="none"/>
              </w:rPr>
            </w:pPr>
            <w:r>
              <w:rPr>
                <w:rFonts w:hint="eastAsia" w:ascii="宋体" w:hAnsi="宋体" w:eastAsia="仿宋" w:cs="宋体"/>
                <w:kern w:val="0"/>
                <w:sz w:val="24"/>
                <w:highlight w:val="none"/>
              </w:rPr>
              <w:t>7</w:t>
            </w:r>
          </w:p>
        </w:tc>
        <w:tc>
          <w:tcPr>
            <w:tcW w:w="5468" w:type="dxa"/>
            <w:tcBorders>
              <w:top w:val="single" w:color="auto" w:sz="4" w:space="0"/>
              <w:left w:val="single" w:color="auto" w:sz="4" w:space="0"/>
              <w:bottom w:val="single" w:color="auto" w:sz="4" w:space="0"/>
              <w:right w:val="single" w:color="auto" w:sz="4" w:space="0"/>
            </w:tcBorders>
            <w:vAlign w:val="center"/>
          </w:tcPr>
          <w:p w14:paraId="76EC8AFC">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保密承诺</w:t>
            </w:r>
          </w:p>
        </w:tc>
        <w:tc>
          <w:tcPr>
            <w:tcW w:w="3048" w:type="dxa"/>
            <w:tcBorders>
              <w:top w:val="single" w:color="auto" w:sz="4" w:space="0"/>
              <w:left w:val="single" w:color="auto" w:sz="4" w:space="0"/>
              <w:bottom w:val="single" w:color="auto" w:sz="4" w:space="0"/>
              <w:right w:val="single" w:color="auto" w:sz="4" w:space="0"/>
            </w:tcBorders>
          </w:tcPr>
          <w:p w14:paraId="29553A3F">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r w14:paraId="45F4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6CB3824">
            <w:pPr>
              <w:snapToGrid w:val="0"/>
              <w:spacing w:line="360" w:lineRule="auto"/>
              <w:jc w:val="center"/>
              <w:rPr>
                <w:rFonts w:ascii="宋体" w:hAnsi="宋体" w:eastAsia="仿宋" w:cs="宋体"/>
                <w:kern w:val="0"/>
                <w:sz w:val="24"/>
                <w:highlight w:val="none"/>
              </w:rPr>
            </w:pPr>
            <w:r>
              <w:rPr>
                <w:rFonts w:hint="eastAsia" w:ascii="宋体" w:hAnsi="宋体" w:eastAsia="仿宋" w:cs="宋体"/>
                <w:kern w:val="0"/>
                <w:sz w:val="24"/>
                <w:highlight w:val="none"/>
              </w:rPr>
              <w:t>8</w:t>
            </w:r>
          </w:p>
        </w:tc>
        <w:tc>
          <w:tcPr>
            <w:tcW w:w="5468" w:type="dxa"/>
            <w:tcBorders>
              <w:top w:val="single" w:color="auto" w:sz="4" w:space="0"/>
              <w:left w:val="single" w:color="auto" w:sz="4" w:space="0"/>
              <w:bottom w:val="single" w:color="auto" w:sz="4" w:space="0"/>
              <w:right w:val="single" w:color="auto" w:sz="4" w:space="0"/>
            </w:tcBorders>
            <w:vAlign w:val="center"/>
          </w:tcPr>
          <w:p w14:paraId="1BD13045">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bidi="ar"/>
              </w:rPr>
              <w:t>成功经验</w:t>
            </w:r>
          </w:p>
        </w:tc>
        <w:tc>
          <w:tcPr>
            <w:tcW w:w="3048" w:type="dxa"/>
            <w:tcBorders>
              <w:top w:val="single" w:color="auto" w:sz="4" w:space="0"/>
              <w:left w:val="single" w:color="auto" w:sz="4" w:space="0"/>
              <w:bottom w:val="single" w:color="auto" w:sz="4" w:space="0"/>
              <w:right w:val="single" w:color="auto" w:sz="4" w:space="0"/>
            </w:tcBorders>
          </w:tcPr>
          <w:p w14:paraId="7609357A">
            <w:pPr>
              <w:jc w:val="center"/>
              <w:rPr>
                <w:rFonts w:ascii="宋体" w:hAnsi="宋体" w:eastAsia="仿宋" w:cs="宋体"/>
                <w:bCs/>
                <w:sz w:val="24"/>
                <w:highlight w:val="none"/>
              </w:rPr>
            </w:pPr>
            <w:r>
              <w:rPr>
                <w:rFonts w:hint="eastAsia" w:ascii="宋体" w:hAnsi="宋体" w:eastAsia="仿宋" w:cs="宋体"/>
                <w:bCs/>
                <w:sz w:val="24"/>
                <w:highlight w:val="none"/>
              </w:rPr>
              <w:t>见投标文件第页</w:t>
            </w:r>
          </w:p>
        </w:tc>
      </w:tr>
    </w:tbl>
    <w:p w14:paraId="28489645">
      <w:pPr>
        <w:jc w:val="center"/>
        <w:rPr>
          <w:rFonts w:ascii="宋体" w:hAnsi="宋体" w:eastAsia="仿宋" w:cs="宋体"/>
          <w:b/>
          <w:kern w:val="0"/>
          <w:sz w:val="32"/>
          <w:szCs w:val="32"/>
          <w:highlight w:val="none"/>
        </w:rPr>
      </w:pPr>
    </w:p>
    <w:p w14:paraId="00C5A7AA">
      <w:pPr>
        <w:snapToGrid w:val="0"/>
        <w:spacing w:line="360" w:lineRule="auto"/>
        <w:jc w:val="left"/>
        <w:rPr>
          <w:rFonts w:ascii="仿宋" w:hAnsi="仿宋" w:eastAsia="仿宋" w:cs="仿宋"/>
          <w:b/>
          <w:kern w:val="0"/>
          <w:sz w:val="32"/>
          <w:szCs w:val="32"/>
          <w:highlight w:val="none"/>
        </w:rPr>
      </w:pPr>
    </w:p>
    <w:p w14:paraId="3749D4B2">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p w14:paraId="1565FAA1">
      <w:pPr>
        <w:ind w:firstLine="2891" w:firstLineChars="900"/>
        <w:rPr>
          <w:rFonts w:ascii="仿宋" w:hAnsi="仿宋" w:eastAsia="仿宋" w:cs="仿宋"/>
          <w:b/>
          <w:kern w:val="0"/>
          <w:sz w:val="32"/>
          <w:szCs w:val="32"/>
          <w:highlight w:val="none"/>
        </w:rPr>
      </w:pPr>
    </w:p>
    <w:tbl>
      <w:tblPr>
        <w:tblStyle w:val="8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49"/>
        <w:gridCol w:w="1616"/>
        <w:gridCol w:w="1616"/>
        <w:gridCol w:w="2516"/>
        <w:gridCol w:w="1747"/>
      </w:tblGrid>
      <w:tr w14:paraId="4849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ign w:val="center"/>
          </w:tcPr>
          <w:p w14:paraId="3F51F1F3">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349" w:type="dxa"/>
            <w:noWrap/>
            <w:vAlign w:val="center"/>
          </w:tcPr>
          <w:p w14:paraId="64404D2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616" w:type="dxa"/>
            <w:noWrap/>
            <w:vAlign w:val="center"/>
          </w:tcPr>
          <w:p w14:paraId="643782ED">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1616" w:type="dxa"/>
            <w:noWrap/>
            <w:vAlign w:val="center"/>
          </w:tcPr>
          <w:p w14:paraId="31746DA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2516" w:type="dxa"/>
            <w:noWrap/>
            <w:vAlign w:val="center"/>
          </w:tcPr>
          <w:p w14:paraId="24487299">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1747" w:type="dxa"/>
            <w:noWrap/>
            <w:vAlign w:val="center"/>
          </w:tcPr>
          <w:p w14:paraId="28273825">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14:paraId="74A1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ign w:val="center"/>
          </w:tcPr>
          <w:p w14:paraId="509A7C1C">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349" w:type="dxa"/>
            <w:noWrap/>
            <w:vAlign w:val="center"/>
          </w:tcPr>
          <w:p w14:paraId="66D802EB">
            <w:pPr>
              <w:snapToGrid w:val="0"/>
              <w:spacing w:line="360" w:lineRule="auto"/>
              <w:jc w:val="center"/>
              <w:rPr>
                <w:rFonts w:ascii="仿宋" w:hAnsi="仿宋" w:eastAsia="仿宋" w:cs="仿宋"/>
                <w:sz w:val="24"/>
                <w:highlight w:val="none"/>
              </w:rPr>
            </w:pPr>
          </w:p>
        </w:tc>
        <w:tc>
          <w:tcPr>
            <w:tcW w:w="1616" w:type="dxa"/>
            <w:noWrap/>
          </w:tcPr>
          <w:p w14:paraId="45943024">
            <w:pPr>
              <w:spacing w:line="360" w:lineRule="auto"/>
              <w:jc w:val="center"/>
              <w:rPr>
                <w:rFonts w:ascii="仿宋" w:hAnsi="仿宋" w:eastAsia="仿宋" w:cs="仿宋"/>
                <w:b/>
                <w:sz w:val="24"/>
                <w:highlight w:val="none"/>
              </w:rPr>
            </w:pPr>
          </w:p>
        </w:tc>
        <w:tc>
          <w:tcPr>
            <w:tcW w:w="1616" w:type="dxa"/>
            <w:noWrap/>
            <w:vAlign w:val="center"/>
          </w:tcPr>
          <w:p w14:paraId="34D8A52D">
            <w:pPr>
              <w:spacing w:line="360" w:lineRule="auto"/>
              <w:jc w:val="center"/>
              <w:rPr>
                <w:rFonts w:ascii="仿宋" w:hAnsi="仿宋" w:eastAsia="仿宋" w:cs="仿宋"/>
                <w:b/>
                <w:sz w:val="24"/>
                <w:highlight w:val="none"/>
              </w:rPr>
            </w:pPr>
          </w:p>
        </w:tc>
        <w:tc>
          <w:tcPr>
            <w:tcW w:w="2516" w:type="dxa"/>
            <w:noWrap/>
            <w:vAlign w:val="center"/>
          </w:tcPr>
          <w:p w14:paraId="075EFFE6">
            <w:pPr>
              <w:spacing w:line="360" w:lineRule="auto"/>
              <w:jc w:val="center"/>
              <w:rPr>
                <w:rFonts w:ascii="仿宋" w:hAnsi="仿宋" w:eastAsia="仿宋" w:cs="仿宋"/>
                <w:sz w:val="24"/>
                <w:highlight w:val="none"/>
              </w:rPr>
            </w:pPr>
          </w:p>
        </w:tc>
        <w:tc>
          <w:tcPr>
            <w:tcW w:w="1747" w:type="dxa"/>
            <w:noWrap/>
          </w:tcPr>
          <w:p w14:paraId="2AB28E04">
            <w:pPr>
              <w:spacing w:line="360" w:lineRule="auto"/>
              <w:jc w:val="center"/>
              <w:rPr>
                <w:rFonts w:ascii="仿宋" w:hAnsi="仿宋" w:eastAsia="仿宋" w:cs="仿宋"/>
                <w:sz w:val="24"/>
                <w:highlight w:val="none"/>
              </w:rPr>
            </w:pPr>
          </w:p>
        </w:tc>
      </w:tr>
      <w:tr w14:paraId="2781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6" w:type="dxa"/>
            <w:noWrap/>
            <w:vAlign w:val="center"/>
          </w:tcPr>
          <w:p w14:paraId="237D5A12">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349" w:type="dxa"/>
            <w:noWrap/>
            <w:vAlign w:val="center"/>
          </w:tcPr>
          <w:p w14:paraId="78173C18">
            <w:pPr>
              <w:snapToGrid w:val="0"/>
              <w:spacing w:line="360" w:lineRule="auto"/>
              <w:jc w:val="center"/>
              <w:rPr>
                <w:rFonts w:ascii="仿宋" w:hAnsi="仿宋" w:eastAsia="仿宋" w:cs="仿宋"/>
                <w:sz w:val="24"/>
                <w:highlight w:val="none"/>
              </w:rPr>
            </w:pPr>
          </w:p>
        </w:tc>
        <w:tc>
          <w:tcPr>
            <w:tcW w:w="1616" w:type="dxa"/>
            <w:noWrap/>
          </w:tcPr>
          <w:p w14:paraId="1C2504FC">
            <w:pPr>
              <w:spacing w:line="360" w:lineRule="auto"/>
              <w:jc w:val="center"/>
              <w:rPr>
                <w:rFonts w:ascii="仿宋" w:hAnsi="仿宋" w:eastAsia="仿宋" w:cs="仿宋"/>
                <w:b/>
                <w:sz w:val="24"/>
                <w:highlight w:val="none"/>
              </w:rPr>
            </w:pPr>
          </w:p>
        </w:tc>
        <w:tc>
          <w:tcPr>
            <w:tcW w:w="1616" w:type="dxa"/>
            <w:noWrap/>
            <w:vAlign w:val="center"/>
          </w:tcPr>
          <w:p w14:paraId="70C4A141">
            <w:pPr>
              <w:spacing w:line="360" w:lineRule="auto"/>
              <w:jc w:val="center"/>
              <w:rPr>
                <w:rFonts w:ascii="仿宋" w:hAnsi="仿宋" w:eastAsia="仿宋" w:cs="仿宋"/>
                <w:b/>
                <w:sz w:val="24"/>
                <w:highlight w:val="none"/>
              </w:rPr>
            </w:pPr>
          </w:p>
        </w:tc>
        <w:tc>
          <w:tcPr>
            <w:tcW w:w="2516" w:type="dxa"/>
            <w:noWrap/>
            <w:vAlign w:val="center"/>
          </w:tcPr>
          <w:p w14:paraId="52C65ED5">
            <w:pPr>
              <w:spacing w:line="360" w:lineRule="auto"/>
              <w:jc w:val="center"/>
              <w:rPr>
                <w:rFonts w:ascii="仿宋" w:hAnsi="仿宋" w:eastAsia="仿宋" w:cs="仿宋"/>
                <w:sz w:val="24"/>
                <w:highlight w:val="none"/>
              </w:rPr>
            </w:pPr>
          </w:p>
        </w:tc>
        <w:tc>
          <w:tcPr>
            <w:tcW w:w="1747" w:type="dxa"/>
            <w:noWrap/>
          </w:tcPr>
          <w:p w14:paraId="343B1D03">
            <w:pPr>
              <w:spacing w:line="360" w:lineRule="auto"/>
              <w:jc w:val="center"/>
              <w:rPr>
                <w:rFonts w:ascii="仿宋" w:hAnsi="仿宋" w:eastAsia="仿宋" w:cs="仿宋"/>
                <w:sz w:val="24"/>
                <w:highlight w:val="none"/>
              </w:rPr>
            </w:pPr>
          </w:p>
        </w:tc>
      </w:tr>
      <w:tr w14:paraId="6D99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ign w:val="center"/>
          </w:tcPr>
          <w:p w14:paraId="5E5BF628">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349" w:type="dxa"/>
            <w:noWrap/>
            <w:vAlign w:val="center"/>
          </w:tcPr>
          <w:p w14:paraId="698971DD">
            <w:pPr>
              <w:snapToGrid w:val="0"/>
              <w:spacing w:line="360" w:lineRule="auto"/>
              <w:jc w:val="center"/>
              <w:rPr>
                <w:rFonts w:ascii="仿宋" w:hAnsi="仿宋" w:eastAsia="仿宋" w:cs="仿宋"/>
                <w:sz w:val="24"/>
                <w:highlight w:val="none"/>
              </w:rPr>
            </w:pPr>
          </w:p>
        </w:tc>
        <w:tc>
          <w:tcPr>
            <w:tcW w:w="1616" w:type="dxa"/>
            <w:noWrap/>
          </w:tcPr>
          <w:p w14:paraId="60CE3C7B">
            <w:pPr>
              <w:spacing w:line="360" w:lineRule="auto"/>
              <w:jc w:val="center"/>
              <w:rPr>
                <w:rFonts w:ascii="仿宋" w:hAnsi="仿宋" w:eastAsia="仿宋" w:cs="仿宋"/>
                <w:b/>
                <w:sz w:val="24"/>
                <w:highlight w:val="none"/>
              </w:rPr>
            </w:pPr>
          </w:p>
        </w:tc>
        <w:tc>
          <w:tcPr>
            <w:tcW w:w="1616" w:type="dxa"/>
            <w:noWrap/>
            <w:vAlign w:val="center"/>
          </w:tcPr>
          <w:p w14:paraId="33D94DEA">
            <w:pPr>
              <w:spacing w:line="360" w:lineRule="auto"/>
              <w:jc w:val="center"/>
              <w:rPr>
                <w:rFonts w:ascii="仿宋" w:hAnsi="仿宋" w:eastAsia="仿宋" w:cs="仿宋"/>
                <w:b/>
                <w:sz w:val="24"/>
                <w:highlight w:val="none"/>
              </w:rPr>
            </w:pPr>
          </w:p>
        </w:tc>
        <w:tc>
          <w:tcPr>
            <w:tcW w:w="2516" w:type="dxa"/>
            <w:noWrap/>
            <w:vAlign w:val="center"/>
          </w:tcPr>
          <w:p w14:paraId="658F01C6">
            <w:pPr>
              <w:spacing w:line="360" w:lineRule="auto"/>
              <w:jc w:val="center"/>
              <w:rPr>
                <w:rFonts w:ascii="仿宋" w:hAnsi="仿宋" w:eastAsia="仿宋" w:cs="仿宋"/>
                <w:sz w:val="24"/>
                <w:highlight w:val="none"/>
              </w:rPr>
            </w:pPr>
          </w:p>
        </w:tc>
        <w:tc>
          <w:tcPr>
            <w:tcW w:w="1747" w:type="dxa"/>
            <w:noWrap/>
          </w:tcPr>
          <w:p w14:paraId="60B37298">
            <w:pPr>
              <w:spacing w:line="360" w:lineRule="auto"/>
              <w:jc w:val="center"/>
              <w:rPr>
                <w:rFonts w:ascii="仿宋" w:hAnsi="仿宋" w:eastAsia="仿宋" w:cs="仿宋"/>
                <w:sz w:val="24"/>
                <w:highlight w:val="none"/>
              </w:rPr>
            </w:pPr>
          </w:p>
        </w:tc>
      </w:tr>
      <w:tr w14:paraId="46C9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ign w:val="center"/>
          </w:tcPr>
          <w:p w14:paraId="22BF20A0">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349" w:type="dxa"/>
            <w:noWrap/>
            <w:vAlign w:val="center"/>
          </w:tcPr>
          <w:p w14:paraId="7980C2C6">
            <w:pPr>
              <w:snapToGrid w:val="0"/>
              <w:spacing w:line="360" w:lineRule="auto"/>
              <w:jc w:val="center"/>
              <w:rPr>
                <w:rFonts w:ascii="仿宋" w:hAnsi="仿宋" w:eastAsia="仿宋" w:cs="仿宋"/>
                <w:sz w:val="24"/>
                <w:highlight w:val="none"/>
              </w:rPr>
            </w:pPr>
          </w:p>
        </w:tc>
        <w:tc>
          <w:tcPr>
            <w:tcW w:w="1616" w:type="dxa"/>
            <w:noWrap/>
          </w:tcPr>
          <w:p w14:paraId="20B462FA">
            <w:pPr>
              <w:spacing w:line="360" w:lineRule="auto"/>
              <w:jc w:val="center"/>
              <w:rPr>
                <w:rFonts w:ascii="仿宋" w:hAnsi="仿宋" w:eastAsia="仿宋" w:cs="仿宋"/>
                <w:b/>
                <w:sz w:val="24"/>
                <w:highlight w:val="none"/>
              </w:rPr>
            </w:pPr>
          </w:p>
        </w:tc>
        <w:tc>
          <w:tcPr>
            <w:tcW w:w="1616" w:type="dxa"/>
            <w:noWrap/>
            <w:vAlign w:val="center"/>
          </w:tcPr>
          <w:p w14:paraId="6FE1C3EF">
            <w:pPr>
              <w:spacing w:line="360" w:lineRule="auto"/>
              <w:jc w:val="center"/>
              <w:rPr>
                <w:rFonts w:ascii="仿宋" w:hAnsi="仿宋" w:eastAsia="仿宋" w:cs="仿宋"/>
                <w:b/>
                <w:sz w:val="24"/>
                <w:highlight w:val="none"/>
              </w:rPr>
            </w:pPr>
          </w:p>
        </w:tc>
        <w:tc>
          <w:tcPr>
            <w:tcW w:w="2516" w:type="dxa"/>
            <w:noWrap/>
            <w:vAlign w:val="center"/>
          </w:tcPr>
          <w:p w14:paraId="01CA075D">
            <w:pPr>
              <w:spacing w:line="360" w:lineRule="auto"/>
              <w:jc w:val="center"/>
              <w:rPr>
                <w:rFonts w:ascii="仿宋" w:hAnsi="仿宋" w:eastAsia="仿宋" w:cs="仿宋"/>
                <w:sz w:val="24"/>
                <w:highlight w:val="none"/>
              </w:rPr>
            </w:pPr>
          </w:p>
        </w:tc>
        <w:tc>
          <w:tcPr>
            <w:tcW w:w="1747" w:type="dxa"/>
            <w:noWrap/>
          </w:tcPr>
          <w:p w14:paraId="55AF663D">
            <w:pPr>
              <w:spacing w:line="360" w:lineRule="auto"/>
              <w:jc w:val="center"/>
              <w:rPr>
                <w:rFonts w:ascii="仿宋" w:hAnsi="仿宋" w:eastAsia="仿宋" w:cs="仿宋"/>
                <w:sz w:val="24"/>
                <w:highlight w:val="none"/>
              </w:rPr>
            </w:pPr>
          </w:p>
        </w:tc>
      </w:tr>
    </w:tbl>
    <w:p w14:paraId="43A24319">
      <w:pPr>
        <w:spacing w:line="360" w:lineRule="auto"/>
        <w:ind w:right="420"/>
        <w:rPr>
          <w:rFonts w:ascii="仿宋" w:hAnsi="仿宋" w:eastAsia="仿宋" w:cs="仿宋"/>
          <w:sz w:val="24"/>
          <w:highlight w:val="none"/>
        </w:rPr>
      </w:pPr>
    </w:p>
    <w:p w14:paraId="68A2D661">
      <w:pPr>
        <w:spacing w:line="360" w:lineRule="auto"/>
        <w:ind w:right="420"/>
        <w:rPr>
          <w:rFonts w:ascii="仿宋" w:hAnsi="仿宋" w:eastAsia="仿宋" w:cs="仿宋"/>
          <w:sz w:val="24"/>
          <w:highlight w:val="none"/>
        </w:rPr>
      </w:pPr>
    </w:p>
    <w:p w14:paraId="53F4CA14">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71FEC93F">
      <w:pPr>
        <w:widowControl/>
        <w:spacing w:line="360" w:lineRule="auto"/>
        <w:ind w:left="150"/>
        <w:jc w:val="center"/>
        <w:rPr>
          <w:rFonts w:ascii="仿宋" w:hAnsi="仿宋" w:eastAsia="仿宋" w:cs="仿宋"/>
          <w:b/>
          <w:kern w:val="0"/>
          <w:sz w:val="32"/>
          <w:szCs w:val="32"/>
          <w:highlight w:val="none"/>
        </w:rPr>
      </w:pPr>
    </w:p>
    <w:p w14:paraId="54740D1C">
      <w:pPr>
        <w:widowControl/>
        <w:spacing w:line="360" w:lineRule="auto"/>
        <w:ind w:left="150"/>
        <w:jc w:val="center"/>
        <w:rPr>
          <w:rFonts w:ascii="仿宋" w:hAnsi="仿宋" w:eastAsia="仿宋" w:cs="仿宋"/>
          <w:b/>
          <w:kern w:val="0"/>
          <w:sz w:val="32"/>
          <w:szCs w:val="32"/>
          <w:highlight w:val="none"/>
        </w:rPr>
      </w:pPr>
    </w:p>
    <w:p w14:paraId="4D30DC6B">
      <w:pPr>
        <w:pStyle w:val="91"/>
        <w:ind w:firstLine="440"/>
        <w:rPr>
          <w:highlight w:val="none"/>
        </w:rPr>
      </w:pPr>
    </w:p>
    <w:p w14:paraId="5DAA05B7">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3402"/>
        <w:gridCol w:w="1361"/>
      </w:tblGrid>
      <w:tr w14:paraId="13D8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6A7F81CE">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402" w:type="dxa"/>
            <w:vAlign w:val="center"/>
          </w:tcPr>
          <w:p w14:paraId="60D66D0F">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402" w:type="dxa"/>
            <w:vAlign w:val="center"/>
          </w:tcPr>
          <w:p w14:paraId="2F4C2E3D">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361" w:type="dxa"/>
            <w:vAlign w:val="center"/>
          </w:tcPr>
          <w:p w14:paraId="607920C6">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14:paraId="567B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04868D99">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402" w:type="dxa"/>
            <w:vAlign w:val="center"/>
          </w:tcPr>
          <w:p w14:paraId="38B7DD91">
            <w:pPr>
              <w:jc w:val="center"/>
              <w:rPr>
                <w:rFonts w:ascii="仿宋" w:hAnsi="仿宋" w:eastAsia="仿宋" w:cs="仿宋"/>
                <w:b/>
                <w:kern w:val="0"/>
                <w:sz w:val="32"/>
                <w:szCs w:val="32"/>
                <w:highlight w:val="none"/>
              </w:rPr>
            </w:pPr>
          </w:p>
        </w:tc>
        <w:tc>
          <w:tcPr>
            <w:tcW w:w="3402" w:type="dxa"/>
            <w:vAlign w:val="center"/>
          </w:tcPr>
          <w:p w14:paraId="7BFD1BC3">
            <w:pPr>
              <w:jc w:val="center"/>
              <w:rPr>
                <w:rFonts w:ascii="仿宋" w:hAnsi="仿宋" w:eastAsia="仿宋" w:cs="仿宋"/>
                <w:b/>
                <w:kern w:val="0"/>
                <w:sz w:val="32"/>
                <w:szCs w:val="32"/>
                <w:highlight w:val="none"/>
              </w:rPr>
            </w:pPr>
          </w:p>
        </w:tc>
        <w:tc>
          <w:tcPr>
            <w:tcW w:w="1361" w:type="dxa"/>
            <w:vAlign w:val="center"/>
          </w:tcPr>
          <w:p w14:paraId="0735A489">
            <w:pPr>
              <w:jc w:val="center"/>
              <w:rPr>
                <w:rFonts w:ascii="仿宋" w:hAnsi="仿宋" w:eastAsia="仿宋" w:cs="仿宋"/>
                <w:b/>
                <w:kern w:val="0"/>
                <w:sz w:val="32"/>
                <w:szCs w:val="32"/>
                <w:highlight w:val="none"/>
              </w:rPr>
            </w:pPr>
          </w:p>
        </w:tc>
      </w:tr>
      <w:tr w14:paraId="6D65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308D249E">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402" w:type="dxa"/>
            <w:vAlign w:val="center"/>
          </w:tcPr>
          <w:p w14:paraId="1B76C225">
            <w:pPr>
              <w:jc w:val="center"/>
              <w:rPr>
                <w:rFonts w:ascii="仿宋" w:hAnsi="仿宋" w:eastAsia="仿宋" w:cs="仿宋"/>
                <w:b/>
                <w:kern w:val="0"/>
                <w:sz w:val="32"/>
                <w:szCs w:val="32"/>
                <w:highlight w:val="none"/>
              </w:rPr>
            </w:pPr>
          </w:p>
        </w:tc>
        <w:tc>
          <w:tcPr>
            <w:tcW w:w="3402" w:type="dxa"/>
            <w:vAlign w:val="center"/>
          </w:tcPr>
          <w:p w14:paraId="37F01731">
            <w:pPr>
              <w:jc w:val="center"/>
              <w:rPr>
                <w:rFonts w:ascii="仿宋" w:hAnsi="仿宋" w:eastAsia="仿宋" w:cs="仿宋"/>
                <w:b/>
                <w:kern w:val="0"/>
                <w:sz w:val="32"/>
                <w:szCs w:val="32"/>
                <w:highlight w:val="none"/>
              </w:rPr>
            </w:pPr>
          </w:p>
        </w:tc>
        <w:tc>
          <w:tcPr>
            <w:tcW w:w="1361" w:type="dxa"/>
            <w:vAlign w:val="center"/>
          </w:tcPr>
          <w:p w14:paraId="3F7783BF">
            <w:pPr>
              <w:jc w:val="center"/>
              <w:rPr>
                <w:rFonts w:ascii="仿宋" w:hAnsi="仿宋" w:eastAsia="仿宋" w:cs="仿宋"/>
                <w:b/>
                <w:kern w:val="0"/>
                <w:sz w:val="32"/>
                <w:szCs w:val="32"/>
                <w:highlight w:val="none"/>
              </w:rPr>
            </w:pPr>
          </w:p>
        </w:tc>
      </w:tr>
      <w:tr w14:paraId="1661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14:paraId="2D1BC8FE">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402" w:type="dxa"/>
            <w:vAlign w:val="center"/>
          </w:tcPr>
          <w:p w14:paraId="3521A4B2">
            <w:pPr>
              <w:jc w:val="center"/>
              <w:rPr>
                <w:rFonts w:ascii="仿宋" w:hAnsi="仿宋" w:eastAsia="仿宋" w:cs="仿宋"/>
                <w:b/>
                <w:kern w:val="0"/>
                <w:sz w:val="32"/>
                <w:szCs w:val="32"/>
                <w:highlight w:val="none"/>
              </w:rPr>
            </w:pPr>
          </w:p>
        </w:tc>
        <w:tc>
          <w:tcPr>
            <w:tcW w:w="3402" w:type="dxa"/>
            <w:vAlign w:val="center"/>
          </w:tcPr>
          <w:p w14:paraId="0835CE0D">
            <w:pPr>
              <w:jc w:val="center"/>
              <w:rPr>
                <w:rFonts w:ascii="仿宋" w:hAnsi="仿宋" w:eastAsia="仿宋" w:cs="仿宋"/>
                <w:b/>
                <w:kern w:val="0"/>
                <w:sz w:val="32"/>
                <w:szCs w:val="32"/>
                <w:highlight w:val="none"/>
              </w:rPr>
            </w:pPr>
          </w:p>
        </w:tc>
        <w:tc>
          <w:tcPr>
            <w:tcW w:w="1361" w:type="dxa"/>
            <w:vAlign w:val="center"/>
          </w:tcPr>
          <w:p w14:paraId="60706B61">
            <w:pPr>
              <w:jc w:val="center"/>
              <w:rPr>
                <w:rFonts w:ascii="仿宋" w:hAnsi="仿宋" w:eastAsia="仿宋" w:cs="仿宋"/>
                <w:b/>
                <w:kern w:val="0"/>
                <w:sz w:val="32"/>
                <w:szCs w:val="32"/>
                <w:highlight w:val="none"/>
              </w:rPr>
            </w:pPr>
          </w:p>
        </w:tc>
      </w:tr>
    </w:tbl>
    <w:p w14:paraId="13686C0E">
      <w:pPr>
        <w:jc w:val="left"/>
        <w:rPr>
          <w:rFonts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供应商保证：除商务技术偏离表列出的偏离外，供应商响应招标文件的全部要求</w:t>
      </w:r>
    </w:p>
    <w:p w14:paraId="21822A20">
      <w:pPr>
        <w:ind w:firstLine="2891" w:firstLineChars="900"/>
        <w:rPr>
          <w:rFonts w:ascii="仿宋" w:hAnsi="仿宋" w:eastAsia="仿宋" w:cs="仿宋"/>
          <w:b/>
          <w:kern w:val="0"/>
          <w:sz w:val="32"/>
          <w:szCs w:val="32"/>
          <w:highlight w:val="none"/>
        </w:rPr>
      </w:pPr>
    </w:p>
    <w:p w14:paraId="09378A30">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14:paraId="4DC53832">
      <w:pPr>
        <w:spacing w:line="360" w:lineRule="auto"/>
        <w:ind w:right="420"/>
        <w:rPr>
          <w:rFonts w:ascii="仿宋" w:hAnsi="仿宋" w:eastAsia="仿宋" w:cs="仿宋"/>
          <w:sz w:val="24"/>
          <w:highlight w:val="none"/>
        </w:rPr>
      </w:pPr>
      <w:r>
        <w:rPr>
          <w:rFonts w:hint="eastAsia" w:ascii="仿宋" w:hAnsi="仿宋" w:eastAsia="仿宋" w:cs="仿宋"/>
          <w:sz w:val="24"/>
          <w:highlight w:val="none"/>
        </w:rPr>
        <w:t>2.本表格所反映的偏离情况与“符合性审查资料”、“评标标准相应的商务技术资料”不一致的，以“符合性审查资料”、“评标标准相应的商务技术资料”为准。</w:t>
      </w:r>
    </w:p>
    <w:p w14:paraId="7D0682F1">
      <w:pPr>
        <w:spacing w:line="360" w:lineRule="auto"/>
        <w:ind w:right="420"/>
        <w:rPr>
          <w:rFonts w:ascii="仿宋" w:hAnsi="仿宋" w:eastAsia="仿宋" w:cs="仿宋"/>
          <w:sz w:val="24"/>
          <w:highlight w:val="none"/>
        </w:rPr>
      </w:pPr>
      <w:r>
        <w:rPr>
          <w:rFonts w:hint="eastAsia" w:ascii="仿宋" w:hAnsi="仿宋" w:eastAsia="仿宋" w:cs="仿宋"/>
          <w:sz w:val="24"/>
          <w:highlight w:val="none"/>
        </w:rPr>
        <w:t>3.投标人须保证：除商务技术偏离表列出的偏离外，投标人响应招标文件的全部非实质性要求。</w:t>
      </w:r>
    </w:p>
    <w:p w14:paraId="0AE9BF7B">
      <w:pPr>
        <w:spacing w:line="360" w:lineRule="auto"/>
        <w:ind w:right="420"/>
        <w:rPr>
          <w:rFonts w:ascii="仿宋" w:hAnsi="仿宋" w:eastAsia="仿宋" w:cs="仿宋"/>
          <w:sz w:val="24"/>
          <w:highlight w:val="none"/>
        </w:rPr>
      </w:pPr>
    </w:p>
    <w:p w14:paraId="1021AA5C">
      <w:pPr>
        <w:ind w:firstLine="1911" w:firstLineChars="595"/>
        <w:rPr>
          <w:rFonts w:ascii="仿宋" w:hAnsi="仿宋" w:eastAsia="仿宋" w:cs="仿宋"/>
          <w:b/>
          <w:bCs/>
          <w:sz w:val="32"/>
          <w:szCs w:val="32"/>
          <w:highlight w:val="none"/>
        </w:rPr>
      </w:pPr>
    </w:p>
    <w:p w14:paraId="2CD46CA5">
      <w:pPr>
        <w:widowControl/>
        <w:adjustRightInd/>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F37CAF7">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八、政府采购供应商廉洁自律承诺书</w:t>
      </w:r>
    </w:p>
    <w:p w14:paraId="6EDC6353">
      <w:pPr>
        <w:snapToGrid w:val="0"/>
        <w:spacing w:line="360" w:lineRule="auto"/>
        <w:rPr>
          <w:rFonts w:ascii="仿宋" w:hAnsi="仿宋" w:eastAsia="仿宋" w:cs="仿宋"/>
          <w:sz w:val="24"/>
          <w:highlight w:val="none"/>
        </w:rPr>
      </w:pPr>
    </w:p>
    <w:p w14:paraId="35118E6D">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杭州市公安局交通警察支队、浙江中诺招标代理有限公司</w:t>
      </w:r>
      <w:r>
        <w:rPr>
          <w:rFonts w:hint="eastAsia" w:ascii="仿宋" w:hAnsi="仿宋" w:eastAsia="仿宋" w:cs="仿宋"/>
          <w:kern w:val="0"/>
          <w:sz w:val="24"/>
          <w:highlight w:val="none"/>
          <w:lang w:val="zh-CN"/>
        </w:rPr>
        <w:t>：</w:t>
      </w:r>
    </w:p>
    <w:p w14:paraId="5F72D1D6">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77CEAFF5">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0EBA2482">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4DEACF16">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4B14B56D">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BF11320">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179692FD">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六、严格遵守《中华人民共和国政府采购法》《中华人民共和国招标投标法》《中华人民共和国民法典》等法律法规，诚实守信，合法经营，坚决抵制各种违法违纪行为。</w:t>
      </w:r>
    </w:p>
    <w:p w14:paraId="26C38920">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11652A3">
      <w:pPr>
        <w:autoSpaceDE w:val="0"/>
        <w:autoSpaceDN w:val="0"/>
        <w:spacing w:line="360" w:lineRule="auto"/>
        <w:ind w:left="2"/>
        <w:jc w:val="left"/>
        <w:rPr>
          <w:rFonts w:ascii="仿宋" w:hAnsi="仿宋" w:eastAsia="仿宋" w:cs="仿宋"/>
          <w:kern w:val="0"/>
          <w:sz w:val="24"/>
          <w:highlight w:val="none"/>
          <w:lang w:val="zh-CN"/>
        </w:rPr>
      </w:pPr>
    </w:p>
    <w:p w14:paraId="2E972218">
      <w:pPr>
        <w:autoSpaceDE w:val="0"/>
        <w:autoSpaceDN w:val="0"/>
        <w:spacing w:line="360" w:lineRule="auto"/>
        <w:ind w:left="2"/>
        <w:jc w:val="left"/>
        <w:rPr>
          <w:rFonts w:ascii="仿宋" w:hAnsi="仿宋" w:eastAsia="仿宋" w:cs="仿宋"/>
          <w:kern w:val="0"/>
          <w:sz w:val="24"/>
          <w:highlight w:val="none"/>
          <w:lang w:val="zh-CN"/>
        </w:rPr>
      </w:pPr>
    </w:p>
    <w:p w14:paraId="7BFF4A09">
      <w:pPr>
        <w:autoSpaceDE w:val="0"/>
        <w:autoSpaceDN w:val="0"/>
        <w:spacing w:line="360" w:lineRule="auto"/>
        <w:ind w:left="2"/>
        <w:jc w:val="left"/>
        <w:rPr>
          <w:rFonts w:ascii="仿宋" w:hAnsi="仿宋" w:eastAsia="仿宋" w:cs="仿宋"/>
          <w:kern w:val="0"/>
          <w:sz w:val="24"/>
          <w:highlight w:val="none"/>
          <w:lang w:val="zh-CN"/>
        </w:rPr>
      </w:pPr>
    </w:p>
    <w:p w14:paraId="56986840">
      <w:pPr>
        <w:autoSpaceDE w:val="0"/>
        <w:autoSpaceDN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w:t>
      </w:r>
    </w:p>
    <w:p w14:paraId="762F9662">
      <w:pPr>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600EFC9E">
      <w:pPr>
        <w:spacing w:line="360" w:lineRule="auto"/>
        <w:jc w:val="center"/>
        <w:rPr>
          <w:rFonts w:ascii="仿宋" w:hAnsi="仿宋" w:eastAsia="仿宋" w:cs="仿宋"/>
          <w:b/>
          <w:bCs/>
          <w:sz w:val="24"/>
          <w:highlight w:val="none"/>
        </w:rPr>
      </w:pPr>
    </w:p>
    <w:p w14:paraId="53945E74">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50C4B016">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117F1791">
      <w:pPr>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5F2BFDAD">
      <w:pPr>
        <w:spacing w:line="360" w:lineRule="auto"/>
        <w:jc w:val="center"/>
        <w:rPr>
          <w:rFonts w:ascii="仿宋" w:hAnsi="仿宋" w:eastAsia="仿宋" w:cs="仿宋"/>
          <w:b/>
          <w:kern w:val="0"/>
          <w:sz w:val="36"/>
          <w:szCs w:val="36"/>
          <w:highlight w:val="none"/>
        </w:rPr>
      </w:pPr>
    </w:p>
    <w:p w14:paraId="5F16AEF5">
      <w:pPr>
        <w:spacing w:line="360" w:lineRule="auto"/>
        <w:jc w:val="center"/>
        <w:outlineLvl w:val="2"/>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418B3D1">
      <w:pPr>
        <w:spacing w:line="360" w:lineRule="auto"/>
        <w:jc w:val="center"/>
        <w:rPr>
          <w:rFonts w:ascii="仿宋" w:hAnsi="仿宋" w:eastAsia="仿宋" w:cs="仿宋"/>
          <w:b/>
          <w:kern w:val="0"/>
          <w:sz w:val="36"/>
          <w:szCs w:val="36"/>
          <w:highlight w:val="none"/>
        </w:rPr>
      </w:pPr>
    </w:p>
    <w:p w14:paraId="04EF6A8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0122D7C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（2）报价情况说明（如有）…………………………………………………（页码）</w:t>
      </w:r>
    </w:p>
    <w:p w14:paraId="7A0C534A">
      <w:pPr>
        <w:snapToGrid w:val="0"/>
        <w:spacing w:line="360" w:lineRule="auto"/>
        <w:ind w:right="480"/>
        <w:jc w:val="center"/>
        <w:rPr>
          <w:rFonts w:ascii="仿宋" w:hAnsi="仿宋" w:eastAsia="仿宋" w:cs="仿宋"/>
          <w:b/>
          <w:kern w:val="0"/>
          <w:sz w:val="32"/>
          <w:szCs w:val="32"/>
          <w:highlight w:val="none"/>
        </w:rPr>
      </w:pPr>
    </w:p>
    <w:p w14:paraId="26056178">
      <w:pPr>
        <w:snapToGrid w:val="0"/>
        <w:spacing w:line="360" w:lineRule="auto"/>
        <w:ind w:right="480"/>
        <w:jc w:val="center"/>
        <w:rPr>
          <w:rFonts w:ascii="仿宋" w:hAnsi="仿宋" w:eastAsia="仿宋" w:cs="仿宋"/>
          <w:b/>
          <w:kern w:val="0"/>
          <w:sz w:val="32"/>
          <w:szCs w:val="32"/>
          <w:highlight w:val="none"/>
        </w:rPr>
      </w:pPr>
    </w:p>
    <w:p w14:paraId="42BC8442">
      <w:pPr>
        <w:snapToGrid w:val="0"/>
        <w:spacing w:line="360" w:lineRule="auto"/>
        <w:ind w:right="480"/>
        <w:jc w:val="center"/>
        <w:rPr>
          <w:rFonts w:ascii="仿宋" w:hAnsi="仿宋" w:eastAsia="仿宋" w:cs="仿宋"/>
          <w:b/>
          <w:kern w:val="0"/>
          <w:sz w:val="32"/>
          <w:szCs w:val="32"/>
          <w:highlight w:val="none"/>
        </w:rPr>
        <w:sectPr>
          <w:type w:val="continuous"/>
          <w:pgSz w:w="11906" w:h="16838"/>
          <w:pgMar w:top="1418" w:right="1418" w:bottom="1418" w:left="1418" w:header="851" w:footer="992" w:gutter="0"/>
          <w:cols w:space="720" w:num="1"/>
          <w:docGrid w:linePitch="312" w:charSpace="0"/>
        </w:sectPr>
      </w:pPr>
    </w:p>
    <w:p w14:paraId="6167C883">
      <w:pPr>
        <w:snapToGrid w:val="0"/>
        <w:spacing w:line="360" w:lineRule="auto"/>
        <w:ind w:right="480"/>
        <w:jc w:val="center"/>
        <w:rPr>
          <w:rFonts w:ascii="仿宋" w:hAnsi="仿宋" w:eastAsia="仿宋" w:cs="仿宋"/>
          <w:b/>
          <w:kern w:val="0"/>
          <w:sz w:val="32"/>
          <w:szCs w:val="32"/>
          <w:highlight w:val="none"/>
        </w:rPr>
      </w:pPr>
    </w:p>
    <w:p w14:paraId="502EA7F7">
      <w:pPr>
        <w:pStyle w:val="545"/>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type w:val="continuous"/>
          <w:pgSz w:w="11906" w:h="16838"/>
          <w:pgMar w:top="1418" w:right="1418" w:bottom="1418" w:left="1418" w:header="851" w:footer="992" w:gutter="0"/>
          <w:cols w:space="720" w:num="1"/>
          <w:docGrid w:linePitch="312" w:charSpace="0"/>
        </w:sectPr>
      </w:pPr>
    </w:p>
    <w:p w14:paraId="0172A1CF">
      <w:pPr>
        <w:snapToGrid w:val="0"/>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一、开标一览表（报价表）</w:t>
      </w:r>
    </w:p>
    <w:p w14:paraId="1C6C459F">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杭州市公安局交通警察支队、浙江中诺招标代理有限公司</w:t>
      </w:r>
      <w:r>
        <w:rPr>
          <w:rFonts w:hint="eastAsia" w:ascii="仿宋" w:hAnsi="仿宋" w:eastAsia="仿宋" w:cs="仿宋"/>
          <w:kern w:val="0"/>
          <w:sz w:val="24"/>
          <w:highlight w:val="none"/>
          <w:lang w:val="zh-CN"/>
        </w:rPr>
        <w:t>：</w:t>
      </w:r>
    </w:p>
    <w:p w14:paraId="1BE56F11">
      <w:pPr>
        <w:snapToGrid w:val="0"/>
        <w:spacing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2025年杭州交警业务系统租赁使用服务-2025年公安交通集成指挥平台使用项目</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ZJZN-25022-HZGA15】的实施</w:t>
      </w:r>
      <w:r>
        <w:rPr>
          <w:rFonts w:hint="eastAsia" w:ascii="仿宋" w:hAnsi="仿宋" w:eastAsia="仿宋" w:cs="仿宋"/>
          <w:kern w:val="0"/>
          <w:sz w:val="24"/>
          <w:highlight w:val="none"/>
          <w:lang w:val="zh-CN"/>
        </w:rPr>
        <w:t>。</w:t>
      </w:r>
    </w:p>
    <w:p w14:paraId="341BA881">
      <w:pPr>
        <w:spacing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80"/>
        <w:tblW w:w="140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22"/>
        <w:gridCol w:w="2704"/>
        <w:gridCol w:w="2052"/>
        <w:gridCol w:w="925"/>
        <w:gridCol w:w="1276"/>
        <w:gridCol w:w="1417"/>
        <w:gridCol w:w="993"/>
        <w:gridCol w:w="1417"/>
        <w:gridCol w:w="2017"/>
      </w:tblGrid>
      <w:tr w14:paraId="282B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C976005">
            <w:pPr>
              <w:widowControl/>
              <w:adjustRightInd/>
              <w:jc w:val="center"/>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序号</w:t>
            </w:r>
          </w:p>
        </w:tc>
        <w:tc>
          <w:tcPr>
            <w:tcW w:w="3326" w:type="dxa"/>
            <w:gridSpan w:val="2"/>
            <w:vAlign w:val="center"/>
          </w:tcPr>
          <w:p w14:paraId="5B8D39B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设备名称</w:t>
            </w:r>
            <w:r>
              <w:rPr>
                <w:rFonts w:hint="eastAsia" w:ascii="仿宋" w:hAnsi="仿宋" w:eastAsia="仿宋" w:cs="仿宋"/>
                <w:bCs/>
                <w:snapToGrid w:val="0"/>
                <w:sz w:val="24"/>
                <w:highlight w:val="none"/>
              </w:rPr>
              <w:t>（或服务内容）</w:t>
            </w:r>
          </w:p>
        </w:tc>
        <w:tc>
          <w:tcPr>
            <w:tcW w:w="2052" w:type="dxa"/>
          </w:tcPr>
          <w:p w14:paraId="12698D39">
            <w:pPr>
              <w:widowControl/>
              <w:adjustRightInd/>
              <w:jc w:val="center"/>
              <w:rPr>
                <w:rFonts w:ascii="仿宋" w:hAnsi="仿宋" w:eastAsia="仿宋" w:cs="仿宋"/>
                <w:bCs/>
                <w:snapToGrid w:val="0"/>
                <w:sz w:val="24"/>
                <w:highlight w:val="none"/>
              </w:rPr>
            </w:pPr>
            <w:r>
              <w:rPr>
                <w:rFonts w:hint="eastAsia" w:ascii="仿宋" w:hAnsi="仿宋" w:eastAsia="仿宋" w:cs="仿宋"/>
                <w:bCs/>
                <w:snapToGrid w:val="0"/>
                <w:sz w:val="24"/>
                <w:highlight w:val="none"/>
              </w:rPr>
              <w:t>品牌、型号（或服务内容）</w:t>
            </w:r>
          </w:p>
        </w:tc>
        <w:tc>
          <w:tcPr>
            <w:tcW w:w="925" w:type="dxa"/>
            <w:vAlign w:val="center"/>
          </w:tcPr>
          <w:p w14:paraId="5B8DA10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数量</w:t>
            </w:r>
          </w:p>
        </w:tc>
        <w:tc>
          <w:tcPr>
            <w:tcW w:w="1276" w:type="dxa"/>
            <w:vAlign w:val="center"/>
          </w:tcPr>
          <w:p w14:paraId="58E51E1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单位</w:t>
            </w:r>
          </w:p>
        </w:tc>
        <w:tc>
          <w:tcPr>
            <w:tcW w:w="1417" w:type="dxa"/>
            <w:vAlign w:val="center"/>
          </w:tcPr>
          <w:p w14:paraId="5FD5C66D">
            <w:pPr>
              <w:adjustRightInd/>
              <w:snapToGrid w:val="0"/>
              <w:jc w:val="center"/>
              <w:rPr>
                <w:rFonts w:ascii="仿宋" w:hAnsi="仿宋" w:eastAsia="仿宋" w:cs="仿宋"/>
                <w:bCs/>
                <w:sz w:val="24"/>
                <w:highlight w:val="none"/>
              </w:rPr>
            </w:pPr>
            <w:r>
              <w:rPr>
                <w:rFonts w:hint="eastAsia" w:ascii="仿宋" w:hAnsi="仿宋" w:eastAsia="仿宋" w:cs="仿宋"/>
                <w:bCs/>
                <w:sz w:val="24"/>
                <w:highlight w:val="none"/>
              </w:rPr>
              <w:t>单价</w:t>
            </w:r>
          </w:p>
          <w:p w14:paraId="51E50AB7">
            <w:pPr>
              <w:widowControl/>
              <w:adjustRightInd/>
              <w:jc w:val="center"/>
              <w:rPr>
                <w:rFonts w:ascii="仿宋" w:hAnsi="仿宋" w:eastAsia="仿宋" w:cs="宋体"/>
                <w:color w:val="000000"/>
                <w:kern w:val="0"/>
                <w:sz w:val="24"/>
                <w:highlight w:val="none"/>
              </w:rPr>
            </w:pPr>
            <w:r>
              <w:rPr>
                <w:rFonts w:hint="eastAsia" w:ascii="仿宋" w:hAnsi="仿宋" w:eastAsia="仿宋" w:cs="仿宋"/>
                <w:bCs/>
                <w:sz w:val="24"/>
                <w:highlight w:val="none"/>
              </w:rPr>
              <w:t>（元/月）</w:t>
            </w:r>
          </w:p>
        </w:tc>
        <w:tc>
          <w:tcPr>
            <w:tcW w:w="993" w:type="dxa"/>
            <w:vAlign w:val="center"/>
          </w:tcPr>
          <w:p w14:paraId="257DBADF">
            <w:pPr>
              <w:widowControl/>
              <w:adjustRightInd/>
              <w:jc w:val="center"/>
              <w:rPr>
                <w:rFonts w:ascii="仿宋" w:hAnsi="仿宋" w:eastAsia="仿宋" w:cs="宋体"/>
                <w:color w:val="000000"/>
                <w:kern w:val="0"/>
                <w:sz w:val="24"/>
                <w:highlight w:val="none"/>
              </w:rPr>
            </w:pPr>
            <w:r>
              <w:rPr>
                <w:rFonts w:hint="eastAsia" w:ascii="仿宋" w:hAnsi="仿宋" w:eastAsia="仿宋" w:cs="仿宋"/>
                <w:bCs/>
                <w:sz w:val="24"/>
                <w:highlight w:val="none"/>
              </w:rPr>
              <w:t>服务期限（月）</w:t>
            </w:r>
          </w:p>
        </w:tc>
        <w:tc>
          <w:tcPr>
            <w:tcW w:w="1417" w:type="dxa"/>
            <w:vAlign w:val="center"/>
          </w:tcPr>
          <w:p w14:paraId="6D0842D7">
            <w:pPr>
              <w:widowControl/>
              <w:adjustRightInd/>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合计（元）</w:t>
            </w:r>
          </w:p>
        </w:tc>
        <w:tc>
          <w:tcPr>
            <w:tcW w:w="2017" w:type="dxa"/>
            <w:vAlign w:val="center"/>
          </w:tcPr>
          <w:p w14:paraId="6FEA349E">
            <w:pPr>
              <w:widowControl/>
              <w:adjustRightInd/>
              <w:jc w:val="center"/>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备注</w:t>
            </w:r>
          </w:p>
        </w:tc>
      </w:tr>
      <w:tr w14:paraId="7FB1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61" w:type="dxa"/>
            <w:gridSpan w:val="10"/>
            <w:vAlign w:val="center"/>
          </w:tcPr>
          <w:p w14:paraId="0DF720E9">
            <w:pPr>
              <w:widowControl/>
              <w:adjustRightInd/>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一、硬件部分</w:t>
            </w:r>
          </w:p>
        </w:tc>
      </w:tr>
      <w:tr w14:paraId="2471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BE4967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3326" w:type="dxa"/>
            <w:gridSpan w:val="2"/>
            <w:vAlign w:val="center"/>
          </w:tcPr>
          <w:p w14:paraId="575216E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超融合应用服务一体机</w:t>
            </w:r>
          </w:p>
        </w:tc>
        <w:tc>
          <w:tcPr>
            <w:tcW w:w="2052" w:type="dxa"/>
            <w:vAlign w:val="center"/>
          </w:tcPr>
          <w:p w14:paraId="1828EF16">
            <w:pPr>
              <w:widowControl/>
              <w:adjustRightInd/>
              <w:jc w:val="center"/>
              <w:rPr>
                <w:rFonts w:ascii="宋体" w:hAnsi="宋体" w:eastAsia="仿宋" w:cs="宋体"/>
                <w:color w:val="000000"/>
                <w:kern w:val="0"/>
                <w:sz w:val="24"/>
                <w:highlight w:val="none"/>
              </w:rPr>
            </w:pPr>
          </w:p>
        </w:tc>
        <w:tc>
          <w:tcPr>
            <w:tcW w:w="925" w:type="dxa"/>
            <w:vAlign w:val="center"/>
          </w:tcPr>
          <w:p w14:paraId="3A59D9B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5CE6B40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26A6A141">
            <w:pPr>
              <w:widowControl/>
              <w:adjustRightInd/>
              <w:jc w:val="center"/>
              <w:rPr>
                <w:rFonts w:ascii="宋体" w:hAnsi="宋体" w:eastAsia="仿宋" w:cs="宋体"/>
                <w:color w:val="000000"/>
                <w:kern w:val="0"/>
                <w:sz w:val="24"/>
                <w:highlight w:val="none"/>
              </w:rPr>
            </w:pPr>
          </w:p>
        </w:tc>
        <w:tc>
          <w:tcPr>
            <w:tcW w:w="993" w:type="dxa"/>
            <w:vAlign w:val="center"/>
          </w:tcPr>
          <w:p w14:paraId="0449040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9E21D07">
            <w:pPr>
              <w:widowControl/>
              <w:adjustRightInd/>
              <w:jc w:val="center"/>
              <w:rPr>
                <w:rFonts w:ascii="宋体" w:hAnsi="宋体" w:eastAsia="仿宋" w:cs="宋体"/>
                <w:color w:val="000000"/>
                <w:kern w:val="0"/>
                <w:sz w:val="24"/>
                <w:highlight w:val="none"/>
              </w:rPr>
            </w:pPr>
          </w:p>
        </w:tc>
        <w:tc>
          <w:tcPr>
            <w:tcW w:w="2017" w:type="dxa"/>
          </w:tcPr>
          <w:p w14:paraId="126AFCCA">
            <w:pPr>
              <w:widowControl/>
              <w:adjustRightInd/>
              <w:jc w:val="center"/>
              <w:rPr>
                <w:rFonts w:ascii="宋体" w:hAnsi="宋体" w:eastAsia="仿宋" w:cs="宋体"/>
                <w:color w:val="000000"/>
                <w:kern w:val="0"/>
                <w:sz w:val="24"/>
                <w:highlight w:val="none"/>
              </w:rPr>
            </w:pPr>
          </w:p>
        </w:tc>
      </w:tr>
      <w:tr w14:paraId="5BB8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restart"/>
            <w:vAlign w:val="center"/>
          </w:tcPr>
          <w:p w14:paraId="6B0A0CE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622" w:type="dxa"/>
            <w:vMerge w:val="restart"/>
            <w:vAlign w:val="center"/>
          </w:tcPr>
          <w:p w14:paraId="54667E5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w:t>
            </w:r>
          </w:p>
        </w:tc>
        <w:tc>
          <w:tcPr>
            <w:tcW w:w="2704" w:type="dxa"/>
            <w:vAlign w:val="center"/>
          </w:tcPr>
          <w:p w14:paraId="7FAB012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大数据平台流式计算服务一体机</w:t>
            </w:r>
          </w:p>
        </w:tc>
        <w:tc>
          <w:tcPr>
            <w:tcW w:w="2052" w:type="dxa"/>
            <w:vAlign w:val="center"/>
          </w:tcPr>
          <w:p w14:paraId="3B4C058A">
            <w:pPr>
              <w:widowControl/>
              <w:adjustRightInd/>
              <w:jc w:val="center"/>
              <w:rPr>
                <w:rFonts w:ascii="宋体" w:hAnsi="宋体" w:eastAsia="仿宋" w:cs="宋体"/>
                <w:color w:val="000000"/>
                <w:kern w:val="0"/>
                <w:sz w:val="24"/>
                <w:highlight w:val="none"/>
              </w:rPr>
            </w:pPr>
          </w:p>
        </w:tc>
        <w:tc>
          <w:tcPr>
            <w:tcW w:w="925" w:type="dxa"/>
            <w:vAlign w:val="center"/>
          </w:tcPr>
          <w:p w14:paraId="3888F50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276" w:type="dxa"/>
            <w:vAlign w:val="center"/>
          </w:tcPr>
          <w:p w14:paraId="5CFB8CD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03C2D58C">
            <w:pPr>
              <w:widowControl/>
              <w:adjustRightInd/>
              <w:jc w:val="center"/>
              <w:rPr>
                <w:rFonts w:ascii="宋体" w:hAnsi="宋体" w:eastAsia="仿宋" w:cs="宋体"/>
                <w:color w:val="000000"/>
                <w:kern w:val="0"/>
                <w:sz w:val="24"/>
                <w:highlight w:val="none"/>
              </w:rPr>
            </w:pPr>
          </w:p>
        </w:tc>
        <w:tc>
          <w:tcPr>
            <w:tcW w:w="993" w:type="dxa"/>
            <w:vAlign w:val="center"/>
          </w:tcPr>
          <w:p w14:paraId="172AA3E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FBBF74D">
            <w:pPr>
              <w:widowControl/>
              <w:adjustRightInd/>
              <w:jc w:val="center"/>
              <w:rPr>
                <w:rFonts w:ascii="宋体" w:hAnsi="宋体" w:eastAsia="仿宋" w:cs="宋体"/>
                <w:color w:val="000000"/>
                <w:kern w:val="0"/>
                <w:sz w:val="24"/>
                <w:highlight w:val="none"/>
              </w:rPr>
            </w:pPr>
          </w:p>
        </w:tc>
        <w:tc>
          <w:tcPr>
            <w:tcW w:w="2017" w:type="dxa"/>
          </w:tcPr>
          <w:p w14:paraId="0C18895F">
            <w:pPr>
              <w:widowControl/>
              <w:adjustRightInd/>
              <w:jc w:val="center"/>
              <w:rPr>
                <w:rFonts w:ascii="宋体" w:hAnsi="宋体" w:eastAsia="仿宋" w:cs="宋体"/>
                <w:color w:val="000000"/>
                <w:kern w:val="0"/>
                <w:sz w:val="24"/>
                <w:highlight w:val="none"/>
              </w:rPr>
            </w:pPr>
          </w:p>
        </w:tc>
      </w:tr>
      <w:tr w14:paraId="42D1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4840D8FE">
            <w:pPr>
              <w:rPr>
                <w:highlight w:val="none"/>
              </w:rPr>
            </w:pPr>
          </w:p>
        </w:tc>
        <w:tc>
          <w:tcPr>
            <w:tcW w:w="622" w:type="dxa"/>
            <w:vMerge w:val="continue"/>
            <w:vAlign w:val="center"/>
          </w:tcPr>
          <w:p w14:paraId="51091ECA">
            <w:pPr>
              <w:rPr>
                <w:highlight w:val="none"/>
              </w:rPr>
            </w:pPr>
          </w:p>
        </w:tc>
        <w:tc>
          <w:tcPr>
            <w:tcW w:w="2704" w:type="dxa"/>
            <w:vAlign w:val="center"/>
          </w:tcPr>
          <w:p w14:paraId="4CB3124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实时流处理引擎软件</w:t>
            </w:r>
          </w:p>
        </w:tc>
        <w:tc>
          <w:tcPr>
            <w:tcW w:w="2052" w:type="dxa"/>
            <w:vAlign w:val="center"/>
          </w:tcPr>
          <w:p w14:paraId="61A92BDA">
            <w:pPr>
              <w:widowControl/>
              <w:adjustRightInd/>
              <w:jc w:val="center"/>
              <w:rPr>
                <w:rFonts w:ascii="宋体" w:hAnsi="宋体" w:eastAsia="仿宋" w:cs="宋体"/>
                <w:color w:val="000000"/>
                <w:kern w:val="0"/>
                <w:sz w:val="24"/>
                <w:highlight w:val="none"/>
              </w:rPr>
            </w:pPr>
          </w:p>
        </w:tc>
        <w:tc>
          <w:tcPr>
            <w:tcW w:w="925" w:type="dxa"/>
            <w:vAlign w:val="center"/>
          </w:tcPr>
          <w:p w14:paraId="2BC12E8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276" w:type="dxa"/>
            <w:vAlign w:val="center"/>
          </w:tcPr>
          <w:p w14:paraId="1F66EAA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16651C1F">
            <w:pPr>
              <w:widowControl/>
              <w:adjustRightInd/>
              <w:jc w:val="center"/>
              <w:rPr>
                <w:rFonts w:ascii="宋体" w:hAnsi="宋体" w:eastAsia="仿宋" w:cs="宋体"/>
                <w:color w:val="000000"/>
                <w:kern w:val="0"/>
                <w:sz w:val="24"/>
                <w:highlight w:val="none"/>
              </w:rPr>
            </w:pPr>
          </w:p>
        </w:tc>
        <w:tc>
          <w:tcPr>
            <w:tcW w:w="993" w:type="dxa"/>
            <w:vAlign w:val="center"/>
          </w:tcPr>
          <w:p w14:paraId="3B1D413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B304FAF">
            <w:pPr>
              <w:widowControl/>
              <w:adjustRightInd/>
              <w:jc w:val="center"/>
              <w:rPr>
                <w:rFonts w:ascii="宋体" w:hAnsi="宋体" w:eastAsia="仿宋" w:cs="宋体"/>
                <w:color w:val="000000"/>
                <w:kern w:val="0"/>
                <w:sz w:val="24"/>
                <w:highlight w:val="none"/>
              </w:rPr>
            </w:pPr>
          </w:p>
        </w:tc>
        <w:tc>
          <w:tcPr>
            <w:tcW w:w="2017" w:type="dxa"/>
          </w:tcPr>
          <w:p w14:paraId="5F621805">
            <w:pPr>
              <w:widowControl/>
              <w:adjustRightInd/>
              <w:jc w:val="center"/>
              <w:rPr>
                <w:rFonts w:ascii="宋体" w:hAnsi="宋体" w:eastAsia="仿宋" w:cs="宋体"/>
                <w:color w:val="000000"/>
                <w:kern w:val="0"/>
                <w:sz w:val="24"/>
                <w:highlight w:val="none"/>
              </w:rPr>
            </w:pPr>
          </w:p>
        </w:tc>
      </w:tr>
      <w:tr w14:paraId="75BC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196C3B78">
            <w:pPr>
              <w:rPr>
                <w:highlight w:val="none"/>
              </w:rPr>
            </w:pPr>
          </w:p>
        </w:tc>
        <w:tc>
          <w:tcPr>
            <w:tcW w:w="622" w:type="dxa"/>
            <w:vMerge w:val="continue"/>
            <w:vAlign w:val="center"/>
          </w:tcPr>
          <w:p w14:paraId="3D7463D1">
            <w:pPr>
              <w:rPr>
                <w:highlight w:val="none"/>
              </w:rPr>
            </w:pPr>
          </w:p>
        </w:tc>
        <w:tc>
          <w:tcPr>
            <w:tcW w:w="2704" w:type="dxa"/>
            <w:vAlign w:val="center"/>
          </w:tcPr>
          <w:p w14:paraId="6E1E81B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大数据平台数据存储服务一体机</w:t>
            </w:r>
          </w:p>
        </w:tc>
        <w:tc>
          <w:tcPr>
            <w:tcW w:w="2052" w:type="dxa"/>
            <w:vAlign w:val="center"/>
          </w:tcPr>
          <w:p w14:paraId="28AE9060">
            <w:pPr>
              <w:widowControl/>
              <w:adjustRightInd/>
              <w:jc w:val="center"/>
              <w:rPr>
                <w:rFonts w:ascii="宋体" w:hAnsi="宋体" w:eastAsia="仿宋" w:cs="宋体"/>
                <w:color w:val="000000"/>
                <w:kern w:val="0"/>
                <w:sz w:val="24"/>
                <w:highlight w:val="none"/>
              </w:rPr>
            </w:pPr>
          </w:p>
        </w:tc>
        <w:tc>
          <w:tcPr>
            <w:tcW w:w="925" w:type="dxa"/>
            <w:vAlign w:val="center"/>
          </w:tcPr>
          <w:p w14:paraId="469B46D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7FB122D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7679866C">
            <w:pPr>
              <w:widowControl/>
              <w:adjustRightInd/>
              <w:jc w:val="center"/>
              <w:rPr>
                <w:rFonts w:ascii="宋体" w:hAnsi="宋体" w:eastAsia="仿宋" w:cs="宋体"/>
                <w:color w:val="000000"/>
                <w:kern w:val="0"/>
                <w:sz w:val="24"/>
                <w:highlight w:val="none"/>
              </w:rPr>
            </w:pPr>
          </w:p>
        </w:tc>
        <w:tc>
          <w:tcPr>
            <w:tcW w:w="993" w:type="dxa"/>
            <w:vAlign w:val="center"/>
          </w:tcPr>
          <w:p w14:paraId="433E1F9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321B8393">
            <w:pPr>
              <w:widowControl/>
              <w:adjustRightInd/>
              <w:jc w:val="center"/>
              <w:rPr>
                <w:rFonts w:ascii="宋体" w:hAnsi="宋体" w:eastAsia="仿宋" w:cs="宋体"/>
                <w:color w:val="000000"/>
                <w:kern w:val="0"/>
                <w:sz w:val="24"/>
                <w:highlight w:val="none"/>
              </w:rPr>
            </w:pPr>
          </w:p>
        </w:tc>
        <w:tc>
          <w:tcPr>
            <w:tcW w:w="2017" w:type="dxa"/>
          </w:tcPr>
          <w:p w14:paraId="4C138E84">
            <w:pPr>
              <w:widowControl/>
              <w:adjustRightInd/>
              <w:jc w:val="center"/>
              <w:rPr>
                <w:rFonts w:ascii="宋体" w:hAnsi="宋体" w:eastAsia="仿宋" w:cs="宋体"/>
                <w:color w:val="000000"/>
                <w:kern w:val="0"/>
                <w:sz w:val="24"/>
                <w:highlight w:val="none"/>
              </w:rPr>
            </w:pPr>
          </w:p>
        </w:tc>
      </w:tr>
      <w:tr w14:paraId="1ACD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5446D2A2">
            <w:pPr>
              <w:rPr>
                <w:highlight w:val="none"/>
              </w:rPr>
            </w:pPr>
          </w:p>
        </w:tc>
        <w:tc>
          <w:tcPr>
            <w:tcW w:w="622" w:type="dxa"/>
            <w:vMerge w:val="continue"/>
            <w:vAlign w:val="center"/>
          </w:tcPr>
          <w:p w14:paraId="75B927AB">
            <w:pPr>
              <w:rPr>
                <w:highlight w:val="none"/>
              </w:rPr>
            </w:pPr>
          </w:p>
        </w:tc>
        <w:tc>
          <w:tcPr>
            <w:tcW w:w="2704" w:type="dxa"/>
            <w:vAlign w:val="center"/>
          </w:tcPr>
          <w:p w14:paraId="01D62C9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实时数据管理软件</w:t>
            </w:r>
          </w:p>
        </w:tc>
        <w:tc>
          <w:tcPr>
            <w:tcW w:w="2052" w:type="dxa"/>
            <w:vAlign w:val="center"/>
          </w:tcPr>
          <w:p w14:paraId="6FE06BDB">
            <w:pPr>
              <w:widowControl/>
              <w:adjustRightInd/>
              <w:jc w:val="center"/>
              <w:rPr>
                <w:rFonts w:ascii="宋体" w:hAnsi="宋体" w:eastAsia="仿宋" w:cs="宋体"/>
                <w:color w:val="000000"/>
                <w:kern w:val="0"/>
                <w:sz w:val="24"/>
                <w:highlight w:val="none"/>
              </w:rPr>
            </w:pPr>
          </w:p>
        </w:tc>
        <w:tc>
          <w:tcPr>
            <w:tcW w:w="925" w:type="dxa"/>
            <w:vAlign w:val="center"/>
          </w:tcPr>
          <w:p w14:paraId="5F8903C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1276" w:type="dxa"/>
            <w:vAlign w:val="center"/>
          </w:tcPr>
          <w:p w14:paraId="6BCAA18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39FB1B5C">
            <w:pPr>
              <w:widowControl/>
              <w:adjustRightInd/>
              <w:jc w:val="center"/>
              <w:rPr>
                <w:rFonts w:ascii="宋体" w:hAnsi="宋体" w:eastAsia="仿宋" w:cs="宋体"/>
                <w:color w:val="000000"/>
                <w:kern w:val="0"/>
                <w:sz w:val="24"/>
                <w:highlight w:val="none"/>
              </w:rPr>
            </w:pPr>
          </w:p>
        </w:tc>
        <w:tc>
          <w:tcPr>
            <w:tcW w:w="993" w:type="dxa"/>
            <w:vAlign w:val="center"/>
          </w:tcPr>
          <w:p w14:paraId="6FF5056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E7DCDA9">
            <w:pPr>
              <w:widowControl/>
              <w:adjustRightInd/>
              <w:jc w:val="center"/>
              <w:rPr>
                <w:rFonts w:ascii="宋体" w:hAnsi="宋体" w:eastAsia="仿宋" w:cs="宋体"/>
                <w:color w:val="000000"/>
                <w:kern w:val="0"/>
                <w:sz w:val="24"/>
                <w:highlight w:val="none"/>
              </w:rPr>
            </w:pPr>
          </w:p>
        </w:tc>
        <w:tc>
          <w:tcPr>
            <w:tcW w:w="2017" w:type="dxa"/>
          </w:tcPr>
          <w:p w14:paraId="53AFF122">
            <w:pPr>
              <w:widowControl/>
              <w:adjustRightInd/>
              <w:jc w:val="center"/>
              <w:rPr>
                <w:rFonts w:ascii="宋体" w:hAnsi="宋体" w:eastAsia="仿宋" w:cs="宋体"/>
                <w:color w:val="000000"/>
                <w:kern w:val="0"/>
                <w:sz w:val="24"/>
                <w:highlight w:val="none"/>
              </w:rPr>
            </w:pPr>
          </w:p>
        </w:tc>
      </w:tr>
      <w:tr w14:paraId="25ED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5C7DEEF4">
            <w:pPr>
              <w:rPr>
                <w:highlight w:val="none"/>
              </w:rPr>
            </w:pPr>
          </w:p>
        </w:tc>
        <w:tc>
          <w:tcPr>
            <w:tcW w:w="622" w:type="dxa"/>
            <w:vMerge w:val="continue"/>
            <w:vAlign w:val="center"/>
          </w:tcPr>
          <w:p w14:paraId="6BE75B9C">
            <w:pPr>
              <w:rPr>
                <w:highlight w:val="none"/>
              </w:rPr>
            </w:pPr>
          </w:p>
        </w:tc>
        <w:tc>
          <w:tcPr>
            <w:tcW w:w="2704" w:type="dxa"/>
            <w:vAlign w:val="center"/>
          </w:tcPr>
          <w:p w14:paraId="3DB484B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现场安装调试服务</w:t>
            </w:r>
          </w:p>
        </w:tc>
        <w:tc>
          <w:tcPr>
            <w:tcW w:w="2052" w:type="dxa"/>
            <w:vAlign w:val="center"/>
          </w:tcPr>
          <w:p w14:paraId="6D03072A">
            <w:pPr>
              <w:widowControl/>
              <w:adjustRightInd/>
              <w:jc w:val="center"/>
              <w:rPr>
                <w:rFonts w:ascii="宋体" w:hAnsi="宋体" w:eastAsia="仿宋" w:cs="宋体"/>
                <w:color w:val="000000"/>
                <w:kern w:val="0"/>
                <w:sz w:val="24"/>
                <w:highlight w:val="none"/>
              </w:rPr>
            </w:pPr>
          </w:p>
        </w:tc>
        <w:tc>
          <w:tcPr>
            <w:tcW w:w="925" w:type="dxa"/>
            <w:vAlign w:val="center"/>
          </w:tcPr>
          <w:p w14:paraId="10EE366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40FD759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30BBBA63">
            <w:pPr>
              <w:widowControl/>
              <w:adjustRightInd/>
              <w:jc w:val="center"/>
              <w:rPr>
                <w:rFonts w:ascii="宋体" w:hAnsi="宋体" w:eastAsia="仿宋" w:cs="宋体"/>
                <w:color w:val="000000"/>
                <w:kern w:val="0"/>
                <w:sz w:val="24"/>
                <w:highlight w:val="none"/>
              </w:rPr>
            </w:pPr>
          </w:p>
        </w:tc>
        <w:tc>
          <w:tcPr>
            <w:tcW w:w="993" w:type="dxa"/>
            <w:vAlign w:val="center"/>
          </w:tcPr>
          <w:p w14:paraId="780552F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4C8BD66">
            <w:pPr>
              <w:widowControl/>
              <w:adjustRightInd/>
              <w:jc w:val="center"/>
              <w:rPr>
                <w:rFonts w:ascii="宋体" w:hAnsi="宋体" w:eastAsia="仿宋" w:cs="宋体"/>
                <w:color w:val="000000"/>
                <w:kern w:val="0"/>
                <w:sz w:val="24"/>
                <w:highlight w:val="none"/>
              </w:rPr>
            </w:pPr>
          </w:p>
        </w:tc>
        <w:tc>
          <w:tcPr>
            <w:tcW w:w="2017" w:type="dxa"/>
          </w:tcPr>
          <w:p w14:paraId="2D8AC544">
            <w:pPr>
              <w:widowControl/>
              <w:adjustRightInd/>
              <w:jc w:val="center"/>
              <w:rPr>
                <w:rFonts w:ascii="宋体" w:hAnsi="宋体" w:eastAsia="仿宋" w:cs="宋体"/>
                <w:color w:val="000000"/>
                <w:kern w:val="0"/>
                <w:sz w:val="24"/>
                <w:highlight w:val="none"/>
              </w:rPr>
            </w:pPr>
          </w:p>
        </w:tc>
      </w:tr>
      <w:tr w14:paraId="0231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E52BED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3326" w:type="dxa"/>
            <w:gridSpan w:val="2"/>
            <w:vAlign w:val="center"/>
          </w:tcPr>
          <w:p w14:paraId="3FCC5EB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视频服务网关</w:t>
            </w:r>
          </w:p>
        </w:tc>
        <w:tc>
          <w:tcPr>
            <w:tcW w:w="2052" w:type="dxa"/>
            <w:vAlign w:val="center"/>
          </w:tcPr>
          <w:p w14:paraId="4002913A">
            <w:pPr>
              <w:widowControl/>
              <w:adjustRightInd/>
              <w:jc w:val="center"/>
              <w:rPr>
                <w:rFonts w:ascii="宋体" w:hAnsi="宋体" w:eastAsia="仿宋" w:cs="宋体"/>
                <w:color w:val="000000"/>
                <w:kern w:val="0"/>
                <w:sz w:val="24"/>
                <w:highlight w:val="none"/>
              </w:rPr>
            </w:pPr>
          </w:p>
        </w:tc>
        <w:tc>
          <w:tcPr>
            <w:tcW w:w="925" w:type="dxa"/>
            <w:vAlign w:val="center"/>
          </w:tcPr>
          <w:p w14:paraId="694E3AA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32963B5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06410DF0">
            <w:pPr>
              <w:widowControl/>
              <w:adjustRightInd/>
              <w:jc w:val="center"/>
              <w:rPr>
                <w:rFonts w:ascii="宋体" w:hAnsi="宋体" w:eastAsia="仿宋" w:cs="宋体"/>
                <w:color w:val="000000"/>
                <w:kern w:val="0"/>
                <w:sz w:val="24"/>
                <w:highlight w:val="none"/>
              </w:rPr>
            </w:pPr>
          </w:p>
        </w:tc>
        <w:tc>
          <w:tcPr>
            <w:tcW w:w="993" w:type="dxa"/>
            <w:vAlign w:val="center"/>
          </w:tcPr>
          <w:p w14:paraId="2D638FB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929FD17">
            <w:pPr>
              <w:widowControl/>
              <w:adjustRightInd/>
              <w:jc w:val="center"/>
              <w:rPr>
                <w:rFonts w:ascii="宋体" w:hAnsi="宋体" w:eastAsia="仿宋" w:cs="宋体"/>
                <w:color w:val="000000"/>
                <w:kern w:val="0"/>
                <w:sz w:val="24"/>
                <w:highlight w:val="none"/>
              </w:rPr>
            </w:pPr>
          </w:p>
        </w:tc>
        <w:tc>
          <w:tcPr>
            <w:tcW w:w="2017" w:type="dxa"/>
          </w:tcPr>
          <w:p w14:paraId="79B862C5">
            <w:pPr>
              <w:widowControl/>
              <w:adjustRightInd/>
              <w:jc w:val="center"/>
              <w:rPr>
                <w:rFonts w:ascii="宋体" w:hAnsi="宋体" w:eastAsia="仿宋" w:cs="宋体"/>
                <w:color w:val="000000"/>
                <w:kern w:val="0"/>
                <w:sz w:val="24"/>
                <w:highlight w:val="none"/>
              </w:rPr>
            </w:pPr>
          </w:p>
        </w:tc>
      </w:tr>
      <w:tr w14:paraId="2B2C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1C1FE1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w:t>
            </w:r>
          </w:p>
        </w:tc>
        <w:tc>
          <w:tcPr>
            <w:tcW w:w="3326" w:type="dxa"/>
            <w:gridSpan w:val="2"/>
            <w:vAlign w:val="center"/>
          </w:tcPr>
          <w:p w14:paraId="5538C52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集成指挥平台升级服务一体机</w:t>
            </w:r>
          </w:p>
        </w:tc>
        <w:tc>
          <w:tcPr>
            <w:tcW w:w="2052" w:type="dxa"/>
            <w:vAlign w:val="center"/>
          </w:tcPr>
          <w:p w14:paraId="26C873F6">
            <w:pPr>
              <w:widowControl/>
              <w:adjustRightInd/>
              <w:jc w:val="center"/>
              <w:rPr>
                <w:rFonts w:ascii="宋体" w:hAnsi="宋体" w:eastAsia="仿宋" w:cs="宋体"/>
                <w:color w:val="000000"/>
                <w:kern w:val="0"/>
                <w:sz w:val="24"/>
                <w:highlight w:val="none"/>
              </w:rPr>
            </w:pPr>
          </w:p>
        </w:tc>
        <w:tc>
          <w:tcPr>
            <w:tcW w:w="925" w:type="dxa"/>
            <w:vAlign w:val="center"/>
          </w:tcPr>
          <w:p w14:paraId="03D69C0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7CB2988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18554290">
            <w:pPr>
              <w:widowControl/>
              <w:adjustRightInd/>
              <w:jc w:val="center"/>
              <w:rPr>
                <w:rFonts w:ascii="宋体" w:hAnsi="宋体" w:eastAsia="仿宋" w:cs="宋体"/>
                <w:color w:val="000000"/>
                <w:kern w:val="0"/>
                <w:sz w:val="24"/>
                <w:highlight w:val="none"/>
              </w:rPr>
            </w:pPr>
          </w:p>
        </w:tc>
        <w:tc>
          <w:tcPr>
            <w:tcW w:w="993" w:type="dxa"/>
            <w:vAlign w:val="center"/>
          </w:tcPr>
          <w:p w14:paraId="197E9AA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C48959D">
            <w:pPr>
              <w:widowControl/>
              <w:adjustRightInd/>
              <w:jc w:val="center"/>
              <w:rPr>
                <w:rFonts w:ascii="宋体" w:hAnsi="宋体" w:eastAsia="仿宋" w:cs="宋体"/>
                <w:color w:val="000000"/>
                <w:kern w:val="0"/>
                <w:sz w:val="24"/>
                <w:highlight w:val="none"/>
              </w:rPr>
            </w:pPr>
          </w:p>
        </w:tc>
        <w:tc>
          <w:tcPr>
            <w:tcW w:w="2017" w:type="dxa"/>
          </w:tcPr>
          <w:p w14:paraId="4F5BB1D8">
            <w:pPr>
              <w:widowControl/>
              <w:adjustRightInd/>
              <w:jc w:val="center"/>
              <w:rPr>
                <w:rFonts w:ascii="宋体" w:hAnsi="宋体" w:eastAsia="仿宋" w:cs="宋体"/>
                <w:color w:val="000000"/>
                <w:kern w:val="0"/>
                <w:sz w:val="24"/>
                <w:highlight w:val="none"/>
              </w:rPr>
            </w:pPr>
          </w:p>
        </w:tc>
      </w:tr>
      <w:tr w14:paraId="5536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0632BD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3326" w:type="dxa"/>
            <w:gridSpan w:val="2"/>
            <w:vAlign w:val="center"/>
          </w:tcPr>
          <w:p w14:paraId="5BD6B86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负载均衡器1</w:t>
            </w:r>
          </w:p>
        </w:tc>
        <w:tc>
          <w:tcPr>
            <w:tcW w:w="2052" w:type="dxa"/>
            <w:vAlign w:val="center"/>
          </w:tcPr>
          <w:p w14:paraId="47D2F514">
            <w:pPr>
              <w:widowControl/>
              <w:adjustRightInd/>
              <w:jc w:val="left"/>
              <w:rPr>
                <w:rFonts w:ascii="宋体" w:hAnsi="宋体" w:eastAsia="仿宋" w:cs="宋体"/>
                <w:color w:val="000000"/>
                <w:kern w:val="0"/>
                <w:sz w:val="24"/>
                <w:highlight w:val="none"/>
              </w:rPr>
            </w:pPr>
          </w:p>
        </w:tc>
        <w:tc>
          <w:tcPr>
            <w:tcW w:w="925" w:type="dxa"/>
            <w:vAlign w:val="center"/>
          </w:tcPr>
          <w:p w14:paraId="597ADDF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484B38C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0B686F84">
            <w:pPr>
              <w:widowControl/>
              <w:adjustRightInd/>
              <w:jc w:val="center"/>
              <w:rPr>
                <w:rFonts w:ascii="宋体" w:hAnsi="宋体" w:eastAsia="仿宋" w:cs="宋体"/>
                <w:color w:val="000000"/>
                <w:kern w:val="0"/>
                <w:sz w:val="24"/>
                <w:highlight w:val="none"/>
              </w:rPr>
            </w:pPr>
          </w:p>
        </w:tc>
        <w:tc>
          <w:tcPr>
            <w:tcW w:w="993" w:type="dxa"/>
            <w:vAlign w:val="center"/>
          </w:tcPr>
          <w:p w14:paraId="5B1FBD1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CAF77C9">
            <w:pPr>
              <w:widowControl/>
              <w:adjustRightInd/>
              <w:jc w:val="center"/>
              <w:rPr>
                <w:rFonts w:ascii="宋体" w:hAnsi="宋体" w:eastAsia="仿宋" w:cs="宋体"/>
                <w:color w:val="000000"/>
                <w:kern w:val="0"/>
                <w:sz w:val="24"/>
                <w:highlight w:val="none"/>
              </w:rPr>
            </w:pPr>
          </w:p>
        </w:tc>
        <w:tc>
          <w:tcPr>
            <w:tcW w:w="2017" w:type="dxa"/>
          </w:tcPr>
          <w:p w14:paraId="653B44DA">
            <w:pPr>
              <w:widowControl/>
              <w:adjustRightInd/>
              <w:jc w:val="center"/>
              <w:rPr>
                <w:rFonts w:ascii="宋体" w:hAnsi="宋体" w:eastAsia="仿宋" w:cs="宋体"/>
                <w:color w:val="000000"/>
                <w:kern w:val="0"/>
                <w:sz w:val="24"/>
                <w:highlight w:val="none"/>
              </w:rPr>
            </w:pPr>
          </w:p>
        </w:tc>
      </w:tr>
      <w:tr w14:paraId="3084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B60F9E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6</w:t>
            </w:r>
          </w:p>
        </w:tc>
        <w:tc>
          <w:tcPr>
            <w:tcW w:w="3326" w:type="dxa"/>
            <w:gridSpan w:val="2"/>
            <w:vAlign w:val="center"/>
          </w:tcPr>
          <w:p w14:paraId="68D5CD2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负载均衡器2</w:t>
            </w:r>
          </w:p>
        </w:tc>
        <w:tc>
          <w:tcPr>
            <w:tcW w:w="2052" w:type="dxa"/>
            <w:vAlign w:val="center"/>
          </w:tcPr>
          <w:p w14:paraId="2AC63C36">
            <w:pPr>
              <w:widowControl/>
              <w:adjustRightInd/>
              <w:jc w:val="left"/>
              <w:rPr>
                <w:rFonts w:ascii="宋体" w:hAnsi="宋体" w:eastAsia="仿宋" w:cs="宋体"/>
                <w:color w:val="000000"/>
                <w:kern w:val="0"/>
                <w:sz w:val="24"/>
                <w:highlight w:val="none"/>
              </w:rPr>
            </w:pPr>
          </w:p>
        </w:tc>
        <w:tc>
          <w:tcPr>
            <w:tcW w:w="925" w:type="dxa"/>
            <w:vAlign w:val="center"/>
          </w:tcPr>
          <w:p w14:paraId="0FEF0B1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339B08A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127BD7B4">
            <w:pPr>
              <w:widowControl/>
              <w:adjustRightInd/>
              <w:jc w:val="center"/>
              <w:rPr>
                <w:rFonts w:ascii="宋体" w:hAnsi="宋体" w:eastAsia="仿宋" w:cs="宋体"/>
                <w:color w:val="000000"/>
                <w:kern w:val="0"/>
                <w:sz w:val="24"/>
                <w:highlight w:val="none"/>
              </w:rPr>
            </w:pPr>
          </w:p>
        </w:tc>
        <w:tc>
          <w:tcPr>
            <w:tcW w:w="993" w:type="dxa"/>
            <w:vAlign w:val="center"/>
          </w:tcPr>
          <w:p w14:paraId="688F4ED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580A75A">
            <w:pPr>
              <w:widowControl/>
              <w:adjustRightInd/>
              <w:jc w:val="center"/>
              <w:rPr>
                <w:rFonts w:ascii="宋体" w:hAnsi="宋体" w:eastAsia="仿宋" w:cs="宋体"/>
                <w:color w:val="000000"/>
                <w:kern w:val="0"/>
                <w:sz w:val="24"/>
                <w:highlight w:val="none"/>
              </w:rPr>
            </w:pPr>
          </w:p>
        </w:tc>
        <w:tc>
          <w:tcPr>
            <w:tcW w:w="2017" w:type="dxa"/>
          </w:tcPr>
          <w:p w14:paraId="5CAC3EA7">
            <w:pPr>
              <w:widowControl/>
              <w:adjustRightInd/>
              <w:jc w:val="center"/>
              <w:rPr>
                <w:rFonts w:ascii="宋体" w:hAnsi="宋体" w:eastAsia="仿宋" w:cs="宋体"/>
                <w:color w:val="000000"/>
                <w:kern w:val="0"/>
                <w:sz w:val="24"/>
                <w:highlight w:val="none"/>
              </w:rPr>
            </w:pPr>
          </w:p>
        </w:tc>
      </w:tr>
      <w:tr w14:paraId="38F6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2DC39A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7</w:t>
            </w:r>
          </w:p>
        </w:tc>
        <w:tc>
          <w:tcPr>
            <w:tcW w:w="3326" w:type="dxa"/>
            <w:gridSpan w:val="2"/>
            <w:vAlign w:val="center"/>
          </w:tcPr>
          <w:p w14:paraId="056D376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融合调度网关一体机</w:t>
            </w:r>
          </w:p>
        </w:tc>
        <w:tc>
          <w:tcPr>
            <w:tcW w:w="2052" w:type="dxa"/>
            <w:vAlign w:val="center"/>
          </w:tcPr>
          <w:p w14:paraId="6CFA4611">
            <w:pPr>
              <w:widowControl/>
              <w:adjustRightInd/>
              <w:jc w:val="left"/>
              <w:rPr>
                <w:rFonts w:ascii="宋体" w:hAnsi="宋体" w:eastAsia="仿宋" w:cs="宋体"/>
                <w:color w:val="000000"/>
                <w:kern w:val="0"/>
                <w:sz w:val="24"/>
                <w:highlight w:val="none"/>
              </w:rPr>
            </w:pPr>
          </w:p>
        </w:tc>
        <w:tc>
          <w:tcPr>
            <w:tcW w:w="925" w:type="dxa"/>
            <w:vAlign w:val="center"/>
          </w:tcPr>
          <w:p w14:paraId="0B488C9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59B92AD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3B2D430F">
            <w:pPr>
              <w:widowControl/>
              <w:adjustRightInd/>
              <w:jc w:val="center"/>
              <w:rPr>
                <w:rFonts w:ascii="宋体" w:hAnsi="宋体" w:eastAsia="仿宋" w:cs="宋体"/>
                <w:color w:val="000000"/>
                <w:kern w:val="0"/>
                <w:sz w:val="24"/>
                <w:highlight w:val="none"/>
              </w:rPr>
            </w:pPr>
          </w:p>
        </w:tc>
        <w:tc>
          <w:tcPr>
            <w:tcW w:w="993" w:type="dxa"/>
            <w:vAlign w:val="center"/>
          </w:tcPr>
          <w:p w14:paraId="3B11A4A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FAC2115">
            <w:pPr>
              <w:widowControl/>
              <w:adjustRightInd/>
              <w:jc w:val="center"/>
              <w:rPr>
                <w:rFonts w:ascii="宋体" w:hAnsi="宋体" w:eastAsia="仿宋" w:cs="宋体"/>
                <w:color w:val="000000"/>
                <w:kern w:val="0"/>
                <w:sz w:val="24"/>
                <w:highlight w:val="none"/>
              </w:rPr>
            </w:pPr>
          </w:p>
        </w:tc>
        <w:tc>
          <w:tcPr>
            <w:tcW w:w="2017" w:type="dxa"/>
          </w:tcPr>
          <w:p w14:paraId="471AD0B4">
            <w:pPr>
              <w:widowControl/>
              <w:adjustRightInd/>
              <w:jc w:val="center"/>
              <w:rPr>
                <w:rFonts w:ascii="宋体" w:hAnsi="宋体" w:eastAsia="仿宋" w:cs="宋体"/>
                <w:color w:val="000000"/>
                <w:kern w:val="0"/>
                <w:sz w:val="24"/>
                <w:highlight w:val="none"/>
              </w:rPr>
            </w:pPr>
          </w:p>
        </w:tc>
      </w:tr>
      <w:tr w14:paraId="7187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restart"/>
            <w:vAlign w:val="center"/>
          </w:tcPr>
          <w:p w14:paraId="0516F61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8</w:t>
            </w:r>
          </w:p>
        </w:tc>
        <w:tc>
          <w:tcPr>
            <w:tcW w:w="622" w:type="dxa"/>
            <w:vMerge w:val="restart"/>
            <w:vAlign w:val="center"/>
          </w:tcPr>
          <w:p w14:paraId="713613F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数据处理一体机</w:t>
            </w:r>
          </w:p>
        </w:tc>
        <w:tc>
          <w:tcPr>
            <w:tcW w:w="2704" w:type="dxa"/>
            <w:vAlign w:val="center"/>
          </w:tcPr>
          <w:p w14:paraId="08719F80">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计算节点</w:t>
            </w:r>
          </w:p>
        </w:tc>
        <w:tc>
          <w:tcPr>
            <w:tcW w:w="2052" w:type="dxa"/>
            <w:vAlign w:val="center"/>
          </w:tcPr>
          <w:p w14:paraId="7B278278">
            <w:pPr>
              <w:widowControl/>
              <w:adjustRightInd/>
              <w:jc w:val="left"/>
              <w:rPr>
                <w:rFonts w:ascii="宋体" w:hAnsi="宋体" w:eastAsia="仿宋" w:cs="宋体"/>
                <w:color w:val="000000"/>
                <w:kern w:val="0"/>
                <w:sz w:val="24"/>
                <w:highlight w:val="none"/>
              </w:rPr>
            </w:pPr>
          </w:p>
        </w:tc>
        <w:tc>
          <w:tcPr>
            <w:tcW w:w="925" w:type="dxa"/>
            <w:vAlign w:val="center"/>
          </w:tcPr>
          <w:p w14:paraId="0D30521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3A24CED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77EC621E">
            <w:pPr>
              <w:widowControl/>
              <w:adjustRightInd/>
              <w:jc w:val="center"/>
              <w:rPr>
                <w:rFonts w:ascii="宋体" w:hAnsi="宋体" w:eastAsia="仿宋" w:cs="宋体"/>
                <w:color w:val="000000"/>
                <w:kern w:val="0"/>
                <w:sz w:val="24"/>
                <w:highlight w:val="none"/>
              </w:rPr>
            </w:pPr>
          </w:p>
        </w:tc>
        <w:tc>
          <w:tcPr>
            <w:tcW w:w="993" w:type="dxa"/>
            <w:vAlign w:val="center"/>
          </w:tcPr>
          <w:p w14:paraId="7437F67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E9C4B37">
            <w:pPr>
              <w:widowControl/>
              <w:adjustRightInd/>
              <w:jc w:val="center"/>
              <w:rPr>
                <w:rFonts w:ascii="宋体" w:hAnsi="宋体" w:eastAsia="仿宋" w:cs="宋体"/>
                <w:color w:val="000000"/>
                <w:kern w:val="0"/>
                <w:sz w:val="24"/>
                <w:highlight w:val="none"/>
              </w:rPr>
            </w:pPr>
          </w:p>
        </w:tc>
        <w:tc>
          <w:tcPr>
            <w:tcW w:w="2017" w:type="dxa"/>
          </w:tcPr>
          <w:p w14:paraId="6AFB3145">
            <w:pPr>
              <w:widowControl/>
              <w:adjustRightInd/>
              <w:jc w:val="center"/>
              <w:rPr>
                <w:rFonts w:ascii="宋体" w:hAnsi="宋体" w:eastAsia="仿宋" w:cs="宋体"/>
                <w:color w:val="000000"/>
                <w:kern w:val="0"/>
                <w:sz w:val="24"/>
                <w:highlight w:val="none"/>
              </w:rPr>
            </w:pPr>
          </w:p>
        </w:tc>
      </w:tr>
      <w:tr w14:paraId="34E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6390CBBF">
            <w:pPr>
              <w:rPr>
                <w:highlight w:val="none"/>
              </w:rPr>
            </w:pPr>
          </w:p>
        </w:tc>
        <w:tc>
          <w:tcPr>
            <w:tcW w:w="622" w:type="dxa"/>
            <w:vMerge w:val="continue"/>
            <w:vAlign w:val="center"/>
          </w:tcPr>
          <w:p w14:paraId="0C4D9E8A">
            <w:pPr>
              <w:rPr>
                <w:highlight w:val="none"/>
              </w:rPr>
            </w:pPr>
          </w:p>
        </w:tc>
        <w:tc>
          <w:tcPr>
            <w:tcW w:w="2704" w:type="dxa"/>
            <w:vAlign w:val="center"/>
          </w:tcPr>
          <w:p w14:paraId="4A023977">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存储节点</w:t>
            </w:r>
          </w:p>
        </w:tc>
        <w:tc>
          <w:tcPr>
            <w:tcW w:w="2052" w:type="dxa"/>
            <w:vAlign w:val="center"/>
          </w:tcPr>
          <w:p w14:paraId="78B66373">
            <w:pPr>
              <w:widowControl/>
              <w:adjustRightInd/>
              <w:jc w:val="left"/>
              <w:rPr>
                <w:rFonts w:ascii="宋体" w:hAnsi="宋体" w:eastAsia="仿宋" w:cs="宋体"/>
                <w:color w:val="000000"/>
                <w:kern w:val="0"/>
                <w:sz w:val="24"/>
                <w:highlight w:val="none"/>
              </w:rPr>
            </w:pPr>
          </w:p>
        </w:tc>
        <w:tc>
          <w:tcPr>
            <w:tcW w:w="925" w:type="dxa"/>
            <w:vAlign w:val="center"/>
          </w:tcPr>
          <w:p w14:paraId="01CF2F6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00C4F74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55B83AD4">
            <w:pPr>
              <w:widowControl/>
              <w:adjustRightInd/>
              <w:jc w:val="center"/>
              <w:rPr>
                <w:rFonts w:ascii="宋体" w:hAnsi="宋体" w:eastAsia="仿宋" w:cs="宋体"/>
                <w:color w:val="000000"/>
                <w:kern w:val="0"/>
                <w:sz w:val="24"/>
                <w:highlight w:val="none"/>
              </w:rPr>
            </w:pPr>
          </w:p>
        </w:tc>
        <w:tc>
          <w:tcPr>
            <w:tcW w:w="993" w:type="dxa"/>
            <w:vAlign w:val="center"/>
          </w:tcPr>
          <w:p w14:paraId="121569D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93887F1">
            <w:pPr>
              <w:widowControl/>
              <w:adjustRightInd/>
              <w:jc w:val="center"/>
              <w:rPr>
                <w:rFonts w:ascii="宋体" w:hAnsi="宋体" w:eastAsia="仿宋" w:cs="宋体"/>
                <w:color w:val="000000"/>
                <w:kern w:val="0"/>
                <w:sz w:val="24"/>
                <w:highlight w:val="none"/>
              </w:rPr>
            </w:pPr>
          </w:p>
        </w:tc>
        <w:tc>
          <w:tcPr>
            <w:tcW w:w="2017" w:type="dxa"/>
          </w:tcPr>
          <w:p w14:paraId="637EDADF">
            <w:pPr>
              <w:widowControl/>
              <w:adjustRightInd/>
              <w:jc w:val="center"/>
              <w:rPr>
                <w:rFonts w:ascii="宋体" w:hAnsi="宋体" w:eastAsia="仿宋" w:cs="宋体"/>
                <w:color w:val="000000"/>
                <w:kern w:val="0"/>
                <w:sz w:val="24"/>
                <w:highlight w:val="none"/>
              </w:rPr>
            </w:pPr>
          </w:p>
        </w:tc>
      </w:tr>
      <w:tr w14:paraId="658A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5A799CA0">
            <w:pPr>
              <w:rPr>
                <w:highlight w:val="none"/>
              </w:rPr>
            </w:pPr>
          </w:p>
        </w:tc>
        <w:tc>
          <w:tcPr>
            <w:tcW w:w="622" w:type="dxa"/>
            <w:vMerge w:val="continue"/>
            <w:vAlign w:val="center"/>
          </w:tcPr>
          <w:p w14:paraId="17492E1D">
            <w:pPr>
              <w:rPr>
                <w:highlight w:val="none"/>
              </w:rPr>
            </w:pPr>
          </w:p>
        </w:tc>
        <w:tc>
          <w:tcPr>
            <w:tcW w:w="2704" w:type="dxa"/>
            <w:vAlign w:val="center"/>
          </w:tcPr>
          <w:p w14:paraId="19288646">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网络节点</w:t>
            </w:r>
          </w:p>
        </w:tc>
        <w:tc>
          <w:tcPr>
            <w:tcW w:w="2052" w:type="dxa"/>
            <w:vAlign w:val="center"/>
          </w:tcPr>
          <w:p w14:paraId="746754B9">
            <w:pPr>
              <w:widowControl/>
              <w:adjustRightInd/>
              <w:jc w:val="left"/>
              <w:rPr>
                <w:rFonts w:ascii="宋体" w:hAnsi="宋体" w:eastAsia="仿宋" w:cs="宋体"/>
                <w:color w:val="000000"/>
                <w:kern w:val="0"/>
                <w:sz w:val="24"/>
                <w:highlight w:val="none"/>
              </w:rPr>
            </w:pPr>
          </w:p>
        </w:tc>
        <w:tc>
          <w:tcPr>
            <w:tcW w:w="925" w:type="dxa"/>
            <w:vAlign w:val="center"/>
          </w:tcPr>
          <w:p w14:paraId="0DF1D21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5637AC5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704C1F13">
            <w:pPr>
              <w:widowControl/>
              <w:adjustRightInd/>
              <w:jc w:val="center"/>
              <w:rPr>
                <w:rFonts w:ascii="宋体" w:hAnsi="宋体" w:eastAsia="仿宋" w:cs="宋体"/>
                <w:color w:val="000000"/>
                <w:kern w:val="0"/>
                <w:sz w:val="24"/>
                <w:highlight w:val="none"/>
              </w:rPr>
            </w:pPr>
          </w:p>
        </w:tc>
        <w:tc>
          <w:tcPr>
            <w:tcW w:w="993" w:type="dxa"/>
            <w:vAlign w:val="center"/>
          </w:tcPr>
          <w:p w14:paraId="27FC21E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F7BBEFD">
            <w:pPr>
              <w:widowControl/>
              <w:adjustRightInd/>
              <w:jc w:val="center"/>
              <w:rPr>
                <w:rFonts w:ascii="宋体" w:hAnsi="宋体" w:eastAsia="仿宋" w:cs="宋体"/>
                <w:color w:val="000000"/>
                <w:kern w:val="0"/>
                <w:sz w:val="24"/>
                <w:highlight w:val="none"/>
              </w:rPr>
            </w:pPr>
          </w:p>
        </w:tc>
        <w:tc>
          <w:tcPr>
            <w:tcW w:w="2017" w:type="dxa"/>
          </w:tcPr>
          <w:p w14:paraId="36C3F268">
            <w:pPr>
              <w:widowControl/>
              <w:adjustRightInd/>
              <w:jc w:val="center"/>
              <w:rPr>
                <w:rFonts w:ascii="宋体" w:hAnsi="宋体" w:eastAsia="仿宋" w:cs="宋体"/>
                <w:color w:val="000000"/>
                <w:kern w:val="0"/>
                <w:sz w:val="24"/>
                <w:highlight w:val="none"/>
              </w:rPr>
            </w:pPr>
          </w:p>
        </w:tc>
      </w:tr>
      <w:tr w14:paraId="382F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Merge w:val="continue"/>
            <w:vAlign w:val="center"/>
          </w:tcPr>
          <w:p w14:paraId="020E5122">
            <w:pPr>
              <w:rPr>
                <w:highlight w:val="none"/>
              </w:rPr>
            </w:pPr>
          </w:p>
        </w:tc>
        <w:tc>
          <w:tcPr>
            <w:tcW w:w="622" w:type="dxa"/>
            <w:vMerge w:val="continue"/>
            <w:vAlign w:val="center"/>
          </w:tcPr>
          <w:p w14:paraId="7D94CBA4">
            <w:pPr>
              <w:rPr>
                <w:highlight w:val="none"/>
              </w:rPr>
            </w:pPr>
          </w:p>
        </w:tc>
        <w:tc>
          <w:tcPr>
            <w:tcW w:w="2704" w:type="dxa"/>
            <w:vAlign w:val="center"/>
          </w:tcPr>
          <w:p w14:paraId="0A992101">
            <w:pPr>
              <w:widowControl/>
              <w:adjustRightInd/>
              <w:jc w:val="left"/>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管理软件</w:t>
            </w:r>
          </w:p>
        </w:tc>
        <w:tc>
          <w:tcPr>
            <w:tcW w:w="2052" w:type="dxa"/>
            <w:vAlign w:val="center"/>
          </w:tcPr>
          <w:p w14:paraId="7C829DC0">
            <w:pPr>
              <w:widowControl/>
              <w:adjustRightInd/>
              <w:jc w:val="left"/>
              <w:rPr>
                <w:rFonts w:ascii="宋体" w:hAnsi="宋体" w:eastAsia="仿宋" w:cs="宋体"/>
                <w:color w:val="000000"/>
                <w:kern w:val="0"/>
                <w:sz w:val="24"/>
                <w:highlight w:val="none"/>
              </w:rPr>
            </w:pPr>
          </w:p>
        </w:tc>
        <w:tc>
          <w:tcPr>
            <w:tcW w:w="925" w:type="dxa"/>
            <w:vAlign w:val="center"/>
          </w:tcPr>
          <w:p w14:paraId="4A83BA9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1276" w:type="dxa"/>
            <w:vAlign w:val="center"/>
          </w:tcPr>
          <w:p w14:paraId="065B398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节点</w:t>
            </w:r>
          </w:p>
        </w:tc>
        <w:tc>
          <w:tcPr>
            <w:tcW w:w="1417" w:type="dxa"/>
            <w:vAlign w:val="center"/>
          </w:tcPr>
          <w:p w14:paraId="256555DF">
            <w:pPr>
              <w:widowControl/>
              <w:adjustRightInd/>
              <w:jc w:val="center"/>
              <w:rPr>
                <w:rFonts w:ascii="宋体" w:hAnsi="宋体" w:eastAsia="仿宋" w:cs="宋体"/>
                <w:color w:val="000000"/>
                <w:kern w:val="0"/>
                <w:sz w:val="24"/>
                <w:highlight w:val="none"/>
              </w:rPr>
            </w:pPr>
          </w:p>
        </w:tc>
        <w:tc>
          <w:tcPr>
            <w:tcW w:w="993" w:type="dxa"/>
            <w:vAlign w:val="center"/>
          </w:tcPr>
          <w:p w14:paraId="67CA7BA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542BC03">
            <w:pPr>
              <w:widowControl/>
              <w:adjustRightInd/>
              <w:jc w:val="center"/>
              <w:rPr>
                <w:rFonts w:ascii="宋体" w:hAnsi="宋体" w:eastAsia="仿宋" w:cs="宋体"/>
                <w:color w:val="000000"/>
                <w:kern w:val="0"/>
                <w:sz w:val="24"/>
                <w:highlight w:val="none"/>
              </w:rPr>
            </w:pPr>
          </w:p>
        </w:tc>
        <w:tc>
          <w:tcPr>
            <w:tcW w:w="2017" w:type="dxa"/>
          </w:tcPr>
          <w:p w14:paraId="32F5B90F">
            <w:pPr>
              <w:widowControl/>
              <w:adjustRightInd/>
              <w:jc w:val="center"/>
              <w:rPr>
                <w:rFonts w:ascii="宋体" w:hAnsi="宋体" w:eastAsia="仿宋" w:cs="宋体"/>
                <w:color w:val="000000"/>
                <w:kern w:val="0"/>
                <w:sz w:val="24"/>
                <w:highlight w:val="none"/>
              </w:rPr>
            </w:pPr>
          </w:p>
        </w:tc>
      </w:tr>
      <w:tr w14:paraId="3A0E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27CE697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9</w:t>
            </w:r>
          </w:p>
        </w:tc>
        <w:tc>
          <w:tcPr>
            <w:tcW w:w="3326" w:type="dxa"/>
            <w:gridSpan w:val="2"/>
            <w:vAlign w:val="center"/>
          </w:tcPr>
          <w:p w14:paraId="4956EA0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数据库备份一体机</w:t>
            </w:r>
          </w:p>
        </w:tc>
        <w:tc>
          <w:tcPr>
            <w:tcW w:w="2052" w:type="dxa"/>
            <w:vAlign w:val="center"/>
          </w:tcPr>
          <w:p w14:paraId="7CA3CABA">
            <w:pPr>
              <w:widowControl/>
              <w:adjustRightInd/>
              <w:jc w:val="left"/>
              <w:rPr>
                <w:rFonts w:ascii="宋体" w:hAnsi="宋体" w:eastAsia="仿宋" w:cs="宋体"/>
                <w:color w:val="000000"/>
                <w:kern w:val="0"/>
                <w:sz w:val="24"/>
                <w:highlight w:val="none"/>
              </w:rPr>
            </w:pPr>
          </w:p>
        </w:tc>
        <w:tc>
          <w:tcPr>
            <w:tcW w:w="925" w:type="dxa"/>
            <w:vAlign w:val="center"/>
          </w:tcPr>
          <w:p w14:paraId="1671EF2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3B6F1DF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053A1657">
            <w:pPr>
              <w:widowControl/>
              <w:adjustRightInd/>
              <w:jc w:val="center"/>
              <w:rPr>
                <w:rFonts w:ascii="宋体" w:hAnsi="宋体" w:eastAsia="仿宋" w:cs="宋体"/>
                <w:color w:val="000000"/>
                <w:kern w:val="0"/>
                <w:sz w:val="24"/>
                <w:highlight w:val="none"/>
              </w:rPr>
            </w:pPr>
          </w:p>
        </w:tc>
        <w:tc>
          <w:tcPr>
            <w:tcW w:w="993" w:type="dxa"/>
            <w:vAlign w:val="center"/>
          </w:tcPr>
          <w:p w14:paraId="434F8C8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DC4BE60">
            <w:pPr>
              <w:widowControl/>
              <w:adjustRightInd/>
              <w:jc w:val="center"/>
              <w:rPr>
                <w:rFonts w:ascii="宋体" w:hAnsi="宋体" w:eastAsia="仿宋" w:cs="宋体"/>
                <w:color w:val="000000"/>
                <w:kern w:val="0"/>
                <w:sz w:val="24"/>
                <w:highlight w:val="none"/>
              </w:rPr>
            </w:pPr>
          </w:p>
        </w:tc>
        <w:tc>
          <w:tcPr>
            <w:tcW w:w="2017" w:type="dxa"/>
          </w:tcPr>
          <w:p w14:paraId="47AC6A96">
            <w:pPr>
              <w:widowControl/>
              <w:adjustRightInd/>
              <w:jc w:val="center"/>
              <w:rPr>
                <w:rFonts w:ascii="宋体" w:hAnsi="宋体" w:eastAsia="仿宋" w:cs="宋体"/>
                <w:color w:val="000000"/>
                <w:kern w:val="0"/>
                <w:sz w:val="24"/>
                <w:highlight w:val="none"/>
              </w:rPr>
            </w:pPr>
          </w:p>
        </w:tc>
      </w:tr>
      <w:tr w14:paraId="2E6C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A12B50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10</w:t>
            </w:r>
          </w:p>
        </w:tc>
        <w:tc>
          <w:tcPr>
            <w:tcW w:w="3326" w:type="dxa"/>
            <w:gridSpan w:val="2"/>
            <w:vAlign w:val="center"/>
          </w:tcPr>
          <w:p w14:paraId="39F6D7B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48口万兆交换机</w:t>
            </w:r>
          </w:p>
        </w:tc>
        <w:tc>
          <w:tcPr>
            <w:tcW w:w="2052" w:type="dxa"/>
            <w:vAlign w:val="center"/>
          </w:tcPr>
          <w:p w14:paraId="3CAFBE1F">
            <w:pPr>
              <w:widowControl/>
              <w:adjustRightInd/>
              <w:jc w:val="left"/>
              <w:rPr>
                <w:rFonts w:ascii="宋体" w:hAnsi="宋体" w:eastAsia="仿宋" w:cs="宋体"/>
                <w:color w:val="000000"/>
                <w:kern w:val="0"/>
                <w:sz w:val="24"/>
                <w:highlight w:val="none"/>
              </w:rPr>
            </w:pPr>
          </w:p>
        </w:tc>
        <w:tc>
          <w:tcPr>
            <w:tcW w:w="925" w:type="dxa"/>
            <w:vAlign w:val="center"/>
          </w:tcPr>
          <w:p w14:paraId="6A5435F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10FEC40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51CE0C99">
            <w:pPr>
              <w:widowControl/>
              <w:adjustRightInd/>
              <w:jc w:val="center"/>
              <w:rPr>
                <w:rFonts w:ascii="宋体" w:hAnsi="宋体" w:eastAsia="仿宋" w:cs="宋体"/>
                <w:color w:val="000000"/>
                <w:kern w:val="0"/>
                <w:sz w:val="24"/>
                <w:highlight w:val="none"/>
              </w:rPr>
            </w:pPr>
          </w:p>
        </w:tc>
        <w:tc>
          <w:tcPr>
            <w:tcW w:w="993" w:type="dxa"/>
            <w:vAlign w:val="center"/>
          </w:tcPr>
          <w:p w14:paraId="207AAF7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85F914A">
            <w:pPr>
              <w:widowControl/>
              <w:adjustRightInd/>
              <w:jc w:val="center"/>
              <w:rPr>
                <w:rFonts w:ascii="宋体" w:hAnsi="宋体" w:eastAsia="仿宋" w:cs="宋体"/>
                <w:color w:val="000000"/>
                <w:kern w:val="0"/>
                <w:sz w:val="24"/>
                <w:highlight w:val="none"/>
              </w:rPr>
            </w:pPr>
          </w:p>
        </w:tc>
        <w:tc>
          <w:tcPr>
            <w:tcW w:w="2017" w:type="dxa"/>
          </w:tcPr>
          <w:p w14:paraId="48133C10">
            <w:pPr>
              <w:widowControl/>
              <w:adjustRightInd/>
              <w:jc w:val="center"/>
              <w:rPr>
                <w:rFonts w:ascii="宋体" w:hAnsi="宋体" w:eastAsia="仿宋" w:cs="宋体"/>
                <w:color w:val="000000"/>
                <w:kern w:val="0"/>
                <w:sz w:val="24"/>
                <w:highlight w:val="none"/>
              </w:rPr>
            </w:pPr>
          </w:p>
        </w:tc>
      </w:tr>
      <w:tr w14:paraId="5FA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051A6FB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11</w:t>
            </w:r>
          </w:p>
        </w:tc>
        <w:tc>
          <w:tcPr>
            <w:tcW w:w="3326" w:type="dxa"/>
            <w:gridSpan w:val="2"/>
            <w:vAlign w:val="center"/>
          </w:tcPr>
          <w:p w14:paraId="5FD973CD">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路由器</w:t>
            </w:r>
          </w:p>
        </w:tc>
        <w:tc>
          <w:tcPr>
            <w:tcW w:w="2052" w:type="dxa"/>
            <w:vAlign w:val="center"/>
          </w:tcPr>
          <w:p w14:paraId="15C51BB3">
            <w:pPr>
              <w:widowControl/>
              <w:adjustRightInd/>
              <w:jc w:val="center"/>
              <w:rPr>
                <w:rFonts w:ascii="宋体" w:hAnsi="宋体" w:eastAsia="仿宋" w:cs="宋体"/>
                <w:color w:val="000000"/>
                <w:kern w:val="0"/>
                <w:sz w:val="24"/>
                <w:highlight w:val="none"/>
              </w:rPr>
            </w:pPr>
          </w:p>
        </w:tc>
        <w:tc>
          <w:tcPr>
            <w:tcW w:w="925" w:type="dxa"/>
            <w:vAlign w:val="center"/>
          </w:tcPr>
          <w:p w14:paraId="3AB9A5B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18AF654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4F449B83">
            <w:pPr>
              <w:widowControl/>
              <w:adjustRightInd/>
              <w:jc w:val="center"/>
              <w:rPr>
                <w:rFonts w:ascii="宋体" w:hAnsi="宋体" w:eastAsia="仿宋" w:cs="宋体"/>
                <w:color w:val="000000"/>
                <w:kern w:val="0"/>
                <w:sz w:val="24"/>
                <w:highlight w:val="none"/>
              </w:rPr>
            </w:pPr>
          </w:p>
        </w:tc>
        <w:tc>
          <w:tcPr>
            <w:tcW w:w="993" w:type="dxa"/>
            <w:vAlign w:val="center"/>
          </w:tcPr>
          <w:p w14:paraId="438494E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4ADD9A1">
            <w:pPr>
              <w:widowControl/>
              <w:adjustRightInd/>
              <w:jc w:val="center"/>
              <w:rPr>
                <w:rFonts w:ascii="宋体" w:hAnsi="宋体" w:eastAsia="仿宋" w:cs="宋体"/>
                <w:color w:val="000000"/>
                <w:kern w:val="0"/>
                <w:sz w:val="24"/>
                <w:highlight w:val="none"/>
              </w:rPr>
            </w:pPr>
          </w:p>
        </w:tc>
        <w:tc>
          <w:tcPr>
            <w:tcW w:w="2017" w:type="dxa"/>
          </w:tcPr>
          <w:p w14:paraId="02A11600">
            <w:pPr>
              <w:widowControl/>
              <w:adjustRightInd/>
              <w:jc w:val="center"/>
              <w:rPr>
                <w:rFonts w:ascii="宋体" w:hAnsi="宋体" w:eastAsia="仿宋" w:cs="宋体"/>
                <w:color w:val="000000"/>
                <w:kern w:val="0"/>
                <w:sz w:val="24"/>
                <w:highlight w:val="none"/>
              </w:rPr>
            </w:pPr>
          </w:p>
        </w:tc>
      </w:tr>
      <w:tr w14:paraId="6BF2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47F5F0D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3326" w:type="dxa"/>
            <w:gridSpan w:val="2"/>
            <w:vAlign w:val="center"/>
          </w:tcPr>
          <w:p w14:paraId="610489D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万兆交换机</w:t>
            </w:r>
          </w:p>
        </w:tc>
        <w:tc>
          <w:tcPr>
            <w:tcW w:w="2052" w:type="dxa"/>
            <w:vAlign w:val="center"/>
          </w:tcPr>
          <w:p w14:paraId="0264938B">
            <w:pPr>
              <w:widowControl/>
              <w:adjustRightInd/>
              <w:jc w:val="center"/>
              <w:rPr>
                <w:rFonts w:ascii="宋体" w:hAnsi="宋体" w:eastAsia="仿宋" w:cs="宋体"/>
                <w:color w:val="000000"/>
                <w:kern w:val="0"/>
                <w:sz w:val="24"/>
                <w:highlight w:val="none"/>
              </w:rPr>
            </w:pPr>
          </w:p>
        </w:tc>
        <w:tc>
          <w:tcPr>
            <w:tcW w:w="925" w:type="dxa"/>
            <w:vAlign w:val="center"/>
          </w:tcPr>
          <w:p w14:paraId="03F388B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474F066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5532B662">
            <w:pPr>
              <w:widowControl/>
              <w:adjustRightInd/>
              <w:jc w:val="center"/>
              <w:rPr>
                <w:rFonts w:ascii="宋体" w:hAnsi="宋体" w:eastAsia="仿宋" w:cs="宋体"/>
                <w:color w:val="000000"/>
                <w:kern w:val="0"/>
                <w:sz w:val="24"/>
                <w:highlight w:val="none"/>
              </w:rPr>
            </w:pPr>
          </w:p>
        </w:tc>
        <w:tc>
          <w:tcPr>
            <w:tcW w:w="993" w:type="dxa"/>
            <w:vAlign w:val="center"/>
          </w:tcPr>
          <w:p w14:paraId="53E5E2A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28BCF4D9">
            <w:pPr>
              <w:widowControl/>
              <w:adjustRightInd/>
              <w:jc w:val="center"/>
              <w:rPr>
                <w:rFonts w:ascii="宋体" w:hAnsi="宋体" w:eastAsia="仿宋" w:cs="宋体"/>
                <w:color w:val="000000"/>
                <w:kern w:val="0"/>
                <w:sz w:val="24"/>
                <w:highlight w:val="none"/>
              </w:rPr>
            </w:pPr>
          </w:p>
        </w:tc>
        <w:tc>
          <w:tcPr>
            <w:tcW w:w="2017" w:type="dxa"/>
          </w:tcPr>
          <w:p w14:paraId="2A03CBBC">
            <w:pPr>
              <w:widowControl/>
              <w:adjustRightInd/>
              <w:jc w:val="center"/>
              <w:rPr>
                <w:rFonts w:ascii="宋体" w:hAnsi="宋体" w:eastAsia="仿宋" w:cs="宋体"/>
                <w:color w:val="000000"/>
                <w:kern w:val="0"/>
                <w:sz w:val="24"/>
                <w:highlight w:val="none"/>
              </w:rPr>
            </w:pPr>
          </w:p>
        </w:tc>
      </w:tr>
      <w:tr w14:paraId="05B0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1F4973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13</w:t>
            </w:r>
          </w:p>
        </w:tc>
        <w:tc>
          <w:tcPr>
            <w:tcW w:w="3326" w:type="dxa"/>
            <w:gridSpan w:val="2"/>
            <w:vAlign w:val="center"/>
          </w:tcPr>
          <w:p w14:paraId="2FB1552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IP千兆交换机1（千兆）</w:t>
            </w:r>
          </w:p>
        </w:tc>
        <w:tc>
          <w:tcPr>
            <w:tcW w:w="2052" w:type="dxa"/>
            <w:vAlign w:val="center"/>
          </w:tcPr>
          <w:p w14:paraId="53E37C48">
            <w:pPr>
              <w:widowControl/>
              <w:adjustRightInd/>
              <w:jc w:val="center"/>
              <w:rPr>
                <w:rFonts w:ascii="宋体" w:hAnsi="宋体" w:eastAsia="仿宋" w:cs="宋体"/>
                <w:color w:val="000000"/>
                <w:kern w:val="0"/>
                <w:sz w:val="24"/>
                <w:highlight w:val="none"/>
              </w:rPr>
            </w:pPr>
          </w:p>
        </w:tc>
        <w:tc>
          <w:tcPr>
            <w:tcW w:w="925" w:type="dxa"/>
            <w:vAlign w:val="center"/>
          </w:tcPr>
          <w:p w14:paraId="112C975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1276" w:type="dxa"/>
            <w:vAlign w:val="center"/>
          </w:tcPr>
          <w:p w14:paraId="2C8F8BC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6079FA44">
            <w:pPr>
              <w:widowControl/>
              <w:adjustRightInd/>
              <w:jc w:val="center"/>
              <w:rPr>
                <w:rFonts w:ascii="宋体" w:hAnsi="宋体" w:eastAsia="仿宋" w:cs="宋体"/>
                <w:color w:val="000000"/>
                <w:kern w:val="0"/>
                <w:sz w:val="24"/>
                <w:highlight w:val="none"/>
              </w:rPr>
            </w:pPr>
          </w:p>
        </w:tc>
        <w:tc>
          <w:tcPr>
            <w:tcW w:w="993" w:type="dxa"/>
            <w:vAlign w:val="center"/>
          </w:tcPr>
          <w:p w14:paraId="6F133BC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1C8970FA">
            <w:pPr>
              <w:widowControl/>
              <w:adjustRightInd/>
              <w:jc w:val="center"/>
              <w:rPr>
                <w:rFonts w:ascii="宋体" w:hAnsi="宋体" w:eastAsia="仿宋" w:cs="宋体"/>
                <w:color w:val="000000"/>
                <w:kern w:val="0"/>
                <w:sz w:val="24"/>
                <w:highlight w:val="none"/>
              </w:rPr>
            </w:pPr>
          </w:p>
        </w:tc>
        <w:tc>
          <w:tcPr>
            <w:tcW w:w="2017" w:type="dxa"/>
          </w:tcPr>
          <w:p w14:paraId="518FD3CB">
            <w:pPr>
              <w:widowControl/>
              <w:adjustRightInd/>
              <w:jc w:val="center"/>
              <w:rPr>
                <w:rFonts w:ascii="宋体" w:hAnsi="宋体" w:eastAsia="仿宋" w:cs="宋体"/>
                <w:color w:val="000000"/>
                <w:kern w:val="0"/>
                <w:sz w:val="24"/>
                <w:highlight w:val="none"/>
              </w:rPr>
            </w:pPr>
          </w:p>
        </w:tc>
      </w:tr>
      <w:tr w14:paraId="440A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35A7059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14</w:t>
            </w:r>
          </w:p>
        </w:tc>
        <w:tc>
          <w:tcPr>
            <w:tcW w:w="3326" w:type="dxa"/>
            <w:gridSpan w:val="2"/>
            <w:vAlign w:val="center"/>
          </w:tcPr>
          <w:p w14:paraId="5189DAA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IP千兆交换机2</w:t>
            </w:r>
          </w:p>
        </w:tc>
        <w:tc>
          <w:tcPr>
            <w:tcW w:w="2052" w:type="dxa"/>
            <w:vAlign w:val="center"/>
          </w:tcPr>
          <w:p w14:paraId="3C698077">
            <w:pPr>
              <w:widowControl/>
              <w:adjustRightInd/>
              <w:jc w:val="center"/>
              <w:rPr>
                <w:rFonts w:ascii="宋体" w:hAnsi="宋体" w:eastAsia="仿宋" w:cs="宋体"/>
                <w:color w:val="000000"/>
                <w:kern w:val="0"/>
                <w:sz w:val="24"/>
                <w:highlight w:val="none"/>
              </w:rPr>
            </w:pPr>
          </w:p>
        </w:tc>
        <w:tc>
          <w:tcPr>
            <w:tcW w:w="925" w:type="dxa"/>
            <w:vAlign w:val="center"/>
          </w:tcPr>
          <w:p w14:paraId="08752BE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1276" w:type="dxa"/>
            <w:vAlign w:val="center"/>
          </w:tcPr>
          <w:p w14:paraId="17A4484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18D8442A">
            <w:pPr>
              <w:widowControl/>
              <w:adjustRightInd/>
              <w:jc w:val="center"/>
              <w:rPr>
                <w:rFonts w:ascii="宋体" w:hAnsi="宋体" w:eastAsia="仿宋" w:cs="宋体"/>
                <w:color w:val="000000"/>
                <w:kern w:val="0"/>
                <w:sz w:val="24"/>
                <w:highlight w:val="none"/>
              </w:rPr>
            </w:pPr>
          </w:p>
        </w:tc>
        <w:tc>
          <w:tcPr>
            <w:tcW w:w="993" w:type="dxa"/>
            <w:vAlign w:val="center"/>
          </w:tcPr>
          <w:p w14:paraId="2959575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23132CF">
            <w:pPr>
              <w:widowControl/>
              <w:adjustRightInd/>
              <w:jc w:val="center"/>
              <w:rPr>
                <w:rFonts w:ascii="宋体" w:hAnsi="宋体" w:eastAsia="仿宋" w:cs="宋体"/>
                <w:color w:val="000000"/>
                <w:kern w:val="0"/>
                <w:sz w:val="24"/>
                <w:highlight w:val="none"/>
              </w:rPr>
            </w:pPr>
          </w:p>
        </w:tc>
        <w:tc>
          <w:tcPr>
            <w:tcW w:w="2017" w:type="dxa"/>
          </w:tcPr>
          <w:p w14:paraId="6A15A7FF">
            <w:pPr>
              <w:widowControl/>
              <w:adjustRightInd/>
              <w:jc w:val="center"/>
              <w:rPr>
                <w:rFonts w:ascii="宋体" w:hAnsi="宋体" w:eastAsia="仿宋" w:cs="宋体"/>
                <w:color w:val="000000"/>
                <w:kern w:val="0"/>
                <w:sz w:val="24"/>
                <w:highlight w:val="none"/>
              </w:rPr>
            </w:pPr>
          </w:p>
        </w:tc>
      </w:tr>
      <w:tr w14:paraId="697D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2AAA63D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15</w:t>
            </w:r>
          </w:p>
        </w:tc>
        <w:tc>
          <w:tcPr>
            <w:tcW w:w="3326" w:type="dxa"/>
            <w:gridSpan w:val="2"/>
            <w:vAlign w:val="center"/>
          </w:tcPr>
          <w:p w14:paraId="451C5A5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SAN交换机</w:t>
            </w:r>
          </w:p>
        </w:tc>
        <w:tc>
          <w:tcPr>
            <w:tcW w:w="2052" w:type="dxa"/>
            <w:vAlign w:val="center"/>
          </w:tcPr>
          <w:p w14:paraId="0C532860">
            <w:pPr>
              <w:widowControl/>
              <w:adjustRightInd/>
              <w:jc w:val="center"/>
              <w:rPr>
                <w:rFonts w:ascii="宋体" w:hAnsi="宋体" w:eastAsia="仿宋" w:cs="宋体"/>
                <w:color w:val="000000"/>
                <w:kern w:val="0"/>
                <w:sz w:val="24"/>
                <w:highlight w:val="none"/>
              </w:rPr>
            </w:pPr>
          </w:p>
        </w:tc>
        <w:tc>
          <w:tcPr>
            <w:tcW w:w="925" w:type="dxa"/>
            <w:vAlign w:val="center"/>
          </w:tcPr>
          <w:p w14:paraId="7085E48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2ADDA98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台</w:t>
            </w:r>
          </w:p>
        </w:tc>
        <w:tc>
          <w:tcPr>
            <w:tcW w:w="1417" w:type="dxa"/>
            <w:vAlign w:val="center"/>
          </w:tcPr>
          <w:p w14:paraId="5E601061">
            <w:pPr>
              <w:widowControl/>
              <w:adjustRightInd/>
              <w:jc w:val="center"/>
              <w:rPr>
                <w:rFonts w:ascii="宋体" w:hAnsi="宋体" w:eastAsia="仿宋" w:cs="宋体"/>
                <w:color w:val="000000"/>
                <w:kern w:val="0"/>
                <w:sz w:val="24"/>
                <w:highlight w:val="none"/>
              </w:rPr>
            </w:pPr>
          </w:p>
        </w:tc>
        <w:tc>
          <w:tcPr>
            <w:tcW w:w="993" w:type="dxa"/>
            <w:vAlign w:val="center"/>
          </w:tcPr>
          <w:p w14:paraId="134BEA4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8289208">
            <w:pPr>
              <w:widowControl/>
              <w:adjustRightInd/>
              <w:jc w:val="center"/>
              <w:rPr>
                <w:rFonts w:ascii="宋体" w:hAnsi="宋体" w:eastAsia="仿宋" w:cs="宋体"/>
                <w:color w:val="000000"/>
                <w:kern w:val="0"/>
                <w:sz w:val="24"/>
                <w:highlight w:val="none"/>
              </w:rPr>
            </w:pPr>
          </w:p>
        </w:tc>
        <w:tc>
          <w:tcPr>
            <w:tcW w:w="2017" w:type="dxa"/>
          </w:tcPr>
          <w:p w14:paraId="38D7992E">
            <w:pPr>
              <w:widowControl/>
              <w:adjustRightInd/>
              <w:jc w:val="center"/>
              <w:rPr>
                <w:rFonts w:ascii="宋体" w:hAnsi="宋体" w:eastAsia="仿宋" w:cs="宋体"/>
                <w:color w:val="000000"/>
                <w:kern w:val="0"/>
                <w:sz w:val="24"/>
                <w:highlight w:val="none"/>
              </w:rPr>
            </w:pPr>
          </w:p>
        </w:tc>
      </w:tr>
      <w:tr w14:paraId="20D9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061" w:type="dxa"/>
            <w:gridSpan w:val="10"/>
            <w:vAlign w:val="center"/>
          </w:tcPr>
          <w:p w14:paraId="77603942">
            <w:pPr>
              <w:widowControl/>
              <w:adjustRightInd/>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二、</w:t>
            </w:r>
            <w:r>
              <w:rPr>
                <w:rFonts w:hint="eastAsia" w:ascii="宋体" w:hAnsi="宋体" w:eastAsia="仿宋" w:cs="宋体"/>
                <w:bCs/>
                <w:color w:val="000000"/>
                <w:kern w:val="0"/>
                <w:sz w:val="24"/>
                <w:highlight w:val="none"/>
              </w:rPr>
              <w:t>软件部分</w:t>
            </w:r>
          </w:p>
        </w:tc>
      </w:tr>
      <w:tr w14:paraId="5852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52F5A4B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3326" w:type="dxa"/>
            <w:gridSpan w:val="2"/>
            <w:vAlign w:val="center"/>
          </w:tcPr>
          <w:p w14:paraId="5753FD8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车辆特征智能识别及检索系统</w:t>
            </w:r>
          </w:p>
        </w:tc>
        <w:tc>
          <w:tcPr>
            <w:tcW w:w="2052" w:type="dxa"/>
            <w:vAlign w:val="center"/>
          </w:tcPr>
          <w:p w14:paraId="3B95F8D0">
            <w:pPr>
              <w:widowControl/>
              <w:adjustRightInd/>
              <w:jc w:val="center"/>
              <w:rPr>
                <w:rFonts w:ascii="宋体" w:hAnsi="宋体" w:eastAsia="仿宋" w:cs="宋体"/>
                <w:color w:val="000000"/>
                <w:kern w:val="0"/>
                <w:sz w:val="24"/>
                <w:highlight w:val="none"/>
              </w:rPr>
            </w:pPr>
          </w:p>
        </w:tc>
        <w:tc>
          <w:tcPr>
            <w:tcW w:w="925" w:type="dxa"/>
            <w:vAlign w:val="center"/>
          </w:tcPr>
          <w:p w14:paraId="3A64FE4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1A711F7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423C1735">
            <w:pPr>
              <w:widowControl/>
              <w:adjustRightInd/>
              <w:jc w:val="center"/>
              <w:rPr>
                <w:rFonts w:ascii="宋体" w:hAnsi="宋体" w:eastAsia="仿宋" w:cs="宋体"/>
                <w:color w:val="000000"/>
                <w:kern w:val="0"/>
                <w:sz w:val="24"/>
                <w:highlight w:val="none"/>
              </w:rPr>
            </w:pPr>
          </w:p>
        </w:tc>
        <w:tc>
          <w:tcPr>
            <w:tcW w:w="993" w:type="dxa"/>
            <w:vAlign w:val="center"/>
          </w:tcPr>
          <w:p w14:paraId="43D5A64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42C916FA">
            <w:pPr>
              <w:widowControl/>
              <w:adjustRightInd/>
              <w:jc w:val="center"/>
              <w:rPr>
                <w:rFonts w:ascii="宋体" w:hAnsi="宋体" w:eastAsia="仿宋" w:cs="宋体"/>
                <w:color w:val="000000"/>
                <w:kern w:val="0"/>
                <w:sz w:val="24"/>
                <w:highlight w:val="none"/>
              </w:rPr>
            </w:pPr>
          </w:p>
        </w:tc>
        <w:tc>
          <w:tcPr>
            <w:tcW w:w="2017" w:type="dxa"/>
          </w:tcPr>
          <w:p w14:paraId="765A6820">
            <w:pPr>
              <w:widowControl/>
              <w:adjustRightInd/>
              <w:jc w:val="center"/>
              <w:rPr>
                <w:rFonts w:ascii="宋体" w:hAnsi="宋体" w:eastAsia="仿宋" w:cs="宋体"/>
                <w:color w:val="000000"/>
                <w:kern w:val="0"/>
                <w:sz w:val="24"/>
                <w:highlight w:val="none"/>
              </w:rPr>
            </w:pPr>
          </w:p>
        </w:tc>
      </w:tr>
      <w:tr w14:paraId="202C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6DE18A41">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3326" w:type="dxa"/>
            <w:gridSpan w:val="2"/>
            <w:vAlign w:val="center"/>
          </w:tcPr>
          <w:p w14:paraId="18EFE98E">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卡口图片人脸智能识别预警系统</w:t>
            </w:r>
          </w:p>
        </w:tc>
        <w:tc>
          <w:tcPr>
            <w:tcW w:w="2052" w:type="dxa"/>
            <w:vAlign w:val="center"/>
          </w:tcPr>
          <w:p w14:paraId="7AF82C23">
            <w:pPr>
              <w:widowControl/>
              <w:adjustRightInd/>
              <w:jc w:val="center"/>
              <w:rPr>
                <w:rFonts w:ascii="宋体" w:hAnsi="宋体" w:eastAsia="仿宋" w:cs="宋体"/>
                <w:color w:val="000000"/>
                <w:kern w:val="0"/>
                <w:sz w:val="24"/>
                <w:highlight w:val="none"/>
              </w:rPr>
            </w:pPr>
          </w:p>
        </w:tc>
        <w:tc>
          <w:tcPr>
            <w:tcW w:w="925" w:type="dxa"/>
            <w:vAlign w:val="center"/>
          </w:tcPr>
          <w:p w14:paraId="61D1418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09F7EB5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0BF0BF7E">
            <w:pPr>
              <w:widowControl/>
              <w:adjustRightInd/>
              <w:jc w:val="center"/>
              <w:rPr>
                <w:rFonts w:ascii="宋体" w:hAnsi="宋体" w:eastAsia="仿宋" w:cs="宋体"/>
                <w:color w:val="000000"/>
                <w:kern w:val="0"/>
                <w:sz w:val="24"/>
                <w:highlight w:val="none"/>
              </w:rPr>
            </w:pPr>
          </w:p>
        </w:tc>
        <w:tc>
          <w:tcPr>
            <w:tcW w:w="993" w:type="dxa"/>
            <w:vAlign w:val="center"/>
          </w:tcPr>
          <w:p w14:paraId="71987BF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5020B325">
            <w:pPr>
              <w:widowControl/>
              <w:adjustRightInd/>
              <w:jc w:val="center"/>
              <w:rPr>
                <w:rFonts w:ascii="宋体" w:hAnsi="宋体" w:eastAsia="仿宋" w:cs="宋体"/>
                <w:color w:val="000000"/>
                <w:kern w:val="0"/>
                <w:sz w:val="24"/>
                <w:highlight w:val="none"/>
              </w:rPr>
            </w:pPr>
          </w:p>
        </w:tc>
        <w:tc>
          <w:tcPr>
            <w:tcW w:w="2017" w:type="dxa"/>
          </w:tcPr>
          <w:p w14:paraId="05D98F20">
            <w:pPr>
              <w:widowControl/>
              <w:adjustRightInd/>
              <w:jc w:val="center"/>
              <w:rPr>
                <w:rFonts w:ascii="宋体" w:hAnsi="宋体" w:eastAsia="仿宋" w:cs="宋体"/>
                <w:color w:val="000000"/>
                <w:kern w:val="0"/>
                <w:sz w:val="24"/>
                <w:highlight w:val="none"/>
              </w:rPr>
            </w:pPr>
          </w:p>
        </w:tc>
      </w:tr>
      <w:tr w14:paraId="35EC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384061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3</w:t>
            </w:r>
          </w:p>
        </w:tc>
        <w:tc>
          <w:tcPr>
            <w:tcW w:w="3326" w:type="dxa"/>
            <w:gridSpan w:val="2"/>
            <w:vAlign w:val="center"/>
          </w:tcPr>
          <w:p w14:paraId="631BE60C">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图像二次识别</w:t>
            </w:r>
          </w:p>
        </w:tc>
        <w:tc>
          <w:tcPr>
            <w:tcW w:w="2052" w:type="dxa"/>
            <w:vAlign w:val="center"/>
          </w:tcPr>
          <w:p w14:paraId="7F168494">
            <w:pPr>
              <w:widowControl/>
              <w:adjustRightInd/>
              <w:jc w:val="center"/>
              <w:rPr>
                <w:rFonts w:ascii="宋体" w:hAnsi="宋体" w:eastAsia="仿宋" w:cs="宋体"/>
                <w:color w:val="000000"/>
                <w:kern w:val="0"/>
                <w:sz w:val="24"/>
                <w:highlight w:val="none"/>
              </w:rPr>
            </w:pPr>
          </w:p>
        </w:tc>
        <w:tc>
          <w:tcPr>
            <w:tcW w:w="925" w:type="dxa"/>
            <w:vAlign w:val="center"/>
          </w:tcPr>
          <w:p w14:paraId="26172BB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7887DE7F">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21198ACF">
            <w:pPr>
              <w:widowControl/>
              <w:adjustRightInd/>
              <w:jc w:val="center"/>
              <w:rPr>
                <w:rFonts w:ascii="宋体" w:hAnsi="宋体" w:eastAsia="仿宋" w:cs="宋体"/>
                <w:color w:val="000000"/>
                <w:kern w:val="0"/>
                <w:sz w:val="24"/>
                <w:highlight w:val="none"/>
              </w:rPr>
            </w:pPr>
          </w:p>
        </w:tc>
        <w:tc>
          <w:tcPr>
            <w:tcW w:w="993" w:type="dxa"/>
            <w:vAlign w:val="center"/>
          </w:tcPr>
          <w:p w14:paraId="0D28B99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409C8450">
            <w:pPr>
              <w:widowControl/>
              <w:adjustRightInd/>
              <w:jc w:val="center"/>
              <w:rPr>
                <w:rFonts w:ascii="宋体" w:hAnsi="宋体" w:eastAsia="仿宋" w:cs="宋体"/>
                <w:color w:val="000000"/>
                <w:kern w:val="0"/>
                <w:sz w:val="24"/>
                <w:highlight w:val="none"/>
              </w:rPr>
            </w:pPr>
          </w:p>
        </w:tc>
        <w:tc>
          <w:tcPr>
            <w:tcW w:w="2017" w:type="dxa"/>
          </w:tcPr>
          <w:p w14:paraId="6F2C565A">
            <w:pPr>
              <w:widowControl/>
              <w:adjustRightInd/>
              <w:jc w:val="center"/>
              <w:rPr>
                <w:rFonts w:ascii="宋体" w:hAnsi="宋体" w:eastAsia="仿宋" w:cs="宋体"/>
                <w:color w:val="000000"/>
                <w:kern w:val="0"/>
                <w:sz w:val="24"/>
                <w:highlight w:val="none"/>
              </w:rPr>
            </w:pPr>
          </w:p>
        </w:tc>
      </w:tr>
      <w:tr w14:paraId="05BF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56A884C0">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4</w:t>
            </w:r>
          </w:p>
        </w:tc>
        <w:tc>
          <w:tcPr>
            <w:tcW w:w="3326" w:type="dxa"/>
            <w:gridSpan w:val="2"/>
            <w:vAlign w:val="center"/>
          </w:tcPr>
          <w:p w14:paraId="3379337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集成实施</w:t>
            </w:r>
          </w:p>
        </w:tc>
        <w:tc>
          <w:tcPr>
            <w:tcW w:w="2052" w:type="dxa"/>
            <w:vAlign w:val="center"/>
          </w:tcPr>
          <w:p w14:paraId="6E0180EF">
            <w:pPr>
              <w:widowControl/>
              <w:adjustRightInd/>
              <w:jc w:val="center"/>
              <w:rPr>
                <w:rFonts w:ascii="宋体" w:hAnsi="宋体" w:eastAsia="仿宋" w:cs="宋体"/>
                <w:color w:val="000000"/>
                <w:kern w:val="0"/>
                <w:sz w:val="24"/>
                <w:highlight w:val="none"/>
              </w:rPr>
            </w:pPr>
          </w:p>
        </w:tc>
        <w:tc>
          <w:tcPr>
            <w:tcW w:w="925" w:type="dxa"/>
            <w:vAlign w:val="center"/>
          </w:tcPr>
          <w:p w14:paraId="1F6BE21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73339326">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项</w:t>
            </w:r>
          </w:p>
        </w:tc>
        <w:tc>
          <w:tcPr>
            <w:tcW w:w="1417" w:type="dxa"/>
            <w:vAlign w:val="center"/>
          </w:tcPr>
          <w:p w14:paraId="5AD0CE62">
            <w:pPr>
              <w:widowControl/>
              <w:adjustRightInd/>
              <w:jc w:val="center"/>
              <w:rPr>
                <w:rFonts w:ascii="宋体" w:hAnsi="宋体" w:eastAsia="仿宋" w:cs="宋体"/>
                <w:color w:val="000000"/>
                <w:kern w:val="0"/>
                <w:sz w:val="24"/>
                <w:highlight w:val="none"/>
              </w:rPr>
            </w:pPr>
          </w:p>
        </w:tc>
        <w:tc>
          <w:tcPr>
            <w:tcW w:w="993" w:type="dxa"/>
            <w:vAlign w:val="center"/>
          </w:tcPr>
          <w:p w14:paraId="08684862">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073F51DF">
            <w:pPr>
              <w:widowControl/>
              <w:adjustRightInd/>
              <w:jc w:val="center"/>
              <w:rPr>
                <w:rFonts w:ascii="宋体" w:hAnsi="宋体" w:eastAsia="仿宋" w:cs="宋体"/>
                <w:color w:val="000000"/>
                <w:kern w:val="0"/>
                <w:sz w:val="24"/>
                <w:highlight w:val="none"/>
              </w:rPr>
            </w:pPr>
          </w:p>
        </w:tc>
        <w:tc>
          <w:tcPr>
            <w:tcW w:w="2017" w:type="dxa"/>
          </w:tcPr>
          <w:p w14:paraId="1685000A">
            <w:pPr>
              <w:widowControl/>
              <w:adjustRightInd/>
              <w:jc w:val="center"/>
              <w:rPr>
                <w:rFonts w:ascii="宋体" w:hAnsi="宋体" w:eastAsia="仿宋" w:cs="宋体"/>
                <w:color w:val="000000"/>
                <w:kern w:val="0"/>
                <w:sz w:val="24"/>
                <w:highlight w:val="none"/>
              </w:rPr>
            </w:pPr>
          </w:p>
        </w:tc>
      </w:tr>
      <w:tr w14:paraId="223E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1C17F79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5</w:t>
            </w:r>
          </w:p>
        </w:tc>
        <w:tc>
          <w:tcPr>
            <w:tcW w:w="3326" w:type="dxa"/>
            <w:gridSpan w:val="2"/>
            <w:vAlign w:val="center"/>
          </w:tcPr>
          <w:p w14:paraId="34CF9699">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违法举报</w:t>
            </w:r>
          </w:p>
        </w:tc>
        <w:tc>
          <w:tcPr>
            <w:tcW w:w="2052" w:type="dxa"/>
            <w:vAlign w:val="center"/>
          </w:tcPr>
          <w:p w14:paraId="7E4C5AD9">
            <w:pPr>
              <w:widowControl/>
              <w:adjustRightInd/>
              <w:jc w:val="center"/>
              <w:rPr>
                <w:rFonts w:ascii="宋体" w:hAnsi="宋体" w:eastAsia="仿宋" w:cs="宋体"/>
                <w:color w:val="000000"/>
                <w:kern w:val="0"/>
                <w:sz w:val="24"/>
                <w:highlight w:val="none"/>
              </w:rPr>
            </w:pPr>
          </w:p>
        </w:tc>
        <w:tc>
          <w:tcPr>
            <w:tcW w:w="925" w:type="dxa"/>
            <w:vAlign w:val="center"/>
          </w:tcPr>
          <w:p w14:paraId="7ECB99AB">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7648CA0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66E534EF">
            <w:pPr>
              <w:widowControl/>
              <w:adjustRightInd/>
              <w:jc w:val="center"/>
              <w:rPr>
                <w:rFonts w:ascii="宋体" w:hAnsi="宋体" w:eastAsia="仿宋" w:cs="宋体"/>
                <w:color w:val="000000"/>
                <w:kern w:val="0"/>
                <w:sz w:val="24"/>
                <w:highlight w:val="none"/>
              </w:rPr>
            </w:pPr>
          </w:p>
        </w:tc>
        <w:tc>
          <w:tcPr>
            <w:tcW w:w="993" w:type="dxa"/>
            <w:vAlign w:val="center"/>
          </w:tcPr>
          <w:p w14:paraId="23A0724A">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7A23F0B3">
            <w:pPr>
              <w:widowControl/>
              <w:adjustRightInd/>
              <w:jc w:val="center"/>
              <w:rPr>
                <w:rFonts w:ascii="宋体" w:hAnsi="宋体" w:eastAsia="仿宋" w:cs="宋体"/>
                <w:color w:val="000000"/>
                <w:kern w:val="0"/>
                <w:sz w:val="24"/>
                <w:highlight w:val="none"/>
              </w:rPr>
            </w:pPr>
          </w:p>
        </w:tc>
        <w:tc>
          <w:tcPr>
            <w:tcW w:w="2017" w:type="dxa"/>
          </w:tcPr>
          <w:p w14:paraId="2A8A96F7">
            <w:pPr>
              <w:widowControl/>
              <w:adjustRightInd/>
              <w:jc w:val="center"/>
              <w:rPr>
                <w:rFonts w:ascii="宋体" w:hAnsi="宋体" w:eastAsia="仿宋" w:cs="宋体"/>
                <w:color w:val="000000"/>
                <w:kern w:val="0"/>
                <w:sz w:val="24"/>
                <w:highlight w:val="none"/>
              </w:rPr>
            </w:pPr>
          </w:p>
        </w:tc>
      </w:tr>
      <w:tr w14:paraId="0B4A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vAlign w:val="center"/>
          </w:tcPr>
          <w:p w14:paraId="77042925">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6</w:t>
            </w:r>
          </w:p>
        </w:tc>
        <w:tc>
          <w:tcPr>
            <w:tcW w:w="3326" w:type="dxa"/>
            <w:gridSpan w:val="2"/>
            <w:vAlign w:val="center"/>
          </w:tcPr>
          <w:p w14:paraId="4D42C678">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道路交通信号“一见拍”系统</w:t>
            </w:r>
          </w:p>
        </w:tc>
        <w:tc>
          <w:tcPr>
            <w:tcW w:w="2052" w:type="dxa"/>
            <w:vAlign w:val="center"/>
          </w:tcPr>
          <w:p w14:paraId="4A533904">
            <w:pPr>
              <w:widowControl/>
              <w:adjustRightInd/>
              <w:jc w:val="center"/>
              <w:rPr>
                <w:rFonts w:ascii="宋体" w:hAnsi="宋体" w:eastAsia="仿宋" w:cs="宋体"/>
                <w:color w:val="000000"/>
                <w:kern w:val="0"/>
                <w:sz w:val="24"/>
                <w:highlight w:val="none"/>
              </w:rPr>
            </w:pPr>
          </w:p>
        </w:tc>
        <w:tc>
          <w:tcPr>
            <w:tcW w:w="925" w:type="dxa"/>
            <w:vAlign w:val="center"/>
          </w:tcPr>
          <w:p w14:paraId="37E72FB7">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1276" w:type="dxa"/>
            <w:vAlign w:val="center"/>
          </w:tcPr>
          <w:p w14:paraId="17F63ED4">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套</w:t>
            </w:r>
          </w:p>
        </w:tc>
        <w:tc>
          <w:tcPr>
            <w:tcW w:w="1417" w:type="dxa"/>
            <w:vAlign w:val="center"/>
          </w:tcPr>
          <w:p w14:paraId="42DACCCD">
            <w:pPr>
              <w:widowControl/>
              <w:adjustRightInd/>
              <w:jc w:val="center"/>
              <w:rPr>
                <w:rFonts w:ascii="宋体" w:hAnsi="宋体" w:eastAsia="仿宋" w:cs="宋体"/>
                <w:color w:val="000000"/>
                <w:kern w:val="0"/>
                <w:sz w:val="24"/>
                <w:highlight w:val="none"/>
              </w:rPr>
            </w:pPr>
          </w:p>
        </w:tc>
        <w:tc>
          <w:tcPr>
            <w:tcW w:w="993" w:type="dxa"/>
            <w:vAlign w:val="center"/>
          </w:tcPr>
          <w:p w14:paraId="4F4B0123">
            <w:pPr>
              <w:widowControl/>
              <w:adjustRightInd/>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12</w:t>
            </w:r>
          </w:p>
        </w:tc>
        <w:tc>
          <w:tcPr>
            <w:tcW w:w="1417" w:type="dxa"/>
          </w:tcPr>
          <w:p w14:paraId="6F19433F">
            <w:pPr>
              <w:widowControl/>
              <w:adjustRightInd/>
              <w:jc w:val="center"/>
              <w:rPr>
                <w:rFonts w:ascii="宋体" w:hAnsi="宋体" w:eastAsia="仿宋" w:cs="宋体"/>
                <w:color w:val="000000"/>
                <w:kern w:val="0"/>
                <w:sz w:val="24"/>
                <w:highlight w:val="none"/>
              </w:rPr>
            </w:pPr>
          </w:p>
        </w:tc>
        <w:tc>
          <w:tcPr>
            <w:tcW w:w="2017" w:type="dxa"/>
          </w:tcPr>
          <w:p w14:paraId="36798AEE">
            <w:pPr>
              <w:widowControl/>
              <w:adjustRightInd/>
              <w:jc w:val="center"/>
              <w:rPr>
                <w:rFonts w:ascii="宋体" w:hAnsi="宋体" w:eastAsia="仿宋" w:cs="宋体"/>
                <w:color w:val="000000"/>
                <w:kern w:val="0"/>
                <w:sz w:val="24"/>
                <w:highlight w:val="none"/>
              </w:rPr>
            </w:pPr>
          </w:p>
        </w:tc>
      </w:tr>
      <w:tr w14:paraId="511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17" w:type="dxa"/>
            <w:gridSpan w:val="6"/>
            <w:vAlign w:val="center"/>
          </w:tcPr>
          <w:p w14:paraId="329498BE">
            <w:pPr>
              <w:adjustRightInd/>
              <w:jc w:val="center"/>
              <w:rPr>
                <w:rFonts w:ascii="仿宋" w:hAnsi="仿宋" w:eastAsia="仿宋" w:cs="仿宋"/>
                <w:bCs/>
                <w:snapToGrid w:val="0"/>
                <w:sz w:val="24"/>
                <w:highlight w:val="none"/>
              </w:rPr>
            </w:pPr>
            <w:r>
              <w:rPr>
                <w:rFonts w:hint="eastAsia" w:ascii="仿宋" w:hAnsi="仿宋" w:eastAsia="仿宋" w:cs="仿宋"/>
                <w:bCs/>
                <w:snapToGrid w:val="0"/>
                <w:sz w:val="24"/>
                <w:highlight w:val="none"/>
              </w:rPr>
              <w:t>投标报价人民币（小写）</w:t>
            </w:r>
          </w:p>
        </w:tc>
        <w:tc>
          <w:tcPr>
            <w:tcW w:w="5844" w:type="dxa"/>
            <w:gridSpan w:val="4"/>
            <w:vAlign w:val="center"/>
          </w:tcPr>
          <w:p w14:paraId="725D8C93">
            <w:pPr>
              <w:widowControl/>
              <w:adjustRightInd/>
              <w:jc w:val="center"/>
              <w:rPr>
                <w:rFonts w:ascii="宋体" w:hAnsi="宋体" w:eastAsia="仿宋" w:cs="宋体"/>
                <w:color w:val="000000"/>
                <w:kern w:val="0"/>
                <w:sz w:val="24"/>
                <w:highlight w:val="none"/>
              </w:rPr>
            </w:pPr>
          </w:p>
        </w:tc>
      </w:tr>
      <w:tr w14:paraId="16DE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17" w:type="dxa"/>
            <w:gridSpan w:val="6"/>
            <w:vAlign w:val="center"/>
          </w:tcPr>
          <w:p w14:paraId="1BE0B8A3">
            <w:pPr>
              <w:adjustRightInd/>
              <w:jc w:val="center"/>
              <w:rPr>
                <w:rFonts w:ascii="仿宋" w:hAnsi="仿宋" w:eastAsia="仿宋" w:cs="仿宋"/>
                <w:bCs/>
                <w:snapToGrid w:val="0"/>
                <w:sz w:val="24"/>
                <w:highlight w:val="none"/>
              </w:rPr>
            </w:pPr>
            <w:r>
              <w:rPr>
                <w:rFonts w:hint="eastAsia" w:ascii="仿宋" w:hAnsi="仿宋" w:eastAsia="仿宋" w:cs="仿宋"/>
                <w:bCs/>
                <w:snapToGrid w:val="0"/>
                <w:sz w:val="24"/>
                <w:highlight w:val="none"/>
              </w:rPr>
              <w:t>投标报价人民币（大写）</w:t>
            </w:r>
          </w:p>
        </w:tc>
        <w:tc>
          <w:tcPr>
            <w:tcW w:w="5844" w:type="dxa"/>
            <w:gridSpan w:val="4"/>
            <w:vAlign w:val="center"/>
          </w:tcPr>
          <w:p w14:paraId="4B50C831">
            <w:pPr>
              <w:widowControl/>
              <w:adjustRightInd/>
              <w:jc w:val="center"/>
              <w:rPr>
                <w:rFonts w:ascii="宋体" w:hAnsi="宋体" w:eastAsia="仿宋" w:cs="宋体"/>
                <w:color w:val="000000"/>
                <w:kern w:val="0"/>
                <w:sz w:val="24"/>
                <w:highlight w:val="none"/>
              </w:rPr>
            </w:pPr>
          </w:p>
        </w:tc>
      </w:tr>
    </w:tbl>
    <w:p w14:paraId="62C44FBD">
      <w:pPr>
        <w:spacing w:line="360" w:lineRule="auto"/>
        <w:jc w:val="center"/>
        <w:rPr>
          <w:rFonts w:ascii="仿宋" w:hAnsi="仿宋" w:eastAsia="仿宋" w:cs="仿宋"/>
          <w:b/>
          <w:kern w:val="0"/>
          <w:sz w:val="24"/>
          <w:highlight w:val="none"/>
        </w:rPr>
      </w:pPr>
    </w:p>
    <w:p w14:paraId="6CC64462">
      <w:pPr>
        <w:snapToGrid w:val="0"/>
        <w:spacing w:line="360" w:lineRule="auto"/>
        <w:ind w:left="480"/>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2A004ED1">
      <w:pPr>
        <w:spacing w:line="360" w:lineRule="auto"/>
        <w:ind w:left="-2" w:leftChars="-1"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68D87BF1">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20CC5109">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3、特别提示：采购机构将对项目名称和项目编号，中标供应商名称、地址和中标金额，主要中标标的名称、服务范围、服务要求、服务时间、服务标准等予以公示。</w:t>
      </w:r>
    </w:p>
    <w:p w14:paraId="2C1A308A">
      <w:pPr>
        <w:pStyle w:val="440"/>
        <w:ind w:firstLine="0" w:firstLineChars="0"/>
        <w:rPr>
          <w:highlight w:val="none"/>
          <w:lang w:val="zh-CN" w:eastAsia="zh-CN"/>
        </w:rPr>
      </w:pPr>
    </w:p>
    <w:p w14:paraId="5A13D70F">
      <w:pPr>
        <w:pStyle w:val="440"/>
        <w:ind w:firstLine="0" w:firstLineChars="0"/>
        <w:rPr>
          <w:highlight w:val="none"/>
          <w:lang w:val="zh-CN" w:eastAsia="zh-CN"/>
        </w:rPr>
      </w:pPr>
    </w:p>
    <w:p w14:paraId="69DC026C">
      <w:pPr>
        <w:pStyle w:val="440"/>
        <w:ind w:firstLine="0" w:firstLineChars="0"/>
        <w:rPr>
          <w:highlight w:val="none"/>
          <w:lang w:val="zh-CN" w:eastAsia="zh-CN"/>
        </w:rPr>
      </w:pPr>
    </w:p>
    <w:p w14:paraId="2B566906">
      <w:pPr>
        <w:pStyle w:val="440"/>
        <w:ind w:firstLine="0" w:firstLineChars="0"/>
        <w:rPr>
          <w:highlight w:val="none"/>
          <w:lang w:val="zh-CN" w:eastAsia="zh-CN"/>
        </w:rPr>
      </w:pPr>
    </w:p>
    <w:p w14:paraId="0DA2DF3E">
      <w:pPr>
        <w:pStyle w:val="440"/>
        <w:ind w:firstLine="0" w:firstLineChars="0"/>
        <w:rPr>
          <w:highlight w:val="none"/>
          <w:lang w:val="zh-CN" w:eastAsia="zh-CN"/>
        </w:rPr>
        <w:sectPr>
          <w:headerReference r:id="rId8" w:type="first"/>
          <w:footerReference r:id="rId11" w:type="first"/>
          <w:footerReference r:id="rId9" w:type="default"/>
          <w:footerReference r:id="rId10" w:type="even"/>
          <w:pgSz w:w="16838" w:h="11906" w:orient="landscape"/>
          <w:pgMar w:top="1418" w:right="1418" w:bottom="1418" w:left="1418" w:header="851" w:footer="992" w:gutter="0"/>
          <w:cols w:space="720" w:num="1"/>
          <w:docGrid w:linePitch="312" w:charSpace="0"/>
        </w:sectPr>
      </w:pPr>
    </w:p>
    <w:p w14:paraId="79B52206">
      <w:pPr>
        <w:pStyle w:val="440"/>
        <w:ind w:firstLine="0" w:firstLineChars="0"/>
        <w:rPr>
          <w:highlight w:val="none"/>
          <w:lang w:val="zh-CN" w:eastAsia="zh-CN"/>
        </w:rPr>
      </w:pPr>
    </w:p>
    <w:p w14:paraId="2415F9D7">
      <w:pPr>
        <w:snapToGrid w:val="0"/>
        <w:spacing w:line="360" w:lineRule="auto"/>
        <w:ind w:firstLine="1928" w:firstLineChars="600"/>
        <w:outlineLvl w:val="2"/>
        <w:rPr>
          <w:highlight w:val="none"/>
        </w:rPr>
      </w:pPr>
      <w:r>
        <w:rPr>
          <w:rFonts w:hint="eastAsia" w:ascii="仿宋" w:hAnsi="仿宋" w:eastAsia="仿宋" w:cs="仿宋"/>
          <w:b/>
          <w:kern w:val="0"/>
          <w:sz w:val="32"/>
          <w:szCs w:val="32"/>
          <w:highlight w:val="none"/>
        </w:rPr>
        <w:t>二、报价情况说明（如果有）</w:t>
      </w:r>
    </w:p>
    <w:p w14:paraId="2DB11F9A">
      <w:pPr>
        <w:widowControl/>
        <w:spacing w:line="360" w:lineRule="auto"/>
        <w:ind w:firstLine="105" w:firstLineChars="50"/>
        <w:jc w:val="left"/>
        <w:rPr>
          <w:rFonts w:ascii="仿宋" w:hAnsi="仿宋" w:eastAsia="仿宋" w:cs="仿宋"/>
          <w:b/>
          <w:sz w:val="24"/>
          <w:highlight w:val="none"/>
        </w:rPr>
      </w:pPr>
      <w:r>
        <w:rPr>
          <w:rFonts w:hint="eastAsia" w:eastAsia="仿宋"/>
          <w:b/>
          <w:bCs/>
          <w:highlight w:val="none"/>
        </w:rPr>
        <w:t>（如供应商报价低于项目预算50%的，应当提交本文档，详细阐述不影响产品质量或者诚信履约的具体原因。）</w:t>
      </w:r>
    </w:p>
    <w:p w14:paraId="49583C18">
      <w:pPr>
        <w:spacing w:line="360" w:lineRule="auto"/>
        <w:ind w:right="420" w:firstLine="3614" w:firstLineChars="1000"/>
        <w:rPr>
          <w:rFonts w:ascii="仿宋" w:hAnsi="仿宋" w:eastAsia="仿宋" w:cs="仿宋"/>
          <w:b/>
          <w:kern w:val="0"/>
          <w:sz w:val="36"/>
          <w:szCs w:val="36"/>
          <w:highlight w:val="none"/>
        </w:rPr>
      </w:pPr>
    </w:p>
    <w:p w14:paraId="18CB6660">
      <w:pPr>
        <w:spacing w:line="360" w:lineRule="auto"/>
        <w:ind w:right="420" w:firstLine="3614" w:firstLineChars="1000"/>
        <w:rPr>
          <w:rFonts w:ascii="仿宋" w:hAnsi="仿宋" w:eastAsia="仿宋" w:cs="仿宋"/>
          <w:b/>
          <w:kern w:val="0"/>
          <w:sz w:val="36"/>
          <w:szCs w:val="36"/>
          <w:highlight w:val="none"/>
        </w:rPr>
      </w:pPr>
    </w:p>
    <w:p w14:paraId="66B07532">
      <w:pPr>
        <w:spacing w:line="360" w:lineRule="auto"/>
        <w:ind w:right="420" w:firstLine="3614" w:firstLineChars="1000"/>
        <w:rPr>
          <w:rFonts w:ascii="仿宋" w:hAnsi="仿宋" w:eastAsia="仿宋" w:cs="仿宋"/>
          <w:b/>
          <w:kern w:val="0"/>
          <w:sz w:val="36"/>
          <w:szCs w:val="36"/>
          <w:highlight w:val="none"/>
        </w:rPr>
      </w:pPr>
    </w:p>
    <w:p w14:paraId="08AFAD0C">
      <w:pPr>
        <w:spacing w:line="360" w:lineRule="auto"/>
        <w:ind w:right="420" w:firstLine="3614" w:firstLineChars="1000"/>
        <w:rPr>
          <w:rFonts w:ascii="仿宋" w:hAnsi="仿宋" w:eastAsia="仿宋" w:cs="仿宋"/>
          <w:b/>
          <w:kern w:val="0"/>
          <w:sz w:val="36"/>
          <w:szCs w:val="36"/>
          <w:highlight w:val="none"/>
        </w:rPr>
      </w:pPr>
    </w:p>
    <w:p w14:paraId="16B44E61">
      <w:pPr>
        <w:spacing w:line="360" w:lineRule="auto"/>
        <w:ind w:right="420" w:firstLine="3614" w:firstLineChars="1000"/>
        <w:rPr>
          <w:rFonts w:ascii="仿宋" w:hAnsi="仿宋" w:eastAsia="仿宋" w:cs="仿宋"/>
          <w:b/>
          <w:kern w:val="0"/>
          <w:sz w:val="36"/>
          <w:szCs w:val="36"/>
          <w:highlight w:val="none"/>
        </w:rPr>
      </w:pPr>
    </w:p>
    <w:p w14:paraId="015A792B">
      <w:pPr>
        <w:spacing w:line="360" w:lineRule="auto"/>
        <w:ind w:right="420" w:firstLine="3614" w:firstLineChars="1000"/>
        <w:rPr>
          <w:rFonts w:ascii="仿宋" w:hAnsi="仿宋" w:eastAsia="仿宋" w:cs="仿宋"/>
          <w:b/>
          <w:kern w:val="0"/>
          <w:sz w:val="36"/>
          <w:szCs w:val="36"/>
          <w:highlight w:val="none"/>
        </w:rPr>
      </w:pPr>
    </w:p>
    <w:p w14:paraId="23F85EE6">
      <w:pPr>
        <w:spacing w:line="360" w:lineRule="auto"/>
        <w:ind w:right="420" w:firstLine="3614" w:firstLineChars="1000"/>
        <w:rPr>
          <w:rFonts w:ascii="仿宋" w:hAnsi="仿宋" w:eastAsia="仿宋" w:cs="仿宋"/>
          <w:b/>
          <w:kern w:val="0"/>
          <w:sz w:val="36"/>
          <w:szCs w:val="36"/>
          <w:highlight w:val="none"/>
        </w:rPr>
      </w:pPr>
    </w:p>
    <w:p w14:paraId="531D1B48">
      <w:pPr>
        <w:spacing w:line="360" w:lineRule="auto"/>
        <w:ind w:right="420" w:firstLine="3614" w:firstLineChars="1000"/>
        <w:rPr>
          <w:rFonts w:ascii="仿宋" w:hAnsi="仿宋" w:eastAsia="仿宋" w:cs="仿宋"/>
          <w:b/>
          <w:kern w:val="0"/>
          <w:sz w:val="36"/>
          <w:szCs w:val="36"/>
          <w:highlight w:val="none"/>
        </w:rPr>
      </w:pPr>
    </w:p>
    <w:p w14:paraId="14E2D9E6">
      <w:pPr>
        <w:spacing w:line="360" w:lineRule="auto"/>
        <w:ind w:right="420" w:firstLine="3614" w:firstLineChars="1000"/>
        <w:rPr>
          <w:rFonts w:ascii="仿宋" w:hAnsi="仿宋" w:eastAsia="仿宋" w:cs="仿宋"/>
          <w:b/>
          <w:kern w:val="0"/>
          <w:sz w:val="36"/>
          <w:szCs w:val="36"/>
          <w:highlight w:val="none"/>
        </w:rPr>
      </w:pPr>
    </w:p>
    <w:p w14:paraId="5A815213">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7E910CAF">
      <w:pPr>
        <w:spacing w:line="360" w:lineRule="auto"/>
        <w:jc w:val="center"/>
        <w:outlineLvl w:val="1"/>
        <w:rPr>
          <w:rFonts w:ascii="仿宋" w:hAnsi="仿宋" w:eastAsia="仿宋" w:cs="仿宋"/>
          <w:b/>
          <w:kern w:val="0"/>
          <w:sz w:val="36"/>
          <w:szCs w:val="36"/>
          <w:highlight w:val="none"/>
        </w:rPr>
      </w:pPr>
      <w:bookmarkStart w:id="165" w:name="_Hlk125845340"/>
      <w:r>
        <w:rPr>
          <w:rFonts w:hint="eastAsia" w:ascii="仿宋" w:hAnsi="仿宋" w:eastAsia="仿宋" w:cs="仿宋"/>
          <w:b/>
          <w:kern w:val="0"/>
          <w:sz w:val="36"/>
          <w:szCs w:val="36"/>
          <w:highlight w:val="none"/>
        </w:rPr>
        <w:t>附件</w:t>
      </w:r>
    </w:p>
    <w:p w14:paraId="14F14420">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附件1：残疾人福利性单位声明函</w:t>
      </w:r>
    </w:p>
    <w:bookmarkEnd w:id="165"/>
    <w:p w14:paraId="6BA3BA22">
      <w:pPr>
        <w:spacing w:line="360" w:lineRule="auto"/>
        <w:jc w:val="center"/>
        <w:rPr>
          <w:rFonts w:ascii="仿宋" w:hAnsi="仿宋" w:eastAsia="仿宋" w:cs="仿宋"/>
          <w:b/>
          <w:spacing w:val="6"/>
          <w:sz w:val="32"/>
          <w:szCs w:val="32"/>
          <w:highlight w:val="none"/>
        </w:rPr>
      </w:pPr>
      <w:bookmarkStart w:id="166" w:name="OLE_LINK13"/>
      <w:bookmarkStart w:id="167" w:name="OLE_LINK14"/>
      <w:r>
        <w:rPr>
          <w:rFonts w:hint="eastAsia" w:ascii="仿宋" w:hAnsi="仿宋" w:eastAsia="仿宋" w:cs="仿宋"/>
          <w:b/>
          <w:spacing w:val="6"/>
          <w:sz w:val="32"/>
          <w:szCs w:val="32"/>
          <w:highlight w:val="none"/>
        </w:rPr>
        <w:t>残疾人福利性单位声明函</w:t>
      </w:r>
    </w:p>
    <w:bookmarkEnd w:id="166"/>
    <w:bookmarkEnd w:id="167"/>
    <w:p w14:paraId="3634EDB7">
      <w:pPr>
        <w:spacing w:line="360" w:lineRule="auto"/>
        <w:rPr>
          <w:rFonts w:ascii="仿宋" w:hAnsi="仿宋" w:eastAsia="仿宋" w:cs="仿宋"/>
          <w:b/>
          <w:spacing w:val="6"/>
          <w:sz w:val="30"/>
          <w:szCs w:val="30"/>
          <w:highlight w:val="none"/>
        </w:rPr>
      </w:pPr>
    </w:p>
    <w:p w14:paraId="141C56E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highlight w:val="none"/>
          <w:u w:val="single"/>
        </w:rPr>
        <w:t>杭州市公安局交通警察支队</w:t>
      </w:r>
      <w:r>
        <w:rPr>
          <w:rFonts w:hint="eastAsia" w:ascii="仿宋" w:hAnsi="仿宋" w:eastAsia="仿宋" w:cs="仿宋"/>
          <w:sz w:val="24"/>
          <w:highlight w:val="none"/>
        </w:rPr>
        <w:t>_单位的_</w:t>
      </w:r>
      <w:r>
        <w:rPr>
          <w:rFonts w:hint="eastAsia" w:ascii="仿宋" w:hAnsi="仿宋" w:eastAsia="仿宋" w:cs="仿宋"/>
          <w:sz w:val="24"/>
          <w:highlight w:val="none"/>
          <w:u w:val="single"/>
        </w:rPr>
        <w:t>2025年杭州交警业务系统租赁使用服务-2025年公安交通集成指挥平台使用项目</w:t>
      </w:r>
      <w:r>
        <w:rPr>
          <w:rFonts w:hint="eastAsia" w:ascii="仿宋" w:hAnsi="仿宋" w:eastAsia="仿宋" w:cs="仿宋"/>
          <w:sz w:val="24"/>
          <w:highlight w:val="none"/>
        </w:rPr>
        <w:t>__项目采购活动提供本单位制造的货物（由本单位承担工程/提供服务），或者提供其他残疾人福利性单位制造的货物（不包括使用非残疾人福利性单位注册商标的货物）。</w:t>
      </w:r>
    </w:p>
    <w:p w14:paraId="2D06B4B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6577C110">
      <w:pPr>
        <w:spacing w:line="360" w:lineRule="auto"/>
        <w:ind w:firstLine="480" w:firstLineChars="200"/>
        <w:rPr>
          <w:rFonts w:ascii="仿宋" w:hAnsi="仿宋" w:eastAsia="仿宋" w:cs="仿宋"/>
          <w:sz w:val="24"/>
          <w:highlight w:val="none"/>
        </w:rPr>
      </w:pPr>
      <w:bookmarkStart w:id="168" w:name="_Hlk125845405"/>
    </w:p>
    <w:p w14:paraId="2BB69055">
      <w:pPr>
        <w:spacing w:line="360" w:lineRule="auto"/>
        <w:ind w:firstLine="480" w:firstLineChars="200"/>
        <w:rPr>
          <w:rFonts w:ascii="仿宋" w:hAnsi="仿宋" w:eastAsia="仿宋" w:cs="仿宋"/>
          <w:sz w:val="24"/>
          <w:highlight w:val="none"/>
        </w:rPr>
      </w:pPr>
    </w:p>
    <w:p w14:paraId="52D64B92">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供应商名称（电子签名）：</w:t>
      </w:r>
    </w:p>
    <w:p w14:paraId="730E6349">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  期：</w:t>
      </w:r>
    </w:p>
    <w:p w14:paraId="26782C7A">
      <w:pPr>
        <w:spacing w:line="360" w:lineRule="auto"/>
        <w:rPr>
          <w:rFonts w:ascii="仿宋" w:hAnsi="仿宋" w:eastAsia="仿宋" w:cs="仿宋"/>
          <w:b/>
          <w:sz w:val="24"/>
          <w:highlight w:val="none"/>
        </w:rPr>
      </w:pPr>
    </w:p>
    <w:bookmarkEnd w:id="168"/>
    <w:p w14:paraId="691827BA">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附件2：质疑函范本及制作说明</w:t>
      </w:r>
    </w:p>
    <w:p w14:paraId="785A7826">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6599DAF7">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0C50EB5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4B91074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092FBFB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5F23A7E0">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6A14C30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61AB51FA">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5A9F51F0">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74E6E20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2447567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21D992C9">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644B9EA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72A5A6D7">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4A9000E9">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5CFFB4D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714E580D">
      <w:pPr>
        <w:snapToGrid w:val="0"/>
        <w:spacing w:line="360" w:lineRule="auto"/>
        <w:rPr>
          <w:rFonts w:ascii="仿宋" w:hAnsi="仿宋" w:eastAsia="仿宋" w:cs="仿宋"/>
          <w:sz w:val="24"/>
          <w:highlight w:val="none"/>
        </w:rPr>
      </w:pPr>
    </w:p>
    <w:p w14:paraId="58A59902">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16C36730">
      <w:pPr>
        <w:snapToGrid w:val="0"/>
        <w:spacing w:line="360" w:lineRule="auto"/>
        <w:rPr>
          <w:rFonts w:ascii="仿宋" w:hAnsi="仿宋" w:eastAsia="仿宋" w:cs="仿宋"/>
          <w:sz w:val="24"/>
          <w:highlight w:val="none"/>
        </w:rPr>
      </w:pPr>
    </w:p>
    <w:p w14:paraId="15E69096">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03B06984">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4CB2551E">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4000E0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60BC7316">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4B342F8B">
      <w:pPr>
        <w:spacing w:line="360" w:lineRule="auto"/>
        <w:rPr>
          <w:rFonts w:ascii="仿宋" w:hAnsi="仿宋" w:eastAsia="仿宋" w:cs="仿宋"/>
          <w:sz w:val="24"/>
          <w:highlight w:val="none"/>
        </w:rPr>
      </w:pPr>
      <w:r>
        <w:rPr>
          <w:rFonts w:hint="eastAsia" w:ascii="仿宋" w:hAnsi="仿宋" w:eastAsia="仿宋" w:cs="仿宋"/>
          <w:sz w:val="24"/>
          <w:highlight w:val="none"/>
        </w:rPr>
        <w:t>日期：</w:t>
      </w:r>
    </w:p>
    <w:p w14:paraId="4B1576D7">
      <w:pPr>
        <w:spacing w:line="360" w:lineRule="auto"/>
        <w:rPr>
          <w:rFonts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质疑函制作说明：</w:t>
      </w:r>
    </w:p>
    <w:p w14:paraId="2A648A56">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CBA5945">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072595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7468DF0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54F2D70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7009757C">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F0F089A">
      <w:pPr>
        <w:spacing w:line="360" w:lineRule="auto"/>
        <w:jc w:val="left"/>
        <w:rPr>
          <w:rFonts w:ascii="仿宋" w:hAnsi="仿宋" w:eastAsia="仿宋" w:cs="仿宋"/>
          <w:b/>
          <w:spacing w:val="6"/>
          <w:sz w:val="32"/>
          <w:szCs w:val="32"/>
          <w:highlight w:val="none"/>
        </w:rPr>
      </w:pPr>
    </w:p>
    <w:p w14:paraId="05084EEE">
      <w:pPr>
        <w:spacing w:line="360" w:lineRule="auto"/>
        <w:jc w:val="left"/>
        <w:rPr>
          <w:rFonts w:ascii="仿宋" w:hAnsi="仿宋" w:eastAsia="仿宋" w:cs="仿宋"/>
          <w:b/>
          <w:spacing w:val="6"/>
          <w:sz w:val="32"/>
          <w:szCs w:val="32"/>
          <w:highlight w:val="none"/>
        </w:rPr>
      </w:pPr>
    </w:p>
    <w:p w14:paraId="5052D868">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附件3：投诉书范本及制作说明</w:t>
      </w:r>
    </w:p>
    <w:p w14:paraId="352402F9">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4685977B">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一、投诉相关主体基本情况</w:t>
      </w:r>
    </w:p>
    <w:p w14:paraId="2ED9DA0B">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投诉人：</w:t>
      </w:r>
    </w:p>
    <w:p w14:paraId="288170C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4FED12D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法定代表人/主要负责人：</w:t>
      </w:r>
    </w:p>
    <w:p w14:paraId="0EE8FDCE">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14:paraId="15CE553C">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p>
    <w:p w14:paraId="00495436">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地址：邮编：</w:t>
      </w:r>
    </w:p>
    <w:p w14:paraId="3D8B2247">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p>
    <w:p w14:paraId="7087A82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10D7279A">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7A693F68">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1932071D">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176B28B2">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14:paraId="71832A9E">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      址：邮编：</w:t>
      </w:r>
    </w:p>
    <w:p w14:paraId="7D00C382">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3F745343">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二、投诉项目基本情况</w:t>
      </w:r>
    </w:p>
    <w:p w14:paraId="7DE7930E">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14:paraId="6302C73E">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14:paraId="5C5D37B5">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14:paraId="63057C42">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14:paraId="3D786992">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32348A4C">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724EAEF8">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三、质疑基本情况</w:t>
      </w:r>
    </w:p>
    <w:p w14:paraId="365BE541">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26B3483F">
      <w:pPr>
        <w:spacing w:line="360" w:lineRule="auto"/>
        <w:rPr>
          <w:rFonts w:ascii="仿宋" w:hAnsi="仿宋" w:eastAsia="仿宋" w:cs="仿宋"/>
          <w:sz w:val="24"/>
          <w:highlight w:val="none"/>
          <w:u w:val="dotted"/>
        </w:rPr>
      </w:pPr>
    </w:p>
    <w:p w14:paraId="300AB2CE">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0E6B0D26">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四、投诉事项具体内容</w:t>
      </w:r>
    </w:p>
    <w:p w14:paraId="47096D36">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投诉事项1：</w:t>
      </w:r>
    </w:p>
    <w:p w14:paraId="6CF63152">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14:paraId="0785408B">
      <w:pPr>
        <w:spacing w:line="360" w:lineRule="auto"/>
        <w:rPr>
          <w:rFonts w:ascii="仿宋" w:hAnsi="仿宋" w:eastAsia="仿宋" w:cs="仿宋"/>
          <w:sz w:val="24"/>
          <w:highlight w:val="none"/>
          <w:u w:val="dotted"/>
        </w:rPr>
      </w:pPr>
    </w:p>
    <w:p w14:paraId="616A8D39">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14:paraId="098D9F0B">
      <w:pPr>
        <w:spacing w:line="360" w:lineRule="auto"/>
        <w:rPr>
          <w:rFonts w:ascii="仿宋" w:hAnsi="仿宋" w:eastAsia="仿宋" w:cs="仿宋"/>
          <w:sz w:val="24"/>
          <w:highlight w:val="none"/>
          <w:u w:val="dotted"/>
        </w:rPr>
      </w:pPr>
    </w:p>
    <w:p w14:paraId="241403B9">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615C37CF">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79C0A4F1">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五、与投诉事项相关的投诉请求</w:t>
      </w:r>
    </w:p>
    <w:p w14:paraId="46061C32">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7A8F4F78">
      <w:pPr>
        <w:spacing w:line="360" w:lineRule="auto"/>
        <w:rPr>
          <w:rFonts w:ascii="仿宋" w:hAnsi="仿宋" w:eastAsia="仿宋" w:cs="仿宋"/>
          <w:sz w:val="24"/>
          <w:highlight w:val="none"/>
          <w:u w:val="single"/>
        </w:rPr>
      </w:pPr>
    </w:p>
    <w:p w14:paraId="232017C0">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36272F68">
      <w:pPr>
        <w:spacing w:line="360" w:lineRule="auto"/>
        <w:rPr>
          <w:rFonts w:ascii="仿宋" w:hAnsi="仿宋" w:eastAsia="仿宋" w:cs="仿宋"/>
          <w:sz w:val="24"/>
          <w:highlight w:val="none"/>
        </w:rPr>
      </w:pPr>
      <w:r>
        <w:rPr>
          <w:rFonts w:hint="eastAsia" w:ascii="仿宋" w:hAnsi="仿宋" w:eastAsia="仿宋" w:cs="仿宋"/>
          <w:sz w:val="24"/>
          <w:highlight w:val="none"/>
        </w:rPr>
        <w:t>日期：</w:t>
      </w:r>
    </w:p>
    <w:p w14:paraId="054353E4">
      <w:pPr>
        <w:spacing w:line="360" w:lineRule="auto"/>
        <w:rPr>
          <w:rFonts w:ascii="仿宋" w:hAnsi="仿宋" w:eastAsia="仿宋" w:cs="仿宋"/>
          <w:b/>
          <w:sz w:val="24"/>
          <w:highlight w:val="none"/>
        </w:rPr>
      </w:pPr>
    </w:p>
    <w:p w14:paraId="77CCFCE7">
      <w:pPr>
        <w:spacing w:line="360" w:lineRule="auto"/>
        <w:rPr>
          <w:rFonts w:ascii="仿宋" w:hAnsi="仿宋" w:eastAsia="仿宋" w:cs="仿宋"/>
          <w:b/>
          <w:sz w:val="24"/>
          <w:highlight w:val="none"/>
        </w:rPr>
      </w:pPr>
    </w:p>
    <w:p w14:paraId="6A17177B">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1CB1313B">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372584E0">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59BECBD2">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37667F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62798FC4">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1E78A33">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693B0ED8">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5469E178">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附件4：业务专用章使用说明函</w:t>
      </w:r>
    </w:p>
    <w:p w14:paraId="771D3260">
      <w:pPr>
        <w:spacing w:line="360" w:lineRule="auto"/>
        <w:rPr>
          <w:rFonts w:ascii="仿宋" w:hAnsi="仿宋" w:eastAsia="仿宋" w:cs="仿宋"/>
          <w:sz w:val="24"/>
          <w:highlight w:val="none"/>
          <w:u w:val="single"/>
        </w:rPr>
      </w:pPr>
    </w:p>
    <w:p w14:paraId="0F0CA1ED">
      <w:pPr>
        <w:spacing w:line="360" w:lineRule="auto"/>
        <w:rPr>
          <w:rFonts w:ascii="仿宋" w:hAnsi="仿宋" w:eastAsia="仿宋" w:cs="仿宋"/>
          <w:sz w:val="24"/>
          <w:highlight w:val="none"/>
        </w:rPr>
      </w:pPr>
      <w:r>
        <w:rPr>
          <w:rFonts w:hint="eastAsia" w:ascii="仿宋" w:hAnsi="仿宋" w:eastAsia="仿宋" w:cs="仿宋"/>
          <w:sz w:val="24"/>
          <w:highlight w:val="none"/>
          <w:u w:val="single"/>
        </w:rPr>
        <w:t>杭州市公安局交通警察支队、浙江中诺招标代理有限公司</w:t>
      </w:r>
    </w:p>
    <w:p w14:paraId="2E543595">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sz w:val="24"/>
          <w:highlight w:val="none"/>
        </w:rPr>
        <w:t xml:space="preserve"> (供应商全称)是中华人民共和国依法登记注册的合法企业，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你方组织的2025年杭州交警业务系统租赁使用服务-2025年公安交通集成指挥平台使用项目【招标编号：ZJZN-25022-HZGA15】</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我方所使用的“XX专用章”与法定名称章具有同等的法律效力，对使用“XX专用章”的行为予以完全承认，并愿意承担相应责任。</w:t>
      </w:r>
    </w:p>
    <w:p w14:paraId="7EA0EEB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674F615A">
      <w:pPr>
        <w:spacing w:line="360" w:lineRule="auto"/>
        <w:ind w:firstLine="494"/>
        <w:rPr>
          <w:rFonts w:ascii="仿宋" w:hAnsi="仿宋" w:eastAsia="仿宋" w:cs="仿宋"/>
          <w:sz w:val="24"/>
          <w:highlight w:val="none"/>
        </w:rPr>
      </w:pPr>
    </w:p>
    <w:p w14:paraId="176253C5">
      <w:pPr>
        <w:spacing w:line="360" w:lineRule="auto"/>
        <w:ind w:firstLine="494"/>
        <w:rPr>
          <w:rFonts w:ascii="仿宋" w:hAnsi="仿宋" w:eastAsia="仿宋" w:cs="仿宋"/>
          <w:sz w:val="24"/>
          <w:highlight w:val="none"/>
        </w:rPr>
      </w:pPr>
    </w:p>
    <w:p w14:paraId="470D45F0">
      <w:pPr>
        <w:spacing w:line="360" w:lineRule="auto"/>
        <w:ind w:firstLine="494"/>
        <w:rPr>
          <w:rFonts w:ascii="仿宋" w:hAnsi="仿宋" w:eastAsia="仿宋" w:cs="仿宋"/>
          <w:sz w:val="24"/>
          <w:highlight w:val="none"/>
        </w:rPr>
      </w:pPr>
    </w:p>
    <w:p w14:paraId="462E6FCC">
      <w:pPr>
        <w:spacing w:line="360" w:lineRule="auto"/>
        <w:ind w:firstLine="494"/>
        <w:rPr>
          <w:rFonts w:ascii="仿宋" w:hAnsi="仿宋" w:eastAsia="仿宋" w:cs="仿宋"/>
          <w:sz w:val="24"/>
          <w:highlight w:val="none"/>
        </w:rPr>
      </w:pPr>
    </w:p>
    <w:p w14:paraId="31928235">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投标单位（法定名称章）：</w:t>
      </w:r>
    </w:p>
    <w:p w14:paraId="74EF02E2">
      <w:pPr>
        <w:snapToGrid w:val="0"/>
        <w:spacing w:line="360" w:lineRule="auto"/>
        <w:ind w:left="4200" w:left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78E8EF7">
      <w:pPr>
        <w:rPr>
          <w:rFonts w:ascii="仿宋" w:hAnsi="仿宋" w:eastAsia="仿宋" w:cs="仿宋"/>
          <w:sz w:val="24"/>
          <w:highlight w:val="none"/>
        </w:rPr>
      </w:pPr>
      <w:r>
        <w:rPr>
          <w:rFonts w:hint="eastAsia" w:ascii="仿宋" w:hAnsi="仿宋" w:eastAsia="仿宋" w:cs="仿宋"/>
          <w:b/>
          <w:bCs/>
          <w:sz w:val="24"/>
          <w:highlight w:val="none"/>
        </w:rPr>
        <w:t>附：</w:t>
      </w:r>
    </w:p>
    <w:p w14:paraId="004D59A0">
      <w:pPr>
        <w:spacing w:line="360" w:lineRule="auto"/>
        <w:rPr>
          <w:rFonts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NzppSk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315" cy="2253615"/>
                <wp:effectExtent l="5080" t="4445" r="14605" b="8890"/>
                <wp:wrapNone/>
                <wp:docPr id="2" name="矩形 3"/>
                <wp:cNvGraphicFramePr/>
                <a:graphic xmlns:a="http://schemas.openxmlformats.org/drawingml/2006/main">
                  <a:graphicData uri="http://schemas.microsoft.com/office/word/2010/wordprocessingShape">
                    <wps:wsp>
                      <wps:cNvSpPr/>
                      <wps:spPr>
                        <a:xfrm>
                          <a:off x="0" y="0"/>
                          <a:ext cx="264731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7.15pt;margin-top:30.3pt;height:177.45pt;width:208.45pt;z-index:-251656192;mso-width-relative:page;mso-height-relative:page;" fillcolor="#FFFFFF" filled="t" stroked="t" coordsize="21600,21600" o:gfxdata="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BrCE2AAAAAoBAAAPAAAAAAAAAAEAIAAAACIAAABkcnMv&#10;ZG93bnJldi54bWxQSwECFAAUAAAACACHTuJAmsfKagMCAAAtBAAADgAAAAAAAAABACAAAAAnAQAA&#10;ZHJzL2Uyb0RvYy54bWxQSwUGAAAAAAYABgBZAQAAnAU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投标单位法定名称章（印模）投标单位</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“XX专用章”（印模）</w:t>
      </w:r>
    </w:p>
    <w:p w14:paraId="7EA8F1D6">
      <w:pPr>
        <w:autoSpaceDE w:val="0"/>
        <w:autoSpaceDN w:val="0"/>
        <w:jc w:val="center"/>
        <w:rPr>
          <w:rFonts w:ascii="仿宋" w:hAnsi="仿宋" w:eastAsia="仿宋" w:cs="仿宋"/>
          <w:b/>
          <w:spacing w:val="6"/>
          <w:sz w:val="32"/>
          <w:szCs w:val="32"/>
          <w:highlight w:val="none"/>
        </w:rPr>
      </w:pPr>
    </w:p>
    <w:p w14:paraId="5DA833DD">
      <w:pPr>
        <w:autoSpaceDE w:val="0"/>
        <w:autoSpaceDN w:val="0"/>
        <w:jc w:val="center"/>
        <w:rPr>
          <w:rFonts w:ascii="仿宋" w:hAnsi="仿宋" w:eastAsia="仿宋" w:cs="仿宋"/>
          <w:b/>
          <w:spacing w:val="6"/>
          <w:sz w:val="32"/>
          <w:szCs w:val="32"/>
          <w:highlight w:val="none"/>
        </w:rPr>
      </w:pPr>
    </w:p>
    <w:p w14:paraId="4A92EA05">
      <w:pPr>
        <w:autoSpaceDE w:val="0"/>
        <w:autoSpaceDN w:val="0"/>
        <w:jc w:val="center"/>
        <w:rPr>
          <w:rFonts w:ascii="仿宋" w:hAnsi="仿宋" w:eastAsia="仿宋" w:cs="仿宋"/>
          <w:b/>
          <w:spacing w:val="6"/>
          <w:sz w:val="32"/>
          <w:szCs w:val="32"/>
          <w:highlight w:val="none"/>
        </w:rPr>
      </w:pPr>
    </w:p>
    <w:p w14:paraId="12D25A0B">
      <w:pPr>
        <w:autoSpaceDE w:val="0"/>
        <w:autoSpaceDN w:val="0"/>
        <w:jc w:val="center"/>
        <w:rPr>
          <w:rFonts w:ascii="仿宋" w:hAnsi="仿宋" w:eastAsia="仿宋" w:cs="仿宋"/>
          <w:b/>
          <w:spacing w:val="6"/>
          <w:sz w:val="32"/>
          <w:szCs w:val="32"/>
          <w:highlight w:val="none"/>
        </w:rPr>
      </w:pPr>
    </w:p>
    <w:p w14:paraId="31645C65">
      <w:pPr>
        <w:autoSpaceDE w:val="0"/>
        <w:autoSpaceDN w:val="0"/>
        <w:jc w:val="center"/>
        <w:rPr>
          <w:rFonts w:ascii="仿宋" w:hAnsi="仿宋" w:eastAsia="仿宋" w:cs="仿宋"/>
          <w:b/>
          <w:spacing w:val="6"/>
          <w:sz w:val="32"/>
          <w:szCs w:val="32"/>
          <w:highlight w:val="none"/>
        </w:rPr>
      </w:pPr>
    </w:p>
    <w:p w14:paraId="3DE3611E">
      <w:pPr>
        <w:autoSpaceDE w:val="0"/>
        <w:autoSpaceDN w:val="0"/>
        <w:jc w:val="center"/>
        <w:rPr>
          <w:rFonts w:ascii="仿宋" w:hAnsi="仿宋" w:eastAsia="仿宋" w:cs="仿宋"/>
          <w:b/>
          <w:spacing w:val="6"/>
          <w:sz w:val="32"/>
          <w:szCs w:val="32"/>
          <w:highlight w:val="none"/>
        </w:rPr>
      </w:pPr>
    </w:p>
    <w:p w14:paraId="10F8AFB0">
      <w:pPr>
        <w:autoSpaceDE w:val="0"/>
        <w:autoSpaceDN w:val="0"/>
        <w:jc w:val="center"/>
        <w:rPr>
          <w:rFonts w:ascii="仿宋" w:hAnsi="仿宋" w:eastAsia="仿宋" w:cs="仿宋"/>
          <w:b/>
          <w:spacing w:val="6"/>
          <w:sz w:val="32"/>
          <w:szCs w:val="32"/>
          <w:highlight w:val="none"/>
        </w:rPr>
      </w:pPr>
    </w:p>
    <w:p w14:paraId="6B7D03A5">
      <w:pPr>
        <w:autoSpaceDE w:val="0"/>
        <w:autoSpaceDN w:val="0"/>
        <w:jc w:val="center"/>
        <w:rPr>
          <w:rFonts w:ascii="仿宋" w:hAnsi="仿宋" w:eastAsia="仿宋" w:cs="仿宋"/>
          <w:b/>
          <w:spacing w:val="6"/>
          <w:sz w:val="32"/>
          <w:szCs w:val="32"/>
          <w:highlight w:val="none"/>
        </w:rPr>
      </w:pPr>
    </w:p>
    <w:p w14:paraId="3FE98A12">
      <w:pPr>
        <w:autoSpaceDE w:val="0"/>
        <w:autoSpaceDN w:val="0"/>
        <w:jc w:val="center"/>
        <w:rPr>
          <w:rFonts w:ascii="仿宋" w:hAnsi="仿宋" w:eastAsia="仿宋" w:cs="仿宋"/>
          <w:b/>
          <w:spacing w:val="6"/>
          <w:sz w:val="32"/>
          <w:szCs w:val="32"/>
          <w:highlight w:val="none"/>
        </w:rPr>
      </w:pPr>
    </w:p>
    <w:p w14:paraId="3E7E0866">
      <w:pPr>
        <w:autoSpaceDE w:val="0"/>
        <w:autoSpaceDN w:val="0"/>
        <w:jc w:val="center"/>
        <w:rPr>
          <w:rFonts w:ascii="仿宋" w:hAnsi="仿宋" w:eastAsia="仿宋" w:cs="仿宋"/>
          <w:b/>
          <w:spacing w:val="6"/>
          <w:sz w:val="32"/>
          <w:szCs w:val="32"/>
          <w:highlight w:val="none"/>
        </w:rPr>
      </w:pPr>
    </w:p>
    <w:p w14:paraId="6199232C">
      <w:pPr>
        <w:autoSpaceDE w:val="0"/>
        <w:autoSpaceDN w:val="0"/>
        <w:jc w:val="center"/>
        <w:rPr>
          <w:rFonts w:ascii="仿宋" w:hAnsi="仿宋" w:eastAsia="仿宋" w:cs="仿宋"/>
          <w:b/>
          <w:spacing w:val="6"/>
          <w:sz w:val="32"/>
          <w:szCs w:val="32"/>
          <w:highlight w:val="none"/>
        </w:rPr>
      </w:pPr>
    </w:p>
    <w:p w14:paraId="069CBF54">
      <w:pPr>
        <w:spacing w:line="360" w:lineRule="auto"/>
        <w:outlineLvl w:val="2"/>
        <w:rPr>
          <w:rFonts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附件5：联合协议</w:t>
      </w:r>
    </w:p>
    <w:p w14:paraId="15A10E23">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联合协议</w:t>
      </w:r>
    </w:p>
    <w:p w14:paraId="00384DBE">
      <w:pPr>
        <w:widowControl/>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（以联合体形式投标的，提供联合协议；本项目不接受联合体投标或者供应商不以联合体形式投标的，则不需要提供）</w:t>
      </w:r>
    </w:p>
    <w:p w14:paraId="6DFB20EC">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rPr>
        <w:t>2025年杭州交警业务系统租赁使用服务-2025年公安交通集成指挥平台使用项目【招标编号：ZJZN-25022-HZGA15】</w:t>
      </w:r>
      <w:r>
        <w:rPr>
          <w:rFonts w:hint="eastAsia" w:ascii="仿宋" w:hAnsi="仿宋" w:eastAsia="仿宋" w:cs="仿宋"/>
          <w:kern w:val="0"/>
          <w:sz w:val="24"/>
          <w:highlight w:val="none"/>
          <w:lang w:val="zh-CN"/>
        </w:rPr>
        <w:t>投标。</w:t>
      </w:r>
    </w:p>
    <w:p w14:paraId="29DF9DA3">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4CAA727C">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授权代表根据招标文件规定及投标内容而对采购人、采购机构所作的任何合法承诺，包括书面澄清及响应等均对联合投标各方产生约束力。</w:t>
      </w:r>
    </w:p>
    <w:p w14:paraId="148C7253">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14:paraId="6434F049">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u w:val="single"/>
          <w:lang w:val="zh-CN"/>
        </w:rPr>
        <w:t>（联合体成员1）</w:t>
      </w:r>
      <w:r>
        <w:rPr>
          <w:rFonts w:hint="eastAsia" w:ascii="仿宋" w:hAnsi="仿宋" w:eastAsia="仿宋" w:cs="仿宋"/>
          <w:kern w:val="0"/>
          <w:sz w:val="24"/>
          <w:highlight w:val="none"/>
          <w:lang w:val="zh-CN"/>
        </w:rPr>
        <w:t>承担的工作和义务为：；</w:t>
      </w:r>
    </w:p>
    <w:p w14:paraId="49DC268D">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u w:val="single"/>
          <w:lang w:val="zh-CN"/>
        </w:rPr>
        <w:t>（联合体成员2）</w:t>
      </w:r>
      <w:r>
        <w:rPr>
          <w:rFonts w:hint="eastAsia" w:ascii="仿宋" w:hAnsi="仿宋" w:eastAsia="仿宋" w:cs="仿宋"/>
          <w:kern w:val="0"/>
          <w:sz w:val="24"/>
          <w:highlight w:val="none"/>
          <w:lang w:val="zh-CN"/>
        </w:rPr>
        <w:t>承担的工作和义务为：；</w:t>
      </w:r>
    </w:p>
    <w:p w14:paraId="1D1BFF7F">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74A6C2C8">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14:paraId="22D270AC">
      <w:pPr>
        <w:snapToGrid w:val="0"/>
        <w:spacing w:line="360" w:lineRule="auto"/>
        <w:ind w:firstLine="480" w:firstLineChars="200"/>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169" w:name="_Hlk101131882"/>
      <w:r>
        <w:rPr>
          <w:rFonts w:hint="eastAsia" w:ascii="仿宋" w:hAnsi="仿宋" w:eastAsia="仿宋" w:cs="仿宋"/>
          <w:kern w:val="0"/>
          <w:sz w:val="24"/>
          <w:highlight w:val="none"/>
          <w:u w:val="single"/>
        </w:rPr>
        <w:t>联合体成员X,……</w:t>
      </w:r>
      <w:bookmarkEnd w:id="169"/>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170"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170"/>
      <w:r>
        <w:rPr>
          <w:rFonts w:hint="eastAsia" w:ascii="仿宋" w:hAnsi="仿宋" w:eastAsia="仿宋" w:cs="仿宋"/>
          <w:b/>
          <w:kern w:val="0"/>
          <w:sz w:val="24"/>
          <w:highlight w:val="none"/>
          <w:lang w:val="zh-CN"/>
        </w:rPr>
        <w:t>）</w:t>
      </w:r>
    </w:p>
    <w:p w14:paraId="1C92716A">
      <w:pPr>
        <w:spacing w:line="360" w:lineRule="auto"/>
        <w:ind w:firstLine="480" w:firstLineChars="200"/>
        <w:rPr>
          <w:rFonts w:ascii="仿宋" w:hAnsi="仿宋" w:eastAsia="仿宋" w:cs="仿宋"/>
          <w:b/>
          <w:bCs/>
          <w:kern w:val="0"/>
          <w:sz w:val="24"/>
          <w:highlight w:val="none"/>
          <w:lang w:val="zh-CN"/>
        </w:rPr>
      </w:pPr>
      <w:r>
        <w:rPr>
          <w:rFonts w:hint="eastAsia" w:ascii="仿宋" w:hAnsi="仿宋" w:eastAsia="仿宋" w:cs="仿宋"/>
          <w:sz w:val="24"/>
          <w:highlight w:val="none"/>
        </w:rPr>
        <w:t>2、</w:t>
      </w:r>
      <w:bookmarkStart w:id="171" w:name="_Hlk101133173"/>
      <w:r>
        <w:rPr>
          <w:rFonts w:hint="eastAsia" w:ascii="仿宋" w:hAnsi="仿宋" w:eastAsia="仿宋" w:cs="仿宋"/>
          <w:sz w:val="24"/>
          <w:highlight w:val="none"/>
        </w:rPr>
        <w:t>中小企业合同金额达到%，小微企业合同金额达到%</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171"/>
    </w:p>
    <w:p w14:paraId="7D660388">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1652FF3">
      <w:pPr>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21050FC2">
      <w:pPr>
        <w:snapToGrid w:val="0"/>
        <w:spacing w:line="360" w:lineRule="auto"/>
        <w:ind w:firstLine="720" w:firstLineChars="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166F262">
      <w:pPr>
        <w:snapToGrid w:val="0"/>
        <w:spacing w:line="360" w:lineRule="auto"/>
        <w:ind w:firstLine="720" w:firstLineChars="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55735D7">
      <w:pPr>
        <w:snapToGrid w:val="0"/>
        <w:spacing w:line="360" w:lineRule="auto"/>
        <w:ind w:firstLine="720" w:firstLineChars="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14:paraId="7701FBFC">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20D9A11">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4583D39">
      <w:pPr>
        <w:snapToGrid w:val="0"/>
        <w:spacing w:line="360" w:lineRule="auto"/>
        <w:ind w:left="4200" w:leftChars="2000"/>
        <w:jc w:val="left"/>
        <w:rPr>
          <w:rFonts w:ascii="仿宋" w:hAnsi="仿宋" w:eastAsia="仿宋" w:cs="仿宋"/>
          <w:highlight w:val="none"/>
        </w:rPr>
      </w:pPr>
      <w:r>
        <w:rPr>
          <w:rFonts w:hint="eastAsia" w:ascii="仿宋" w:hAnsi="仿宋" w:eastAsia="仿宋" w:cs="仿宋"/>
          <w:kern w:val="0"/>
          <w:sz w:val="24"/>
          <w:highlight w:val="none"/>
          <w:lang w:val="zh-CN"/>
        </w:rPr>
        <w:t>……</w:t>
      </w:r>
    </w:p>
    <w:p w14:paraId="2F32E31E">
      <w:pPr>
        <w:snapToGrid w:val="0"/>
        <w:spacing w:line="360" w:lineRule="auto"/>
        <w:ind w:left="4200" w:leftChars="20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1D6A4F34">
      <w:pPr>
        <w:spacing w:line="360" w:lineRule="auto"/>
        <w:ind w:right="420"/>
        <w:rPr>
          <w:rFonts w:ascii="仿宋" w:hAnsi="仿宋" w:eastAsia="仿宋" w:cs="仿宋"/>
          <w:sz w:val="24"/>
          <w:highlight w:val="none"/>
        </w:rPr>
      </w:pPr>
      <w:r>
        <w:rPr>
          <w:rFonts w:hint="eastAsia" w:ascii="仿宋" w:hAnsi="仿宋" w:eastAsia="仿宋" w:cs="仿宋"/>
          <w:sz w:val="24"/>
          <w:highlight w:val="none"/>
        </w:rPr>
        <w:t>注：按本格式和要求提供。</w:t>
      </w:r>
    </w:p>
    <w:p w14:paraId="5FCBF178">
      <w:pPr>
        <w:snapToGrid w:val="0"/>
        <w:spacing w:line="360" w:lineRule="auto"/>
        <w:ind w:firstLine="3666" w:firstLineChars="1100"/>
        <w:rPr>
          <w:rFonts w:ascii="仿宋" w:hAnsi="仿宋" w:eastAsia="仿宋" w:cs="仿宋"/>
          <w:b/>
          <w:spacing w:val="6"/>
          <w:sz w:val="32"/>
          <w:szCs w:val="32"/>
          <w:highlight w:val="none"/>
        </w:rPr>
      </w:pPr>
    </w:p>
    <w:p w14:paraId="3FF5CAA5">
      <w:pPr>
        <w:widowControl/>
        <w:adjustRightInd/>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2C31B8D">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附件6：分包意向协议</w:t>
      </w:r>
    </w:p>
    <w:p w14:paraId="081C2AF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分包意向协议</w:t>
      </w:r>
    </w:p>
    <w:p w14:paraId="03A248D1">
      <w:pPr>
        <w:widowControl/>
        <w:spacing w:line="360" w:lineRule="auto"/>
        <w:ind w:firstLine="120" w:firstLineChars="50"/>
        <w:jc w:val="left"/>
        <w:rPr>
          <w:rFonts w:ascii="宋体" w:hAnsi="宋体" w:eastAsia="仿宋" w:cs="宋体"/>
          <w:sz w:val="24"/>
          <w:highlight w:val="none"/>
        </w:rPr>
      </w:pPr>
      <w:r>
        <w:rPr>
          <w:rFonts w:hint="eastAsia" w:ascii="宋体" w:hAnsi="宋体" w:eastAsia="仿宋" w:cs="宋体"/>
          <w:sz w:val="24"/>
          <w:highlight w:val="none"/>
        </w:rPr>
        <w:t>（</w:t>
      </w:r>
      <w:r>
        <w:rPr>
          <w:rFonts w:hint="eastAsia" w:ascii="宋体" w:hAnsi="宋体" w:eastAsia="仿宋"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仿宋" w:cs="宋体"/>
          <w:sz w:val="24"/>
          <w:highlight w:val="none"/>
        </w:rPr>
        <w:t>）</w:t>
      </w:r>
    </w:p>
    <w:p w14:paraId="22BCFCBA">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u w:val="single"/>
        </w:rPr>
        <w:t>（投标人名称）</w:t>
      </w:r>
      <w:r>
        <w:rPr>
          <w:rFonts w:hint="eastAsia" w:ascii="宋体" w:hAnsi="宋体" w:eastAsia="仿宋" w:cs="宋体"/>
          <w:kern w:val="0"/>
          <w:sz w:val="24"/>
          <w:highlight w:val="none"/>
          <w:lang w:val="zh-CN"/>
        </w:rPr>
        <w:t>若成为</w:t>
      </w:r>
      <w:r>
        <w:rPr>
          <w:rFonts w:hint="eastAsia" w:ascii="仿宋" w:hAnsi="仿宋" w:eastAsia="仿宋" w:cs="仿宋"/>
          <w:sz w:val="24"/>
          <w:highlight w:val="none"/>
        </w:rPr>
        <w:t>2025年杭州交警业务系统租赁使用服务-2025年公安交通集成指挥平台使用项目【招标编号：ZJZN-25022-HZGA15】</w:t>
      </w:r>
      <w:r>
        <w:rPr>
          <w:rFonts w:hint="eastAsia" w:ascii="宋体" w:hAnsi="宋体" w:eastAsia="仿宋" w:cs="宋体"/>
          <w:kern w:val="0"/>
          <w:sz w:val="24"/>
          <w:highlight w:val="none"/>
          <w:lang w:val="zh-CN"/>
        </w:rPr>
        <w:t>的中标供应商，将依法采取分包方式履行合同。</w:t>
      </w:r>
      <w:r>
        <w:rPr>
          <w:rFonts w:hint="eastAsia" w:ascii="宋体" w:hAnsi="宋体" w:eastAsia="仿宋" w:cs="宋体"/>
          <w:kern w:val="0"/>
          <w:sz w:val="24"/>
          <w:highlight w:val="none"/>
          <w:u w:val="single"/>
        </w:rPr>
        <w:t>（投标人名称）</w:t>
      </w:r>
      <w:r>
        <w:rPr>
          <w:rFonts w:hint="eastAsia" w:ascii="宋体" w:hAnsi="宋体" w:eastAsia="仿宋" w:cs="宋体"/>
          <w:kern w:val="0"/>
          <w:sz w:val="24"/>
          <w:highlight w:val="none"/>
        </w:rPr>
        <w:t>与</w:t>
      </w:r>
      <w:r>
        <w:rPr>
          <w:rFonts w:hint="eastAsia" w:ascii="宋体" w:hAnsi="宋体" w:eastAsia="仿宋" w:cs="宋体"/>
          <w:kern w:val="0"/>
          <w:sz w:val="24"/>
          <w:highlight w:val="none"/>
          <w:u w:val="single"/>
        </w:rPr>
        <w:t>（所有分包供应商名称）</w:t>
      </w:r>
      <w:r>
        <w:rPr>
          <w:rFonts w:hint="eastAsia" w:ascii="宋体" w:hAnsi="宋体" w:eastAsia="仿宋" w:cs="宋体"/>
          <w:kern w:val="0"/>
          <w:sz w:val="24"/>
          <w:highlight w:val="none"/>
        </w:rPr>
        <w:t>达成分包意向协议</w:t>
      </w:r>
      <w:r>
        <w:rPr>
          <w:rFonts w:hint="eastAsia" w:ascii="宋体" w:hAnsi="宋体" w:eastAsia="仿宋" w:cs="宋体"/>
          <w:kern w:val="0"/>
          <w:sz w:val="24"/>
          <w:highlight w:val="none"/>
          <w:lang w:val="zh-CN"/>
        </w:rPr>
        <w:t xml:space="preserve">。 </w:t>
      </w:r>
    </w:p>
    <w:p w14:paraId="0D8FB872">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一、分包标的及数量</w:t>
      </w:r>
    </w:p>
    <w:p w14:paraId="44C03D02">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u w:val="single"/>
        </w:rPr>
        <w:t>（投标人名称）</w:t>
      </w:r>
      <w:r>
        <w:rPr>
          <w:rFonts w:hint="eastAsia" w:ascii="宋体" w:hAnsi="宋体" w:eastAsia="仿宋" w:cs="宋体"/>
          <w:kern w:val="0"/>
          <w:sz w:val="24"/>
          <w:highlight w:val="none"/>
          <w:lang w:val="zh-CN"/>
        </w:rPr>
        <w:t>将</w:t>
      </w:r>
      <w:r>
        <w:rPr>
          <w:rFonts w:ascii="宋体" w:hAnsi="宋体" w:eastAsia="仿宋" w:cs="宋体"/>
          <w:kern w:val="0"/>
          <w:sz w:val="24"/>
          <w:highlight w:val="none"/>
          <w:u w:val="single"/>
        </w:rPr>
        <w:t xml:space="preserve"> XX工作内容   </w:t>
      </w:r>
      <w:r>
        <w:rPr>
          <w:rFonts w:hint="eastAsia" w:ascii="宋体" w:hAnsi="宋体" w:eastAsia="仿宋" w:cs="宋体"/>
          <w:sz w:val="24"/>
          <w:highlight w:val="none"/>
        </w:rPr>
        <w:t>分包给</w:t>
      </w:r>
      <w:r>
        <w:rPr>
          <w:rFonts w:hint="eastAsia" w:ascii="宋体" w:hAnsi="宋体" w:eastAsia="仿宋" w:cs="宋体"/>
          <w:kern w:val="0"/>
          <w:sz w:val="24"/>
          <w:highlight w:val="none"/>
          <w:u w:val="single"/>
        </w:rPr>
        <w:t>（分包供应商1名称）</w:t>
      </w:r>
      <w:r>
        <w:rPr>
          <w:rFonts w:hint="eastAsia" w:ascii="宋体" w:hAnsi="宋体" w:eastAsia="仿宋" w:cs="宋体"/>
          <w:kern w:val="0"/>
          <w:sz w:val="24"/>
          <w:highlight w:val="none"/>
          <w:lang w:val="zh-CN"/>
        </w:rPr>
        <w:t>。</w:t>
      </w:r>
      <w:r>
        <w:rPr>
          <w:rFonts w:hint="eastAsia" w:ascii="宋体" w:hAnsi="宋体" w:eastAsia="仿宋" w:cs="宋体"/>
          <w:kern w:val="0"/>
          <w:sz w:val="24"/>
          <w:highlight w:val="none"/>
          <w:u w:val="single"/>
        </w:rPr>
        <w:t>（分包供应商1名称），</w:t>
      </w:r>
      <w:r>
        <w:rPr>
          <w:rFonts w:hint="eastAsia" w:ascii="宋体" w:hAnsi="宋体" w:eastAsia="仿宋" w:cs="宋体"/>
          <w:kern w:val="0"/>
          <w:sz w:val="24"/>
          <w:highlight w:val="none"/>
          <w:lang w:val="zh-CN"/>
        </w:rPr>
        <w:t>具备承</w:t>
      </w:r>
      <w:r>
        <w:rPr>
          <w:rFonts w:hint="eastAsia" w:ascii="宋体" w:hAnsi="宋体" w:eastAsia="仿宋" w:cs="宋体"/>
          <w:kern w:val="0"/>
          <w:sz w:val="24"/>
          <w:highlight w:val="none"/>
        </w:rPr>
        <w:t>担</w:t>
      </w:r>
      <w:r>
        <w:rPr>
          <w:rFonts w:hint="eastAsia" w:ascii="宋体" w:hAnsi="宋体" w:eastAsia="仿宋" w:cs="宋体"/>
          <w:kern w:val="0"/>
          <w:sz w:val="24"/>
          <w:highlight w:val="none"/>
          <w:u w:val="single"/>
          <w:lang w:val="zh-CN"/>
        </w:rPr>
        <w:t>XX工作内容</w:t>
      </w:r>
      <w:r>
        <w:rPr>
          <w:rFonts w:hint="eastAsia" w:ascii="宋体" w:hAnsi="宋体" w:eastAsia="仿宋" w:cs="宋体"/>
          <w:kern w:val="0"/>
          <w:sz w:val="24"/>
          <w:highlight w:val="none"/>
          <w:lang w:val="zh-CN"/>
        </w:rPr>
        <w:t>相应资质条件且不得再次分包；</w:t>
      </w:r>
    </w:p>
    <w:p w14:paraId="34CD2866">
      <w:pPr>
        <w:keepNext/>
        <w:keepLines/>
        <w:tabs>
          <w:tab w:val="left" w:pos="432"/>
        </w:tabs>
        <w:adjustRightInd/>
        <w:spacing w:line="360" w:lineRule="auto"/>
        <w:ind w:left="664" w:leftChars="316" w:firstLine="229" w:firstLineChars="95"/>
        <w:jc w:val="left"/>
        <w:outlineLvl w:val="1"/>
        <w:rPr>
          <w:rFonts w:ascii="宋体" w:hAnsi="宋体" w:eastAsia="仿宋" w:cs="宋体"/>
          <w:b/>
          <w:bCs/>
          <w:kern w:val="0"/>
          <w:sz w:val="24"/>
          <w:highlight w:val="none"/>
          <w:lang w:val="zh-CN"/>
        </w:rPr>
      </w:pPr>
      <w:r>
        <w:rPr>
          <w:rFonts w:hint="eastAsia" w:ascii="宋体" w:hAnsi="宋体" w:eastAsia="仿宋" w:cs="宋体"/>
          <w:b/>
          <w:bCs/>
          <w:kern w:val="0"/>
          <w:sz w:val="24"/>
          <w:highlight w:val="none"/>
          <w:lang w:val="zh-CN"/>
        </w:rPr>
        <w:t>……</w:t>
      </w:r>
    </w:p>
    <w:p w14:paraId="474AAC50">
      <w:pPr>
        <w:rPr>
          <w:rFonts w:eastAsia="仿宋"/>
          <w:highlight w:val="none"/>
        </w:rPr>
      </w:pPr>
    </w:p>
    <w:p w14:paraId="4B27EE8F">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二、分包供应商中小企业合同份额</w:t>
      </w:r>
    </w:p>
    <w:p w14:paraId="75162A44">
      <w:pPr>
        <w:snapToGrid w:val="0"/>
        <w:spacing w:line="360" w:lineRule="auto"/>
        <w:ind w:firstLine="576"/>
        <w:rPr>
          <w:rFonts w:ascii="宋体" w:hAnsi="宋体" w:eastAsia="仿宋" w:cs="宋体"/>
          <w:b/>
          <w:kern w:val="0"/>
          <w:sz w:val="24"/>
          <w:highlight w:val="none"/>
          <w:lang w:val="zh-CN"/>
        </w:rPr>
      </w:pPr>
      <w:r>
        <w:rPr>
          <w:rFonts w:ascii="宋体" w:hAnsi="宋体" w:eastAsia="仿宋" w:cs="宋体"/>
          <w:kern w:val="0"/>
          <w:sz w:val="24"/>
          <w:highlight w:val="none"/>
        </w:rPr>
        <w:t>1、</w:t>
      </w:r>
      <w:r>
        <w:rPr>
          <w:rFonts w:hint="eastAsia" w:ascii="宋体" w:hAnsi="宋体" w:eastAsia="仿宋" w:cs="宋体"/>
          <w:kern w:val="0"/>
          <w:sz w:val="24"/>
          <w:highlight w:val="none"/>
          <w:u w:val="single"/>
        </w:rPr>
        <w:t>（分包供应商X</w:t>
      </w:r>
      <w:r>
        <w:rPr>
          <w:rFonts w:ascii="宋体" w:hAnsi="宋体" w:eastAsia="仿宋" w:cs="宋体"/>
          <w:kern w:val="0"/>
          <w:sz w:val="24"/>
          <w:highlight w:val="none"/>
          <w:u w:val="single"/>
        </w:rPr>
        <w:t>,</w:t>
      </w:r>
      <w:r>
        <w:rPr>
          <w:rFonts w:hint="eastAsia" w:ascii="宋体" w:hAnsi="宋体" w:eastAsia="仿宋" w:cs="宋体"/>
          <w:kern w:val="0"/>
          <w:sz w:val="24"/>
          <w:highlight w:val="none"/>
          <w:u w:val="single"/>
        </w:rPr>
        <w:t>……）提供的服务全部由小微企业承接，</w:t>
      </w:r>
      <w:r>
        <w:rPr>
          <w:rFonts w:hint="eastAsia" w:ascii="宋体" w:hAnsi="宋体" w:eastAsia="仿宋" w:cs="宋体"/>
          <w:kern w:val="0"/>
          <w:sz w:val="24"/>
          <w:highlight w:val="none"/>
        </w:rPr>
        <w:t>其合同份额占到合同总金额%以上</w:t>
      </w:r>
      <w:r>
        <w:rPr>
          <w:rFonts w:hint="eastAsia" w:ascii="宋体" w:hAnsi="宋体" w:eastAsia="仿宋" w:cs="宋体"/>
          <w:highlight w:val="none"/>
        </w:rPr>
        <w:t>。</w:t>
      </w:r>
      <w:r>
        <w:rPr>
          <w:rFonts w:hint="eastAsia" w:ascii="宋体" w:hAnsi="宋体" w:eastAsia="仿宋"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仿宋" w:cs="宋体"/>
          <w:b/>
          <w:sz w:val="24"/>
          <w:highlight w:val="none"/>
        </w:rPr>
        <w:t>拟享受以上价格扣除政策的，填写有关内容。</w:t>
      </w:r>
      <w:r>
        <w:rPr>
          <w:rFonts w:hint="eastAsia" w:ascii="宋体" w:hAnsi="宋体" w:eastAsia="仿宋" w:cs="宋体"/>
          <w:b/>
          <w:kern w:val="0"/>
          <w:sz w:val="24"/>
          <w:highlight w:val="none"/>
          <w:lang w:val="zh-CN"/>
        </w:rPr>
        <w:t>）</w:t>
      </w:r>
    </w:p>
    <w:p w14:paraId="264CA875">
      <w:pPr>
        <w:spacing w:line="360" w:lineRule="auto"/>
        <w:ind w:firstLine="480" w:firstLineChars="200"/>
        <w:rPr>
          <w:rFonts w:ascii="宋体" w:hAnsi="宋体" w:eastAsia="仿宋" w:cs="宋体"/>
          <w:b/>
          <w:bCs/>
          <w:kern w:val="0"/>
          <w:sz w:val="24"/>
          <w:highlight w:val="none"/>
          <w:lang w:val="zh-CN"/>
        </w:rPr>
      </w:pPr>
      <w:r>
        <w:rPr>
          <w:rFonts w:hint="eastAsia" w:ascii="宋体" w:hAnsi="宋体" w:eastAsia="仿宋" w:cs="宋体"/>
          <w:sz w:val="24"/>
          <w:highlight w:val="none"/>
        </w:rPr>
        <w:t>2、中小企业合同金额达到%，小微企业合同金额达到%</w:t>
      </w:r>
      <w:r>
        <w:rPr>
          <w:rFonts w:hint="eastAsia" w:ascii="宋体" w:hAnsi="宋体" w:eastAsia="仿宋" w:cs="宋体"/>
          <w:kern w:val="0"/>
          <w:sz w:val="24"/>
          <w:highlight w:val="none"/>
          <w:lang w:val="zh-CN"/>
        </w:rPr>
        <w:t>。</w:t>
      </w:r>
      <w:r>
        <w:rPr>
          <w:rFonts w:hint="eastAsia" w:ascii="宋体" w:hAnsi="宋体" w:eastAsia="仿宋" w:cs="宋体"/>
          <w:b/>
          <w:bCs/>
          <w:kern w:val="0"/>
          <w:sz w:val="24"/>
          <w:highlight w:val="none"/>
          <w:lang w:val="zh-CN"/>
        </w:rPr>
        <w:t>（</w:t>
      </w:r>
      <w:r>
        <w:rPr>
          <w:rFonts w:hint="eastAsia" w:ascii="宋体" w:hAnsi="宋体" w:eastAsia="仿宋" w:cs="宋体"/>
          <w:b/>
          <w:bCs/>
          <w:sz w:val="24"/>
          <w:highlight w:val="none"/>
        </w:rPr>
        <w:t>要求合同分包形式参加的项目或采购包，供应商按招标文件第一部分招标公告申请人的资格要求中规定的</w:t>
      </w:r>
      <w:r>
        <w:rPr>
          <w:rFonts w:hint="eastAsia" w:ascii="宋体" w:hAnsi="宋体" w:eastAsia="仿宋" w:cs="宋体"/>
          <w:b/>
          <w:kern w:val="0"/>
          <w:sz w:val="24"/>
          <w:highlight w:val="none"/>
          <w:lang w:val="zh-CN"/>
        </w:rPr>
        <w:t>分包意向协议</w:t>
      </w:r>
      <w:r>
        <w:rPr>
          <w:rFonts w:hint="eastAsia" w:ascii="宋体" w:hAnsi="宋体" w:eastAsia="仿宋" w:cs="宋体"/>
          <w:b/>
          <w:bCs/>
          <w:sz w:val="24"/>
          <w:highlight w:val="none"/>
        </w:rPr>
        <w:t>中中小企业、小微企业合同金额应当达到的比例要求填写。</w:t>
      </w:r>
      <w:r>
        <w:rPr>
          <w:rFonts w:hint="eastAsia" w:ascii="宋体" w:hAnsi="宋体" w:eastAsia="仿宋" w:cs="宋体"/>
          <w:b/>
          <w:bCs/>
          <w:kern w:val="0"/>
          <w:sz w:val="24"/>
          <w:highlight w:val="none"/>
          <w:lang w:val="zh-CN"/>
        </w:rPr>
        <w:t>）</w:t>
      </w:r>
    </w:p>
    <w:p w14:paraId="66EA53C2">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三、分包工作履行期限、地点、方式</w:t>
      </w:r>
    </w:p>
    <w:p w14:paraId="22479402">
      <w:pPr>
        <w:snapToGrid w:val="0"/>
        <w:spacing w:line="360" w:lineRule="auto"/>
        <w:ind w:firstLine="576"/>
        <w:rPr>
          <w:rFonts w:ascii="宋体" w:hAnsi="宋体" w:eastAsia="仿宋" w:cs="宋体"/>
          <w:highlight w:val="none"/>
          <w:u w:val="single"/>
        </w:rPr>
      </w:pPr>
    </w:p>
    <w:p w14:paraId="5D4FCC16">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四、质量</w:t>
      </w:r>
    </w:p>
    <w:p w14:paraId="370E4767">
      <w:pPr>
        <w:snapToGrid w:val="0"/>
        <w:spacing w:line="360" w:lineRule="auto"/>
        <w:ind w:firstLine="576"/>
        <w:rPr>
          <w:rFonts w:ascii="宋体" w:hAnsi="宋体" w:eastAsia="仿宋" w:cs="宋体"/>
          <w:kern w:val="0"/>
          <w:sz w:val="24"/>
          <w:highlight w:val="none"/>
          <w:lang w:val="zh-CN"/>
        </w:rPr>
      </w:pPr>
    </w:p>
    <w:p w14:paraId="32833353">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五、价款或者报酬</w:t>
      </w:r>
    </w:p>
    <w:p w14:paraId="625F8D6C">
      <w:pPr>
        <w:snapToGrid w:val="0"/>
        <w:spacing w:line="360" w:lineRule="auto"/>
        <w:ind w:left="573" w:leftChars="273"/>
        <w:rPr>
          <w:rFonts w:ascii="宋体" w:hAnsi="宋体" w:eastAsia="仿宋" w:cs="宋体"/>
          <w:kern w:val="0"/>
          <w:sz w:val="24"/>
          <w:highlight w:val="none"/>
          <w:lang w:val="zh-CN"/>
        </w:rPr>
      </w:pPr>
    </w:p>
    <w:p w14:paraId="4CA8743E">
      <w:pPr>
        <w:snapToGrid w:val="0"/>
        <w:spacing w:line="360" w:lineRule="auto"/>
        <w:ind w:left="573" w:leftChars="273"/>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六、违约责任</w:t>
      </w:r>
    </w:p>
    <w:p w14:paraId="6907DAB6">
      <w:pPr>
        <w:snapToGrid w:val="0"/>
        <w:spacing w:line="360" w:lineRule="auto"/>
        <w:ind w:firstLine="576"/>
        <w:rPr>
          <w:rFonts w:ascii="宋体" w:hAnsi="宋体" w:eastAsia="仿宋" w:cs="宋体"/>
          <w:kern w:val="0"/>
          <w:sz w:val="24"/>
          <w:highlight w:val="none"/>
          <w:lang w:val="zh-CN"/>
        </w:rPr>
      </w:pPr>
    </w:p>
    <w:p w14:paraId="1A3E6A41">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七、争议解决的办法</w:t>
      </w:r>
    </w:p>
    <w:p w14:paraId="615D30E4">
      <w:pPr>
        <w:snapToGrid w:val="0"/>
        <w:spacing w:line="360" w:lineRule="auto"/>
        <w:ind w:firstLine="576"/>
        <w:rPr>
          <w:rFonts w:ascii="宋体" w:hAnsi="宋体" w:eastAsia="仿宋" w:cs="宋体"/>
          <w:kern w:val="0"/>
          <w:sz w:val="24"/>
          <w:highlight w:val="none"/>
          <w:lang w:val="zh-CN"/>
        </w:rPr>
      </w:pPr>
    </w:p>
    <w:p w14:paraId="09386F6A">
      <w:pPr>
        <w:snapToGrid w:val="0"/>
        <w:spacing w:line="360" w:lineRule="auto"/>
        <w:ind w:firstLine="576"/>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八、其他</w:t>
      </w:r>
    </w:p>
    <w:p w14:paraId="4495A498">
      <w:pPr>
        <w:snapToGrid w:val="0"/>
        <w:spacing w:line="360" w:lineRule="auto"/>
        <w:ind w:left="5758" w:leftChars="342" w:hanging="5040" w:hangingChars="2100"/>
        <w:rPr>
          <w:rFonts w:ascii="宋体" w:hAnsi="宋体" w:eastAsia="仿宋" w:cs="宋体"/>
          <w:kern w:val="0"/>
          <w:sz w:val="24"/>
          <w:highlight w:val="none"/>
          <w:lang w:val="zh-CN"/>
        </w:rPr>
      </w:pPr>
      <w:r>
        <w:rPr>
          <w:rFonts w:hint="eastAsia" w:ascii="宋体" w:hAnsi="宋体" w:eastAsia="仿宋" w:cs="宋体"/>
          <w:sz w:val="24"/>
          <w:highlight w:val="none"/>
        </w:rPr>
        <w:t>中小企业合同金额达到%，小微企业合同金额达到%</w:t>
      </w:r>
      <w:r>
        <w:rPr>
          <w:rFonts w:hint="eastAsia" w:ascii="宋体" w:hAnsi="宋体" w:eastAsia="仿宋" w:cs="宋体"/>
          <w:kern w:val="0"/>
          <w:sz w:val="24"/>
          <w:highlight w:val="none"/>
          <w:lang w:val="zh-CN"/>
        </w:rPr>
        <w:t xml:space="preserve">  。                                           投标人名称(电子签名)：</w:t>
      </w:r>
    </w:p>
    <w:p w14:paraId="3A3BE9EA">
      <w:pPr>
        <w:snapToGrid w:val="0"/>
        <w:spacing w:line="360" w:lineRule="auto"/>
        <w:jc w:val="right"/>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分包供应商名称(电子签名/公章)：</w:t>
      </w:r>
    </w:p>
    <w:p w14:paraId="115E13CC">
      <w:pPr>
        <w:snapToGrid w:val="0"/>
        <w:spacing w:line="360" w:lineRule="auto"/>
        <w:ind w:firstLine="5760" w:firstLineChars="2400"/>
        <w:rPr>
          <w:rFonts w:ascii="宋体" w:hAnsi="宋体" w:eastAsia="仿宋" w:cs="宋体"/>
          <w:highlight w:val="none"/>
        </w:rPr>
      </w:pPr>
      <w:r>
        <w:rPr>
          <w:rFonts w:hint="eastAsia" w:ascii="宋体" w:hAnsi="宋体" w:eastAsia="仿宋" w:cs="宋体"/>
          <w:kern w:val="0"/>
          <w:sz w:val="24"/>
          <w:highlight w:val="none"/>
          <w:lang w:val="zh-CN"/>
        </w:rPr>
        <w:t>……</w:t>
      </w:r>
    </w:p>
    <w:p w14:paraId="260C00F3">
      <w:pPr>
        <w:snapToGrid w:val="0"/>
        <w:spacing w:line="360" w:lineRule="auto"/>
        <w:ind w:left="5758" w:leftChars="342" w:hanging="5040" w:hangingChars="2100"/>
        <w:rPr>
          <w:rFonts w:ascii="宋体" w:hAnsi="宋体" w:eastAsia="仿宋" w:cs="宋体"/>
          <w:kern w:val="0"/>
          <w:sz w:val="24"/>
          <w:highlight w:val="none"/>
          <w:lang w:val="zh-CN"/>
        </w:rPr>
      </w:pPr>
      <w:r>
        <w:rPr>
          <w:rFonts w:hint="eastAsia" w:ascii="宋体" w:hAnsi="宋体" w:eastAsia="仿宋" w:cs="宋体"/>
          <w:kern w:val="0"/>
          <w:sz w:val="24"/>
          <w:highlight w:val="none"/>
          <w:lang w:val="zh-CN"/>
        </w:rPr>
        <w:t xml:space="preserve">                                        日期：  年  月   日</w:t>
      </w:r>
    </w:p>
    <w:p w14:paraId="716B3126">
      <w:pPr>
        <w:spacing w:line="360" w:lineRule="auto"/>
        <w:ind w:right="420"/>
        <w:rPr>
          <w:rFonts w:ascii="宋体" w:hAnsi="宋体" w:eastAsia="仿宋" w:cs="宋体"/>
          <w:sz w:val="24"/>
          <w:highlight w:val="none"/>
        </w:rPr>
      </w:pPr>
      <w:r>
        <w:rPr>
          <w:rFonts w:hint="eastAsia" w:ascii="宋体" w:hAnsi="宋体" w:eastAsia="仿宋" w:cs="宋体"/>
          <w:sz w:val="24"/>
          <w:highlight w:val="none"/>
        </w:rPr>
        <w:t>注：按本格式和要求提供。</w:t>
      </w:r>
    </w:p>
    <w:p w14:paraId="34188FC9">
      <w:pPr>
        <w:autoSpaceDE w:val="0"/>
        <w:autoSpaceDN w:val="0"/>
        <w:jc w:val="center"/>
        <w:rPr>
          <w:rFonts w:ascii="宋体" w:hAnsi="宋体" w:eastAsia="仿宋" w:cs="宋体"/>
          <w:b/>
          <w:spacing w:val="6"/>
          <w:sz w:val="32"/>
          <w:szCs w:val="32"/>
          <w:highlight w:val="none"/>
        </w:rPr>
      </w:pPr>
    </w:p>
    <w:p w14:paraId="240BF1C4">
      <w:pPr>
        <w:autoSpaceDE w:val="0"/>
        <w:autoSpaceDN w:val="0"/>
        <w:jc w:val="center"/>
        <w:rPr>
          <w:rFonts w:ascii="宋体" w:hAnsi="宋体" w:eastAsia="仿宋" w:cs="宋体"/>
          <w:b/>
          <w:spacing w:val="6"/>
          <w:sz w:val="32"/>
          <w:szCs w:val="32"/>
          <w:highlight w:val="none"/>
        </w:rPr>
      </w:pPr>
    </w:p>
    <w:p w14:paraId="791DF4E7">
      <w:pPr>
        <w:autoSpaceDE w:val="0"/>
        <w:autoSpaceDN w:val="0"/>
        <w:jc w:val="center"/>
        <w:rPr>
          <w:rFonts w:ascii="宋体" w:hAnsi="宋体" w:eastAsia="仿宋" w:cs="宋体"/>
          <w:b/>
          <w:spacing w:val="6"/>
          <w:sz w:val="32"/>
          <w:szCs w:val="32"/>
          <w:highlight w:val="none"/>
        </w:rPr>
      </w:pPr>
    </w:p>
    <w:p w14:paraId="03A1454E">
      <w:pPr>
        <w:autoSpaceDE w:val="0"/>
        <w:autoSpaceDN w:val="0"/>
        <w:jc w:val="center"/>
        <w:rPr>
          <w:rFonts w:ascii="宋体" w:hAnsi="宋体" w:eastAsia="仿宋" w:cs="宋体"/>
          <w:b/>
          <w:spacing w:val="6"/>
          <w:sz w:val="32"/>
          <w:szCs w:val="32"/>
          <w:highlight w:val="none"/>
        </w:rPr>
      </w:pPr>
    </w:p>
    <w:p w14:paraId="79A16CAA">
      <w:pPr>
        <w:autoSpaceDE w:val="0"/>
        <w:autoSpaceDN w:val="0"/>
        <w:jc w:val="center"/>
        <w:rPr>
          <w:rFonts w:ascii="仿宋" w:hAnsi="仿宋" w:eastAsia="仿宋" w:cs="仿宋"/>
          <w:b/>
          <w:spacing w:val="6"/>
          <w:sz w:val="32"/>
          <w:szCs w:val="32"/>
          <w:highlight w:val="none"/>
        </w:rPr>
      </w:pPr>
    </w:p>
    <w:p w14:paraId="47085BEB">
      <w:pPr>
        <w:autoSpaceDE w:val="0"/>
        <w:autoSpaceDN w:val="0"/>
        <w:jc w:val="center"/>
        <w:rPr>
          <w:rFonts w:ascii="仿宋" w:hAnsi="仿宋" w:eastAsia="仿宋" w:cs="仿宋"/>
          <w:b/>
          <w:spacing w:val="6"/>
          <w:sz w:val="32"/>
          <w:szCs w:val="32"/>
          <w:highlight w:val="none"/>
        </w:rPr>
      </w:pPr>
    </w:p>
    <w:p w14:paraId="391BD38C">
      <w:pPr>
        <w:autoSpaceDE w:val="0"/>
        <w:autoSpaceDN w:val="0"/>
        <w:jc w:val="center"/>
        <w:rPr>
          <w:rFonts w:ascii="仿宋" w:hAnsi="仿宋" w:eastAsia="仿宋" w:cs="仿宋"/>
          <w:b/>
          <w:spacing w:val="6"/>
          <w:sz w:val="32"/>
          <w:szCs w:val="32"/>
          <w:highlight w:val="none"/>
        </w:rPr>
      </w:pPr>
    </w:p>
    <w:p w14:paraId="06869BEF">
      <w:pPr>
        <w:widowControl/>
        <w:adjustRightInd/>
        <w:jc w:val="left"/>
        <w:rPr>
          <w:rFonts w:ascii="仿宋" w:hAnsi="仿宋" w:eastAsia="仿宋" w:cs="仿宋"/>
          <w:b/>
          <w:sz w:val="36"/>
          <w:szCs w:val="20"/>
          <w:highlight w:val="none"/>
        </w:rPr>
      </w:pPr>
      <w:r>
        <w:rPr>
          <w:rFonts w:hint="eastAsia" w:ascii="仿宋" w:hAnsi="仿宋" w:eastAsia="仿宋" w:cs="仿宋"/>
          <w:b/>
          <w:sz w:val="36"/>
          <w:szCs w:val="20"/>
          <w:highlight w:val="none"/>
        </w:rPr>
        <w:br w:type="page"/>
      </w:r>
    </w:p>
    <w:p w14:paraId="487C666D">
      <w:pPr>
        <w:spacing w:line="360" w:lineRule="auto"/>
        <w:outlineLvl w:val="2"/>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附件7：中小企业声明函</w:t>
      </w:r>
    </w:p>
    <w:p w14:paraId="6D7DF032">
      <w:pPr>
        <w:spacing w:line="360" w:lineRule="auto"/>
        <w:jc w:val="center"/>
        <w:rPr>
          <w:rFonts w:ascii="仿宋" w:hAnsi="仿宋" w:eastAsia="仿宋" w:cs="仿宋"/>
          <w:sz w:val="24"/>
          <w:highlight w:val="none"/>
          <w:u w:val="single"/>
        </w:rPr>
      </w:pPr>
    </w:p>
    <w:p w14:paraId="46FD1010">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中小企业声明函（服务）</w:t>
      </w:r>
    </w:p>
    <w:p w14:paraId="2588173A">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杭州市公安局交通警察支队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2025年杭州交警业务系统租赁使用服务-2025年公安交通集成指挥平台使用项目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52756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u w:val="single"/>
        </w:rPr>
        <w:t>（2025年杭州交警业务系统租赁使用服务-2025年公安交通集成指挥平台使用项目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（租赁和商务服务业）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534816E5">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，从业人员人，营业收入为万元，资产总额为万元属于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118E500E">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7807F6C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4D4DF58">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2D4CC8A9">
      <w:pPr>
        <w:spacing w:line="360" w:lineRule="auto"/>
        <w:ind w:left="4200" w:leftChars="2000"/>
        <w:rPr>
          <w:rFonts w:ascii="仿宋" w:hAnsi="仿宋" w:eastAsia="仿宋" w:cs="仿宋"/>
          <w:sz w:val="24"/>
          <w:highlight w:val="none"/>
        </w:rPr>
      </w:pPr>
      <w:r>
        <w:rPr>
          <w:rFonts w:hint="eastAsia" w:ascii="仿宋" w:hAnsi="仿宋" w:eastAsia="仿宋" w:cs="仿宋"/>
          <w:sz w:val="24"/>
          <w:highlight w:val="none"/>
        </w:rPr>
        <w:t>供应商名称（电子签名）：</w:t>
      </w:r>
    </w:p>
    <w:p w14:paraId="03586E4D">
      <w:pPr>
        <w:spacing w:line="360" w:lineRule="auto"/>
        <w:ind w:left="4200" w:leftChars="2000"/>
        <w:rPr>
          <w:rFonts w:ascii="仿宋" w:hAnsi="仿宋" w:eastAsia="仿宋" w:cs="仿宋"/>
          <w:sz w:val="24"/>
          <w:highlight w:val="none"/>
        </w:rPr>
      </w:pPr>
      <w:r>
        <w:rPr>
          <w:rFonts w:hint="eastAsia" w:ascii="仿宋" w:hAnsi="仿宋" w:eastAsia="仿宋" w:cs="仿宋"/>
          <w:sz w:val="24"/>
          <w:highlight w:val="none"/>
        </w:rPr>
        <w:t>日期：</w:t>
      </w:r>
    </w:p>
    <w:p w14:paraId="6998A168">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50C6B72">
      <w:pPr>
        <w:spacing w:line="360" w:lineRule="auto"/>
        <w:ind w:right="420" w:firstLine="720" w:firstLineChars="300"/>
        <w:rPr>
          <w:rFonts w:ascii="仿宋" w:hAnsi="仿宋" w:eastAsia="仿宋" w:cs="仿宋"/>
          <w:sz w:val="24"/>
          <w:highlight w:val="none"/>
        </w:rPr>
      </w:pPr>
    </w:p>
    <w:sectPr>
      <w:type w:val="continuous"/>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兰亭黑_GBK">
    <w:altName w:val="微软雅黑"/>
    <w:panose1 w:val="00000000000000000000"/>
    <w:charset w:val="00"/>
    <w:family w:val="script"/>
    <w:pitch w:val="default"/>
    <w:sig w:usb0="00000000" w:usb1="00000000" w:usb2="0008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Cumberland">
    <w:altName w:val="Arial Unicode MS"/>
    <w:panose1 w:val="00000000000000000000"/>
    <w:charset w:val="00"/>
    <w:family w:val="modern"/>
    <w:pitch w:val="default"/>
    <w:sig w:usb0="00000000" w:usb1="00000000" w:usb2="00000000" w:usb3="00000000" w:csb0="00040001" w:csb1="00000000"/>
  </w:font>
  <w:font w:name="Noto Serif SC">
    <w:altName w:val="宋体"/>
    <w:panose1 w:val="02020200000000000000"/>
    <w:charset w:val="86"/>
    <w:family w:val="auto"/>
    <w:pitch w:val="default"/>
    <w:sig w:usb0="00000000" w:usb1="0000000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Arial (W1)">
    <w:altName w:val="Arial"/>
    <w:panose1 w:val="00000000000000000000"/>
    <w:charset w:val="00"/>
    <w:family w:val="swiss"/>
    <w:pitch w:val="default"/>
    <w:sig w:usb0="00000000" w:usb1="00000000" w:usb2="00000008" w:usb3="00000000" w:csb0="000001FF" w:csb1="00000000"/>
  </w:font>
  <w:font w:name=".PingFang SC">
    <w:altName w:val="Arial Unicode MS"/>
    <w:panose1 w:val="00000000000000000000"/>
    <w:charset w:val="00"/>
    <w:family w:val="moder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华文细黑">
    <w:panose1 w:val="02010600040101010101"/>
    <w:charset w:val="86"/>
    <w:family w:val="auto"/>
    <w:pitch w:val="default"/>
    <w:sig w:usb0="00000287" w:usb1="080F0000" w:usb2="00000000" w:usb3="00000000" w:csb0="0004009F" w:csb1="DFD70000"/>
  </w:font>
  <w:font w:name="??_GB2312">
    <w:altName w:val="Segoe Print"/>
    <w:panose1 w:val="00000000000000000000"/>
    <w:charset w:val="00"/>
    <w:family w:val="auto"/>
    <w:pitch w:val="default"/>
    <w:sig w:usb0="00000000" w:usb1="00000000" w:usb2="00000000" w:usb3="00000000" w:csb0="00000001" w:csb1="00000000"/>
  </w:font>
  <w:font w:name="Baskerville">
    <w:altName w:val="Arial Unicode MS"/>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2285">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E647">
    <w:pPr>
      <w:pStyle w:val="51"/>
      <w:framePr w:wrap="around" w:vAnchor="text" w:hAnchor="margin" w:xAlign="right" w:y="1"/>
      <w:rPr>
        <w:rStyle w:val="84"/>
      </w:rPr>
    </w:pPr>
    <w:r>
      <w:fldChar w:fldCharType="begin"/>
    </w:r>
    <w:r>
      <w:rPr>
        <w:rStyle w:val="84"/>
      </w:rPr>
      <w:instrText xml:space="preserve">PAGE  </w:instrText>
    </w:r>
    <w:r>
      <w:fldChar w:fldCharType="separate"/>
    </w:r>
    <w:r>
      <w:rPr>
        <w:rStyle w:val="84"/>
      </w:rPr>
      <w:t>25</w:t>
    </w:r>
    <w:r>
      <w:fldChar w:fldCharType="end"/>
    </w:r>
  </w:p>
  <w:p w14:paraId="594F33BB">
    <w:pPr>
      <w:pStyle w:val="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DB1D">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B237">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3FDF">
    <w:pPr>
      <w:pStyle w:val="5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233</w:t>
    </w:r>
    <w:r>
      <w:rPr>
        <w:rFonts w:hint="eastAsia" w:ascii="仿宋_GB2312" w:eastAsia="仿宋_GB2312"/>
        <w:kern w:val="0"/>
      </w:rPr>
      <w:fldChar w:fldCharType="end"/>
    </w:r>
    <w:r>
      <w:rPr>
        <w:rFonts w:hint="eastAsia" w:ascii="仿宋_GB2312" w:eastAsia="仿宋_GB2312"/>
        <w:kern w:val="0"/>
      </w:rPr>
      <w:t xml:space="preserve"> 页</w:t>
    </w:r>
  </w:p>
  <w:p w14:paraId="450EAFC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EF42">
    <w:pPr>
      <w:pStyle w:val="5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C32C">
    <w:pPr>
      <w:pStyle w:val="51"/>
      <w:framePr w:wrap="around" w:vAnchor="text" w:hAnchor="margin" w:xAlign="right" w:y="1"/>
      <w:rPr>
        <w:rStyle w:val="84"/>
      </w:rPr>
    </w:pPr>
    <w:r>
      <w:fldChar w:fldCharType="begin"/>
    </w:r>
    <w:r>
      <w:rPr>
        <w:rStyle w:val="84"/>
      </w:rPr>
      <w:instrText xml:space="preserve">PAGE  </w:instrText>
    </w:r>
    <w:r>
      <w:fldChar w:fldCharType="separate"/>
    </w:r>
    <w:r>
      <w:rPr>
        <w:rStyle w:val="84"/>
      </w:rPr>
      <w:t>86</w:t>
    </w:r>
    <w:r>
      <w:fldChar w:fldCharType="end"/>
    </w:r>
  </w:p>
  <w:p w14:paraId="0D96577C">
    <w:pPr>
      <w:pStyle w:val="5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267B8">
    <w:pPr>
      <w:pStyle w:val="5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233</w:t>
    </w:r>
    <w:r>
      <w:rPr>
        <w:rFonts w:hint="eastAsia" w:ascii="仿宋_GB2312" w:eastAsia="仿宋_GB2312"/>
        <w:kern w:val="0"/>
        <w:szCs w:val="21"/>
      </w:rPr>
      <w:fldChar w:fldCharType="end"/>
    </w:r>
    <w:bookmarkStart w:id="172" w:name="_Toc131845147"/>
    <w:bookmarkStart w:id="173" w:name="_Toc164085800"/>
    <w:bookmarkStart w:id="174" w:name="_Toc36110187"/>
    <w:bookmarkStart w:id="175" w:name="_Toc91899912"/>
    <w:r>
      <w:rPr>
        <w:rFonts w:hint="eastAsia" w:ascii="仿宋_GB2312" w:eastAsia="仿宋_GB2312"/>
        <w:kern w:val="0"/>
        <w:szCs w:val="21"/>
      </w:rPr>
      <w:t xml:space="preserve"> 页</w:t>
    </w:r>
    <w:bookmarkEnd w:id="172"/>
    <w:bookmarkEnd w:id="173"/>
    <w:bookmarkEnd w:id="174"/>
    <w:bookmarkEnd w:id="1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9CB7">
    <w:pPr>
      <w:widowControl/>
      <w:pBdr>
        <w:bottom w:val="single" w:color="auto" w:sz="6" w:space="1"/>
      </w:pBdr>
      <w:tabs>
        <w:tab w:val="center" w:pos="4535"/>
        <w:tab w:val="right" w:pos="9070"/>
      </w:tabs>
      <w:overflowPunct w:val="0"/>
      <w:autoSpaceDE w:val="0"/>
      <w:autoSpaceDN w:val="0"/>
      <w:ind w:firstLine="180" w:firstLineChars="100"/>
      <w:jc w:val="center"/>
      <w:textAlignment w:val="baseline"/>
      <w:rPr>
        <w:rFonts w:ascii="仿宋" w:hAnsi="仿宋" w:eastAsia="仿宋"/>
        <w:color w:val="00B050"/>
        <w:sz w:val="18"/>
        <w:szCs w:val="18"/>
      </w:rPr>
    </w:pPr>
    <w:r>
      <w:rPr>
        <w:rFonts w:hint="eastAsia" w:ascii="仿宋" w:hAnsi="仿宋" w:eastAsia="仿宋"/>
        <w:sz w:val="18"/>
        <w:szCs w:val="18"/>
      </w:rPr>
      <w:t xml:space="preserve">浙江省成套工程有限公司                 </w:t>
    </w:r>
    <w:r>
      <w:rPr>
        <w:rFonts w:hint="eastAsia" w:ascii="仿宋" w:hAnsi="仿宋" w:eastAsia="仿宋"/>
        <w:color w:val="00B050"/>
        <w:sz w:val="18"/>
        <w:szCs w:val="18"/>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9BED3"/>
    <w:multiLevelType w:val="singleLevel"/>
    <w:tmpl w:val="E3D9BED3"/>
    <w:lvl w:ilvl="0" w:tentative="0">
      <w:start w:val="4"/>
      <w:numFmt w:val="decimal"/>
      <w:lvlText w:val="%1."/>
      <w:lvlJc w:val="left"/>
      <w:pPr>
        <w:tabs>
          <w:tab w:val="left" w:pos="312"/>
        </w:tabs>
      </w:pPr>
    </w:lvl>
  </w:abstractNum>
  <w:abstractNum w:abstractNumId="1">
    <w:nsid w:val="76C1459C"/>
    <w:multiLevelType w:val="singleLevel"/>
    <w:tmpl w:val="76C1459C"/>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ThmMjJkZGViMDgzYTQzNjI0NzhkZThkYTc0N2YifQ=="/>
  </w:docVars>
  <w:rsids>
    <w:rsidRoot w:val="00172A27"/>
    <w:rsid w:val="0014085C"/>
    <w:rsid w:val="00172A27"/>
    <w:rsid w:val="001C4ECE"/>
    <w:rsid w:val="00203157"/>
    <w:rsid w:val="00311817"/>
    <w:rsid w:val="003843E7"/>
    <w:rsid w:val="00492A27"/>
    <w:rsid w:val="005A2075"/>
    <w:rsid w:val="00636E6F"/>
    <w:rsid w:val="00650815"/>
    <w:rsid w:val="007A524A"/>
    <w:rsid w:val="00875473"/>
    <w:rsid w:val="00A217AF"/>
    <w:rsid w:val="00A85450"/>
    <w:rsid w:val="00BE4954"/>
    <w:rsid w:val="00E53D58"/>
    <w:rsid w:val="00E67031"/>
    <w:rsid w:val="00F10023"/>
    <w:rsid w:val="05FA107E"/>
    <w:rsid w:val="07F55F19"/>
    <w:rsid w:val="0BC6441C"/>
    <w:rsid w:val="0C7A5C29"/>
    <w:rsid w:val="1D1E2D6E"/>
    <w:rsid w:val="1D6C7EB9"/>
    <w:rsid w:val="1FA000BD"/>
    <w:rsid w:val="26CB5AE1"/>
    <w:rsid w:val="270C2B4F"/>
    <w:rsid w:val="2A203A43"/>
    <w:rsid w:val="2B0A1BE2"/>
    <w:rsid w:val="2BDC66C4"/>
    <w:rsid w:val="2CE37ABA"/>
    <w:rsid w:val="2FFFBDA9"/>
    <w:rsid w:val="309B06AC"/>
    <w:rsid w:val="30F3412E"/>
    <w:rsid w:val="33AA3DC2"/>
    <w:rsid w:val="365C268B"/>
    <w:rsid w:val="3809620B"/>
    <w:rsid w:val="3A2F022D"/>
    <w:rsid w:val="3B554F8A"/>
    <w:rsid w:val="3BB7E336"/>
    <w:rsid w:val="3C522566"/>
    <w:rsid w:val="3E353EED"/>
    <w:rsid w:val="3FE783B2"/>
    <w:rsid w:val="413E7C3B"/>
    <w:rsid w:val="420C2112"/>
    <w:rsid w:val="450D34CE"/>
    <w:rsid w:val="4A5219B0"/>
    <w:rsid w:val="4FCD1FB2"/>
    <w:rsid w:val="50285660"/>
    <w:rsid w:val="533D00B0"/>
    <w:rsid w:val="55701571"/>
    <w:rsid w:val="580979FE"/>
    <w:rsid w:val="59AA2794"/>
    <w:rsid w:val="623E7A7C"/>
    <w:rsid w:val="681D13CB"/>
    <w:rsid w:val="687E455F"/>
    <w:rsid w:val="68CD7A8F"/>
    <w:rsid w:val="7195090C"/>
    <w:rsid w:val="72435ED2"/>
    <w:rsid w:val="726245AA"/>
    <w:rsid w:val="DE9F08AD"/>
    <w:rsid w:val="F6E366D6"/>
    <w:rsid w:val="FE6B8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Theme="minorEastAsia"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5" w:lineRule="auto"/>
      <w:ind w:left="900" w:hanging="720"/>
      <w:outlineLvl w:val="2"/>
    </w:pPr>
    <w:rPr>
      <w:b/>
      <w:bCs/>
      <w:sz w:val="32"/>
      <w:szCs w:val="32"/>
    </w:rPr>
  </w:style>
  <w:style w:type="paragraph" w:styleId="8">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1">
    <w:name w:val="heading 7"/>
    <w:basedOn w:val="1"/>
    <w:next w:val="1"/>
    <w:qFormat/>
    <w:uiPriority w:val="0"/>
    <w:pPr>
      <w:keepNext/>
      <w:keepLines/>
      <w:tabs>
        <w:tab w:val="left" w:pos="1296"/>
      </w:tabs>
      <w:spacing w:before="240" w:after="64" w:line="319" w:lineRule="auto"/>
      <w:ind w:left="1296" w:hanging="1296"/>
      <w:outlineLvl w:val="6"/>
    </w:pPr>
    <w:rPr>
      <w:b/>
      <w:bCs/>
      <w:sz w:val="24"/>
    </w:rPr>
  </w:style>
  <w:style w:type="paragraph" w:styleId="12">
    <w:name w:val="heading 8"/>
    <w:basedOn w:val="1"/>
    <w:next w:val="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3">
    <w:name w:val="heading 9"/>
    <w:basedOn w:val="1"/>
    <w:next w:val="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81">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qFormat/>
    <w:uiPriority w:val="0"/>
    <w:pPr>
      <w:spacing w:line="480" w:lineRule="exact"/>
      <w:ind w:firstLine="200" w:firstLineChars="200"/>
    </w:pPr>
    <w:rPr>
      <w:rFonts w:ascii="宋体" w:hAnsi="宋体"/>
      <w:sz w:val="24"/>
    </w:r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6">
    <w:name w:val="table of authorities"/>
    <w:basedOn w:val="1"/>
    <w:next w:val="1"/>
    <w:qFormat/>
    <w:uiPriority w:val="0"/>
    <w:pPr>
      <w:adjustRightInd/>
      <w:spacing w:line="360" w:lineRule="auto"/>
      <w:ind w:left="200" w:leftChars="200"/>
    </w:pPr>
    <w:rPr>
      <w:rFonts w:ascii="等线" w:hAnsi="等线" w:eastAsia="楷体_GB2312"/>
      <w:sz w:val="24"/>
    </w:rPr>
  </w:style>
  <w:style w:type="paragraph" w:styleId="17">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spacing w:line="360" w:lineRule="auto"/>
      <w:ind w:left="1400" w:leftChars="1400"/>
    </w:pPr>
    <w:rPr>
      <w:rFonts w:ascii="等线" w:hAnsi="等线" w:eastAsia="楷体_GB2312"/>
      <w:sz w:val="24"/>
    </w:rPr>
  </w:style>
  <w:style w:type="paragraph" w:styleId="19">
    <w:name w:val="E-mail Signature"/>
    <w:basedOn w:val="1"/>
    <w:qFormat/>
    <w:uiPriority w:val="0"/>
    <w:pPr>
      <w:adjustRightInd/>
      <w:spacing w:line="360" w:lineRule="auto"/>
    </w:pPr>
    <w:rPr>
      <w:rFonts w:eastAsia="楷体_GB2312"/>
      <w:sz w:val="24"/>
    </w:rPr>
  </w:style>
  <w:style w:type="paragraph" w:styleId="20">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utoSpaceDE w:val="0"/>
      <w:autoSpaceDN w:val="0"/>
      <w:spacing w:before="100" w:beforeAutospacing="1" w:after="100" w:afterAutospacing="1" w:line="360" w:lineRule="auto"/>
      <w:ind w:left="360" w:firstLine="200" w:firstLineChars="200"/>
    </w:pPr>
    <w:rPr>
      <w:rFonts w:ascii="等线" w:hAnsi="等线" w:eastAsia="楷体_GB2312"/>
      <w:color w:val="000000"/>
      <w:sz w:val="24"/>
      <w:szCs w:val="20"/>
    </w:rPr>
  </w:style>
  <w:style w:type="paragraph" w:styleId="24">
    <w:name w:val="Document Map"/>
    <w:basedOn w:val="1"/>
    <w:qFormat/>
    <w:uiPriority w:val="0"/>
    <w:pPr>
      <w:shd w:val="clear" w:color="auto" w:fill="000080"/>
    </w:pPr>
  </w:style>
  <w:style w:type="paragraph" w:styleId="25">
    <w:name w:val="toa heading"/>
    <w:basedOn w:val="1"/>
    <w:next w:val="1"/>
    <w:qFormat/>
    <w:uiPriority w:val="0"/>
    <w:pPr>
      <w:adjustRightInd/>
      <w:spacing w:before="120" w:line="360" w:lineRule="auto"/>
    </w:pPr>
    <w:rPr>
      <w:rFonts w:ascii="Arial" w:hAnsi="Arial" w:eastAsia="楷体_GB2312" w:cs="Arial"/>
      <w:sz w:val="24"/>
    </w:rPr>
  </w:style>
  <w:style w:type="paragraph" w:styleId="26">
    <w:name w:val="annotation text"/>
    <w:basedOn w:val="1"/>
    <w:qFormat/>
    <w:uiPriority w:val="0"/>
    <w:pPr>
      <w:jc w:val="left"/>
    </w:pPr>
  </w:style>
  <w:style w:type="paragraph" w:styleId="27">
    <w:name w:val="index 6"/>
    <w:basedOn w:val="1"/>
    <w:next w:val="1"/>
    <w:qFormat/>
    <w:uiPriority w:val="0"/>
    <w:pPr>
      <w:adjustRightInd/>
      <w:spacing w:line="360" w:lineRule="auto"/>
      <w:ind w:left="1000" w:leftChars="1000"/>
    </w:pPr>
    <w:rPr>
      <w:rFonts w:ascii="等线" w:hAnsi="等线" w:eastAsia="楷体_GB2312"/>
      <w:sz w:val="24"/>
    </w:rPr>
  </w:style>
  <w:style w:type="paragraph" w:styleId="28">
    <w:name w:val="Salutation"/>
    <w:basedOn w:val="1"/>
    <w:next w:val="1"/>
    <w:qFormat/>
    <w:uiPriority w:val="0"/>
    <w:rPr>
      <w:rFonts w:ascii="仿宋_GB2312" w:eastAsia="仿宋_GB2312"/>
      <w:sz w:val="28"/>
      <w:szCs w:val="20"/>
    </w:rPr>
  </w:style>
  <w:style w:type="paragraph" w:styleId="29">
    <w:name w:val="Body Text 3"/>
    <w:basedOn w:val="1"/>
    <w:qFormat/>
    <w:uiPriority w:val="0"/>
    <w:pPr>
      <w:jc w:val="center"/>
    </w:pPr>
    <w:rPr>
      <w:szCs w:val="20"/>
    </w:rPr>
  </w:style>
  <w:style w:type="paragraph" w:styleId="30">
    <w:name w:val="List Bullet 3"/>
    <w:basedOn w:val="1"/>
    <w:qFormat/>
    <w:uiPriority w:val="0"/>
    <w:pPr>
      <w:snapToGrid w:val="0"/>
      <w:spacing w:line="360" w:lineRule="auto"/>
      <w:ind w:left="360" w:right="238" w:hanging="360"/>
      <w:contextualSpacing/>
    </w:pPr>
    <w:rPr>
      <w:sz w:val="24"/>
    </w:rPr>
  </w:style>
  <w:style w:type="paragraph" w:styleId="3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32">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33">
    <w:name w:val="List 2"/>
    <w:basedOn w:val="1"/>
    <w:qFormat/>
    <w:uiPriority w:val="0"/>
    <w:pPr>
      <w:adjustRightInd/>
      <w:spacing w:line="360" w:lineRule="auto"/>
      <w:ind w:left="400" w:leftChars="200" w:hanging="200" w:hangingChars="200"/>
    </w:pPr>
    <w:rPr>
      <w:rFonts w:eastAsia="微软雅黑"/>
    </w:rPr>
  </w:style>
  <w:style w:type="paragraph" w:styleId="34">
    <w:name w:val="List Continue"/>
    <w:basedOn w:val="1"/>
    <w:qFormat/>
    <w:uiPriority w:val="0"/>
    <w:pPr>
      <w:adjustRightInd/>
      <w:spacing w:after="120" w:line="360" w:lineRule="auto"/>
      <w:ind w:left="200" w:leftChars="200"/>
    </w:pPr>
    <w:rPr>
      <w:rFonts w:ascii="等线" w:hAnsi="等线" w:eastAsia="楷体_GB2312"/>
      <w:sz w:val="24"/>
    </w:rPr>
  </w:style>
  <w:style w:type="paragraph" w:styleId="35">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qFormat/>
    <w:uiPriority w:val="0"/>
    <w:pPr>
      <w:widowControl/>
      <w:adjustRightInd/>
      <w:ind w:firstLine="200" w:firstLineChars="200"/>
      <w:jc w:val="left"/>
    </w:pPr>
    <w:rPr>
      <w:rFonts w:ascii="宋体" w:hAnsi="宋体"/>
      <w:i/>
      <w:iCs/>
      <w:kern w:val="0"/>
      <w:sz w:val="24"/>
    </w:rPr>
  </w:style>
  <w:style w:type="paragraph" w:styleId="38">
    <w:name w:val="index 4"/>
    <w:basedOn w:val="1"/>
    <w:next w:val="1"/>
    <w:qFormat/>
    <w:uiPriority w:val="0"/>
    <w:pPr>
      <w:adjustRightInd/>
      <w:spacing w:line="360" w:lineRule="auto"/>
      <w:ind w:left="600" w:leftChars="600"/>
    </w:pPr>
    <w:rPr>
      <w:rFonts w:ascii="等线" w:hAnsi="等线" w:eastAsia="楷体_GB2312"/>
      <w:sz w:val="24"/>
    </w:rPr>
  </w:style>
  <w:style w:type="paragraph" w:styleId="39">
    <w:name w:val="toc 5"/>
    <w:basedOn w:val="1"/>
    <w:next w:val="1"/>
    <w:qFormat/>
    <w:uiPriority w:val="0"/>
    <w:pPr>
      <w:ind w:left="800" w:leftChars="800"/>
    </w:pPr>
  </w:style>
  <w:style w:type="paragraph" w:styleId="40">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41">
    <w:name w:val="Plain Text"/>
    <w:basedOn w:val="1"/>
    <w:qFormat/>
    <w:uiPriority w:val="0"/>
    <w:rPr>
      <w:rFonts w:ascii="宋体" w:hAnsi="Courier New" w:cs="Arial"/>
      <w:snapToGrid w:val="0"/>
      <w:szCs w:val="21"/>
    </w:rPr>
  </w:style>
  <w:style w:type="paragraph" w:styleId="42">
    <w:name w:val="List Bullet 5"/>
    <w:basedOn w:val="1"/>
    <w:qFormat/>
    <w:uiPriority w:val="0"/>
    <w:pPr>
      <w:tabs>
        <w:tab w:val="left" w:pos="2040"/>
      </w:tabs>
      <w:adjustRightInd/>
      <w:spacing w:line="360" w:lineRule="auto"/>
      <w:ind w:left="1000" w:leftChars="800" w:hanging="200" w:hangingChars="200"/>
    </w:pPr>
    <w:rPr>
      <w:rFonts w:ascii="等线" w:hAnsi="等线" w:eastAsia="楷体_GB2312"/>
      <w:sz w:val="24"/>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0"/>
    <w:pPr>
      <w:ind w:left="1400" w:leftChars="1400"/>
    </w:pPr>
  </w:style>
  <w:style w:type="paragraph" w:styleId="45">
    <w:name w:val="index 3"/>
    <w:basedOn w:val="1"/>
    <w:next w:val="1"/>
    <w:qFormat/>
    <w:uiPriority w:val="0"/>
    <w:pPr>
      <w:adjustRightInd/>
      <w:spacing w:line="360" w:lineRule="auto"/>
      <w:ind w:left="400" w:leftChars="400"/>
    </w:pPr>
    <w:rPr>
      <w:rFonts w:ascii="等线" w:hAnsi="等线" w:eastAsia="楷体_GB2312"/>
      <w:sz w:val="24"/>
    </w:rPr>
  </w:style>
  <w:style w:type="paragraph" w:styleId="46">
    <w:name w:val="Date"/>
    <w:basedOn w:val="1"/>
    <w:next w:val="1"/>
    <w:qFormat/>
    <w:uiPriority w:val="0"/>
    <w:pPr>
      <w:ind w:left="2500" w:leftChars="2500"/>
    </w:pPr>
    <w:rPr>
      <w:rFonts w:ascii="宋体"/>
      <w:sz w:val="24"/>
      <w:szCs w:val="21"/>
      <w:lang w:val="zh-CN"/>
    </w:rPr>
  </w:style>
  <w:style w:type="paragraph" w:styleId="47">
    <w:name w:val="Body Text Indent 2"/>
    <w:basedOn w:val="1"/>
    <w:qFormat/>
    <w:uiPriority w:val="0"/>
    <w:pPr>
      <w:spacing w:line="360" w:lineRule="auto"/>
      <w:ind w:firstLine="601"/>
      <w:textAlignment w:val="baseline"/>
    </w:pPr>
    <w:rPr>
      <w:rFonts w:ascii="宋体"/>
      <w:kern w:val="0"/>
      <w:sz w:val="28"/>
      <w:szCs w:val="20"/>
    </w:rPr>
  </w:style>
  <w:style w:type="paragraph" w:styleId="48">
    <w:name w:val="endnote text"/>
    <w:basedOn w:val="1"/>
    <w:qFormat/>
    <w:uiPriority w:val="0"/>
    <w:rPr>
      <w:lang w:val="zh-CN"/>
    </w:rPr>
  </w:style>
  <w:style w:type="paragraph" w:styleId="49">
    <w:name w:val="List Continue 5"/>
    <w:basedOn w:val="1"/>
    <w:qFormat/>
    <w:uiPriority w:val="0"/>
    <w:pPr>
      <w:adjustRightInd/>
      <w:spacing w:after="120" w:line="360" w:lineRule="auto"/>
      <w:ind w:left="1000" w:leftChars="1000"/>
    </w:pPr>
    <w:rPr>
      <w:rFonts w:ascii="等线" w:hAnsi="等线" w:eastAsia="楷体_GB2312"/>
      <w:sz w:val="24"/>
    </w:rPr>
  </w:style>
  <w:style w:type="paragraph" w:styleId="50">
    <w:name w:val="Balloon Text"/>
    <w:basedOn w:val="1"/>
    <w:qFormat/>
    <w:uiPriority w:val="0"/>
    <w:rPr>
      <w:sz w:val="18"/>
      <w:szCs w:val="18"/>
    </w:rPr>
  </w:style>
  <w:style w:type="paragraph" w:styleId="51">
    <w:name w:val="footer"/>
    <w:basedOn w:val="1"/>
    <w:qFormat/>
    <w:uiPriority w:val="0"/>
    <w:pPr>
      <w:tabs>
        <w:tab w:val="center" w:pos="4153"/>
        <w:tab w:val="right" w:pos="8306"/>
      </w:tabs>
      <w:snapToGrid w:val="0"/>
      <w:jc w:val="left"/>
    </w:pPr>
    <w:rPr>
      <w:sz w:val="18"/>
      <w:szCs w:val="18"/>
    </w:rPr>
  </w:style>
  <w:style w:type="paragraph" w:styleId="5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qFormat/>
    <w:uiPriority w:val="0"/>
    <w:pPr>
      <w:spacing w:after="600" w:line="312" w:lineRule="atLeast"/>
      <w:jc w:val="center"/>
      <w:textAlignment w:val="baseline"/>
    </w:pPr>
    <w:rPr>
      <w:rFonts w:eastAsia="仿宋_GB2312"/>
      <w:kern w:val="0"/>
      <w:sz w:val="24"/>
      <w:szCs w:val="20"/>
    </w:rPr>
  </w:style>
  <w:style w:type="paragraph" w:styleId="54">
    <w:name w:val="toc 1"/>
    <w:basedOn w:val="1"/>
    <w:next w:val="1"/>
    <w:qFormat/>
    <w:uiPriority w:val="0"/>
  </w:style>
  <w:style w:type="paragraph" w:styleId="55">
    <w:name w:val="List Continue 4"/>
    <w:basedOn w:val="1"/>
    <w:qFormat/>
    <w:uiPriority w:val="0"/>
    <w:pPr>
      <w:adjustRightInd/>
      <w:spacing w:after="120" w:line="360" w:lineRule="auto"/>
      <w:ind w:left="800" w:leftChars="800"/>
    </w:pPr>
    <w:rPr>
      <w:rFonts w:ascii="等线" w:hAnsi="等线" w:eastAsia="楷体_GB2312"/>
      <w:sz w:val="24"/>
    </w:rPr>
  </w:style>
  <w:style w:type="paragraph" w:styleId="56">
    <w:name w:val="toc 4"/>
    <w:basedOn w:val="1"/>
    <w:next w:val="1"/>
    <w:qFormat/>
    <w:uiPriority w:val="0"/>
    <w:pPr>
      <w:ind w:left="600" w:leftChars="600"/>
    </w:pPr>
  </w:style>
  <w:style w:type="paragraph" w:styleId="57">
    <w:name w:val="index heading"/>
    <w:basedOn w:val="1"/>
    <w:next w:val="58"/>
    <w:qFormat/>
    <w:uiPriority w:val="0"/>
    <w:pPr>
      <w:adjustRightInd/>
      <w:ind w:firstLine="200" w:firstLineChars="200"/>
    </w:pPr>
  </w:style>
  <w:style w:type="paragraph" w:styleId="58">
    <w:name w:val="index 1"/>
    <w:basedOn w:val="1"/>
    <w:next w:val="1"/>
    <w:qFormat/>
    <w:uiPriority w:val="0"/>
    <w:pPr>
      <w:adjustRightInd/>
      <w:spacing w:line="360" w:lineRule="auto"/>
      <w:ind w:firstLine="200" w:firstLineChars="200"/>
      <w:jc w:val="center"/>
    </w:pPr>
    <w:rPr>
      <w:sz w:val="24"/>
      <w:szCs w:val="20"/>
    </w:rPr>
  </w:style>
  <w:style w:type="paragraph" w:styleId="5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0">
    <w:name w:val="List Number 5"/>
    <w:basedOn w:val="1"/>
    <w:qFormat/>
    <w:uiPriority w:val="0"/>
    <w:pPr>
      <w:tabs>
        <w:tab w:val="left" w:pos="902"/>
      </w:tabs>
      <w:adjustRightInd/>
      <w:spacing w:line="400" w:lineRule="exact"/>
      <w:ind w:left="901" w:hanging="420"/>
    </w:pPr>
    <w:rPr>
      <w:sz w:val="24"/>
      <w:szCs w:val="20"/>
    </w:rPr>
  </w:style>
  <w:style w:type="paragraph" w:styleId="61">
    <w:name w:val="List"/>
    <w:basedOn w:val="1"/>
    <w:qFormat/>
    <w:uiPriority w:val="0"/>
    <w:pPr>
      <w:ind w:left="200" w:hanging="200" w:hangingChars="200"/>
    </w:pPr>
  </w:style>
  <w:style w:type="paragraph" w:styleId="62">
    <w:name w:val="footnote text"/>
    <w:basedOn w:val="6"/>
    <w:qFormat/>
    <w:uiPriority w:val="0"/>
    <w:pPr>
      <w:adjustRightInd/>
      <w:snapToGrid/>
      <w:spacing w:before="60" w:after="60" w:line="300" w:lineRule="exact"/>
      <w:ind w:firstLine="0"/>
    </w:pPr>
    <w:rPr>
      <w:rFonts w:ascii="Times New Roman"/>
      <w:snapToGrid/>
      <w:color w:val="0000FF"/>
      <w:kern w:val="0"/>
      <w:sz w:val="21"/>
    </w:rPr>
  </w:style>
  <w:style w:type="paragraph" w:styleId="63">
    <w:name w:val="toc 6"/>
    <w:basedOn w:val="1"/>
    <w:next w:val="1"/>
    <w:qFormat/>
    <w:uiPriority w:val="0"/>
    <w:pPr>
      <w:ind w:left="1000" w:leftChars="1000"/>
    </w:pPr>
  </w:style>
  <w:style w:type="paragraph" w:styleId="64">
    <w:name w:val="List 5"/>
    <w:basedOn w:val="1"/>
    <w:qFormat/>
    <w:uiPriority w:val="0"/>
    <w:pPr>
      <w:adjustRightInd/>
      <w:ind w:left="1000" w:leftChars="800" w:hanging="200" w:hangingChars="200"/>
    </w:pPr>
  </w:style>
  <w:style w:type="paragraph" w:styleId="65">
    <w:name w:val="Body Text Indent 3"/>
    <w:basedOn w:val="1"/>
    <w:qFormat/>
    <w:uiPriority w:val="0"/>
    <w:pPr>
      <w:spacing w:line="360" w:lineRule="auto"/>
      <w:ind w:firstLine="420"/>
    </w:pPr>
    <w:rPr>
      <w:sz w:val="24"/>
      <w:szCs w:val="20"/>
    </w:rPr>
  </w:style>
  <w:style w:type="paragraph" w:styleId="66">
    <w:name w:val="index 7"/>
    <w:basedOn w:val="1"/>
    <w:next w:val="1"/>
    <w:qFormat/>
    <w:uiPriority w:val="0"/>
    <w:pPr>
      <w:adjustRightInd/>
      <w:spacing w:line="360" w:lineRule="auto"/>
      <w:ind w:left="1200" w:leftChars="1200"/>
    </w:pPr>
    <w:rPr>
      <w:rFonts w:ascii="等线" w:hAnsi="等线" w:eastAsia="楷体_GB2312"/>
      <w:sz w:val="24"/>
    </w:rPr>
  </w:style>
  <w:style w:type="paragraph" w:styleId="67">
    <w:name w:val="index 9"/>
    <w:basedOn w:val="1"/>
    <w:next w:val="1"/>
    <w:qFormat/>
    <w:uiPriority w:val="0"/>
    <w:pPr>
      <w:adjustRightInd/>
      <w:spacing w:line="360" w:lineRule="auto"/>
      <w:ind w:left="1600" w:leftChars="1600"/>
    </w:pPr>
    <w:rPr>
      <w:rFonts w:ascii="等线" w:hAnsi="等线" w:eastAsia="楷体_GB2312"/>
      <w:sz w:val="24"/>
    </w:rPr>
  </w:style>
  <w:style w:type="paragraph" w:styleId="68">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69">
    <w:name w:val="toc 2"/>
    <w:basedOn w:val="1"/>
    <w:next w:val="1"/>
    <w:qFormat/>
    <w:uiPriority w:val="0"/>
    <w:pPr>
      <w:ind w:left="200" w:leftChars="200"/>
    </w:pPr>
  </w:style>
  <w:style w:type="paragraph" w:styleId="70">
    <w:name w:val="toc 9"/>
    <w:basedOn w:val="1"/>
    <w:next w:val="1"/>
    <w:qFormat/>
    <w:uiPriority w:val="0"/>
    <w:pPr>
      <w:ind w:left="1600" w:leftChars="1600"/>
    </w:pPr>
  </w:style>
  <w:style w:type="paragraph" w:styleId="71">
    <w:name w:val="Body Text 2"/>
    <w:basedOn w:val="1"/>
    <w:qFormat/>
    <w:uiPriority w:val="0"/>
    <w:pPr>
      <w:spacing w:after="120" w:line="480" w:lineRule="auto"/>
    </w:pPr>
  </w:style>
  <w:style w:type="paragraph" w:styleId="72">
    <w:name w:val="List Continue 2"/>
    <w:basedOn w:val="1"/>
    <w:qFormat/>
    <w:uiPriority w:val="0"/>
    <w:pPr>
      <w:adjustRightInd/>
      <w:spacing w:after="120" w:line="360" w:lineRule="auto"/>
      <w:ind w:left="400" w:leftChars="400"/>
    </w:pPr>
    <w:rPr>
      <w:rFonts w:ascii="等线" w:hAnsi="等线" w:eastAsia="楷体_GB2312"/>
      <w:sz w:val="24"/>
    </w:rPr>
  </w:style>
  <w:style w:type="paragraph" w:styleId="7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74">
    <w:name w:val="Normal (Web)"/>
    <w:basedOn w:val="1"/>
    <w:qFormat/>
    <w:uiPriority w:val="0"/>
    <w:pPr>
      <w:widowControl/>
      <w:spacing w:before="100" w:beforeAutospacing="1" w:after="100" w:afterAutospacing="1"/>
      <w:jc w:val="left"/>
    </w:pPr>
    <w:rPr>
      <w:rFonts w:ascii="宋体" w:hAnsi="宋体"/>
      <w:kern w:val="0"/>
      <w:sz w:val="24"/>
    </w:rPr>
  </w:style>
  <w:style w:type="paragraph" w:styleId="75">
    <w:name w:val="index 2"/>
    <w:basedOn w:val="1"/>
    <w:next w:val="1"/>
    <w:qFormat/>
    <w:uiPriority w:val="0"/>
    <w:pPr>
      <w:adjustRightInd/>
      <w:spacing w:line="360" w:lineRule="auto"/>
      <w:ind w:left="200" w:leftChars="200"/>
    </w:pPr>
    <w:rPr>
      <w:rFonts w:ascii="等线" w:hAnsi="等线" w:eastAsia="楷体_GB2312"/>
      <w:sz w:val="24"/>
    </w:rPr>
  </w:style>
  <w:style w:type="paragraph" w:styleId="76">
    <w:name w:val="Title"/>
    <w:basedOn w:val="1"/>
    <w:qFormat/>
    <w:uiPriority w:val="0"/>
    <w:pPr>
      <w:widowControl/>
      <w:overflowPunct w:val="0"/>
      <w:autoSpaceDE w:val="0"/>
      <w:autoSpaceDN w:val="0"/>
      <w:jc w:val="center"/>
      <w:textAlignment w:val="baseline"/>
    </w:pPr>
    <w:rPr>
      <w:b/>
      <w:kern w:val="0"/>
      <w:sz w:val="24"/>
      <w:szCs w:val="20"/>
      <w:lang w:val="en-GB" w:eastAsia="en-GB"/>
    </w:rPr>
  </w:style>
  <w:style w:type="paragraph" w:styleId="77">
    <w:name w:val="annotation subject"/>
    <w:basedOn w:val="26"/>
    <w:next w:val="26"/>
    <w:qFormat/>
    <w:uiPriority w:val="0"/>
    <w:rPr>
      <w:b/>
      <w:bCs/>
    </w:rPr>
  </w:style>
  <w:style w:type="paragraph" w:styleId="78">
    <w:name w:val="Body Text First Indent"/>
    <w:basedOn w:val="31"/>
    <w:next w:val="1"/>
    <w:qFormat/>
    <w:uiPriority w:val="0"/>
    <w:pPr>
      <w:ind w:firstLine="420"/>
    </w:pPr>
    <w:rPr>
      <w:rFonts w:hAnsi="Times New Roman" w:cs="Times New Roman"/>
      <w:snapToGrid/>
      <w:szCs w:val="20"/>
    </w:rPr>
  </w:style>
  <w:style w:type="paragraph" w:styleId="79">
    <w:name w:val="Body Text First Indent 2"/>
    <w:basedOn w:val="7"/>
    <w:qFormat/>
    <w:uiPriority w:val="0"/>
    <w:pPr>
      <w:adjustRightInd/>
      <w:spacing w:after="120" w:line="240" w:lineRule="auto"/>
      <w:ind w:left="200" w:leftChars="200"/>
    </w:pPr>
    <w:rPr>
      <w:sz w:val="21"/>
    </w:rPr>
  </w:style>
  <w:style w:type="character" w:styleId="82">
    <w:name w:val="Strong"/>
    <w:qFormat/>
    <w:uiPriority w:val="0"/>
    <w:rPr>
      <w:b/>
      <w:bCs/>
    </w:rPr>
  </w:style>
  <w:style w:type="character" w:styleId="83">
    <w:name w:val="endnote reference"/>
    <w:qFormat/>
    <w:uiPriority w:val="0"/>
    <w:rPr>
      <w:vertAlign w:val="superscript"/>
    </w:rPr>
  </w:style>
  <w:style w:type="character" w:styleId="84">
    <w:name w:val="page number"/>
    <w:qFormat/>
    <w:uiPriority w:val="0"/>
    <w:rPr>
      <w:rFonts w:ascii="Arial" w:hAnsi="Arial" w:eastAsia="黑体" w:cs="Arial"/>
      <w:snapToGrid w:val="0"/>
      <w:kern w:val="0"/>
      <w:szCs w:val="21"/>
      <w:lang w:bidi="ar-SA"/>
    </w:rPr>
  </w:style>
  <w:style w:type="character" w:styleId="85">
    <w:name w:val="FollowedHyperlink"/>
    <w:qFormat/>
    <w:uiPriority w:val="0"/>
    <w:rPr>
      <w:rFonts w:ascii="Arial" w:hAnsi="Arial" w:eastAsia="黑体" w:cs="Arial"/>
      <w:snapToGrid w:val="0"/>
      <w:color w:val="000000"/>
      <w:kern w:val="0"/>
      <w:sz w:val="18"/>
      <w:szCs w:val="18"/>
      <w:u w:val="none"/>
      <w:lang w:bidi="ar-SA"/>
    </w:rPr>
  </w:style>
  <w:style w:type="character" w:styleId="86">
    <w:name w:val="Emphasis"/>
    <w:qFormat/>
    <w:uiPriority w:val="0"/>
    <w:rPr>
      <w:color w:val="CC0033"/>
    </w:rPr>
  </w:style>
  <w:style w:type="character" w:styleId="87">
    <w:name w:val="line number"/>
    <w:qFormat/>
    <w:uiPriority w:val="0"/>
    <w:rPr>
      <w:rFonts w:ascii="Arial" w:hAnsi="Arial" w:eastAsia="黑体" w:cs="Arial"/>
      <w:snapToGrid w:val="0"/>
      <w:kern w:val="0"/>
      <w:szCs w:val="21"/>
      <w:lang w:bidi="ar-SA"/>
    </w:rPr>
  </w:style>
  <w:style w:type="character" w:styleId="88">
    <w:name w:val="Hyperlink"/>
    <w:qFormat/>
    <w:uiPriority w:val="0"/>
    <w:rPr>
      <w:rFonts w:ascii="Arial" w:hAnsi="Arial" w:eastAsia="黑体" w:cs="Arial"/>
      <w:snapToGrid w:val="0"/>
      <w:color w:val="000000"/>
      <w:kern w:val="0"/>
      <w:sz w:val="18"/>
      <w:szCs w:val="18"/>
      <w:u w:val="none"/>
      <w:lang w:bidi="ar-SA"/>
    </w:rPr>
  </w:style>
  <w:style w:type="character" w:styleId="89">
    <w:name w:val="HTML Code"/>
    <w:qFormat/>
    <w:uiPriority w:val="0"/>
    <w:rPr>
      <w:rFonts w:ascii="黑体" w:hAnsi="Courier New" w:eastAsia="黑体" w:cs="楷体_GB2312"/>
      <w:sz w:val="20"/>
      <w:szCs w:val="20"/>
      <w:lang w:bidi="ar-SA"/>
    </w:rPr>
  </w:style>
  <w:style w:type="character" w:styleId="90">
    <w:name w:val="annotation reference"/>
    <w:qFormat/>
    <w:uiPriority w:val="0"/>
    <w:rPr>
      <w:sz w:val="21"/>
      <w:szCs w:val="21"/>
    </w:rPr>
  </w:style>
  <w:style w:type="paragraph" w:customStyle="1" w:styleId="91">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character" w:customStyle="1" w:styleId="92">
    <w:name w:val="标题 4 Char"/>
    <w:qFormat/>
    <w:uiPriority w:val="0"/>
    <w:rPr>
      <w:rFonts w:ascii="Arial" w:hAnsi="Arial" w:eastAsia="黑体"/>
      <w:b/>
      <w:kern w:val="2"/>
      <w:sz w:val="28"/>
    </w:rPr>
  </w:style>
  <w:style w:type="character" w:customStyle="1" w:styleId="93">
    <w:name w:val="插图说明 Char"/>
    <w:qFormat/>
    <w:uiPriority w:val="0"/>
    <w:rPr>
      <w:rFonts w:eastAsia="黑体"/>
      <w:sz w:val="24"/>
      <w:lang w:val="en-US" w:eastAsia="zh-CN"/>
    </w:rPr>
  </w:style>
  <w:style w:type="character" w:customStyle="1" w:styleId="94">
    <w:name w:val="标准正文格式 Char"/>
    <w:qFormat/>
    <w:uiPriority w:val="0"/>
    <w:rPr>
      <w:rFonts w:ascii="宋体" w:eastAsia="仿宋_GB2312" w:cs="宋体"/>
      <w:color w:val="000000"/>
      <w:sz w:val="24"/>
      <w:lang w:val="en-US" w:eastAsia="zh-CN" w:bidi="ar-SA"/>
    </w:rPr>
  </w:style>
  <w:style w:type="character" w:customStyle="1" w:styleId="95">
    <w:name w:val="文档结构图 字符1"/>
    <w:qFormat/>
    <w:uiPriority w:val="0"/>
    <w:rPr>
      <w:rFonts w:ascii="宋体" w:hAnsi="Calibri" w:eastAsia="黑体" w:cs="Arial"/>
      <w:snapToGrid w:val="0"/>
      <w:kern w:val="2"/>
      <w:sz w:val="18"/>
      <w:szCs w:val="18"/>
      <w:lang w:bidi="ar-SA"/>
    </w:rPr>
  </w:style>
  <w:style w:type="character" w:customStyle="1" w:styleId="96">
    <w:name w:val="tw4winPopup"/>
    <w:qFormat/>
    <w:uiPriority w:val="0"/>
    <w:rPr>
      <w:rFonts w:ascii="Courier New" w:hAnsi="Courier New" w:cs="Courier New"/>
      <w:color w:val="008000"/>
      <w:lang w:val="en-US" w:eastAsia="zh-CN" w:bidi="ar-SA"/>
    </w:rPr>
  </w:style>
  <w:style w:type="character" w:customStyle="1" w:styleId="97">
    <w:name w:val="Char Char36"/>
    <w:qFormat/>
    <w:uiPriority w:val="0"/>
    <w:rPr>
      <w:rFonts w:ascii="仿宋_GB2312" w:hAnsi="仿宋_GB2312" w:eastAsia="仿宋_GB2312" w:cs="Arial"/>
      <w:b/>
      <w:kern w:val="2"/>
      <w:sz w:val="32"/>
      <w:szCs w:val="32"/>
      <w:lang w:val="zh-CN" w:eastAsia="zh-CN" w:bidi="ar-SA"/>
    </w:rPr>
  </w:style>
  <w:style w:type="character" w:customStyle="1" w:styleId="98">
    <w:name w:val="DO_NOT_TRANSLATE"/>
    <w:qFormat/>
    <w:uiPriority w:val="0"/>
    <w:rPr>
      <w:rFonts w:ascii="Courier New" w:hAnsi="Courier New" w:cs="Courier New"/>
      <w:color w:val="800000"/>
      <w:lang w:val="en-US" w:eastAsia="zh-CN" w:bidi="ar-SA"/>
    </w:rPr>
  </w:style>
  <w:style w:type="character" w:customStyle="1" w:styleId="99">
    <w:name w:val="页脚 字符"/>
    <w:qFormat/>
    <w:uiPriority w:val="0"/>
    <w:rPr>
      <w:kern w:val="2"/>
      <w:sz w:val="18"/>
      <w:szCs w:val="18"/>
    </w:rPr>
  </w:style>
  <w:style w:type="character" w:customStyle="1" w:styleId="1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1">
    <w:name w:val="style36"/>
    <w:qFormat/>
    <w:uiPriority w:val="0"/>
    <w:rPr>
      <w:rFonts w:ascii="Arial" w:hAnsi="Arial" w:eastAsia="黑体" w:cs="Arial"/>
      <w:snapToGrid w:val="0"/>
      <w:kern w:val="0"/>
      <w:szCs w:val="21"/>
      <w:lang w:bidi="ar-SA"/>
    </w:rPr>
  </w:style>
  <w:style w:type="character" w:customStyle="1" w:styleId="102">
    <w:name w:val="图名 Char"/>
    <w:qFormat/>
    <w:uiPriority w:val="0"/>
    <w:rPr>
      <w:rFonts w:ascii="Arial" w:hAnsi="Arial" w:eastAsia="黑体"/>
      <w:kern w:val="2"/>
      <w:sz w:val="24"/>
      <w:szCs w:val="24"/>
      <w:lang w:val="en-US" w:eastAsia="zh-CN" w:bidi="ar-SA"/>
    </w:rPr>
  </w:style>
  <w:style w:type="character" w:customStyle="1" w:styleId="103">
    <w:name w:val="Used by Word for text of Help footnotes Char Char"/>
    <w:qFormat/>
    <w:uiPriority w:val="0"/>
    <w:rPr>
      <w:rFonts w:ascii="Times New Roman" w:hAnsi="Times New Roman" w:eastAsia="宋体" w:cs="Times New Roman"/>
      <w:sz w:val="20"/>
      <w:szCs w:val="20"/>
      <w:lang w:bidi="ar-SA"/>
    </w:rPr>
  </w:style>
  <w:style w:type="character" w:customStyle="1" w:styleId="104">
    <w:name w:val="myp1111"/>
    <w:qFormat/>
    <w:uiPriority w:val="0"/>
    <w:rPr>
      <w:rFonts w:ascii="ˎ̥" w:hAnsi="ˎ̥"/>
      <w:color w:val="000000"/>
      <w:sz w:val="20"/>
      <w:szCs w:val="20"/>
      <w:u w:val="none"/>
    </w:rPr>
  </w:style>
  <w:style w:type="character" w:customStyle="1" w:styleId="105">
    <w:name w:val="正文首行缩进 Char Char Char Char Char Char"/>
    <w:qFormat/>
    <w:uiPriority w:val="0"/>
    <w:rPr>
      <w:rFonts w:ascii="宋体" w:eastAsia="宋体"/>
      <w:kern w:val="2"/>
      <w:sz w:val="24"/>
      <w:lang w:val="zh-CN" w:eastAsia="zh-CN" w:bidi="ar-SA"/>
    </w:rPr>
  </w:style>
  <w:style w:type="character" w:customStyle="1" w:styleId="106">
    <w:name w:val="tw4winJump"/>
    <w:qFormat/>
    <w:uiPriority w:val="0"/>
    <w:rPr>
      <w:rFonts w:ascii="Courier New" w:hAnsi="Courier New" w:cs="Courier New"/>
      <w:color w:val="008080"/>
      <w:lang w:val="en-US" w:eastAsia="zh-CN" w:bidi="ar-SA"/>
    </w:rPr>
  </w:style>
  <w:style w:type="paragraph" w:styleId="107">
    <w:name w:val="No Spacing"/>
    <w:basedOn w:val="1"/>
    <w:qFormat/>
    <w:uiPriority w:val="0"/>
    <w:rPr>
      <w:szCs w:val="22"/>
    </w:rPr>
  </w:style>
  <w:style w:type="character" w:customStyle="1" w:styleId="108">
    <w:name w:val="正文2 Char"/>
    <w:qFormat/>
    <w:uiPriority w:val="0"/>
    <w:rPr>
      <w:rFonts w:eastAsia="宋体"/>
      <w:kern w:val="2"/>
      <w:sz w:val="24"/>
      <w:lang w:val="en-US" w:eastAsia="zh-CN" w:bidi="ar-SA"/>
    </w:rPr>
  </w:style>
  <w:style w:type="character" w:customStyle="1" w:styleId="109">
    <w:name w:val="pt9"/>
    <w:qFormat/>
    <w:uiPriority w:val="0"/>
    <w:rPr>
      <w:rFonts w:ascii="仿宋_GB2312" w:eastAsia="微软雅黑"/>
      <w:b/>
      <w:kern w:val="2"/>
      <w:sz w:val="32"/>
      <w:szCs w:val="32"/>
      <w:lang w:val="en-US" w:eastAsia="zh-CN" w:bidi="ar-SA"/>
    </w:rPr>
  </w:style>
  <w:style w:type="character" w:customStyle="1" w:styleId="110">
    <w:name w:val="样式 宋体"/>
    <w:qFormat/>
    <w:uiPriority w:val="0"/>
    <w:rPr>
      <w:rFonts w:ascii="宋体" w:hAnsi="宋体"/>
      <w:sz w:val="24"/>
    </w:rPr>
  </w:style>
  <w:style w:type="character" w:customStyle="1" w:styleId="111">
    <w:name w:val="h Char Char"/>
    <w:qFormat/>
    <w:uiPriority w:val="0"/>
    <w:rPr>
      <w:rFonts w:eastAsia="宋体"/>
      <w:kern w:val="2"/>
      <w:sz w:val="18"/>
      <w:lang w:val="en-US" w:eastAsia="zh-CN" w:bidi="ar-SA"/>
    </w:rPr>
  </w:style>
  <w:style w:type="character" w:customStyle="1" w:styleId="112">
    <w:name w:val="Char Char21"/>
    <w:qFormat/>
    <w:uiPriority w:val="0"/>
    <w:rPr>
      <w:rFonts w:ascii="宋体" w:hAnsi="宋体"/>
      <w:kern w:val="2"/>
      <w:sz w:val="24"/>
      <w:szCs w:val="21"/>
      <w:lang w:val="zh-CN" w:eastAsia="zh-CN"/>
    </w:rPr>
  </w:style>
  <w:style w:type="character" w:customStyle="1" w:styleId="1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4">
    <w:name w:val="正文文本 2 字符"/>
    <w:qFormat/>
    <w:uiPriority w:val="0"/>
    <w:rPr>
      <w:rFonts w:ascii="Arial" w:hAnsi="Arial" w:eastAsia="宋体"/>
      <w:kern w:val="2"/>
      <w:sz w:val="24"/>
      <w:szCs w:val="24"/>
      <w:lang w:val="en-US" w:eastAsia="zh-CN" w:bidi="ar-SA"/>
    </w:rPr>
  </w:style>
  <w:style w:type="character" w:customStyle="1" w:styleId="115">
    <w:name w:val="zbggtop11 style5"/>
    <w:qFormat/>
    <w:uiPriority w:val="0"/>
    <w:rPr>
      <w:rFonts w:ascii="Arial" w:hAnsi="Arial" w:eastAsia="黑体" w:cs="Arial"/>
      <w:snapToGrid w:val="0"/>
      <w:kern w:val="0"/>
      <w:szCs w:val="21"/>
      <w:lang w:bidi="ar-SA"/>
    </w:rPr>
  </w:style>
  <w:style w:type="paragraph" w:customStyle="1" w:styleId="1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17">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118">
    <w:name w:val="font91"/>
    <w:qFormat/>
    <w:uiPriority w:val="0"/>
    <w:rPr>
      <w:rFonts w:ascii="仿宋" w:hAnsi="仿宋" w:eastAsia="仿宋" w:cs="仿宋"/>
      <w:color w:val="000000"/>
      <w:sz w:val="22"/>
      <w:szCs w:val="22"/>
      <w:u w:val="none"/>
      <w:lang w:bidi="ar-SA"/>
    </w:rPr>
  </w:style>
  <w:style w:type="character" w:customStyle="1" w:styleId="119">
    <w:name w:val="font71"/>
    <w:qFormat/>
    <w:uiPriority w:val="0"/>
    <w:rPr>
      <w:rFonts w:ascii="宋体" w:hAnsi="宋体" w:eastAsia="宋体" w:cs="宋体"/>
      <w:color w:val="000000"/>
      <w:sz w:val="22"/>
      <w:szCs w:val="22"/>
      <w:u w:val="none"/>
      <w:lang w:bidi="ar-SA"/>
    </w:rPr>
  </w:style>
  <w:style w:type="character" w:styleId="120">
    <w:name w:val="Placeholder Text"/>
    <w:qFormat/>
    <w:uiPriority w:val="0"/>
    <w:rPr>
      <w:color w:val="808080"/>
    </w:rPr>
  </w:style>
  <w:style w:type="character" w:customStyle="1" w:styleId="121">
    <w:name w:val="正文缩进 字符1"/>
    <w:qFormat/>
    <w:uiPriority w:val="0"/>
    <w:rPr>
      <w:rFonts w:ascii="宋体" w:eastAsia="宋体"/>
      <w:snapToGrid w:val="0"/>
      <w:color w:val="000000"/>
      <w:kern w:val="28"/>
      <w:sz w:val="28"/>
      <w:lang w:val="en-US" w:eastAsia="zh-CN" w:bidi="ar-SA"/>
    </w:rPr>
  </w:style>
  <w:style w:type="character" w:customStyle="1" w:styleId="122">
    <w:name w:val="批注文字 Char1"/>
    <w:qFormat/>
    <w:uiPriority w:val="0"/>
    <w:rPr>
      <w:kern w:val="2"/>
      <w:sz w:val="21"/>
      <w:szCs w:val="24"/>
    </w:rPr>
  </w:style>
  <w:style w:type="character" w:customStyle="1" w:styleId="123">
    <w:name w:val="edui-unclickable"/>
    <w:qFormat/>
    <w:uiPriority w:val="0"/>
    <w:rPr>
      <w:color w:val="808080"/>
    </w:rPr>
  </w:style>
  <w:style w:type="character" w:customStyle="1" w:styleId="124">
    <w:name w:val="正文文本缩进 字符"/>
    <w:qFormat/>
    <w:uiPriority w:val="0"/>
    <w:rPr>
      <w:rFonts w:ascii="Century Gothic" w:hAnsi="Century Gothic" w:eastAsia="Century Gothic"/>
      <w:kern w:val="2"/>
      <w:sz w:val="24"/>
      <w:lang w:val="en-US" w:eastAsia="zh-CN" w:bidi="ar-SA"/>
    </w:rPr>
  </w:style>
  <w:style w:type="character" w:customStyle="1" w:styleId="125">
    <w:name w:val="页眉 字符1"/>
    <w:qFormat/>
    <w:uiPriority w:val="0"/>
    <w:rPr>
      <w:kern w:val="2"/>
      <w:sz w:val="18"/>
      <w:szCs w:val="18"/>
    </w:rPr>
  </w:style>
  <w:style w:type="character" w:customStyle="1" w:styleId="126">
    <w:name w:val="bookmark-item"/>
    <w:qFormat/>
    <w:uiPriority w:val="0"/>
  </w:style>
  <w:style w:type="character" w:customStyle="1" w:styleId="127">
    <w:name w:val="apple-style-span"/>
    <w:qFormat/>
    <w:uiPriority w:val="0"/>
    <w:rPr>
      <w:rFonts w:ascii="Arial" w:hAnsi="Arial" w:eastAsia="黑体" w:cs="Arial"/>
      <w:snapToGrid w:val="0"/>
      <w:kern w:val="0"/>
      <w:szCs w:val="21"/>
      <w:lang w:bidi="ar-SA"/>
    </w:rPr>
  </w:style>
  <w:style w:type="character" w:customStyle="1" w:styleId="128">
    <w:name w:val="sony121"/>
    <w:qFormat/>
    <w:uiPriority w:val="0"/>
    <w:rPr>
      <w:rFonts w:ascii="宋体" w:hAnsi="宋体" w:eastAsia="宋体"/>
      <w:sz w:val="18"/>
      <w:szCs w:val="18"/>
    </w:rPr>
  </w:style>
  <w:style w:type="character" w:customStyle="1" w:styleId="129">
    <w:name w:val="normalfont1"/>
    <w:qFormat/>
    <w:uiPriority w:val="0"/>
    <w:rPr>
      <w:rFonts w:ascii="ˎ̥" w:hAnsi="ˎ̥"/>
      <w:sz w:val="18"/>
      <w:szCs w:val="18"/>
      <w:u w:val="none"/>
    </w:rPr>
  </w:style>
  <w:style w:type="character" w:customStyle="1" w:styleId="130">
    <w:name w:val="style161"/>
    <w:qFormat/>
    <w:uiPriority w:val="0"/>
    <w:rPr>
      <w:sz w:val="20"/>
      <w:szCs w:val="20"/>
    </w:rPr>
  </w:style>
  <w:style w:type="character" w:customStyle="1" w:styleId="131">
    <w:name w:val="subtitle1"/>
    <w:qFormat/>
    <w:uiPriority w:val="0"/>
    <w:rPr>
      <w:rFonts w:ascii="Georgia" w:hAnsi="Georgia"/>
      <w:b/>
      <w:bCs/>
      <w:color w:val="666666"/>
      <w:sz w:val="18"/>
      <w:szCs w:val="18"/>
    </w:rPr>
  </w:style>
  <w:style w:type="character" w:customStyle="1" w:styleId="13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33">
    <w:name w:val="纯文本 Char"/>
    <w:qFormat/>
    <w:uiPriority w:val="0"/>
    <w:rPr>
      <w:rFonts w:ascii="??" w:hAnsi="??" w:eastAsia="??" w:cs="宋体"/>
      <w:kern w:val="2"/>
      <w:sz w:val="21"/>
      <w:szCs w:val="21"/>
      <w:lang w:bidi="ar-SA"/>
    </w:rPr>
  </w:style>
  <w:style w:type="character" w:customStyle="1" w:styleId="134">
    <w:name w:val="正文 首行缩进:  2 字符 Char Char Char"/>
    <w:qFormat/>
    <w:uiPriority w:val="0"/>
    <w:rPr>
      <w:rFonts w:eastAsia="宋体" w:cs="宋体"/>
      <w:kern w:val="2"/>
      <w:sz w:val="24"/>
      <w:lang w:val="en-US" w:eastAsia="zh-CN" w:bidi="ar-SA"/>
    </w:rPr>
  </w:style>
  <w:style w:type="character" w:customStyle="1" w:styleId="135">
    <w:name w:val="段 Char Char Char"/>
    <w:qFormat/>
    <w:uiPriority w:val="0"/>
    <w:rPr>
      <w:rFonts w:ascii="宋体" w:eastAsia="宋体"/>
      <w:sz w:val="21"/>
      <w:lang w:val="en-US" w:eastAsia="zh-CN" w:bidi="ar-SA"/>
    </w:rPr>
  </w:style>
  <w:style w:type="paragraph" w:customStyle="1" w:styleId="136">
    <w:name w:val="DN-正文"/>
    <w:basedOn w:val="6"/>
    <w:qFormat/>
    <w:uiPriority w:val="0"/>
    <w:pPr>
      <w:widowControl w:val="0"/>
      <w:adjustRightInd/>
      <w:snapToGrid/>
      <w:spacing w:line="400" w:lineRule="exact"/>
      <w:ind w:firstLine="200" w:firstLineChars="200"/>
    </w:pPr>
    <w:rPr>
      <w:rFonts w:ascii="Times New Roman"/>
      <w:snapToGrid/>
      <w:color w:val="auto"/>
      <w:kern w:val="0"/>
      <w:sz w:val="21"/>
      <w:szCs w:val="24"/>
    </w:rPr>
  </w:style>
  <w:style w:type="character" w:customStyle="1" w:styleId="137">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38">
    <w:name w:val="ca-41"/>
    <w:qFormat/>
    <w:uiPriority w:val="0"/>
    <w:rPr>
      <w:rFonts w:ascii="仿宋_GB2312" w:eastAsia="仿宋_GB2312"/>
      <w:sz w:val="24"/>
      <w:szCs w:val="24"/>
    </w:rPr>
  </w:style>
  <w:style w:type="paragraph" w:customStyle="1" w:styleId="139">
    <w:name w:val="样式 样式 标书正文 + 首行缩进:  0.01 字符 + 首行缩进:  0.01 字符"/>
    <w:basedOn w:val="1"/>
    <w:qFormat/>
    <w:uiPriority w:val="0"/>
    <w:pPr>
      <w:widowControl/>
      <w:snapToGrid w:val="0"/>
      <w:spacing w:after="50" w:afterLines="50" w:line="360" w:lineRule="auto"/>
      <w:ind w:left="-2" w:leftChars="-2" w:firstLine="200" w:firstLineChars="200"/>
      <w:jc w:val="left"/>
    </w:pPr>
    <w:rPr>
      <w:rFonts w:ascii="宋体" w:hAnsi="宋体"/>
      <w:kern w:val="0"/>
      <w:sz w:val="28"/>
      <w:szCs w:val="20"/>
    </w:rPr>
  </w:style>
  <w:style w:type="character" w:customStyle="1" w:styleId="140">
    <w:name w:val="正文 首行缩进2字符 Char Char Char"/>
    <w:qFormat/>
    <w:uiPriority w:val="0"/>
    <w:rPr>
      <w:rFonts w:eastAsia="宋体"/>
      <w:kern w:val="2"/>
      <w:sz w:val="24"/>
      <w:szCs w:val="24"/>
      <w:lang w:val="en-US" w:eastAsia="zh-CN" w:bidi="ar-SA"/>
    </w:rPr>
  </w:style>
  <w:style w:type="paragraph" w:customStyle="1" w:styleId="141">
    <w:name w:val="正文缩"/>
    <w:basedOn w:val="1"/>
    <w:qFormat/>
    <w:uiPriority w:val="0"/>
    <w:pPr>
      <w:adjustRightInd/>
      <w:spacing w:line="360" w:lineRule="auto"/>
      <w:ind w:firstLine="200" w:firstLineChars="200"/>
    </w:pPr>
    <w:rPr>
      <w:rFonts w:eastAsia="楷体_GB2312"/>
      <w:kern w:val="0"/>
      <w:sz w:val="24"/>
    </w:rPr>
  </w:style>
  <w:style w:type="paragraph" w:customStyle="1" w:styleId="14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43">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144">
    <w:name w:val="Char Char71"/>
    <w:qFormat/>
    <w:uiPriority w:val="0"/>
    <w:rPr>
      <w:rFonts w:eastAsia="宋体"/>
      <w:kern w:val="2"/>
      <w:sz w:val="21"/>
      <w:szCs w:val="24"/>
      <w:lang w:val="en-US" w:eastAsia="zh-CN" w:bidi="ar-SA"/>
    </w:rPr>
  </w:style>
  <w:style w:type="character" w:customStyle="1" w:styleId="145">
    <w:name w:val="Char Char6"/>
    <w:qFormat/>
    <w:uiPriority w:val="0"/>
    <w:rPr>
      <w:rFonts w:eastAsia="宋体"/>
      <w:kern w:val="2"/>
      <w:sz w:val="21"/>
      <w:szCs w:val="24"/>
      <w:lang w:val="en-US" w:eastAsia="zh-CN" w:bidi="ar-SA"/>
    </w:rPr>
  </w:style>
  <w:style w:type="character" w:customStyle="1" w:styleId="146">
    <w:name w:val="正文缩进 Char"/>
    <w:qFormat/>
    <w:uiPriority w:val="0"/>
    <w:rPr>
      <w:rFonts w:eastAsia="宋体"/>
      <w:kern w:val="2"/>
      <w:sz w:val="21"/>
      <w:lang w:val="en-US" w:eastAsia="zh-CN"/>
    </w:rPr>
  </w:style>
  <w:style w:type="character" w:customStyle="1" w:styleId="147">
    <w:name w:val="正文首行缩进 Char1"/>
    <w:qFormat/>
    <w:uiPriority w:val="0"/>
    <w:rPr>
      <w:rFonts w:ascii="宋体" w:hAnsi="Times New Roman" w:eastAsia="宋体" w:cs="Times New Roman"/>
      <w:snapToGrid w:val="0"/>
      <w:kern w:val="2"/>
      <w:sz w:val="24"/>
      <w:szCs w:val="21"/>
      <w:lang w:val="zh-CN" w:eastAsia="zh-CN" w:bidi="ar-SA"/>
    </w:rPr>
  </w:style>
  <w:style w:type="character" w:customStyle="1" w:styleId="148">
    <w:name w:val="Char Char28"/>
    <w:qFormat/>
    <w:uiPriority w:val="0"/>
    <w:rPr>
      <w:rFonts w:ascii="仿宋_GB2312" w:hAnsi="仿宋_GB2312" w:eastAsia="仿宋_GB2312"/>
      <w:kern w:val="2"/>
      <w:sz w:val="28"/>
    </w:rPr>
  </w:style>
  <w:style w:type="character" w:customStyle="1" w:styleId="149">
    <w:name w:val="标题 3 Char1"/>
    <w:qFormat/>
    <w:uiPriority w:val="0"/>
    <w:rPr>
      <w:rFonts w:ascii="华文中宋" w:hAnsi="华文中宋" w:eastAsia="华文中宋"/>
      <w:b/>
      <w:bCs/>
      <w:kern w:val="2"/>
      <w:sz w:val="32"/>
      <w:szCs w:val="32"/>
      <w:lang w:val="en-US" w:eastAsia="zh-CN" w:bidi="ar-SA"/>
    </w:rPr>
  </w:style>
  <w:style w:type="character" w:customStyle="1" w:styleId="150">
    <w:name w:val="Heading 1 Char"/>
    <w:qFormat/>
    <w:uiPriority w:val="0"/>
    <w:rPr>
      <w:rFonts w:ascii="Times New Roman" w:hAnsi="Times New Roman" w:eastAsia="黑体" w:cs="Times New Roman"/>
      <w:b/>
      <w:kern w:val="0"/>
      <w:sz w:val="24"/>
      <w:szCs w:val="24"/>
      <w:lang w:bidi="ar-SA"/>
    </w:rPr>
  </w:style>
  <w:style w:type="paragraph" w:customStyle="1" w:styleId="151">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152">
    <w:name w:val="HTML 地址 Char1"/>
    <w:qFormat/>
    <w:uiPriority w:val="0"/>
    <w:rPr>
      <w:rFonts w:ascii="Times New Roman" w:hAnsi="Times New Roman" w:eastAsia="宋体" w:cs="Times New Roman"/>
      <w:i/>
      <w:iCs/>
      <w:szCs w:val="24"/>
      <w:lang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表正文 Char"/>
    <w:qFormat/>
    <w:uiPriority w:val="0"/>
    <w:rPr>
      <w:rFonts w:ascii="宋体" w:eastAsia="宋体"/>
      <w:snapToGrid w:val="0"/>
      <w:color w:val="000000"/>
      <w:kern w:val="28"/>
      <w:sz w:val="28"/>
      <w:lang w:val="en-US" w:eastAsia="zh-CN" w:bidi="ar-SA"/>
    </w:rPr>
  </w:style>
  <w:style w:type="character" w:customStyle="1" w:styleId="155">
    <w:name w:val="Char Char34"/>
    <w:qFormat/>
    <w:uiPriority w:val="0"/>
    <w:rPr>
      <w:b/>
      <w:kern w:val="2"/>
      <w:sz w:val="28"/>
      <w:szCs w:val="28"/>
    </w:rPr>
  </w:style>
  <w:style w:type="character" w:customStyle="1" w:styleId="156">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57">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58">
    <w:name w:val="未处理的提及1"/>
    <w:qFormat/>
    <w:uiPriority w:val="0"/>
    <w:rPr>
      <w:color w:val="808080"/>
      <w:shd w:val="clear" w:color="auto" w:fill="E6E6E6"/>
    </w:rPr>
  </w:style>
  <w:style w:type="character" w:customStyle="1" w:styleId="159">
    <w:name w:val="txt"/>
    <w:qFormat/>
    <w:uiPriority w:val="0"/>
    <w:rPr>
      <w:rFonts w:ascii="仿宋_GB2312" w:eastAsia="微软雅黑"/>
      <w:b/>
      <w:kern w:val="2"/>
      <w:sz w:val="32"/>
      <w:szCs w:val="32"/>
      <w:lang w:val="en-US" w:eastAsia="zh-CN" w:bidi="ar-SA"/>
    </w:rPr>
  </w:style>
  <w:style w:type="character" w:customStyle="1" w:styleId="160">
    <w:name w:val="二级标题 Char Char"/>
    <w:qFormat/>
    <w:uiPriority w:val="0"/>
    <w:rPr>
      <w:rFonts w:ascii="宋体" w:hAnsi="宋体" w:eastAsia="宋体"/>
      <w:b/>
      <w:snapToGrid w:val="0"/>
      <w:kern w:val="2"/>
      <w:sz w:val="24"/>
      <w:szCs w:val="24"/>
      <w:lang w:val="en-US" w:eastAsia="zh-CN" w:bidi="ar-SA"/>
    </w:rPr>
  </w:style>
  <w:style w:type="character" w:customStyle="1" w:styleId="161">
    <w:name w:val="Char Char32"/>
    <w:qFormat/>
    <w:uiPriority w:val="0"/>
    <w:rPr>
      <w:b/>
      <w:kern w:val="2"/>
      <w:sz w:val="24"/>
      <w:szCs w:val="24"/>
    </w:rPr>
  </w:style>
  <w:style w:type="character" w:customStyle="1" w:styleId="162">
    <w:name w:val="PI Char1"/>
    <w:qFormat/>
    <w:uiPriority w:val="0"/>
    <w:rPr>
      <w:rFonts w:ascii="宋体" w:hAnsi="宋体"/>
      <w:kern w:val="2"/>
      <w:sz w:val="24"/>
      <w:szCs w:val="24"/>
    </w:rPr>
  </w:style>
  <w:style w:type="character" w:customStyle="1" w:styleId="163">
    <w:name w:val="tw4winTerm"/>
    <w:qFormat/>
    <w:uiPriority w:val="0"/>
    <w:rPr>
      <w:color w:val="0000FF"/>
    </w:rPr>
  </w:style>
  <w:style w:type="character" w:customStyle="1" w:styleId="164">
    <w:name w:val="Footer Char"/>
    <w:qFormat/>
    <w:locked/>
    <w:uiPriority w:val="0"/>
    <w:rPr>
      <w:rFonts w:eastAsia="宋体"/>
      <w:kern w:val="2"/>
      <w:sz w:val="18"/>
      <w:lang w:val="en-US" w:eastAsia="zh-CN" w:bidi="ar-SA"/>
    </w:rPr>
  </w:style>
  <w:style w:type="character" w:customStyle="1" w:styleId="165">
    <w:name w:val="普通文字 Char Char1"/>
    <w:qFormat/>
    <w:uiPriority w:val="0"/>
    <w:rPr>
      <w:rFonts w:ascii="宋体" w:hAnsi="Courier New"/>
      <w:kern w:val="2"/>
      <w:sz w:val="21"/>
    </w:rPr>
  </w:style>
  <w:style w:type="character" w:customStyle="1" w:styleId="166">
    <w:name w:val="Char Char101"/>
    <w:qFormat/>
    <w:uiPriority w:val="0"/>
    <w:rPr>
      <w:rFonts w:ascii="宋体" w:hAnsi="宋体"/>
      <w:kern w:val="2"/>
      <w:sz w:val="21"/>
      <w:szCs w:val="24"/>
      <w:lang w:val="en-US" w:eastAsia="zh-CN"/>
    </w:rPr>
  </w:style>
  <w:style w:type="character" w:customStyle="1" w:styleId="167">
    <w:name w:val="链接"/>
    <w:qFormat/>
    <w:uiPriority w:val="0"/>
    <w:rPr>
      <w:color w:val="0000FF"/>
      <w:sz w:val="21"/>
      <w:szCs w:val="21"/>
      <w:u w:val="single"/>
    </w:rPr>
  </w:style>
  <w:style w:type="character" w:customStyle="1" w:styleId="168">
    <w:name w:val="h4 Char"/>
    <w:qFormat/>
    <w:uiPriority w:val="0"/>
    <w:rPr>
      <w:rFonts w:ascii="Arial" w:hAnsi="Arial" w:eastAsia="黑体"/>
      <w:b/>
      <w:bCs/>
      <w:kern w:val="2"/>
      <w:sz w:val="28"/>
      <w:szCs w:val="28"/>
      <w:lang w:val="zh-CN" w:eastAsia="zh-CN" w:bidi="ar-SA"/>
    </w:rPr>
  </w:style>
  <w:style w:type="paragraph" w:customStyle="1" w:styleId="169">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70">
    <w:name w:val="标题 3 字符"/>
    <w:qFormat/>
    <w:uiPriority w:val="0"/>
    <w:rPr>
      <w:b/>
      <w:bCs/>
      <w:kern w:val="2"/>
      <w:sz w:val="32"/>
      <w:szCs w:val="32"/>
    </w:rPr>
  </w:style>
  <w:style w:type="character" w:customStyle="1" w:styleId="171">
    <w:name w:val="样式6 Char"/>
    <w:qFormat/>
    <w:uiPriority w:val="0"/>
    <w:rPr>
      <w:rFonts w:ascii="仿宋_GB2312" w:hAnsi="宋体" w:eastAsia="仿宋_GB2312"/>
      <w:b/>
      <w:bCs/>
      <w:kern w:val="2"/>
      <w:sz w:val="24"/>
      <w:szCs w:val="24"/>
      <w:lang w:val="en-US" w:eastAsia="zh-CN" w:bidi="ar-SA"/>
    </w:rPr>
  </w:style>
  <w:style w:type="character" w:customStyle="1" w:styleId="172">
    <w:name w:val="Char Char14"/>
    <w:qFormat/>
    <w:uiPriority w:val="0"/>
    <w:rPr>
      <w:rFonts w:ascii="黑体" w:hAnsi="黑体" w:eastAsia="黑体"/>
    </w:rPr>
  </w:style>
  <w:style w:type="character" w:customStyle="1" w:styleId="173">
    <w:name w:val="Heading 2 Hidden Char"/>
    <w:qFormat/>
    <w:uiPriority w:val="0"/>
    <w:rPr>
      <w:rFonts w:ascii="仿宋_GB2312" w:eastAsia="仿宋_GB2312"/>
      <w:b/>
      <w:bCs/>
      <w:kern w:val="2"/>
      <w:sz w:val="24"/>
      <w:szCs w:val="24"/>
      <w:lang w:val="zh-CN" w:eastAsia="zh-CN" w:bidi="ar-SA"/>
    </w:rPr>
  </w:style>
  <w:style w:type="character" w:customStyle="1" w:styleId="174">
    <w:name w:val="font11"/>
    <w:qFormat/>
    <w:uiPriority w:val="0"/>
    <w:rPr>
      <w:rFonts w:ascii="Times New Roman" w:hAnsi="Times New Roman" w:cs="Times New Roman"/>
      <w:color w:val="000000"/>
      <w:sz w:val="22"/>
      <w:szCs w:val="22"/>
      <w:u w:val="none"/>
      <w:lang w:bidi="ar-SA"/>
    </w:rPr>
  </w:style>
  <w:style w:type="character" w:customStyle="1" w:styleId="175">
    <w:name w:val="表正文 Char1"/>
    <w:qFormat/>
    <w:uiPriority w:val="0"/>
    <w:rPr>
      <w:rFonts w:ascii="宋体" w:eastAsia="宋体"/>
      <w:snapToGrid w:val="0"/>
      <w:color w:val="000000"/>
      <w:kern w:val="28"/>
      <w:sz w:val="28"/>
    </w:rPr>
  </w:style>
  <w:style w:type="character" w:customStyle="1" w:styleId="176">
    <w:name w:val="blue1"/>
    <w:qFormat/>
    <w:uiPriority w:val="0"/>
    <w:rPr>
      <w:rFonts w:ascii="Arial" w:hAnsi="Arial" w:eastAsia="黑体" w:cs="Arial"/>
      <w:snapToGrid w:val="0"/>
      <w:kern w:val="0"/>
      <w:szCs w:val="21"/>
      <w:lang w:bidi="ar-SA"/>
    </w:rPr>
  </w:style>
  <w:style w:type="character" w:customStyle="1" w:styleId="177">
    <w:name w:val="标书1 Char"/>
    <w:qFormat/>
    <w:uiPriority w:val="0"/>
    <w:rPr>
      <w:rFonts w:eastAsia="宋体"/>
      <w:b/>
      <w:bCs/>
      <w:kern w:val="44"/>
      <w:sz w:val="44"/>
      <w:szCs w:val="44"/>
      <w:lang w:val="en-US" w:eastAsia="zh-CN" w:bidi="ar-SA"/>
    </w:rPr>
  </w:style>
  <w:style w:type="character" w:customStyle="1" w:styleId="178">
    <w:name w:val="样式5 Char"/>
    <w:qFormat/>
    <w:uiPriority w:val="0"/>
    <w:rPr>
      <w:rFonts w:ascii="仿宋_GB2312" w:hAnsi="仿宋" w:eastAsia="仿宋_GB2312"/>
      <w:kern w:val="2"/>
      <w:sz w:val="24"/>
      <w:szCs w:val="24"/>
    </w:rPr>
  </w:style>
  <w:style w:type="character" w:customStyle="1" w:styleId="179">
    <w:name w:val="样式4 Char"/>
    <w:qFormat/>
    <w:uiPriority w:val="0"/>
    <w:rPr>
      <w:rFonts w:ascii="仿宋_GB2312" w:hAnsi="仿宋" w:eastAsia="仿宋_GB2312"/>
      <w:b/>
      <w:kern w:val="2"/>
      <w:sz w:val="32"/>
      <w:szCs w:val="32"/>
      <w:lang w:bidi="ar-SA"/>
    </w:rPr>
  </w:style>
  <w:style w:type="paragraph" w:customStyle="1" w:styleId="180">
    <w:name w:val="正文2"/>
    <w:basedOn w:val="1"/>
    <w:qFormat/>
    <w:uiPriority w:val="0"/>
    <w:pPr>
      <w:spacing w:before="156" w:line="360" w:lineRule="auto"/>
      <w:ind w:firstLine="200" w:firstLineChars="200"/>
    </w:pPr>
    <w:rPr>
      <w:sz w:val="24"/>
      <w:szCs w:val="20"/>
    </w:rPr>
  </w:style>
  <w:style w:type="character" w:customStyle="1" w:styleId="181">
    <w:name w:val="Char Char24"/>
    <w:qFormat/>
    <w:uiPriority w:val="0"/>
    <w:rPr>
      <w:kern w:val="2"/>
      <w:sz w:val="21"/>
    </w:rPr>
  </w:style>
  <w:style w:type="character" w:customStyle="1" w:styleId="182">
    <w:name w:val="普通文字 Char1 Char"/>
    <w:qFormat/>
    <w:uiPriority w:val="0"/>
    <w:rPr>
      <w:rFonts w:ascii="宋体" w:hAnsi="Courier New" w:eastAsia="宋体"/>
      <w:kern w:val="2"/>
      <w:sz w:val="21"/>
      <w:szCs w:val="24"/>
      <w:lang w:val="en-US" w:eastAsia="zh-CN" w:bidi="ar-SA"/>
    </w:rPr>
  </w:style>
  <w:style w:type="character" w:customStyle="1" w:styleId="183">
    <w:name w:val="h3 Char1"/>
    <w:qFormat/>
    <w:uiPriority w:val="0"/>
    <w:rPr>
      <w:rFonts w:eastAsia="宋体"/>
      <w:b/>
      <w:bCs/>
      <w:kern w:val="2"/>
      <w:sz w:val="32"/>
      <w:szCs w:val="32"/>
      <w:lang w:bidi="ar-SA"/>
    </w:rPr>
  </w:style>
  <w:style w:type="character" w:customStyle="1" w:styleId="184">
    <w:name w:val="标题 Char1"/>
    <w:qFormat/>
    <w:uiPriority w:val="0"/>
    <w:rPr>
      <w:rFonts w:ascii="Cambria" w:hAnsi="Cambria" w:eastAsia="宋体" w:cs="Times New Roman"/>
      <w:b/>
      <w:bCs/>
      <w:sz w:val="32"/>
      <w:szCs w:val="32"/>
      <w:lang w:bidi="ar-SA"/>
    </w:rPr>
  </w:style>
  <w:style w:type="character" w:customStyle="1" w:styleId="185">
    <w:name w:val="gf正文1 Char"/>
    <w:qFormat/>
    <w:uiPriority w:val="0"/>
    <w:rPr>
      <w:rFonts w:ascii="宋体" w:hAnsi="宋体" w:eastAsia="宋体" w:cs="宋体"/>
      <w:kern w:val="2"/>
      <w:sz w:val="24"/>
      <w:szCs w:val="24"/>
      <w:lang w:val="en-US" w:eastAsia="zh-CN" w:bidi="ar-SA"/>
    </w:rPr>
  </w:style>
  <w:style w:type="character" w:customStyle="1" w:styleId="186">
    <w:name w:val="正文文本缩进 Char1"/>
    <w:qFormat/>
    <w:uiPriority w:val="0"/>
    <w:rPr>
      <w:rFonts w:ascii="Calibri" w:hAnsi="Calibri"/>
      <w:sz w:val="28"/>
    </w:rPr>
  </w:style>
  <w:style w:type="paragraph" w:customStyle="1" w:styleId="187">
    <w:name w:val="无间隔1"/>
    <w:qFormat/>
    <w:uiPriority w:val="0"/>
    <w:rPr>
      <w:rFonts w:ascii="Times New Roman" w:hAnsi="Times New Roman" w:eastAsia="宋体" w:cs="Times New Roman"/>
      <w:sz w:val="22"/>
      <w:szCs w:val="22"/>
      <w:lang w:val="en-US" w:eastAsia="zh-CN" w:bidi="ar-SA"/>
    </w:rPr>
  </w:style>
  <w:style w:type="character" w:customStyle="1" w:styleId="188">
    <w:name w:val="样式7 Char"/>
    <w:qFormat/>
    <w:uiPriority w:val="0"/>
    <w:rPr>
      <w:rFonts w:ascii="仿宋_GB2312" w:hAnsi="仿宋" w:eastAsia="仿宋_GB2312"/>
      <w:b/>
      <w:kern w:val="2"/>
      <w:sz w:val="24"/>
      <w:szCs w:val="24"/>
    </w:rPr>
  </w:style>
  <w:style w:type="character" w:customStyle="1" w:styleId="189">
    <w:name w:val="font12gray1"/>
    <w:qFormat/>
    <w:uiPriority w:val="0"/>
    <w:rPr>
      <w:rFonts w:ascii="仿宋_GB2312" w:eastAsia="微软雅黑"/>
      <w:b/>
      <w:spacing w:val="300"/>
      <w:kern w:val="2"/>
      <w:sz w:val="18"/>
      <w:szCs w:val="18"/>
      <w:lang w:val="en-US" w:eastAsia="zh-CN" w:bidi="ar-SA"/>
    </w:rPr>
  </w:style>
  <w:style w:type="character" w:customStyle="1" w:styleId="190">
    <w:name w:val="Char Char7"/>
    <w:qFormat/>
    <w:uiPriority w:val="0"/>
    <w:rPr>
      <w:rFonts w:eastAsia="宋体"/>
      <w:kern w:val="2"/>
      <w:sz w:val="21"/>
      <w:szCs w:val="24"/>
      <w:lang w:val="en-US" w:eastAsia="zh-CN" w:bidi="ar-SA"/>
    </w:rPr>
  </w:style>
  <w:style w:type="character" w:customStyle="1" w:styleId="191">
    <w:name w:val="表名 Char"/>
    <w:qFormat/>
    <w:uiPriority w:val="0"/>
    <w:rPr>
      <w:rFonts w:eastAsia="宋体"/>
      <w:b/>
      <w:bCs/>
      <w:kern w:val="2"/>
      <w:sz w:val="24"/>
      <w:szCs w:val="24"/>
      <w:lang w:val="en-US" w:eastAsia="zh-CN" w:bidi="ar-SA"/>
    </w:rPr>
  </w:style>
  <w:style w:type="character" w:customStyle="1" w:styleId="192">
    <w:name w:val="Document Map Char"/>
    <w:qFormat/>
    <w:locked/>
    <w:uiPriority w:val="0"/>
    <w:rPr>
      <w:rFonts w:eastAsia="宋体"/>
      <w:kern w:val="2"/>
      <w:sz w:val="21"/>
      <w:szCs w:val="24"/>
      <w:lang w:val="en-US" w:eastAsia="zh-CN" w:bidi="ar-SA"/>
    </w:rPr>
  </w:style>
  <w:style w:type="character" w:customStyle="1" w:styleId="193">
    <w:name w:val="font41"/>
    <w:qFormat/>
    <w:uiPriority w:val="0"/>
    <w:rPr>
      <w:rFonts w:ascii="仿宋_GB2312" w:eastAsia="仿宋_GB2312" w:cs="仿宋_GB2312"/>
      <w:color w:val="000000"/>
      <w:sz w:val="22"/>
      <w:szCs w:val="22"/>
      <w:u w:val="none"/>
      <w:lang w:bidi="ar-SA"/>
    </w:rPr>
  </w:style>
  <w:style w:type="paragraph" w:customStyle="1" w:styleId="194">
    <w:name w:val="纯文本_0_0"/>
    <w:basedOn w:val="195"/>
    <w:qFormat/>
    <w:uiPriority w:val="0"/>
    <w:rPr>
      <w:rFonts w:ascii="宋体" w:hAnsi="Courier New"/>
      <w:szCs w:val="21"/>
    </w:rPr>
  </w:style>
  <w:style w:type="paragraph" w:customStyle="1" w:styleId="1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alloon Text Char"/>
    <w:qFormat/>
    <w:locked/>
    <w:uiPriority w:val="0"/>
    <w:rPr>
      <w:rFonts w:eastAsia="宋体"/>
      <w:kern w:val="2"/>
      <w:sz w:val="18"/>
      <w:szCs w:val="18"/>
      <w:lang w:val="en-US" w:eastAsia="zh-CN" w:bidi="ar-SA"/>
    </w:rPr>
  </w:style>
  <w:style w:type="character" w:customStyle="1" w:styleId="197">
    <w:name w:val="正文 项目2 Char"/>
    <w:qFormat/>
    <w:uiPriority w:val="0"/>
    <w:rPr>
      <w:rFonts w:ascii="仿宋_GB2312" w:hAnsi="仿宋_GB2312" w:eastAsia="仿宋_GB2312"/>
      <w:kern w:val="2"/>
      <w:sz w:val="24"/>
      <w:lang w:bidi="ar-SA"/>
    </w:rPr>
  </w:style>
  <w:style w:type="character" w:customStyle="1" w:styleId="198">
    <w:name w:val="正文 项目 Char"/>
    <w:qFormat/>
    <w:uiPriority w:val="0"/>
    <w:rPr>
      <w:rFonts w:ascii="仿宋_GB2312" w:hAnsi="仿宋_GB2312" w:eastAsia="仿宋_GB2312"/>
      <w:kern w:val="2"/>
      <w:sz w:val="24"/>
      <w:lang w:bidi="ar-SA"/>
    </w:rPr>
  </w:style>
  <w:style w:type="character" w:customStyle="1" w:styleId="199">
    <w:name w:val="h Char Char1"/>
    <w:qFormat/>
    <w:uiPriority w:val="0"/>
    <w:rPr>
      <w:rFonts w:eastAsia="宋体"/>
      <w:kern w:val="2"/>
      <w:sz w:val="18"/>
      <w:szCs w:val="18"/>
      <w:lang w:val="en-US" w:eastAsia="zh-CN" w:bidi="ar-SA"/>
    </w:rPr>
  </w:style>
  <w:style w:type="character" w:customStyle="1" w:styleId="200">
    <w:name w:val="Char Char27"/>
    <w:qFormat/>
    <w:uiPriority w:val="0"/>
    <w:rPr>
      <w:rFonts w:ascii="宋体" w:hAnsi="宋体" w:eastAsia="宋体"/>
      <w:color w:val="000000"/>
      <w:kern w:val="2"/>
      <w:sz w:val="28"/>
      <w:lang w:val="en-US" w:eastAsia="zh-CN" w:bidi="ar-SA"/>
    </w:rPr>
  </w:style>
  <w:style w:type="character" w:customStyle="1" w:styleId="201">
    <w:name w:val="px14"/>
    <w:qFormat/>
    <w:uiPriority w:val="0"/>
    <w:rPr>
      <w:rFonts w:ascii="仿宋_GB2312" w:eastAsia="微软雅黑" w:cs="Times New Roman"/>
      <w:b/>
      <w:kern w:val="2"/>
      <w:sz w:val="32"/>
      <w:szCs w:val="32"/>
      <w:lang w:val="en-US" w:eastAsia="zh-CN" w:bidi="ar-SA"/>
    </w:rPr>
  </w:style>
  <w:style w:type="character" w:customStyle="1" w:styleId="202">
    <w:name w:val="HTML 预设格式 Char1"/>
    <w:qFormat/>
    <w:uiPriority w:val="0"/>
    <w:rPr>
      <w:rFonts w:ascii="Courier New" w:hAnsi="Courier New" w:eastAsia="宋体" w:cs="Courier New"/>
      <w:sz w:val="20"/>
      <w:szCs w:val="20"/>
      <w:lang w:bidi="ar-SA"/>
    </w:rPr>
  </w:style>
  <w:style w:type="character" w:customStyle="1" w:styleId="203">
    <w:name w:val="普通文字 Char1"/>
    <w:qFormat/>
    <w:uiPriority w:val="0"/>
    <w:rPr>
      <w:rFonts w:ascii="宋体" w:hAnsi="Courier New" w:eastAsia="宋体"/>
      <w:kern w:val="2"/>
      <w:sz w:val="21"/>
      <w:lang w:val="en-US" w:eastAsia="zh-CN"/>
    </w:rPr>
  </w:style>
  <w:style w:type="character" w:customStyle="1" w:styleId="204">
    <w:name w:val="hei16b1"/>
    <w:qFormat/>
    <w:uiPriority w:val="0"/>
    <w:rPr>
      <w:rFonts w:ascii="Arial" w:hAnsi="Arial" w:cs="Arial"/>
      <w:b/>
      <w:bCs/>
      <w:color w:val="000000"/>
      <w:sz w:val="24"/>
      <w:szCs w:val="24"/>
      <w:lang w:bidi="ar-SA"/>
    </w:rPr>
  </w:style>
  <w:style w:type="paragraph" w:customStyle="1" w:styleId="20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06">
    <w:name w:val="Char Char19"/>
    <w:qFormat/>
    <w:uiPriority w:val="0"/>
    <w:rPr>
      <w:rFonts w:ascii="宋体" w:hAnsi="宋体"/>
      <w:i/>
      <w:sz w:val="24"/>
      <w:szCs w:val="24"/>
    </w:rPr>
  </w:style>
  <w:style w:type="character" w:customStyle="1" w:styleId="207">
    <w:name w:val="页脚 Char"/>
    <w:qFormat/>
    <w:uiPriority w:val="0"/>
    <w:rPr>
      <w:rFonts w:eastAsia="仿宋_GB2312"/>
      <w:kern w:val="2"/>
      <w:sz w:val="18"/>
      <w:lang w:val="en-US" w:eastAsia="zh-CN"/>
    </w:rPr>
  </w:style>
  <w:style w:type="character" w:customStyle="1" w:styleId="208">
    <w:name w:val="批注主题 Char"/>
    <w:qFormat/>
    <w:uiPriority w:val="0"/>
    <w:rPr>
      <w:rFonts w:eastAsia="宋体"/>
      <w:b/>
      <w:bCs/>
      <w:kern w:val="2"/>
      <w:sz w:val="21"/>
      <w:szCs w:val="24"/>
      <w:lang w:val="en-US" w:eastAsia="zh-CN" w:bidi="ar-SA"/>
    </w:rPr>
  </w:style>
  <w:style w:type="character" w:customStyle="1" w:styleId="209">
    <w:name w:val="Comment Text Char"/>
    <w:qFormat/>
    <w:locked/>
    <w:uiPriority w:val="0"/>
    <w:rPr>
      <w:rFonts w:ascii="宋体" w:hAnsi="宋体" w:eastAsia="宋体"/>
      <w:kern w:val="2"/>
      <w:sz w:val="24"/>
      <w:lang w:val="en-US" w:eastAsia="zh-CN" w:bidi="ar-SA"/>
    </w:rPr>
  </w:style>
  <w:style w:type="character" w:customStyle="1" w:styleId="210">
    <w:name w:val="标题 2 字符"/>
    <w:qFormat/>
    <w:uiPriority w:val="0"/>
    <w:rPr>
      <w:rFonts w:ascii="仿宋_GB2312" w:hAnsi="Times New Roman" w:eastAsia="仿宋_GB2312" w:cs="Times New Roman"/>
      <w:b/>
      <w:kern w:val="2"/>
      <w:sz w:val="24"/>
      <w:lang w:val="zh-CN" w:eastAsia="zh-CN" w:bidi="ar-SA"/>
    </w:rPr>
  </w:style>
  <w:style w:type="character" w:customStyle="1" w:styleId="211">
    <w:name w:val="Char Char72"/>
    <w:qFormat/>
    <w:uiPriority w:val="0"/>
    <w:rPr>
      <w:rFonts w:eastAsia="宋体"/>
      <w:kern w:val="2"/>
      <w:sz w:val="21"/>
      <w:szCs w:val="24"/>
      <w:lang w:val="en-US" w:eastAsia="zh-CN" w:bidi="ar-SA"/>
    </w:rPr>
  </w:style>
  <w:style w:type="character" w:customStyle="1" w:styleId="212">
    <w:name w:val="正文文本缩进 Char2"/>
    <w:qFormat/>
    <w:uiPriority w:val="0"/>
    <w:rPr>
      <w:rFonts w:ascii="Times New Roman" w:hAnsi="Times New Roman" w:eastAsia="宋体" w:cs="Times New Roman"/>
      <w:snapToGrid w:val="0"/>
      <w:kern w:val="0"/>
      <w:szCs w:val="24"/>
      <w:lang w:bidi="ar-SA"/>
    </w:rPr>
  </w:style>
  <w:style w:type="character" w:customStyle="1" w:styleId="213">
    <w:name w:val="样式2 Char"/>
    <w:qFormat/>
    <w:uiPriority w:val="0"/>
    <w:rPr>
      <w:rFonts w:ascii="仿宋_GB2312" w:hAnsi="仿宋" w:eastAsia="仿宋_GB2312" w:cs="仿宋_GB2312"/>
      <w:b/>
      <w:bCs/>
      <w:sz w:val="32"/>
      <w:szCs w:val="30"/>
      <w:lang w:val="zh-CN" w:eastAsia="zh-CN" w:bidi="ar-SA"/>
    </w:rPr>
  </w:style>
  <w:style w:type="paragraph" w:customStyle="1" w:styleId="214">
    <w:name w:val="表格名称"/>
    <w:basedOn w:val="4"/>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15">
    <w:name w:val="Char Char4"/>
    <w:qFormat/>
    <w:uiPriority w:val="0"/>
    <w:rPr>
      <w:rFonts w:eastAsia="宋体"/>
      <w:b/>
      <w:sz w:val="24"/>
      <w:lang w:val="en-GB" w:eastAsia="zh-CN" w:bidi="ar-SA"/>
    </w:rPr>
  </w:style>
  <w:style w:type="character" w:customStyle="1" w:styleId="216">
    <w:name w:val="c7 style3"/>
    <w:qFormat/>
    <w:uiPriority w:val="0"/>
  </w:style>
  <w:style w:type="character" w:customStyle="1" w:styleId="217">
    <w:name w:val="正文文本 3 Char1"/>
    <w:qFormat/>
    <w:uiPriority w:val="0"/>
    <w:rPr>
      <w:rFonts w:ascii="Times New Roman" w:hAnsi="Times New Roman" w:eastAsia="宋体" w:cs="Times New Roman"/>
      <w:sz w:val="16"/>
      <w:szCs w:val="16"/>
      <w:lang w:bidi="ar-SA"/>
    </w:rPr>
  </w:style>
  <w:style w:type="character" w:customStyle="1" w:styleId="218">
    <w:name w:val="tw4winInternal"/>
    <w:qFormat/>
    <w:uiPriority w:val="0"/>
    <w:rPr>
      <w:rFonts w:ascii="Courier New" w:hAnsi="Courier New" w:cs="Courier New"/>
      <w:color w:val="FF0000"/>
      <w:lang w:val="en-US" w:eastAsia="zh-CN" w:bidi="ar-SA"/>
    </w:rPr>
  </w:style>
  <w:style w:type="character" w:customStyle="1" w:styleId="219">
    <w:name w:val="Char Char10"/>
    <w:qFormat/>
    <w:uiPriority w:val="0"/>
    <w:rPr>
      <w:rFonts w:ascii="宋体" w:hAnsi="宋体"/>
      <w:kern w:val="2"/>
      <w:sz w:val="21"/>
      <w:szCs w:val="24"/>
      <w:lang w:val="en-US" w:eastAsia="zh-CN"/>
    </w:rPr>
  </w:style>
  <w:style w:type="character" w:customStyle="1" w:styleId="220">
    <w:name w:val="shadow11"/>
    <w:qFormat/>
    <w:uiPriority w:val="0"/>
    <w:rPr>
      <w:color w:val="000000"/>
      <w:sz w:val="21"/>
    </w:rPr>
  </w:style>
  <w:style w:type="character" w:customStyle="1" w:styleId="221">
    <w:name w:val="正文非缩进 Char3"/>
    <w:qFormat/>
    <w:uiPriority w:val="0"/>
    <w:rPr>
      <w:rFonts w:ascii="宋体" w:eastAsia="宋体"/>
      <w:snapToGrid w:val="0"/>
      <w:color w:val="000000"/>
      <w:kern w:val="28"/>
      <w:sz w:val="28"/>
      <w:lang w:val="en-US" w:eastAsia="zh-CN" w:bidi="ar-SA"/>
    </w:rPr>
  </w:style>
  <w:style w:type="character" w:customStyle="1" w:styleId="222">
    <w:name w:val="Char Char"/>
    <w:qFormat/>
    <w:uiPriority w:val="0"/>
    <w:rPr>
      <w:rFonts w:ascii="宋体" w:hAnsi="Courier New" w:eastAsia="宋体"/>
      <w:kern w:val="2"/>
      <w:sz w:val="21"/>
      <w:lang w:val="en-US" w:eastAsia="zh-CN" w:bidi="ar-SA"/>
    </w:rPr>
  </w:style>
  <w:style w:type="character" w:customStyle="1" w:styleId="223">
    <w:name w:val="签名 Char1"/>
    <w:qFormat/>
    <w:uiPriority w:val="0"/>
    <w:rPr>
      <w:rFonts w:ascii="Times New Roman" w:hAnsi="Times New Roman" w:eastAsia="宋体" w:cs="Times New Roman"/>
      <w:szCs w:val="24"/>
      <w:lang w:bidi="ar-SA"/>
    </w:rPr>
  </w:style>
  <w:style w:type="character" w:customStyle="1" w:styleId="224">
    <w:name w:val="Char Char18"/>
    <w:qFormat/>
    <w:uiPriority w:val="0"/>
    <w:rPr>
      <w:rFonts w:ascii="宋体" w:hAnsi="宋体"/>
      <w:sz w:val="28"/>
    </w:rPr>
  </w:style>
  <w:style w:type="character" w:customStyle="1" w:styleId="225">
    <w:name w:val="批注文字 Char"/>
    <w:qFormat/>
    <w:uiPriority w:val="0"/>
    <w:rPr>
      <w:kern w:val="2"/>
      <w:sz w:val="21"/>
      <w:szCs w:val="24"/>
    </w:rPr>
  </w:style>
  <w:style w:type="character" w:customStyle="1" w:styleId="226">
    <w:name w:val="Char Char22"/>
    <w:qFormat/>
    <w:uiPriority w:val="0"/>
    <w:rPr>
      <w:rFonts w:ascii="宋体" w:hAnsi="宋体"/>
      <w:kern w:val="2"/>
      <w:sz w:val="24"/>
      <w:szCs w:val="24"/>
    </w:rPr>
  </w:style>
  <w:style w:type="character" w:customStyle="1" w:styleId="227">
    <w:name w:val="pt141"/>
    <w:qFormat/>
    <w:uiPriority w:val="0"/>
    <w:rPr>
      <w:color w:val="330066"/>
      <w:sz w:val="22"/>
      <w:szCs w:val="22"/>
    </w:rPr>
  </w:style>
  <w:style w:type="character" w:customStyle="1" w:styleId="228">
    <w:name w:val="正文文本缩进 2 Char1"/>
    <w:qFormat/>
    <w:uiPriority w:val="0"/>
    <w:rPr>
      <w:rFonts w:ascii="Times New Roman" w:hAnsi="Times New Roman" w:eastAsia="宋体" w:cs="Times New Roman"/>
      <w:szCs w:val="24"/>
      <w:lang w:bidi="ar-SA"/>
    </w:rPr>
  </w:style>
  <w:style w:type="character" w:customStyle="1" w:styleId="229">
    <w:name w:val="Char Char611"/>
    <w:qFormat/>
    <w:uiPriority w:val="0"/>
    <w:rPr>
      <w:rFonts w:eastAsia="宋体"/>
      <w:kern w:val="2"/>
      <w:sz w:val="21"/>
      <w:szCs w:val="24"/>
      <w:lang w:val="en-US" w:eastAsia="zh-CN" w:bidi="ar-SA"/>
    </w:rPr>
  </w:style>
  <w:style w:type="character" w:customStyle="1" w:styleId="230">
    <w:name w:val="highlight1"/>
    <w:qFormat/>
    <w:uiPriority w:val="0"/>
    <w:rPr>
      <w:rFonts w:ascii="仿宋_GB2312" w:eastAsia="微软雅黑"/>
      <w:b/>
      <w:kern w:val="2"/>
      <w:sz w:val="23"/>
      <w:szCs w:val="23"/>
      <w:lang w:val="en-US" w:eastAsia="zh-CN" w:bidi="ar-SA"/>
    </w:rPr>
  </w:style>
  <w:style w:type="paragraph" w:customStyle="1" w:styleId="231">
    <w:name w:val="my正文"/>
    <w:basedOn w:val="1"/>
    <w:qFormat/>
    <w:uiPriority w:val="0"/>
    <w:pPr>
      <w:adjustRightInd/>
      <w:spacing w:line="360" w:lineRule="auto"/>
      <w:ind w:firstLine="200" w:firstLineChars="200"/>
    </w:pPr>
    <w:rPr>
      <w:rFonts w:ascii="Tahoma" w:hAnsi="Tahoma"/>
      <w:kern w:val="0"/>
      <w:sz w:val="24"/>
    </w:rPr>
  </w:style>
  <w:style w:type="character" w:customStyle="1" w:styleId="232">
    <w:name w:val="Used by Word for text of Help footnotes Char Char1"/>
    <w:qFormat/>
    <w:uiPriority w:val="0"/>
    <w:rPr>
      <w:color w:val="0000FF"/>
      <w:sz w:val="21"/>
    </w:rPr>
  </w:style>
  <w:style w:type="character" w:customStyle="1" w:styleId="233">
    <w:name w:val="页眉 Char"/>
    <w:qFormat/>
    <w:uiPriority w:val="0"/>
    <w:rPr>
      <w:rFonts w:eastAsia="仿宋_GB2312"/>
      <w:kern w:val="2"/>
      <w:sz w:val="18"/>
      <w:lang w:val="en-US" w:eastAsia="zh-CN"/>
    </w:rPr>
  </w:style>
  <w:style w:type="character" w:customStyle="1" w:styleId="234">
    <w:name w:val="FA正文 Char Char"/>
    <w:qFormat/>
    <w:uiPriority w:val="0"/>
    <w:rPr>
      <w:rFonts w:hAnsi="宋体"/>
      <w:kern w:val="2"/>
      <w:sz w:val="24"/>
      <w:lang w:bidi="ar-SA"/>
    </w:rPr>
  </w:style>
  <w:style w:type="character" w:customStyle="1" w:styleId="235">
    <w:name w:val="纯文本 字符"/>
    <w:qFormat/>
    <w:uiPriority w:val="0"/>
    <w:rPr>
      <w:rFonts w:ascii="宋体" w:hAnsi="Courier New" w:eastAsia="宋体" w:cs="Arial"/>
      <w:snapToGrid w:val="0"/>
      <w:kern w:val="2"/>
      <w:sz w:val="21"/>
      <w:szCs w:val="21"/>
      <w:lang w:val="en-US" w:eastAsia="zh-CN" w:bidi="ar-SA"/>
    </w:rPr>
  </w:style>
  <w:style w:type="paragraph" w:customStyle="1" w:styleId="236">
    <w:name w:val="3级"/>
    <w:basedOn w:val="237"/>
    <w:qFormat/>
    <w:uiPriority w:val="0"/>
    <w:pPr>
      <w:ind w:left="0" w:firstLine="288"/>
    </w:pPr>
    <w:rPr>
      <w:rFonts w:hAnsi="宋体"/>
      <w:snapToGrid/>
    </w:rPr>
  </w:style>
  <w:style w:type="paragraph" w:customStyle="1" w:styleId="237">
    <w:name w:val="样式 标题 3h33rd level3BOD 0H3l3CTHeading 3 - oldLevel 3 He..."/>
    <w:basedOn w:val="5"/>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character" w:customStyle="1" w:styleId="238">
    <w:name w:val="myp11"/>
    <w:qFormat/>
    <w:uiPriority w:val="0"/>
    <w:rPr>
      <w:rFonts w:ascii="仿宋_GB2312" w:eastAsia="微软雅黑"/>
      <w:b/>
      <w:kern w:val="2"/>
      <w:sz w:val="32"/>
      <w:szCs w:val="32"/>
      <w:lang w:val="en-US" w:eastAsia="zh-CN" w:bidi="ar-SA"/>
    </w:rPr>
  </w:style>
  <w:style w:type="character" w:customStyle="1" w:styleId="239">
    <w:name w:val="H6 Char"/>
    <w:qFormat/>
    <w:uiPriority w:val="0"/>
    <w:rPr>
      <w:rFonts w:ascii="Arial" w:hAnsi="Arial" w:eastAsia="黑体"/>
      <w:b/>
      <w:bCs/>
      <w:kern w:val="2"/>
      <w:sz w:val="24"/>
      <w:szCs w:val="24"/>
    </w:rPr>
  </w:style>
  <w:style w:type="character" w:customStyle="1" w:styleId="240">
    <w:name w:val="Char Char91"/>
    <w:qFormat/>
    <w:uiPriority w:val="0"/>
    <w:rPr>
      <w:rFonts w:eastAsia="宋体"/>
      <w:kern w:val="2"/>
      <w:sz w:val="18"/>
      <w:szCs w:val="18"/>
      <w:lang w:val="en-US" w:eastAsia="zh-CN" w:bidi="ar-SA"/>
    </w:rPr>
  </w:style>
  <w:style w:type="character" w:customStyle="1" w:styleId="241">
    <w:name w:val="副标题 Char1"/>
    <w:qFormat/>
    <w:uiPriority w:val="0"/>
    <w:rPr>
      <w:rFonts w:ascii="Cambria" w:hAnsi="Cambria" w:eastAsia="宋体" w:cs="Times New Roman"/>
      <w:b/>
      <w:bCs/>
      <w:snapToGrid w:val="0"/>
      <w:kern w:val="28"/>
      <w:sz w:val="32"/>
      <w:szCs w:val="32"/>
      <w:lang w:bidi="ar-SA"/>
    </w:rPr>
  </w:style>
  <w:style w:type="character" w:customStyle="1" w:styleId="242">
    <w:name w:val="font61"/>
    <w:qFormat/>
    <w:uiPriority w:val="0"/>
    <w:rPr>
      <w:rFonts w:ascii="仿宋" w:hAnsi="仿宋" w:eastAsia="仿宋" w:cs="仿宋"/>
      <w:color w:val="000000"/>
      <w:sz w:val="20"/>
      <w:szCs w:val="20"/>
      <w:u w:val="none"/>
      <w:lang w:bidi="ar-SA"/>
    </w:rPr>
  </w:style>
  <w:style w:type="character" w:customStyle="1" w:styleId="2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44">
    <w:name w:val="Char Char211"/>
    <w:qFormat/>
    <w:uiPriority w:val="0"/>
    <w:rPr>
      <w:rFonts w:eastAsia="宋体"/>
      <w:b/>
      <w:bCs/>
      <w:kern w:val="2"/>
      <w:sz w:val="21"/>
      <w:szCs w:val="24"/>
      <w:lang w:val="en-US" w:eastAsia="zh-CN" w:bidi="ar-SA"/>
    </w:rPr>
  </w:style>
  <w:style w:type="character" w:customStyle="1" w:styleId="245">
    <w:name w:val="标题 2 Char"/>
    <w:qFormat/>
    <w:uiPriority w:val="0"/>
    <w:rPr>
      <w:rFonts w:ascii="Arial" w:hAnsi="Arial" w:eastAsia="黑体"/>
      <w:b/>
      <w:kern w:val="2"/>
      <w:sz w:val="32"/>
      <w:lang w:val="en-US" w:eastAsia="zh-CN"/>
    </w:rPr>
  </w:style>
  <w:style w:type="character" w:customStyle="1" w:styleId="246">
    <w:name w:val="maywed421"/>
    <w:qFormat/>
    <w:uiPriority w:val="0"/>
    <w:rPr>
      <w:color w:val="366FB6"/>
      <w:u w:val="none"/>
    </w:rPr>
  </w:style>
  <w:style w:type="character" w:customStyle="1" w:styleId="247">
    <w:name w:val="正文文本缩进 Char"/>
    <w:qFormat/>
    <w:uiPriority w:val="0"/>
    <w:rPr>
      <w:rFonts w:ascii="宋体" w:hAnsi="宋体"/>
      <w:kern w:val="2"/>
      <w:sz w:val="24"/>
      <w:szCs w:val="24"/>
    </w:rPr>
  </w:style>
  <w:style w:type="character" w:customStyle="1" w:styleId="248">
    <w:name w:val="Char Char102"/>
    <w:qFormat/>
    <w:uiPriority w:val="0"/>
    <w:rPr>
      <w:rFonts w:ascii="宋体" w:hAnsi="宋体"/>
      <w:kern w:val="2"/>
      <w:sz w:val="21"/>
      <w:szCs w:val="24"/>
      <w:lang w:val="en-US" w:eastAsia="zh-CN"/>
    </w:rPr>
  </w:style>
  <w:style w:type="character" w:customStyle="1" w:styleId="249">
    <w:name w:val="页眉 Char1"/>
    <w:qFormat/>
    <w:uiPriority w:val="0"/>
    <w:rPr>
      <w:rFonts w:eastAsia="宋体"/>
      <w:kern w:val="2"/>
      <w:sz w:val="18"/>
      <w:szCs w:val="18"/>
      <w:lang w:val="en-US" w:eastAsia="zh-CN" w:bidi="ar-SA"/>
    </w:rPr>
  </w:style>
  <w:style w:type="character" w:customStyle="1" w:styleId="250">
    <w:name w:val="md"/>
    <w:qFormat/>
    <w:uiPriority w:val="0"/>
    <w:rPr>
      <w:rFonts w:ascii="Arial" w:hAnsi="Arial" w:eastAsia="黑体" w:cs="Arial"/>
      <w:snapToGrid w:val="0"/>
      <w:kern w:val="0"/>
      <w:szCs w:val="21"/>
      <w:lang w:bidi="ar-SA"/>
    </w:rPr>
  </w:style>
  <w:style w:type="character" w:customStyle="1" w:styleId="251">
    <w:name w:val="big1"/>
    <w:qFormat/>
    <w:uiPriority w:val="0"/>
    <w:rPr>
      <w:rFonts w:ascii="宋体" w:hAnsi="宋体" w:eastAsia="宋体"/>
      <w:color w:val="333333"/>
      <w:sz w:val="22"/>
      <w:szCs w:val="22"/>
    </w:rPr>
  </w:style>
  <w:style w:type="character" w:customStyle="1" w:styleId="252">
    <w:name w:val="Char Char311"/>
    <w:qFormat/>
    <w:uiPriority w:val="0"/>
    <w:rPr>
      <w:rFonts w:eastAsia="宋体"/>
      <w:kern w:val="2"/>
      <w:sz w:val="21"/>
      <w:szCs w:val="24"/>
      <w:lang w:val="en-US" w:eastAsia="zh-CN" w:bidi="ar-SA"/>
    </w:rPr>
  </w:style>
  <w:style w:type="character" w:customStyle="1" w:styleId="253">
    <w:name w:val="Char Char81"/>
    <w:qFormat/>
    <w:uiPriority w:val="0"/>
    <w:rPr>
      <w:rFonts w:eastAsia="宋体"/>
      <w:b/>
      <w:sz w:val="24"/>
      <w:lang w:val="en-GB" w:eastAsia="zh-CN"/>
    </w:rPr>
  </w:style>
  <w:style w:type="character" w:customStyle="1" w:styleId="254">
    <w:name w:val="样式3 Char"/>
    <w:qFormat/>
    <w:uiPriority w:val="0"/>
    <w:rPr>
      <w:rFonts w:ascii="仿宋_GB2312" w:hAnsi="仿宋" w:eastAsia="仿宋_GB2312" w:cs="仿宋_GB2312"/>
      <w:sz w:val="32"/>
      <w:szCs w:val="30"/>
      <w:lang w:val="zh-CN" w:eastAsia="zh-CN" w:bidi="ar-SA"/>
    </w:rPr>
  </w:style>
  <w:style w:type="character" w:customStyle="1" w:styleId="255">
    <w:name w:val="正文首行缩进 2 Char1"/>
    <w:qFormat/>
    <w:uiPriority w:val="0"/>
    <w:rPr>
      <w:rFonts w:ascii="Times New Roman" w:hAnsi="Times New Roman" w:eastAsia="宋体" w:cs="Times New Roman"/>
      <w:kern w:val="2"/>
      <w:sz w:val="24"/>
      <w:szCs w:val="24"/>
      <w:lang w:bidi="ar-SA"/>
    </w:rPr>
  </w:style>
  <w:style w:type="character" w:customStyle="1" w:styleId="256">
    <w:name w:val="副标题 Char2"/>
    <w:qFormat/>
    <w:uiPriority w:val="0"/>
    <w:rPr>
      <w:rFonts w:ascii="Cambria" w:hAnsi="Cambria" w:eastAsia="宋体" w:cs="Times New Roman"/>
      <w:b/>
      <w:bCs/>
      <w:snapToGrid w:val="0"/>
      <w:kern w:val="28"/>
      <w:sz w:val="32"/>
      <w:szCs w:val="32"/>
      <w:lang w:bidi="ar-SA"/>
    </w:rPr>
  </w:style>
  <w:style w:type="paragraph" w:customStyle="1" w:styleId="257">
    <w:name w:val="标题4-dyf"/>
    <w:basedOn w:val="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8">
    <w:name w:val="dectext1"/>
    <w:qFormat/>
    <w:uiPriority w:val="0"/>
    <w:rPr>
      <w:rFonts w:ascii="宋体" w:hAnsi="宋体" w:eastAsia="宋体"/>
      <w:color w:val="333333"/>
      <w:sz w:val="21"/>
      <w:szCs w:val="21"/>
      <w:u w:val="none"/>
    </w:rPr>
  </w:style>
  <w:style w:type="paragraph" w:customStyle="1" w:styleId="259">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60">
    <w:name w:val="Header Char"/>
    <w:qFormat/>
    <w:locked/>
    <w:uiPriority w:val="0"/>
    <w:rPr>
      <w:rFonts w:eastAsia="宋体"/>
      <w:kern w:val="2"/>
      <w:sz w:val="18"/>
      <w:szCs w:val="18"/>
      <w:lang w:val="en-US" w:eastAsia="zh-CN" w:bidi="ar-SA"/>
    </w:rPr>
  </w:style>
  <w:style w:type="character" w:customStyle="1" w:styleId="261">
    <w:name w:val="Char Char12"/>
    <w:qFormat/>
    <w:uiPriority w:val="0"/>
    <w:rPr>
      <w:rFonts w:ascii="仿宋_GB2312" w:eastAsia="仿宋_GB2312"/>
      <w:b/>
      <w:bCs/>
      <w:kern w:val="2"/>
      <w:sz w:val="24"/>
      <w:szCs w:val="24"/>
      <w:lang w:val="zh-CN" w:eastAsia="zh-CN" w:bidi="ar-SA"/>
    </w:rPr>
  </w:style>
  <w:style w:type="character" w:customStyle="1" w:styleId="262">
    <w:name w:val="普通文字 Char3"/>
    <w:qFormat/>
    <w:uiPriority w:val="0"/>
    <w:rPr>
      <w:rFonts w:ascii="宋体" w:hAnsi="Courier New" w:eastAsia="宋体"/>
      <w:kern w:val="2"/>
      <w:sz w:val="21"/>
      <w:lang w:val="en-US" w:eastAsia="zh-CN" w:bidi="ar-SA"/>
    </w:rPr>
  </w:style>
  <w:style w:type="character" w:customStyle="1" w:styleId="263">
    <w:name w:val="公文正文 Char"/>
    <w:qFormat/>
    <w:uiPriority w:val="0"/>
    <w:rPr>
      <w:rFonts w:ascii="仿宋_GB2312" w:eastAsia="仿宋_GB2312"/>
      <w:kern w:val="2"/>
      <w:sz w:val="24"/>
      <w:szCs w:val="24"/>
      <w:lang w:val="en-US" w:eastAsia="zh-CN" w:bidi="ar-SA"/>
    </w:rPr>
  </w:style>
  <w:style w:type="character" w:customStyle="1" w:styleId="264">
    <w:name w:val="正文首行缩进 Char Char Char Char Char"/>
    <w:qFormat/>
    <w:uiPriority w:val="0"/>
    <w:rPr>
      <w:rFonts w:ascii="宋体"/>
      <w:kern w:val="2"/>
      <w:sz w:val="24"/>
      <w:lang w:val="zh-CN" w:eastAsia="zh-CN"/>
    </w:rPr>
  </w:style>
  <w:style w:type="character" w:customStyle="1" w:styleId="265">
    <w:name w:val="PI Char"/>
    <w:qFormat/>
    <w:uiPriority w:val="0"/>
    <w:rPr>
      <w:rFonts w:ascii="宋体" w:hAnsi="宋体" w:eastAsia="宋体"/>
      <w:kern w:val="2"/>
      <w:sz w:val="24"/>
      <w:szCs w:val="24"/>
      <w:lang w:val="en-US" w:eastAsia="zh-CN" w:bidi="ar-SA"/>
    </w:rPr>
  </w:style>
  <w:style w:type="paragraph" w:customStyle="1" w:styleId="26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7">
    <w:name w:val="style91"/>
    <w:qFormat/>
    <w:uiPriority w:val="0"/>
    <w:rPr>
      <w:color w:val="333333"/>
    </w:rPr>
  </w:style>
  <w:style w:type="character" w:customStyle="1" w:styleId="268">
    <w:name w:val="列出段落 Char2"/>
    <w:qFormat/>
    <w:uiPriority w:val="0"/>
    <w:rPr>
      <w:rFonts w:ascii="Calibri" w:hAnsi="Calibri"/>
      <w:kern w:val="2"/>
      <w:sz w:val="28"/>
    </w:rPr>
  </w:style>
  <w:style w:type="character" w:customStyle="1" w:styleId="269">
    <w:name w:val="mdeck"/>
    <w:qFormat/>
    <w:uiPriority w:val="0"/>
    <w:rPr>
      <w:rFonts w:ascii="仿宋_GB2312" w:eastAsia="微软雅黑"/>
      <w:b/>
      <w:kern w:val="2"/>
      <w:sz w:val="32"/>
      <w:szCs w:val="32"/>
      <w:lang w:val="en-US" w:eastAsia="zh-CN" w:bidi="ar-SA"/>
    </w:rPr>
  </w:style>
  <w:style w:type="character" w:customStyle="1" w:styleId="270">
    <w:name w:val="unnamed11"/>
    <w:qFormat/>
    <w:uiPriority w:val="0"/>
    <w:rPr>
      <w:sz w:val="20"/>
      <w:szCs w:val="20"/>
    </w:rPr>
  </w:style>
  <w:style w:type="character" w:customStyle="1" w:styleId="271">
    <w:name w:val="正文文本 Char2"/>
    <w:qFormat/>
    <w:uiPriority w:val="0"/>
    <w:rPr>
      <w:rFonts w:ascii="Times New Roman" w:hAnsi="Times New Roman" w:eastAsia="宋体" w:cs="Times New Roman"/>
      <w:snapToGrid w:val="0"/>
      <w:kern w:val="0"/>
      <w:szCs w:val="24"/>
      <w:lang w:bidi="ar-SA"/>
    </w:rPr>
  </w:style>
  <w:style w:type="character" w:customStyle="1" w:styleId="272">
    <w:name w:val="标书正文格式 Char"/>
    <w:qFormat/>
    <w:uiPriority w:val="0"/>
    <w:rPr>
      <w:rFonts w:eastAsia="楷体_GB2312"/>
      <w:kern w:val="2"/>
      <w:sz w:val="24"/>
      <w:szCs w:val="24"/>
      <w:lang w:bidi="ar-SA"/>
    </w:rPr>
  </w:style>
  <w:style w:type="character" w:customStyle="1" w:styleId="273">
    <w:name w:val="Char Char11"/>
    <w:qFormat/>
    <w:locked/>
    <w:uiPriority w:val="0"/>
    <w:rPr>
      <w:rFonts w:ascii="宋体" w:hAnsi="宋体" w:eastAsia="宋体"/>
      <w:b/>
      <w:kern w:val="2"/>
      <w:sz w:val="24"/>
      <w:szCs w:val="24"/>
      <w:lang w:val="en-US" w:eastAsia="zh-CN" w:bidi="ar-SA"/>
    </w:rPr>
  </w:style>
  <w:style w:type="character" w:customStyle="1" w:styleId="274">
    <w:name w:val="ca-131"/>
    <w:qFormat/>
    <w:uiPriority w:val="0"/>
    <w:rPr>
      <w:rFonts w:ascii="仿宋_GB2312" w:eastAsia="仿宋_GB2312"/>
      <w:b/>
      <w:bCs/>
      <w:color w:val="000000"/>
      <w:spacing w:val="-20"/>
      <w:sz w:val="24"/>
      <w:szCs w:val="24"/>
    </w:rPr>
  </w:style>
  <w:style w:type="character" w:customStyle="1" w:styleId="275">
    <w:name w:val="tw4winMark"/>
    <w:qFormat/>
    <w:uiPriority w:val="0"/>
    <w:rPr>
      <w:rFonts w:ascii="Courier New" w:hAnsi="Courier New" w:cs="Courier New"/>
      <w:vanish/>
      <w:color w:val="800080"/>
      <w:sz w:val="24"/>
      <w:szCs w:val="24"/>
      <w:vertAlign w:val="subscript"/>
      <w:lang w:bidi="ar-SA"/>
    </w:rPr>
  </w:style>
  <w:style w:type="paragraph" w:customStyle="1" w:styleId="276">
    <w:name w:val="正文样式"/>
    <w:basedOn w:val="1"/>
    <w:qFormat/>
    <w:uiPriority w:val="0"/>
    <w:pPr>
      <w:adjustRightInd/>
      <w:spacing w:line="360" w:lineRule="auto"/>
      <w:ind w:firstLine="200" w:firstLineChars="200"/>
    </w:pPr>
    <w:rPr>
      <w:rFonts w:ascii="Calibri" w:hAnsi="Calibri"/>
      <w:kern w:val="0"/>
      <w:sz w:val="24"/>
    </w:rPr>
  </w:style>
  <w:style w:type="character" w:customStyle="1" w:styleId="277">
    <w:name w:val="表正文 Char3"/>
    <w:qFormat/>
    <w:uiPriority w:val="0"/>
    <w:rPr>
      <w:rFonts w:eastAsia="宋体"/>
    </w:rPr>
  </w:style>
  <w:style w:type="character" w:customStyle="1" w:styleId="278">
    <w:name w:val="H5 Char"/>
    <w:qFormat/>
    <w:uiPriority w:val="0"/>
    <w:rPr>
      <w:b/>
      <w:bCs/>
      <w:kern w:val="2"/>
      <w:sz w:val="28"/>
      <w:szCs w:val="28"/>
    </w:rPr>
  </w:style>
  <w:style w:type="character" w:customStyle="1" w:styleId="279">
    <w:name w:val="Char Char3"/>
    <w:qFormat/>
    <w:uiPriority w:val="0"/>
    <w:rPr>
      <w:rFonts w:eastAsia="宋体"/>
      <w:kern w:val="2"/>
      <w:sz w:val="21"/>
      <w:szCs w:val="24"/>
      <w:lang w:val="en-US" w:eastAsia="zh-CN" w:bidi="ar-SA"/>
    </w:rPr>
  </w:style>
  <w:style w:type="character" w:customStyle="1" w:styleId="280">
    <w:name w:val="正文 编号 Char"/>
    <w:qFormat/>
    <w:uiPriority w:val="0"/>
    <w:rPr>
      <w:rFonts w:ascii="仿宋_GB2312" w:hAnsi="仿宋_GB2312" w:eastAsia="仿宋_GB2312"/>
      <w:kern w:val="2"/>
      <w:sz w:val="24"/>
      <w:lang w:bidi="ar-SA"/>
    </w:rPr>
  </w:style>
  <w:style w:type="character" w:customStyle="1" w:styleId="281">
    <w:name w:val="question-title2"/>
    <w:qFormat/>
    <w:uiPriority w:val="0"/>
    <w:rPr>
      <w:rFonts w:ascii="Arial" w:hAnsi="Arial" w:eastAsia="黑体" w:cs="Arial"/>
      <w:snapToGrid w:val="0"/>
      <w:kern w:val="0"/>
      <w:szCs w:val="21"/>
      <w:lang w:bidi="ar-SA"/>
    </w:rPr>
  </w:style>
  <w:style w:type="paragraph" w:customStyle="1" w:styleId="282">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83">
    <w:name w:val="Char Char15"/>
    <w:qFormat/>
    <w:uiPriority w:val="0"/>
    <w:rPr>
      <w:rFonts w:ascii="宋体" w:hAnsi="宋体"/>
      <w:kern w:val="2"/>
      <w:sz w:val="21"/>
    </w:rPr>
  </w:style>
  <w:style w:type="character" w:customStyle="1" w:styleId="284">
    <w:name w:val="正文缩进 Char3"/>
    <w:qFormat/>
    <w:uiPriority w:val="0"/>
    <w:rPr>
      <w:rFonts w:ascii="宋体" w:eastAsia="宋体"/>
      <w:snapToGrid w:val="0"/>
      <w:color w:val="000000"/>
      <w:kern w:val="28"/>
      <w:sz w:val="28"/>
      <w:lang w:val="en-US" w:eastAsia="zh-CN" w:bidi="ar-SA"/>
    </w:rPr>
  </w:style>
  <w:style w:type="paragraph" w:customStyle="1" w:styleId="285">
    <w:name w:val="列表1"/>
    <w:basedOn w:val="1"/>
    <w:next w:val="286"/>
    <w:qFormat/>
    <w:uiPriority w:val="0"/>
    <w:pPr>
      <w:widowControl/>
      <w:adjustRightInd/>
      <w:spacing w:after="200" w:line="360" w:lineRule="auto"/>
      <w:ind w:left="720" w:firstLine="200" w:firstLineChars="200"/>
      <w:jc w:val="left"/>
    </w:pPr>
    <w:rPr>
      <w:rFonts w:ascii="Calibri" w:hAnsi="Calibri"/>
      <w:kern w:val="0"/>
      <w:sz w:val="24"/>
      <w:szCs w:val="20"/>
    </w:rPr>
  </w:style>
  <w:style w:type="paragraph" w:styleId="286">
    <w:name w:val="List Paragraph"/>
    <w:basedOn w:val="1"/>
    <w:qFormat/>
    <w:uiPriority w:val="0"/>
    <w:pPr>
      <w:spacing w:line="360" w:lineRule="auto"/>
      <w:ind w:firstLine="200" w:firstLineChars="200"/>
    </w:pPr>
    <w:rPr>
      <w:rFonts w:eastAsia="楷体_GB2312" w:cs="Lucida Sans"/>
      <w:sz w:val="24"/>
    </w:rPr>
  </w:style>
  <w:style w:type="character" w:customStyle="1" w:styleId="287">
    <w:name w:val="Char Char8"/>
    <w:qFormat/>
    <w:uiPriority w:val="0"/>
    <w:rPr>
      <w:rFonts w:eastAsia="宋体"/>
      <w:b/>
      <w:sz w:val="24"/>
      <w:lang w:val="en-GB" w:eastAsia="zh-CN"/>
    </w:rPr>
  </w:style>
  <w:style w:type="character" w:customStyle="1" w:styleId="288">
    <w:name w:val="Normal Indent Char Char"/>
    <w:qFormat/>
    <w:uiPriority w:val="0"/>
    <w:rPr>
      <w:rFonts w:eastAsia="宋体"/>
      <w:kern w:val="2"/>
      <w:sz w:val="21"/>
      <w:lang w:val="en-US" w:eastAsia="zh-CN" w:bidi="ar-SA"/>
    </w:rPr>
  </w:style>
  <w:style w:type="character" w:customStyle="1" w:styleId="289">
    <w:name w:val="列表段落 字符"/>
    <w:qFormat/>
    <w:uiPriority w:val="0"/>
  </w:style>
  <w:style w:type="character" w:customStyle="1" w:styleId="290">
    <w:name w:val="Ò³Ã¼ Char Char1"/>
    <w:qFormat/>
    <w:uiPriority w:val="0"/>
    <w:rPr>
      <w:rFonts w:eastAsia="宋体"/>
      <w:kern w:val="2"/>
      <w:sz w:val="18"/>
      <w:szCs w:val="18"/>
      <w:lang w:val="en-US" w:eastAsia="zh-CN" w:bidi="ar-SA"/>
    </w:rPr>
  </w:style>
  <w:style w:type="character" w:customStyle="1" w:styleId="291">
    <w:name w:val="方案正文 Char"/>
    <w:qFormat/>
    <w:uiPriority w:val="0"/>
    <w:rPr>
      <w:rFonts w:ascii="仿宋_GB2312" w:eastAsia="仿宋_GB2312"/>
      <w:b/>
      <w:color w:val="000000"/>
      <w:kern w:val="2"/>
      <w:sz w:val="24"/>
      <w:lang w:val="en-US" w:eastAsia="zh-CN" w:bidi="ar-SA"/>
    </w:rPr>
  </w:style>
  <w:style w:type="character" w:customStyle="1" w:styleId="292">
    <w:name w:val="Char Char30"/>
    <w:qFormat/>
    <w:uiPriority w:val="0"/>
    <w:rPr>
      <w:rFonts w:ascii="Arial" w:hAnsi="Arial" w:eastAsia="黑体"/>
      <w:kern w:val="2"/>
      <w:sz w:val="21"/>
      <w:szCs w:val="21"/>
    </w:rPr>
  </w:style>
  <w:style w:type="character" w:customStyle="1" w:styleId="293">
    <w:name w:val="font01"/>
    <w:qFormat/>
    <w:uiPriority w:val="0"/>
    <w:rPr>
      <w:rFonts w:ascii="微软雅黑" w:hAnsi="微软雅黑" w:eastAsia="微软雅黑" w:cs="微软雅黑"/>
      <w:color w:val="000000"/>
      <w:sz w:val="20"/>
      <w:szCs w:val="20"/>
      <w:u w:val="none"/>
      <w:lang w:bidi="ar-SA"/>
    </w:rPr>
  </w:style>
  <w:style w:type="character" w:customStyle="1" w:styleId="294">
    <w:name w:val="Char Char20"/>
    <w:qFormat/>
    <w:uiPriority w:val="0"/>
    <w:rPr>
      <w:kern w:val="2"/>
      <w:sz w:val="24"/>
    </w:rPr>
  </w:style>
  <w:style w:type="character" w:customStyle="1" w:styleId="295">
    <w:name w:val="tw4winExternal"/>
    <w:qFormat/>
    <w:uiPriority w:val="0"/>
    <w:rPr>
      <w:rFonts w:ascii="Courier New" w:hAnsi="Courier New" w:cs="Courier New"/>
      <w:color w:val="808080"/>
      <w:lang w:val="en-US" w:eastAsia="zh-CN" w:bidi="ar-SA"/>
    </w:rPr>
  </w:style>
  <w:style w:type="character" w:customStyle="1" w:styleId="296">
    <w:name w:val="标题 4 Char1"/>
    <w:qFormat/>
    <w:uiPriority w:val="0"/>
    <w:rPr>
      <w:rFonts w:ascii="Cambria" w:hAnsi="Cambria" w:eastAsia="宋体" w:cs="Times New Roman"/>
      <w:b/>
      <w:bCs/>
      <w:kern w:val="2"/>
      <w:sz w:val="28"/>
      <w:szCs w:val="28"/>
      <w:lang w:bidi="ar-SA"/>
    </w:rPr>
  </w:style>
  <w:style w:type="character" w:customStyle="1" w:styleId="297">
    <w:name w:val="批注文字 Char2"/>
    <w:qFormat/>
    <w:uiPriority w:val="0"/>
    <w:rPr>
      <w:rFonts w:ascii="Times New Roman" w:hAnsi="Times New Roman" w:eastAsia="宋体" w:cs="Times New Roman"/>
      <w:snapToGrid w:val="0"/>
      <w:kern w:val="0"/>
      <w:szCs w:val="24"/>
      <w:lang w:bidi="ar-SA"/>
    </w:rPr>
  </w:style>
  <w:style w:type="character" w:customStyle="1" w:styleId="298">
    <w:name w:val="正文文本 2 Char"/>
    <w:qFormat/>
    <w:uiPriority w:val="0"/>
    <w:rPr>
      <w:rFonts w:eastAsia="宋体"/>
      <w:kern w:val="2"/>
      <w:sz w:val="21"/>
      <w:szCs w:val="24"/>
      <w:lang w:val="en-US" w:eastAsia="zh-CN" w:bidi="ar-SA"/>
    </w:rPr>
  </w:style>
  <w:style w:type="character" w:customStyle="1" w:styleId="299">
    <w:name w:val="Ò³Ã¼ Char Char"/>
    <w:qFormat/>
    <w:uiPriority w:val="0"/>
    <w:rPr>
      <w:rFonts w:eastAsia="宋体"/>
      <w:kern w:val="2"/>
      <w:sz w:val="18"/>
      <w:lang w:val="en-US" w:eastAsia="zh-CN" w:bidi="ar-SA"/>
    </w:rPr>
  </w:style>
  <w:style w:type="character" w:customStyle="1" w:styleId="300">
    <w:name w:val="message1"/>
    <w:qFormat/>
    <w:uiPriority w:val="0"/>
    <w:rPr>
      <w:rFonts w:ascii="Tahoma" w:hAnsi="Tahoma" w:cs="Tahoma"/>
      <w:sz w:val="18"/>
      <w:szCs w:val="18"/>
      <w:lang w:bidi="ar-SA"/>
    </w:rPr>
  </w:style>
  <w:style w:type="character" w:customStyle="1" w:styleId="301">
    <w:name w:val="Char Char23"/>
    <w:qFormat/>
    <w:uiPriority w:val="0"/>
    <w:rPr>
      <w:color w:val="0000FF"/>
      <w:sz w:val="21"/>
    </w:rPr>
  </w:style>
  <w:style w:type="character" w:customStyle="1" w:styleId="302">
    <w:name w:val="批注框文本 字符"/>
    <w:qFormat/>
    <w:uiPriority w:val="0"/>
    <w:rPr>
      <w:rFonts w:ascii="Arial" w:hAnsi="Arial" w:eastAsia="黑体" w:cs="Arial"/>
      <w:snapToGrid w:val="0"/>
      <w:kern w:val="0"/>
      <w:sz w:val="18"/>
      <w:szCs w:val="18"/>
      <w:lang w:bidi="ar-SA"/>
    </w:rPr>
  </w:style>
  <w:style w:type="character" w:customStyle="1" w:styleId="303">
    <w:name w:val="纯文本 Char2"/>
    <w:qFormat/>
    <w:uiPriority w:val="0"/>
    <w:rPr>
      <w:rFonts w:ascii="宋体" w:hAnsi="Courier New" w:eastAsia="宋体" w:cs="Courier New"/>
      <w:lang w:bidi="ar-SA"/>
    </w:rPr>
  </w:style>
  <w:style w:type="character" w:customStyle="1" w:styleId="304">
    <w:name w:val="Char Char25"/>
    <w:qFormat/>
    <w:uiPriority w:val="0"/>
    <w:rPr>
      <w:rFonts w:ascii="宋体" w:hAnsi="宋体"/>
      <w:kern w:val="2"/>
      <w:sz w:val="24"/>
      <w:lang w:val="zh-CN" w:eastAsia="zh-CN"/>
    </w:rPr>
  </w:style>
  <w:style w:type="character" w:customStyle="1" w:styleId="305">
    <w:name w:val="Char Char411"/>
    <w:qFormat/>
    <w:uiPriority w:val="0"/>
    <w:rPr>
      <w:rFonts w:eastAsia="宋体"/>
      <w:b/>
      <w:sz w:val="24"/>
      <w:lang w:val="en-GB" w:eastAsia="zh-CN" w:bidi="ar-SA"/>
    </w:rPr>
  </w:style>
  <w:style w:type="character" w:customStyle="1" w:styleId="306">
    <w:name w:val="Heading 7 Char"/>
    <w:qFormat/>
    <w:locked/>
    <w:uiPriority w:val="0"/>
    <w:rPr>
      <w:rFonts w:ascii="宋体" w:hAnsi="宋体" w:eastAsia="宋体"/>
      <w:b/>
      <w:bCs/>
      <w:kern w:val="2"/>
      <w:sz w:val="24"/>
      <w:szCs w:val="24"/>
      <w:lang w:val="en-US" w:eastAsia="zh-CN" w:bidi="ar-SA"/>
    </w:rPr>
  </w:style>
  <w:style w:type="paragraph" w:customStyle="1" w:styleId="307">
    <w:name w:val="此正文"/>
    <w:basedOn w:val="1"/>
    <w:qFormat/>
    <w:uiPriority w:val="0"/>
    <w:pPr>
      <w:adjustRightInd/>
      <w:spacing w:line="360" w:lineRule="auto"/>
      <w:ind w:firstLine="200" w:firstLineChars="200"/>
    </w:pPr>
    <w:rPr>
      <w:sz w:val="24"/>
    </w:rPr>
  </w:style>
  <w:style w:type="character" w:customStyle="1" w:styleId="308">
    <w:name w:val="Char Char2"/>
    <w:qFormat/>
    <w:uiPriority w:val="0"/>
    <w:rPr>
      <w:rFonts w:eastAsia="宋体"/>
      <w:b/>
      <w:bCs/>
      <w:kern w:val="2"/>
      <w:sz w:val="21"/>
      <w:szCs w:val="24"/>
      <w:lang w:val="en-US" w:eastAsia="zh-CN" w:bidi="ar-SA"/>
    </w:rPr>
  </w:style>
  <w:style w:type="character" w:customStyle="1" w:styleId="309">
    <w:name w:val="Footer-Even Char1"/>
    <w:qFormat/>
    <w:uiPriority w:val="0"/>
    <w:rPr>
      <w:rFonts w:eastAsia="宋体"/>
      <w:kern w:val="2"/>
      <w:sz w:val="18"/>
      <w:szCs w:val="18"/>
      <w:lang w:val="en-US" w:eastAsia="zh-CN" w:bidi="ar-SA"/>
    </w:rPr>
  </w:style>
  <w:style w:type="character" w:customStyle="1" w:styleId="310">
    <w:name w:val="Char Char29"/>
    <w:qFormat/>
    <w:uiPriority w:val="0"/>
    <w:rPr>
      <w:rFonts w:ascii="Arial" w:hAnsi="Arial" w:eastAsia="微软雅黑"/>
      <w:b/>
      <w:kern w:val="2"/>
      <w:sz w:val="44"/>
      <w:szCs w:val="32"/>
      <w:lang w:val="en-US" w:eastAsia="zh-CN" w:bidi="ar-SA"/>
    </w:rPr>
  </w:style>
  <w:style w:type="character" w:customStyle="1" w:styleId="311">
    <w:name w:val="font81"/>
    <w:qFormat/>
    <w:uiPriority w:val="0"/>
    <w:rPr>
      <w:rFonts w:ascii="微软雅黑" w:hAnsi="微软雅黑" w:eastAsia="微软雅黑" w:cs="微软雅黑"/>
      <w:color w:val="000000"/>
      <w:sz w:val="20"/>
      <w:szCs w:val="20"/>
      <w:u w:val="none"/>
      <w:lang w:bidi="ar-SA"/>
    </w:rPr>
  </w:style>
  <w:style w:type="character" w:customStyle="1" w:styleId="312">
    <w:name w:val="Char Char312"/>
    <w:qFormat/>
    <w:uiPriority w:val="0"/>
    <w:rPr>
      <w:rFonts w:ascii="Times New Roman" w:hAnsi="Times New Roman" w:eastAsia="宋体" w:cs="Times New Roman"/>
      <w:b/>
      <w:kern w:val="2"/>
      <w:sz w:val="32"/>
      <w:szCs w:val="24"/>
      <w:lang w:val="en-US" w:eastAsia="zh-CN" w:bidi="ar-SA"/>
    </w:rPr>
  </w:style>
  <w:style w:type="character" w:customStyle="1" w:styleId="313">
    <w:name w:val="t21"/>
    <w:qFormat/>
    <w:uiPriority w:val="0"/>
    <w:rPr>
      <w:rFonts w:ascii="仿宋_GB2312" w:eastAsia="微软雅黑"/>
      <w:b/>
      <w:kern w:val="2"/>
      <w:sz w:val="23"/>
      <w:szCs w:val="23"/>
      <w:lang w:val="en-US" w:eastAsia="zh-CN" w:bidi="ar-SA"/>
    </w:rPr>
  </w:style>
  <w:style w:type="character" w:customStyle="1" w:styleId="314">
    <w:name w:val="样式8 Char"/>
    <w:qFormat/>
    <w:uiPriority w:val="0"/>
    <w:rPr>
      <w:rFonts w:ascii="仿宋_GB2312" w:hAnsi="宋体" w:eastAsia="仿宋_GB2312"/>
      <w:b/>
      <w:bCs/>
      <w:kern w:val="2"/>
      <w:sz w:val="24"/>
      <w:szCs w:val="24"/>
    </w:rPr>
  </w:style>
  <w:style w:type="character" w:customStyle="1" w:styleId="315">
    <w:name w:val="表格 Char Char"/>
    <w:qFormat/>
    <w:uiPriority w:val="0"/>
    <w:rPr>
      <w:rFonts w:ascii="宋体" w:hAnsi="宋体" w:eastAsia="宋体"/>
      <w:lang w:bidi="ar-SA"/>
    </w:rPr>
  </w:style>
  <w:style w:type="character" w:customStyle="1" w:styleId="316">
    <w:name w:val="正文文本 字符1"/>
    <w:qFormat/>
    <w:uiPriority w:val="0"/>
    <w:rPr>
      <w:rFonts w:ascii="Calibri" w:hAnsi="Calibri" w:eastAsia="黑体" w:cs="Arial"/>
      <w:snapToGrid w:val="0"/>
      <w:kern w:val="2"/>
      <w:sz w:val="28"/>
      <w:szCs w:val="21"/>
      <w:lang w:bidi="ar-SA"/>
    </w:rPr>
  </w:style>
  <w:style w:type="character" w:customStyle="1" w:styleId="317">
    <w:name w:val="标题 6 Char1"/>
    <w:qFormat/>
    <w:uiPriority w:val="0"/>
    <w:rPr>
      <w:rFonts w:ascii="Arial" w:hAnsi="Arial" w:eastAsia="黑体" w:cs="Times New Roman"/>
      <w:b/>
      <w:sz w:val="24"/>
      <w:szCs w:val="20"/>
      <w:lang w:bidi="ar-SA"/>
    </w:rPr>
  </w:style>
  <w:style w:type="character" w:customStyle="1" w:styleId="318">
    <w:name w:val="带编号样式 Char"/>
    <w:qFormat/>
    <w:uiPriority w:val="0"/>
    <w:rPr>
      <w:rFonts w:ascii="仿宋_GB2312" w:eastAsia="仿宋_GB2312"/>
      <w:color w:val="000000"/>
      <w:sz w:val="24"/>
      <w:lang w:bidi="ar-SA"/>
    </w:rPr>
  </w:style>
  <w:style w:type="character" w:customStyle="1" w:styleId="319">
    <w:name w:val="unnamed31"/>
    <w:qFormat/>
    <w:uiPriority w:val="0"/>
    <w:rPr>
      <w:rFonts w:ascii="Tahoma" w:hAnsi="Tahoma" w:eastAsia="宋体"/>
      <w:b/>
      <w:kern w:val="2"/>
      <w:sz w:val="24"/>
      <w:szCs w:val="32"/>
      <w:u w:val="none"/>
      <w:lang w:val="en-US" w:eastAsia="zh-CN" w:bidi="ar-SA"/>
    </w:rPr>
  </w:style>
  <w:style w:type="character" w:customStyle="1" w:styleId="320">
    <w:name w:val="正文首行缩进 Char Char Char Char Char Char1"/>
    <w:qFormat/>
    <w:uiPriority w:val="0"/>
    <w:rPr>
      <w:rFonts w:ascii="宋体" w:eastAsia="宋体"/>
      <w:kern w:val="2"/>
      <w:sz w:val="24"/>
      <w:szCs w:val="24"/>
      <w:lang w:val="zh-CN" w:eastAsia="zh-CN" w:bidi="ar-SA"/>
    </w:rPr>
  </w:style>
  <w:style w:type="character" w:customStyle="1" w:styleId="321">
    <w:name w:val="文本正文 Char Char"/>
    <w:qFormat/>
    <w:locked/>
    <w:uiPriority w:val="0"/>
    <w:rPr>
      <w:sz w:val="24"/>
      <w:lang w:bidi="ar-SA"/>
    </w:rPr>
  </w:style>
  <w:style w:type="character" w:customStyle="1" w:styleId="322">
    <w:name w:val="正文缩进 字符"/>
    <w:qFormat/>
    <w:uiPriority w:val="0"/>
    <w:rPr>
      <w:rFonts w:ascii="宋体" w:eastAsia="宋体"/>
      <w:snapToGrid w:val="0"/>
      <w:color w:val="000000"/>
      <w:kern w:val="28"/>
      <w:sz w:val="28"/>
      <w:lang w:val="en-US" w:eastAsia="zh-CN" w:bidi="ar-SA"/>
    </w:rPr>
  </w:style>
  <w:style w:type="paragraph" w:customStyle="1" w:styleId="323">
    <w:name w:val="样式 样式 标题 4h4H4Fab-4T5Ref Heading 1rh1Heading sqlsect 1.2.3.... +..."/>
    <w:basedOn w:val="324"/>
    <w:qFormat/>
    <w:uiPriority w:val="0"/>
    <w:pPr>
      <w:tabs>
        <w:tab w:val="left" w:pos="2356"/>
      </w:tabs>
    </w:pPr>
  </w:style>
  <w:style w:type="paragraph" w:customStyle="1" w:styleId="324">
    <w:name w:val="样式 标题 4h4H4Fab-4T5Ref Heading 1rh1Heading sqlsect 1.2.3...."/>
    <w:basedOn w:val="8"/>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称呼 Char1"/>
    <w:qFormat/>
    <w:uiPriority w:val="0"/>
    <w:rPr>
      <w:rFonts w:ascii="Times New Roman" w:hAnsi="Times New Roman" w:eastAsia="宋体" w:cs="Times New Roman"/>
      <w:szCs w:val="24"/>
      <w:lang w:bidi="ar-SA"/>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正文缩进 Char1"/>
    <w:qFormat/>
    <w:uiPriority w:val="0"/>
    <w:rPr>
      <w:rFonts w:ascii="宋体" w:eastAsia="宋体"/>
      <w:snapToGrid w:val="0"/>
      <w:color w:val="000000"/>
      <w:kern w:val="28"/>
      <w:sz w:val="28"/>
      <w:lang w:val="en-US" w:eastAsia="zh-CN" w:bidi="ar-SA"/>
    </w:rPr>
  </w:style>
  <w:style w:type="character" w:customStyle="1" w:styleId="330">
    <w:name w:val="font21"/>
    <w:qFormat/>
    <w:uiPriority w:val="0"/>
    <w:rPr>
      <w:rFonts w:ascii="宋体" w:hAnsi="宋体" w:eastAsia="宋体"/>
      <w:kern w:val="2"/>
      <w:sz w:val="28"/>
      <w:szCs w:val="28"/>
      <w:lang w:val="en-US" w:eastAsia="zh-CN" w:bidi="ar-SA"/>
    </w:rPr>
  </w:style>
  <w:style w:type="character" w:customStyle="1" w:styleId="331">
    <w:name w:val="Char Char26"/>
    <w:qFormat/>
    <w:uiPriority w:val="0"/>
    <w:rPr>
      <w:kern w:val="2"/>
      <w:sz w:val="21"/>
      <w:szCs w:val="24"/>
    </w:rPr>
  </w:style>
  <w:style w:type="paragraph" w:customStyle="1" w:styleId="332">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lang w:bidi="ar-SA"/>
    </w:rPr>
  </w:style>
  <w:style w:type="paragraph" w:customStyle="1" w:styleId="334">
    <w:name w:val="纯文本1"/>
    <w:basedOn w:val="1"/>
    <w:qFormat/>
    <w:uiPriority w:val="0"/>
    <w:pPr>
      <w:adjustRightInd/>
    </w:pPr>
    <w:rPr>
      <w:rFonts w:ascii="宋体" w:hAnsi="Courier New"/>
      <w:kern w:val="0"/>
      <w:sz w:val="20"/>
      <w:szCs w:val="20"/>
    </w:rPr>
  </w:style>
  <w:style w:type="character" w:customStyle="1" w:styleId="335">
    <w:name w:val="h3 Char"/>
    <w:qFormat/>
    <w:uiPriority w:val="0"/>
    <w:rPr>
      <w:rFonts w:eastAsia="宋体"/>
      <w:b/>
      <w:kern w:val="2"/>
      <w:sz w:val="32"/>
      <w:lang w:val="en-US" w:eastAsia="zh-CN" w:bidi="ar-SA"/>
    </w:rPr>
  </w:style>
  <w:style w:type="character" w:customStyle="1" w:styleId="336">
    <w:name w:val="dandyren_title1"/>
    <w:qFormat/>
    <w:uiPriority w:val="0"/>
    <w:rPr>
      <w:b/>
      <w:bCs/>
      <w:color w:val="FF6633"/>
      <w:sz w:val="18"/>
      <w:szCs w:val="18"/>
    </w:rPr>
  </w:style>
  <w:style w:type="character" w:customStyle="1" w:styleId="337">
    <w:name w:val="Char Char31"/>
    <w:qFormat/>
    <w:uiPriority w:val="0"/>
    <w:rPr>
      <w:rFonts w:ascii="Arial" w:hAnsi="Arial" w:eastAsia="黑体"/>
      <w:kern w:val="2"/>
      <w:sz w:val="24"/>
      <w:szCs w:val="24"/>
    </w:rPr>
  </w:style>
  <w:style w:type="character" w:customStyle="1" w:styleId="338">
    <w:name w:val="h Char1"/>
    <w:qFormat/>
    <w:uiPriority w:val="0"/>
    <w:rPr>
      <w:sz w:val="18"/>
      <w:szCs w:val="18"/>
    </w:rPr>
  </w:style>
  <w:style w:type="character" w:customStyle="1" w:styleId="339">
    <w:name w:val="solutionfonts"/>
    <w:qFormat/>
    <w:uiPriority w:val="0"/>
  </w:style>
  <w:style w:type="character" w:customStyle="1" w:styleId="340">
    <w:name w:val="首行缩进 Char"/>
    <w:qFormat/>
    <w:uiPriority w:val="0"/>
    <w:rPr>
      <w:rFonts w:ascii="宋体" w:eastAsia="宋体"/>
      <w:kern w:val="2"/>
      <w:sz w:val="24"/>
      <w:lang w:val="en-US" w:eastAsia="zh-CN" w:bidi="ar-SA"/>
    </w:rPr>
  </w:style>
  <w:style w:type="character" w:customStyle="1" w:styleId="341">
    <w:name w:val="Char Char52"/>
    <w:qFormat/>
    <w:uiPriority w:val="0"/>
    <w:rPr>
      <w:rFonts w:ascii="宋体" w:hAnsi="Courier New" w:eastAsia="宋体"/>
      <w:kern w:val="2"/>
      <w:sz w:val="21"/>
      <w:lang w:val="en-US" w:eastAsia="zh-CN"/>
    </w:rPr>
  </w:style>
  <w:style w:type="character" w:customStyle="1" w:styleId="342">
    <w:name w:val="font31"/>
    <w:qFormat/>
    <w:uiPriority w:val="0"/>
    <w:rPr>
      <w:rFonts w:ascii="仿宋" w:hAnsi="仿宋" w:eastAsia="仿宋" w:cs="仿宋"/>
      <w:color w:val="000000"/>
      <w:sz w:val="20"/>
      <w:szCs w:val="20"/>
      <w:u w:val="none"/>
      <w:lang w:bidi="ar-SA"/>
    </w:rPr>
  </w:style>
  <w:style w:type="paragraph" w:customStyle="1" w:styleId="343">
    <w:name w:val="正文说明"/>
    <w:basedOn w:val="1"/>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lang w:bidi="ar-SA"/>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0"/>
    <w:rPr>
      <w:rFonts w:ascii="Arial" w:hAnsi="Arial" w:eastAsia="黑体"/>
      <w:b/>
      <w:kern w:val="2"/>
      <w:sz w:val="28"/>
      <w:szCs w:val="28"/>
      <w:lang w:val="zh-CN" w:eastAsia="zh-CN"/>
    </w:rPr>
  </w:style>
  <w:style w:type="character" w:customStyle="1" w:styleId="348">
    <w:name w:val="纯文本 Char Char Char"/>
    <w:qFormat/>
    <w:uiPriority w:val="0"/>
    <w:rPr>
      <w:rFonts w:ascii="宋体" w:hAnsi="Courier New" w:eastAsia="宋体"/>
      <w:kern w:val="2"/>
      <w:sz w:val="21"/>
      <w:lang w:val="en-US" w:eastAsia="zh-CN" w:bidi="ar-SA"/>
    </w:rPr>
  </w:style>
  <w:style w:type="paragraph" w:customStyle="1" w:styleId="349">
    <w:name w:val="Table Text"/>
    <w:basedOn w:val="1"/>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0"/>
    <w:rPr>
      <w:rFonts w:eastAsia="仿宋_GB2312"/>
      <w:sz w:val="24"/>
    </w:rPr>
  </w:style>
  <w:style w:type="character" w:customStyle="1" w:styleId="355">
    <w:name w:val="标题 4 字符"/>
    <w:qFormat/>
    <w:uiPriority w:val="0"/>
    <w:rPr>
      <w:rFonts w:ascii="等线 Light" w:hAnsi="等线 Light" w:eastAsia="等线 Light" w:cs="Times New Roman"/>
      <w:b/>
      <w:bCs/>
      <w:snapToGrid w:val="0"/>
      <w:kern w:val="0"/>
      <w:sz w:val="28"/>
      <w:szCs w:val="28"/>
      <w:lang w:bidi="ar-SA"/>
    </w:rPr>
  </w:style>
  <w:style w:type="character" w:customStyle="1" w:styleId="356">
    <w:name w:val="Char Char37"/>
    <w:qFormat/>
    <w:uiPriority w:val="0"/>
    <w:rPr>
      <w:b/>
      <w:kern w:val="2"/>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qFormat/>
    <w:uiPriority w:val="0"/>
    <w:rPr>
      <w:rFonts w:ascii="Times New Roman" w:hAnsi="Times New Roman" w:eastAsia="宋体" w:cs="Times New Roman"/>
      <w:sz w:val="16"/>
      <w:szCs w:val="16"/>
      <w:lang w:bidi="ar-SA"/>
    </w:rPr>
  </w:style>
  <w:style w:type="paragraph" w:customStyle="1" w:styleId="359">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ascii="宋体" w:hAnsi="宋体" w:eastAsia="宋体"/>
      <w:b/>
      <w:spacing w:val="-2"/>
      <w:sz w:val="24"/>
      <w:lang w:val="en-US" w:eastAsia="zh-CN" w:bidi="ar-SA"/>
    </w:rPr>
  </w:style>
  <w:style w:type="paragraph" w:customStyle="1" w:styleId="362">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lang w:bidi="ar-SA"/>
    </w:rPr>
  </w:style>
  <w:style w:type="character" w:customStyle="1" w:styleId="365">
    <w:name w:val="Body Text(ch) Char Char"/>
    <w:qFormat/>
    <w:uiPriority w:val="0"/>
    <w:rPr>
      <w:rFonts w:ascii="宋体"/>
      <w:kern w:val="2"/>
      <w:sz w:val="24"/>
      <w:szCs w:val="21"/>
      <w:lang w:val="zh-CN" w:eastAsia="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content"/>
    <w:qFormat/>
    <w:uiPriority w:val="0"/>
  </w:style>
  <w:style w:type="character" w:customStyle="1" w:styleId="369">
    <w:name w:val="param-name"/>
    <w:qFormat/>
    <w:uiPriority w:val="0"/>
    <w:rPr>
      <w:rFonts w:ascii="Arial" w:hAnsi="Arial" w:eastAsia="黑体" w:cs="Arial"/>
      <w:snapToGrid w:val="0"/>
      <w:kern w:val="0"/>
      <w:szCs w:val="21"/>
      <w:lang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0"/>
    <w:rPr>
      <w:kern w:val="2"/>
      <w:sz w:val="18"/>
      <w:szCs w:val="18"/>
    </w:rPr>
  </w:style>
  <w:style w:type="character" w:customStyle="1" w:styleId="374">
    <w:name w:val="font51"/>
    <w:qFormat/>
    <w:uiPriority w:val="0"/>
    <w:rPr>
      <w:rFonts w:ascii="仿宋" w:hAnsi="仿宋" w:eastAsia="仿宋" w:cs="仿宋"/>
      <w:color w:val="000000"/>
      <w:sz w:val="20"/>
      <w:szCs w:val="20"/>
      <w:u w:val="none"/>
      <w:lang w:bidi="ar-SA"/>
    </w:rPr>
  </w:style>
  <w:style w:type="character" w:customStyle="1" w:styleId="375">
    <w:name w:val="Char Char82"/>
    <w:qFormat/>
    <w:uiPriority w:val="0"/>
    <w:rPr>
      <w:rFonts w:eastAsia="宋体"/>
      <w:b/>
      <w:sz w:val="24"/>
      <w:lang w:val="en-GB" w:eastAsia="zh-CN"/>
    </w:rPr>
  </w:style>
  <w:style w:type="character" w:customStyle="1" w:styleId="376">
    <w:name w:val="日期 Char1"/>
    <w:qFormat/>
    <w:uiPriority w:val="0"/>
    <w:rPr>
      <w:rFonts w:ascii="Times New Roman" w:hAnsi="Times New Roman" w:eastAsia="宋体" w:cs="Times New Roman"/>
      <w:szCs w:val="24"/>
      <w:lang w:bidi="ar-SA"/>
    </w:rPr>
  </w:style>
  <w:style w:type="character" w:customStyle="1" w:styleId="377">
    <w:name w:val="页眉 字符"/>
    <w:qFormat/>
    <w:uiPriority w:val="0"/>
    <w:rPr>
      <w:kern w:val="2"/>
      <w:sz w:val="18"/>
      <w:szCs w:val="18"/>
    </w:rPr>
  </w:style>
  <w:style w:type="character" w:customStyle="1" w:styleId="378">
    <w:name w:val="Char Char33"/>
    <w:qFormat/>
    <w:uiPriority w:val="0"/>
    <w:rPr>
      <w:rFonts w:ascii="Arial" w:hAnsi="Arial" w:eastAsia="黑体"/>
      <w:b/>
      <w:kern w:val="2"/>
      <w:sz w:val="24"/>
      <w:szCs w:val="24"/>
    </w:rPr>
  </w:style>
  <w:style w:type="paragraph" w:customStyle="1" w:styleId="379">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0"/>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Char Char61"/>
    <w:qFormat/>
    <w:uiPriority w:val="0"/>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paragraph" w:customStyle="1" w:styleId="38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86">
    <w:name w:val="标题 3 Char2"/>
    <w:qFormat/>
    <w:uiPriority w:val="0"/>
    <w:rPr>
      <w:rFonts w:eastAsia="宋体"/>
      <w:b/>
      <w:bCs/>
      <w:kern w:val="2"/>
      <w:sz w:val="32"/>
      <w:szCs w:val="32"/>
      <w:lang w:val="en-US" w:eastAsia="zh-CN" w:bidi="ar-SA"/>
    </w:rPr>
  </w:style>
  <w:style w:type="character" w:customStyle="1" w:styleId="387">
    <w:name w:val="apple-converted-space"/>
    <w:qFormat/>
    <w:uiPriority w:val="0"/>
  </w:style>
  <w:style w:type="character" w:customStyle="1" w:styleId="388">
    <w:name w:val="Char Char9"/>
    <w:qFormat/>
    <w:uiPriority w:val="0"/>
    <w:rPr>
      <w:rFonts w:eastAsia="宋体"/>
      <w:kern w:val="2"/>
      <w:sz w:val="18"/>
      <w:szCs w:val="18"/>
      <w:lang w:val="en-US" w:eastAsia="zh-CN" w:bidi="ar-SA"/>
    </w:rPr>
  </w:style>
  <w:style w:type="character" w:customStyle="1" w:styleId="389">
    <w:name w:val="Char Char41"/>
    <w:qFormat/>
    <w:uiPriority w:val="0"/>
    <w:rPr>
      <w:rFonts w:eastAsia="宋体"/>
      <w:b/>
      <w:sz w:val="24"/>
      <w:lang w:val="en-GB" w:eastAsia="zh-CN" w:bidi="ar-SA"/>
    </w:rPr>
  </w:style>
  <w:style w:type="character" w:customStyle="1" w:styleId="390">
    <w:name w:val="large1"/>
    <w:qFormat/>
    <w:uiPriority w:val="0"/>
    <w:rPr>
      <w:rFonts w:ascii="宋体" w:hAnsi="宋体" w:eastAsia="宋体"/>
      <w:sz w:val="21"/>
      <w:szCs w:val="21"/>
    </w:rPr>
  </w:style>
  <w:style w:type="paragraph" w:customStyle="1" w:styleId="391">
    <w:name w:val="正文段"/>
    <w:basedOn w:val="1"/>
    <w:qFormat/>
    <w:uiPriority w:val="0"/>
    <w:pPr>
      <w:widowControl/>
      <w:snapToGrid w:val="0"/>
      <w:spacing w:after="50" w:afterLines="50"/>
      <w:ind w:firstLine="200" w:firstLineChars="200"/>
    </w:pPr>
    <w:rPr>
      <w:kern w:val="0"/>
      <w:sz w:val="24"/>
      <w:szCs w:val="20"/>
    </w:rPr>
  </w:style>
  <w:style w:type="character" w:customStyle="1" w:styleId="392">
    <w:name w:val="Char Char13"/>
    <w:qFormat/>
    <w:uiPriority w:val="0"/>
    <w:rPr>
      <w:rFonts w:ascii="宋体" w:hAnsi="宋体"/>
      <w:kern w:val="2"/>
      <w:sz w:val="21"/>
      <w:szCs w:val="24"/>
    </w:rPr>
  </w:style>
  <w:style w:type="paragraph" w:customStyle="1" w:styleId="393">
    <w:name w:val="冯广丽"/>
    <w:basedOn w:val="1"/>
    <w:qFormat/>
    <w:uiPriority w:val="0"/>
    <w:pPr>
      <w:adjustRightInd/>
      <w:spacing w:line="360" w:lineRule="auto"/>
      <w:ind w:firstLine="200" w:firstLineChars="200"/>
    </w:pPr>
    <w:rPr>
      <w:rFonts w:ascii="宋体" w:hAnsi="宋体"/>
      <w:sz w:val="24"/>
      <w:szCs w:val="22"/>
    </w:rPr>
  </w:style>
  <w:style w:type="character" w:customStyle="1" w:styleId="394">
    <w:name w:val="批注文字 字符"/>
    <w:qFormat/>
    <w:uiPriority w:val="0"/>
    <w:rPr>
      <w:rFonts w:ascii="Arial" w:hAnsi="Arial" w:eastAsia="黑体" w:cs="Arial"/>
      <w:snapToGrid w:val="0"/>
      <w:kern w:val="0"/>
      <w:szCs w:val="21"/>
      <w:lang w:bidi="ar-SA"/>
    </w:rPr>
  </w:style>
  <w:style w:type="character" w:customStyle="1" w:styleId="395">
    <w:name w:val="Char Char161"/>
    <w:qFormat/>
    <w:uiPriority w:val="0"/>
    <w:rPr>
      <w:rFonts w:eastAsia="宋体"/>
      <w:b/>
      <w:kern w:val="2"/>
      <w:sz w:val="32"/>
      <w:lang w:val="en-US" w:eastAsia="zh-CN"/>
    </w:rPr>
  </w:style>
  <w:style w:type="character" w:customStyle="1" w:styleId="396">
    <w:name w:val="javascript"/>
    <w:qFormat/>
    <w:uiPriority w:val="0"/>
  </w:style>
  <w:style w:type="paragraph" w:customStyle="1" w:styleId="397">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98">
    <w:name w:val="Font Style82"/>
    <w:qFormat/>
    <w:uiPriority w:val="0"/>
    <w:rPr>
      <w:rFonts w:ascii="宋体" w:eastAsia="宋体" w:cs="宋体"/>
      <w:color w:val="000000"/>
      <w:sz w:val="14"/>
      <w:szCs w:val="14"/>
      <w:lang w:bidi="ar-SA"/>
    </w:rPr>
  </w:style>
  <w:style w:type="character" w:customStyle="1" w:styleId="399">
    <w:name w:val="标题 2 Char Char"/>
    <w:qFormat/>
    <w:uiPriority w:val="0"/>
    <w:rPr>
      <w:rFonts w:ascii="楷体_GB2312" w:hAnsi="Arial" w:eastAsia="楷体_GB2312"/>
      <w:b/>
      <w:bCs/>
      <w:kern w:val="2"/>
      <w:sz w:val="24"/>
      <w:szCs w:val="32"/>
      <w:lang w:val="en-US" w:eastAsia="zh-CN" w:bidi="ar-SA"/>
    </w:rPr>
  </w:style>
  <w:style w:type="character" w:customStyle="1" w:styleId="400">
    <w:name w:val="未用 Char"/>
    <w:qFormat/>
    <w:uiPriority w:val="0"/>
    <w:rPr>
      <w:rFonts w:ascii="Arial" w:hAnsi="Arial" w:eastAsia="黑体"/>
      <w:kern w:val="2"/>
      <w:sz w:val="21"/>
      <w:szCs w:val="21"/>
      <w:lang w:val="en-US" w:eastAsia="zh-CN" w:bidi="ar-SA"/>
    </w:rPr>
  </w:style>
  <w:style w:type="paragraph" w:customStyle="1" w:styleId="401">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402">
    <w:name w:val="标题 1 字符"/>
    <w:qFormat/>
    <w:uiPriority w:val="0"/>
    <w:rPr>
      <w:rFonts w:ascii="Arial" w:hAnsi="Arial" w:eastAsia="黑体" w:cs="Arial"/>
      <w:b/>
      <w:bCs/>
      <w:snapToGrid w:val="0"/>
      <w:kern w:val="44"/>
      <w:sz w:val="44"/>
      <w:szCs w:val="44"/>
      <w:lang w:bidi="ar-SA"/>
    </w:rPr>
  </w:style>
  <w:style w:type="character" w:customStyle="1" w:styleId="403">
    <w:name w:val="标书1 Char1"/>
    <w:qFormat/>
    <w:uiPriority w:val="0"/>
    <w:rPr>
      <w:rFonts w:eastAsia="宋体"/>
      <w:b/>
      <w:bCs/>
      <w:kern w:val="44"/>
      <w:sz w:val="44"/>
      <w:szCs w:val="44"/>
      <w:lang w:val="en-US" w:eastAsia="zh-CN" w:bidi="ar-SA"/>
    </w:rPr>
  </w:style>
  <w:style w:type="paragraph" w:customStyle="1" w:styleId="404">
    <w:name w:val="样式 正文缩进 + 首行缩进:  2 字符"/>
    <w:basedOn w:val="6"/>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05">
    <w:name w:val="gray6"/>
    <w:qFormat/>
    <w:uiPriority w:val="0"/>
    <w:rPr>
      <w:rFonts w:ascii="Arial" w:hAnsi="Arial" w:eastAsia="黑体" w:cs="Arial"/>
      <w:snapToGrid w:val="0"/>
      <w:kern w:val="0"/>
      <w:szCs w:val="21"/>
      <w:lang w:bidi="ar-SA"/>
    </w:rPr>
  </w:style>
  <w:style w:type="character" w:customStyle="1" w:styleId="406">
    <w:name w:val="hui"/>
    <w:qFormat/>
    <w:uiPriority w:val="0"/>
    <w:rPr>
      <w:rFonts w:ascii="Arial" w:hAnsi="Arial" w:eastAsia="黑体" w:cs="Arial"/>
      <w:snapToGrid w:val="0"/>
      <w:kern w:val="0"/>
      <w:szCs w:val="21"/>
      <w:lang w:bidi="ar-SA"/>
    </w:rPr>
  </w:style>
  <w:style w:type="character" w:customStyle="1" w:styleId="407">
    <w:name w:val="哈哈正文 Char Char"/>
    <w:qFormat/>
    <w:uiPriority w:val="0"/>
    <w:rPr>
      <w:rFonts w:ascii="宋体" w:hAnsi="宋体" w:eastAsia="宋体" w:cs="宋体"/>
      <w:kern w:val="2"/>
      <w:sz w:val="24"/>
      <w:lang w:val="en-US" w:eastAsia="zh-CN" w:bidi="ar-SA"/>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409">
    <w:name w:val="交叉引用"/>
    <w:qFormat/>
    <w:uiPriority w:val="0"/>
    <w:rPr>
      <w:rFonts w:ascii="Arial" w:hAnsi="Arial" w:eastAsia="黑体"/>
      <w:snapToGrid w:val="0"/>
      <w:color w:val="0000FF"/>
      <w:kern w:val="0"/>
      <w:sz w:val="20"/>
      <w:szCs w:val="21"/>
      <w:u w:val="single"/>
      <w:lang w:val="en-US" w:eastAsia="zh-CN"/>
    </w:rPr>
  </w:style>
  <w:style w:type="character" w:customStyle="1" w:styleId="410">
    <w:name w:val="页脚 字符1"/>
    <w:qFormat/>
    <w:locked/>
    <w:uiPriority w:val="0"/>
    <w:rPr>
      <w:kern w:val="2"/>
      <w:sz w:val="18"/>
      <w:szCs w:val="18"/>
    </w:rPr>
  </w:style>
  <w:style w:type="paragraph" w:customStyle="1" w:styleId="411">
    <w:name w:val="标准文本"/>
    <w:basedOn w:val="1"/>
    <w:qFormat/>
    <w:uiPriority w:val="0"/>
    <w:pPr>
      <w:adjustRightInd/>
      <w:spacing w:line="360" w:lineRule="auto"/>
      <w:ind w:firstLine="200" w:firstLineChars="200"/>
    </w:pPr>
    <w:rPr>
      <w:sz w:val="24"/>
      <w:szCs w:val="20"/>
    </w:rPr>
  </w:style>
  <w:style w:type="character" w:customStyle="1" w:styleId="412">
    <w:name w:val="Char Char213"/>
    <w:qFormat/>
    <w:uiPriority w:val="0"/>
    <w:rPr>
      <w:rFonts w:eastAsia="Century Gothic"/>
      <w:b/>
      <w:bCs/>
      <w:kern w:val="44"/>
      <w:sz w:val="32"/>
      <w:szCs w:val="44"/>
      <w:lang w:val="en-US" w:eastAsia="zh-CN" w:bidi="ar-SA"/>
    </w:rPr>
  </w:style>
  <w:style w:type="character" w:customStyle="1" w:styleId="413">
    <w:name w:val="15"/>
    <w:qFormat/>
    <w:uiPriority w:val="0"/>
    <w:rPr>
      <w:rFonts w:ascii="Calibri" w:hAnsi="Calibri"/>
      <w:color w:val="0000FF"/>
      <w:u w:val="single"/>
    </w:rPr>
  </w:style>
  <w:style w:type="character" w:customStyle="1" w:styleId="414">
    <w:name w:val="16"/>
    <w:qFormat/>
    <w:uiPriority w:val="0"/>
    <w:rPr>
      <w:rFonts w:ascii="宋体" w:hAnsi="宋体" w:eastAsia="宋体"/>
      <w:color w:val="000000"/>
      <w:sz w:val="20"/>
      <w:szCs w:val="20"/>
    </w:rPr>
  </w:style>
  <w:style w:type="character" w:customStyle="1" w:styleId="415">
    <w:name w:val="tpc_content1"/>
    <w:qFormat/>
    <w:uiPriority w:val="0"/>
    <w:rPr>
      <w:sz w:val="20"/>
      <w:szCs w:val="20"/>
    </w:rPr>
  </w:style>
  <w:style w:type="character" w:customStyle="1" w:styleId="416">
    <w:name w:val="edui-clickable2"/>
    <w:qFormat/>
    <w:uiPriority w:val="0"/>
    <w:rPr>
      <w:color w:val="0000FF"/>
      <w:u w:val="single"/>
    </w:rPr>
  </w:style>
  <w:style w:type="character" w:customStyle="1" w:styleId="417">
    <w:name w:val="style1"/>
    <w:qFormat/>
    <w:uiPriority w:val="0"/>
    <w:rPr>
      <w:rFonts w:ascii="Arial" w:hAnsi="Arial" w:eastAsia="黑体" w:cs="Arial"/>
      <w:snapToGrid w:val="0"/>
      <w:kern w:val="0"/>
      <w:szCs w:val="21"/>
      <w:lang w:bidi="ar-SA"/>
    </w:rPr>
  </w:style>
  <w:style w:type="character" w:customStyle="1" w:styleId="418">
    <w:name w:val="bulletintext1"/>
    <w:qFormat/>
    <w:uiPriority w:val="0"/>
    <w:rPr>
      <w:color w:val="000000"/>
      <w:sz w:val="18"/>
    </w:rPr>
  </w:style>
  <w:style w:type="character" w:customStyle="1" w:styleId="419">
    <w:name w:val="ksfind_class_select1"/>
    <w:qFormat/>
    <w:uiPriority w:val="0"/>
    <w:rPr>
      <w:color w:val="000000"/>
      <w:shd w:val="clear" w:color="auto" w:fill="EFD200"/>
    </w:rPr>
  </w:style>
  <w:style w:type="character" w:customStyle="1" w:styleId="420">
    <w:name w:val="未处理的提及2"/>
    <w:qFormat/>
    <w:uiPriority w:val="0"/>
    <w:rPr>
      <w:color w:val="605E5C"/>
      <w:shd w:val="clear" w:color="auto" w:fill="E1DFDD"/>
    </w:rPr>
  </w:style>
  <w:style w:type="character" w:customStyle="1" w:styleId="421">
    <w:name w:val="纯文本 Char3"/>
    <w:qFormat/>
    <w:uiPriority w:val="0"/>
    <w:rPr>
      <w:rFonts w:ascii="??" w:hAnsi="??" w:eastAsia="??" w:cs="宋体"/>
      <w:kern w:val="2"/>
      <w:sz w:val="21"/>
      <w:szCs w:val="21"/>
      <w:lang w:bidi="ar-SA"/>
    </w:rPr>
  </w:style>
  <w:style w:type="character" w:customStyle="1" w:styleId="422">
    <w:name w:val="未处理的提及21"/>
    <w:qFormat/>
    <w:uiPriority w:val="0"/>
    <w:rPr>
      <w:color w:val="605E5C"/>
      <w:shd w:val="clear" w:color="auto" w:fill="E1DFDD"/>
    </w:rPr>
  </w:style>
  <w:style w:type="character" w:customStyle="1" w:styleId="423">
    <w:name w:val="title141"/>
    <w:qFormat/>
    <w:uiPriority w:val="0"/>
    <w:rPr>
      <w:sz w:val="25"/>
      <w:szCs w:val="25"/>
    </w:rPr>
  </w:style>
  <w:style w:type="character" w:customStyle="1" w:styleId="424">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425">
    <w:name w:val="pword"/>
    <w:qFormat/>
    <w:uiPriority w:val="0"/>
  </w:style>
  <w:style w:type="character" w:customStyle="1" w:styleId="426">
    <w:name w:val="标题 2 Char1"/>
    <w:qFormat/>
    <w:uiPriority w:val="0"/>
    <w:rPr>
      <w:rFonts w:ascii="宋体" w:hAnsi="宋体" w:eastAsia="黑体"/>
      <w:bCs/>
      <w:kern w:val="2"/>
      <w:sz w:val="32"/>
      <w:szCs w:val="32"/>
    </w:rPr>
  </w:style>
  <w:style w:type="character" w:customStyle="1" w:styleId="427">
    <w:name w:val="t_tag"/>
    <w:qFormat/>
    <w:uiPriority w:val="0"/>
  </w:style>
  <w:style w:type="character" w:customStyle="1" w:styleId="428">
    <w:name w:val="param_td12"/>
    <w:qFormat/>
    <w:uiPriority w:val="0"/>
  </w:style>
  <w:style w:type="character" w:customStyle="1" w:styleId="429">
    <w:name w:val="ca-61"/>
    <w:qFormat/>
    <w:uiPriority w:val="0"/>
    <w:rPr>
      <w:rFonts w:ascii="仿宋_GB2312" w:eastAsia="仿宋_GB2312"/>
      <w:b/>
      <w:bCs/>
      <w:spacing w:val="-20"/>
      <w:sz w:val="24"/>
      <w:szCs w:val="24"/>
    </w:rPr>
  </w:style>
  <w:style w:type="character" w:customStyle="1" w:styleId="430">
    <w:name w:val="font-121"/>
    <w:qFormat/>
    <w:uiPriority w:val="0"/>
    <w:rPr>
      <w:color w:val="666666"/>
      <w:sz w:val="18"/>
      <w:szCs w:val="18"/>
      <w:u w:val="none"/>
    </w:rPr>
  </w:style>
  <w:style w:type="character" w:customStyle="1" w:styleId="431">
    <w:name w:val="fonts11"/>
    <w:qFormat/>
    <w:uiPriority w:val="0"/>
    <w:rPr>
      <w:sz w:val="18"/>
      <w:szCs w:val="18"/>
    </w:rPr>
  </w:style>
  <w:style w:type="character" w:customStyle="1" w:styleId="432">
    <w:name w:val="样式4 Char Char"/>
    <w:qFormat/>
    <w:uiPriority w:val="0"/>
    <w:rPr>
      <w:rFonts w:eastAsia="宋体" w:cs="宋体"/>
      <w:color w:val="000000"/>
      <w:sz w:val="24"/>
      <w:szCs w:val="24"/>
      <w:lang w:val="en-US" w:eastAsia="zh-CN" w:bidi="ar-SA"/>
    </w:rPr>
  </w:style>
  <w:style w:type="character" w:customStyle="1" w:styleId="433">
    <w:name w:val="ih151"/>
    <w:qFormat/>
    <w:uiPriority w:val="0"/>
    <w:rPr>
      <w:color w:val="666666"/>
      <w:sz w:val="18"/>
      <w:szCs w:val="18"/>
      <w:u w:val="none"/>
    </w:rPr>
  </w:style>
  <w:style w:type="character" w:customStyle="1" w:styleId="434">
    <w:name w:val="正文缩进 Char2"/>
    <w:qFormat/>
    <w:uiPriority w:val="0"/>
    <w:rPr>
      <w:rFonts w:ascii="宋体" w:eastAsia="宋体"/>
      <w:snapToGrid w:val="0"/>
      <w:color w:val="000000"/>
      <w:kern w:val="28"/>
      <w:sz w:val="28"/>
      <w:lang w:val="en-US" w:eastAsia="zh-CN" w:bidi="ar-SA"/>
    </w:rPr>
  </w:style>
  <w:style w:type="paragraph" w:customStyle="1" w:styleId="435">
    <w:name w:val="哈哈改"/>
    <w:basedOn w:val="157"/>
    <w:qFormat/>
    <w:uiPriority w:val="0"/>
    <w:rPr>
      <w:b/>
      <w:kern w:val="0"/>
      <w:szCs w:val="24"/>
    </w:rPr>
  </w:style>
  <w:style w:type="paragraph" w:customStyle="1" w:styleId="436">
    <w:name w:val="z-窗体底端1"/>
    <w:basedOn w:val="1"/>
    <w:next w:val="1"/>
    <w:qFormat/>
    <w:uiPriority w:val="0"/>
    <w:pPr>
      <w:pBdr>
        <w:top w:val="single" w:color="auto" w:sz="6" w:space="1"/>
      </w:pBdr>
      <w:adjustRightInd/>
      <w:jc w:val="center"/>
    </w:pPr>
    <w:rPr>
      <w:rFonts w:ascii="Arial" w:hAnsi="等线"/>
      <w:vanish/>
      <w:sz w:val="16"/>
    </w:rPr>
  </w:style>
  <w:style w:type="paragraph" w:customStyle="1" w:styleId="437">
    <w:name w:val="z-窗体顶端1"/>
    <w:basedOn w:val="1"/>
    <w:next w:val="1"/>
    <w:qFormat/>
    <w:uiPriority w:val="0"/>
    <w:pPr>
      <w:pBdr>
        <w:bottom w:val="single" w:color="auto" w:sz="6" w:space="1"/>
      </w:pBdr>
      <w:adjustRightInd/>
      <w:jc w:val="center"/>
    </w:pPr>
    <w:rPr>
      <w:rFonts w:ascii="Arial" w:hAnsi="等线"/>
      <w:vanish/>
      <w:sz w:val="16"/>
    </w:rPr>
  </w:style>
  <w:style w:type="paragraph" w:customStyle="1" w:styleId="438">
    <w:name w:val="正文1"/>
    <w:basedOn w:val="40"/>
    <w:next w:val="1"/>
    <w:qFormat/>
    <w:uiPriority w:val="0"/>
    <w:pPr>
      <w:ind w:left="0" w:leftChars="0" w:firstLine="200" w:firstLineChars="200"/>
    </w:pPr>
    <w:rPr>
      <w:rFonts w:ascii="仿宋_GB2312" w:hAnsi="Courier New" w:eastAsia="仿宋_GB2312"/>
      <w:kern w:val="28"/>
      <w:sz w:val="24"/>
    </w:rPr>
  </w:style>
  <w:style w:type="paragraph" w:customStyle="1" w:styleId="4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40">
    <w:name w:val="正文空2字"/>
    <w:basedOn w:val="441"/>
    <w:qFormat/>
    <w:uiPriority w:val="0"/>
    <w:pPr>
      <w:widowControl w:val="0"/>
      <w:snapToGrid w:val="0"/>
      <w:spacing w:line="560" w:lineRule="exact"/>
      <w:ind w:firstLine="200" w:firstLineChars="200"/>
    </w:pPr>
    <w:rPr>
      <w:rFonts w:ascii="仿宋_GB2312" w:hAnsi="仿宋_GB2312" w:cs="仿宋_GB2312"/>
      <w:lang w:val="zh-TW" w:eastAsia="zh-TW"/>
    </w:rPr>
  </w:style>
  <w:style w:type="paragraph" w:customStyle="1" w:styleId="441">
    <w:name w:val="左对齐正文"/>
    <w:qFormat/>
    <w:uiPriority w:val="0"/>
    <w:rPr>
      <w:rFonts w:ascii="Calibri" w:hAnsi="Calibri" w:eastAsia="仿宋_GB2312" w:cs="Calibri"/>
      <w:kern w:val="2"/>
      <w:sz w:val="32"/>
      <w:szCs w:val="32"/>
      <w:lang w:val="en-US" w:eastAsia="zh-CN" w:bidi="ar-SA"/>
    </w:rPr>
  </w:style>
  <w:style w:type="paragraph" w:customStyle="1" w:styleId="442">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4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4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445">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446">
    <w:name w:val="样式 左侧:  0.85 厘米"/>
    <w:basedOn w:val="1"/>
    <w:qFormat/>
    <w:uiPriority w:val="0"/>
    <w:pPr>
      <w:adjustRightInd/>
      <w:spacing w:line="360" w:lineRule="auto"/>
    </w:pPr>
    <w:rPr>
      <w:rFonts w:cs="宋体"/>
      <w:sz w:val="24"/>
      <w:szCs w:val="20"/>
    </w:rPr>
  </w:style>
  <w:style w:type="paragraph" w:customStyle="1" w:styleId="447">
    <w:name w:val="Char Char Char Char Char Char Char Char Char Char Char Char1 Char"/>
    <w:basedOn w:val="1"/>
    <w:qFormat/>
    <w:uiPriority w:val="0"/>
    <w:rPr>
      <w:rFonts w:ascii="Tahoma" w:hAnsi="Tahoma" w:cs="仿宋_GB2312"/>
      <w:sz w:val="24"/>
      <w:szCs w:val="20"/>
    </w:rPr>
  </w:style>
  <w:style w:type="paragraph" w:customStyle="1" w:styleId="44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4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4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2">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453">
    <w:name w:val="列出段落2"/>
    <w:basedOn w:val="1"/>
    <w:qFormat/>
    <w:uiPriority w:val="0"/>
    <w:pPr>
      <w:adjustRightInd/>
      <w:ind w:firstLine="200" w:firstLineChars="200"/>
    </w:pPr>
    <w:rPr>
      <w:rFonts w:ascii="宋体" w:hAnsi="宋体"/>
      <w:sz w:val="24"/>
    </w:rPr>
  </w:style>
  <w:style w:type="paragraph" w:customStyle="1" w:styleId="454">
    <w:name w:val="Char2 Char Char Char1"/>
    <w:basedOn w:val="1"/>
    <w:qFormat/>
    <w:uiPriority w:val="0"/>
    <w:rPr>
      <w:rFonts w:ascii="仿宋_GB2312" w:eastAsia="仿宋_GB2312"/>
      <w:b/>
      <w:sz w:val="32"/>
      <w:szCs w:val="32"/>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5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58">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4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60">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46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62">
    <w:name w:val="Char Char Char Char Char Char Char2"/>
    <w:basedOn w:val="1"/>
    <w:qFormat/>
    <w:uiPriority w:val="0"/>
    <w:rPr>
      <w:rFonts w:ascii="仿宋_GB2312" w:eastAsia="仿宋_GB2312"/>
      <w:b/>
      <w:sz w:val="32"/>
      <w:szCs w:val="32"/>
    </w:rPr>
  </w:style>
  <w:style w:type="paragraph" w:customStyle="1" w:styleId="463">
    <w:name w:val="Char Char Char Char"/>
    <w:basedOn w:val="1"/>
    <w:qFormat/>
    <w:uiPriority w:val="0"/>
    <w:rPr>
      <w:rFonts w:ascii="Tahoma" w:hAnsi="Tahoma"/>
      <w:sz w:val="24"/>
      <w:szCs w:val="20"/>
    </w:rPr>
  </w:style>
  <w:style w:type="paragraph" w:customStyle="1" w:styleId="46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6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7">
    <w:name w:val="正文 首行缩进:  2 字符 Char"/>
    <w:basedOn w:val="1"/>
    <w:qFormat/>
    <w:uiPriority w:val="0"/>
    <w:pPr>
      <w:adjustRightInd/>
      <w:spacing w:line="360" w:lineRule="auto"/>
      <w:ind w:firstLine="480"/>
    </w:pPr>
    <w:rPr>
      <w:rFonts w:cs="宋体"/>
      <w:sz w:val="24"/>
      <w:szCs w:val="20"/>
    </w:rPr>
  </w:style>
  <w:style w:type="paragraph" w:customStyle="1" w:styleId="468">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46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0">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47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72">
    <w:name w:val="Char1 Char Char Char1"/>
    <w:basedOn w:val="1"/>
    <w:qFormat/>
    <w:uiPriority w:val="0"/>
    <w:pPr>
      <w:adjustRightInd/>
      <w:ind w:firstLine="200" w:firstLineChars="200"/>
    </w:pPr>
    <w:rPr>
      <w:rFonts w:ascii="Tahoma" w:hAnsi="Tahoma"/>
      <w:sz w:val="24"/>
      <w:szCs w:val="20"/>
    </w:rPr>
  </w:style>
  <w:style w:type="paragraph" w:customStyle="1" w:styleId="47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7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5">
    <w:name w:val="图中文字"/>
    <w:basedOn w:val="1"/>
    <w:qFormat/>
    <w:uiPriority w:val="0"/>
    <w:pPr>
      <w:snapToGrid w:val="0"/>
      <w:spacing w:line="0" w:lineRule="atLeast"/>
      <w:ind w:firstLine="200" w:firstLineChars="200"/>
      <w:jc w:val="center"/>
    </w:pPr>
    <w:rPr>
      <w:sz w:val="24"/>
      <w:szCs w:val="20"/>
    </w:rPr>
  </w:style>
  <w:style w:type="paragraph" w:customStyle="1" w:styleId="476">
    <w:name w:val="正文文本 23"/>
    <w:basedOn w:val="1"/>
    <w:qFormat/>
    <w:uiPriority w:val="0"/>
    <w:pPr>
      <w:widowControl/>
      <w:overflowPunct w:val="0"/>
      <w:autoSpaceDE w:val="0"/>
      <w:autoSpaceDN w:val="0"/>
      <w:ind w:left="720" w:hanging="720"/>
      <w:textAlignment w:val="baseline"/>
    </w:pPr>
    <w:rPr>
      <w:kern w:val="0"/>
      <w:sz w:val="24"/>
      <w:szCs w:val="20"/>
      <w:lang w:val="en-GB" w:eastAsia="en-GB"/>
    </w:rPr>
  </w:style>
  <w:style w:type="paragraph" w:customStyle="1" w:styleId="477">
    <w:name w:val="P1"/>
    <w:basedOn w:val="1"/>
    <w:qFormat/>
    <w:uiPriority w:val="0"/>
    <w:pPr>
      <w:adjustRightInd/>
      <w:spacing w:line="288" w:lineRule="auto"/>
      <w:ind w:firstLine="200" w:firstLineChars="200"/>
    </w:pPr>
  </w:style>
  <w:style w:type="paragraph" w:customStyle="1" w:styleId="47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9">
    <w:name w:val="6级标题"/>
    <w:basedOn w:val="480"/>
    <w:qFormat/>
    <w:uiPriority w:val="0"/>
    <w:pPr>
      <w:keepNext/>
      <w:tabs>
        <w:tab w:val="left" w:pos="360"/>
      </w:tabs>
      <w:spacing w:before="0" w:beforeLines="0" w:after="0" w:afterLines="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81">
    <w:name w:val="4级标题"/>
    <w:basedOn w:val="286"/>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82">
    <w:name w:val="Char Char11 Char Char Char Char Char Char Char Char Char1"/>
    <w:basedOn w:val="1"/>
    <w:qFormat/>
    <w:uiPriority w:val="0"/>
    <w:pPr>
      <w:spacing w:line="360" w:lineRule="auto"/>
    </w:pPr>
    <w:rPr>
      <w:szCs w:val="20"/>
    </w:rPr>
  </w:style>
  <w:style w:type="paragraph" w:customStyle="1" w:styleId="483">
    <w:name w:val="样式 正文文本缩进 + 左侧:  2 字符 首行缩进:  2 字符"/>
    <w:basedOn w:val="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48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8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486">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487">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8">
    <w:name w:val="默认段落字体 Para Char Char Char Char Char Char Char"/>
    <w:basedOn w:val="1"/>
    <w:qFormat/>
    <w:uiPriority w:val="0"/>
    <w:rPr>
      <w:rFonts w:eastAsia="仿宋_GB2312"/>
      <w:sz w:val="28"/>
      <w:szCs w:val="20"/>
    </w:rPr>
  </w:style>
  <w:style w:type="paragraph" w:customStyle="1" w:styleId="489">
    <w:name w:val="_正文段落"/>
    <w:basedOn w:val="1"/>
    <w:qFormat/>
    <w:uiPriority w:val="0"/>
    <w:pPr>
      <w:adjustRightInd/>
      <w:ind w:firstLine="560"/>
    </w:pPr>
    <w:rPr>
      <w:rFonts w:ascii="仿宋_GB2312" w:hAnsi="仿宋" w:eastAsia="仿宋_GB2312"/>
      <w:kern w:val="0"/>
      <w:sz w:val="28"/>
      <w:szCs w:val="28"/>
    </w:rPr>
  </w:style>
  <w:style w:type="paragraph" w:customStyle="1" w:styleId="490">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49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92">
    <w:name w:val="Char19"/>
    <w:basedOn w:val="1"/>
    <w:qFormat/>
    <w:uiPriority w:val="0"/>
    <w:pPr>
      <w:adjustRightInd/>
    </w:pPr>
    <w:rPr>
      <w:szCs w:val="20"/>
    </w:rPr>
  </w:style>
  <w:style w:type="paragraph" w:customStyle="1" w:styleId="4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9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95">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496">
    <w:name w:val="FA正文"/>
    <w:basedOn w:val="1"/>
    <w:qFormat/>
    <w:uiPriority w:val="0"/>
    <w:pPr>
      <w:spacing w:line="360" w:lineRule="auto"/>
      <w:ind w:firstLine="200" w:firstLineChars="200"/>
    </w:pPr>
    <w:rPr>
      <w:rFonts w:hAnsi="宋体"/>
      <w:sz w:val="24"/>
      <w:szCs w:val="20"/>
    </w:rPr>
  </w:style>
  <w:style w:type="paragraph" w:customStyle="1" w:styleId="49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00">
    <w:name w:val="EB_表格"/>
    <w:basedOn w:val="1"/>
    <w:qFormat/>
    <w:uiPriority w:val="0"/>
    <w:pPr>
      <w:adjustRightInd/>
      <w:spacing w:line="300" w:lineRule="auto"/>
      <w:jc w:val="center"/>
    </w:pPr>
  </w:style>
  <w:style w:type="paragraph" w:customStyle="1" w:styleId="501">
    <w:name w:val="Char Char111"/>
    <w:basedOn w:val="1"/>
    <w:qFormat/>
    <w:uiPriority w:val="0"/>
    <w:pPr>
      <w:spacing w:line="360" w:lineRule="auto"/>
    </w:pPr>
    <w:rPr>
      <w:szCs w:val="20"/>
    </w:rPr>
  </w:style>
  <w:style w:type="paragraph" w:customStyle="1" w:styleId="50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03">
    <w:name w:val="正文文本 221"/>
    <w:basedOn w:val="1"/>
    <w:qFormat/>
    <w:uiPriority w:val="0"/>
    <w:pPr>
      <w:widowControl/>
      <w:overflowPunct w:val="0"/>
      <w:autoSpaceDE w:val="0"/>
      <w:autoSpaceDN w:val="0"/>
      <w:ind w:left="720" w:hanging="720"/>
      <w:textAlignment w:val="baseline"/>
    </w:pPr>
    <w:rPr>
      <w:kern w:val="0"/>
      <w:sz w:val="24"/>
      <w:szCs w:val="20"/>
      <w:lang w:val="en-GB" w:eastAsia="en-GB"/>
    </w:rPr>
  </w:style>
  <w:style w:type="paragraph" w:customStyle="1" w:styleId="504">
    <w:name w:val="Char1 Char Char Char2"/>
    <w:basedOn w:val="1"/>
    <w:qFormat/>
    <w:uiPriority w:val="0"/>
    <w:pPr>
      <w:adjustRightInd/>
      <w:ind w:firstLine="200" w:firstLineChars="200"/>
    </w:pPr>
    <w:rPr>
      <w:rFonts w:ascii="Tahoma" w:hAnsi="Tahoma"/>
      <w:sz w:val="24"/>
      <w:szCs w:val="20"/>
    </w:rPr>
  </w:style>
  <w:style w:type="paragraph" w:customStyle="1" w:styleId="505">
    <w:name w:val="Char Char1 Char Char Char"/>
    <w:basedOn w:val="1"/>
    <w:qFormat/>
    <w:uiPriority w:val="0"/>
    <w:rPr>
      <w:rFonts w:ascii="仿宋_GB2312" w:eastAsia="仿宋_GB2312"/>
      <w:b/>
      <w:sz w:val="32"/>
      <w:szCs w:val="20"/>
    </w:rPr>
  </w:style>
  <w:style w:type="paragraph" w:customStyle="1" w:styleId="506">
    <w:name w:val="正文文字 2"/>
    <w:basedOn w:val="266"/>
    <w:next w:val="266"/>
    <w:qFormat/>
    <w:uiPriority w:val="0"/>
    <w:rPr>
      <w:rFonts w:ascii="宋体" w:eastAsia="宋体" w:cs="Times New Roman"/>
      <w:color w:val="auto"/>
    </w:rPr>
  </w:style>
  <w:style w:type="paragraph" w:customStyle="1" w:styleId="50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8">
    <w:name w:val="修订41"/>
    <w:qFormat/>
    <w:uiPriority w:val="0"/>
    <w:rPr>
      <w:rFonts w:ascii="Times New Roman" w:hAnsi="Times New Roman" w:eastAsia="宋体" w:cs="Times New Roman"/>
      <w:kern w:val="2"/>
      <w:sz w:val="21"/>
      <w:szCs w:val="24"/>
      <w:lang w:val="en-US" w:eastAsia="zh-CN" w:bidi="ar-SA"/>
    </w:rPr>
  </w:style>
  <w:style w:type="paragraph" w:customStyle="1" w:styleId="50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eastAsia="en-US"/>
    </w:rPr>
  </w:style>
  <w:style w:type="paragraph" w:customStyle="1" w:styleId="51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2">
    <w:name w:val="Char6"/>
    <w:basedOn w:val="1"/>
    <w:qFormat/>
    <w:uiPriority w:val="0"/>
    <w:rPr>
      <w:rFonts w:ascii="仿宋_GB2312" w:eastAsia="仿宋_GB2312"/>
      <w:b/>
      <w:sz w:val="32"/>
      <w:szCs w:val="32"/>
    </w:rPr>
  </w:style>
  <w:style w:type="paragraph" w:customStyle="1" w:styleId="51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15">
    <w:name w:val="文档正文"/>
    <w:basedOn w:val="1"/>
    <w:qFormat/>
    <w:uiPriority w:val="0"/>
    <w:pPr>
      <w:spacing w:line="480" w:lineRule="atLeast"/>
      <w:ind w:firstLine="567"/>
      <w:textAlignment w:val="baseline"/>
    </w:pPr>
    <w:rPr>
      <w:kern w:val="0"/>
      <w:sz w:val="24"/>
      <w:szCs w:val="20"/>
    </w:rPr>
  </w:style>
  <w:style w:type="paragraph" w:customStyle="1" w:styleId="516">
    <w:name w:val="正文1.25"/>
    <w:basedOn w:val="1"/>
    <w:qFormat/>
    <w:uiPriority w:val="0"/>
    <w:pPr>
      <w:adjustRightInd/>
      <w:spacing w:line="300" w:lineRule="auto"/>
      <w:ind w:firstLine="200" w:firstLineChars="200"/>
    </w:pPr>
    <w:rPr>
      <w:sz w:val="24"/>
      <w:szCs w:val="20"/>
    </w:rPr>
  </w:style>
  <w:style w:type="paragraph" w:customStyle="1" w:styleId="51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5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19">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20">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521">
    <w:name w:val="标题4_自定义"/>
    <w:basedOn w:val="8"/>
    <w:qFormat/>
    <w:uiPriority w:val="0"/>
    <w:pPr>
      <w:adjustRightInd/>
      <w:spacing w:before="0" w:after="0" w:line="360" w:lineRule="auto"/>
    </w:pPr>
    <w:rPr>
      <w:rFonts w:ascii="Verdana" w:eastAsia="Verdana"/>
      <w:sz w:val="21"/>
      <w:lang w:val="en-US" w:eastAsia="en-US"/>
    </w:rPr>
  </w:style>
  <w:style w:type="paragraph" w:customStyle="1" w:styleId="52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524">
    <w:name w:val="Char Char1 Char Char Char1"/>
    <w:basedOn w:val="1"/>
    <w:qFormat/>
    <w:uiPriority w:val="0"/>
    <w:rPr>
      <w:rFonts w:ascii="仿宋_GB2312" w:eastAsia="仿宋_GB2312"/>
      <w:b/>
      <w:sz w:val="32"/>
      <w:szCs w:val="20"/>
    </w:rPr>
  </w:style>
  <w:style w:type="paragraph" w:customStyle="1" w:styleId="525">
    <w:name w:val="Bulleting First Indent 1"/>
    <w:basedOn w:val="7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en-US"/>
    </w:rPr>
  </w:style>
  <w:style w:type="paragraph" w:customStyle="1" w:styleId="5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27">
    <w:name w:val="正文 内标 序号标"/>
    <w:basedOn w:val="528"/>
    <w:qFormat/>
    <w:uiPriority w:val="0"/>
    <w:pPr>
      <w:tabs>
        <w:tab w:val="left" w:pos="0"/>
      </w:tabs>
      <w:adjustRightInd/>
      <w:spacing w:before="0"/>
      <w:ind w:firstLine="482"/>
    </w:pPr>
    <w:rPr>
      <w:rFonts w:ascii="微软雅黑" w:hAnsi="微软雅黑"/>
      <w:sz w:val="24"/>
      <w:szCs w:val="24"/>
    </w:rPr>
  </w:style>
  <w:style w:type="paragraph" w:customStyle="1" w:styleId="528">
    <w:name w:val="My正文"/>
    <w:basedOn w:val="1"/>
    <w:qFormat/>
    <w:uiPriority w:val="0"/>
    <w:pPr>
      <w:spacing w:before="120" w:line="360" w:lineRule="auto"/>
      <w:ind w:firstLine="567"/>
    </w:pPr>
    <w:rPr>
      <w:rFonts w:ascii="Arial" w:hAnsi="Arial"/>
      <w:sz w:val="20"/>
      <w:szCs w:val="20"/>
    </w:rPr>
  </w:style>
  <w:style w:type="paragraph" w:customStyle="1" w:styleId="529">
    <w:name w:val="Char2 Char Char2"/>
    <w:basedOn w:val="1"/>
    <w:qFormat/>
    <w:uiPriority w:val="0"/>
    <w:pPr>
      <w:adjustRightInd/>
    </w:pPr>
    <w:rPr>
      <w:rFonts w:ascii="Tahoma" w:hAnsi="Tahoma"/>
      <w:sz w:val="24"/>
      <w:szCs w:val="20"/>
    </w:rPr>
  </w:style>
  <w:style w:type="paragraph" w:customStyle="1" w:styleId="530">
    <w:name w:val="彩色列表 - 强调文字颜色 12"/>
    <w:basedOn w:val="1"/>
    <w:qFormat/>
    <w:uiPriority w:val="0"/>
    <w:pPr>
      <w:adjustRightInd/>
      <w:ind w:firstLine="200" w:firstLineChars="200"/>
    </w:pPr>
    <w:rPr>
      <w:rFonts w:ascii="Calibri" w:hAnsi="Calibri"/>
      <w:szCs w:val="22"/>
    </w:rPr>
  </w:style>
  <w:style w:type="paragraph" w:customStyle="1" w:styleId="531">
    <w:name w:val="标书标题2"/>
    <w:basedOn w:val="4"/>
    <w:qFormat/>
    <w:uiPriority w:val="0"/>
    <w:pPr>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eastAsia="en-US"/>
    </w:rPr>
  </w:style>
  <w:style w:type="paragraph" w:customStyle="1" w:styleId="532">
    <w:name w:val="样式 样式2 + 左侧:  1 字符 右侧:  1 字符"/>
    <w:basedOn w:val="533"/>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en-US"/>
    </w:rPr>
  </w:style>
  <w:style w:type="paragraph" w:customStyle="1" w:styleId="53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34">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38">
    <w:name w:val="一级条标题"/>
    <w:basedOn w:val="539"/>
    <w:next w:val="540"/>
    <w:qFormat/>
    <w:uiPriority w:val="0"/>
    <w:pPr>
      <w:tabs>
        <w:tab w:val="left" w:pos="1260"/>
        <w:tab w:val="left" w:pos="1680"/>
      </w:tabs>
      <w:spacing w:beforeLines="0" w:afterLines="0"/>
      <w:ind w:left="1680"/>
      <w:outlineLvl w:val="2"/>
    </w:pPr>
  </w:style>
  <w:style w:type="paragraph" w:customStyle="1" w:styleId="539">
    <w:name w:val="章标题"/>
    <w:next w:val="540"/>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lang w:val="en-US" w:eastAsia="zh-CN" w:bidi="ar-SA"/>
    </w:rPr>
  </w:style>
  <w:style w:type="paragraph" w:customStyle="1" w:styleId="5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1">
    <w:name w:val="Char Char1101"/>
    <w:basedOn w:val="1"/>
    <w:qFormat/>
    <w:uiPriority w:val="0"/>
    <w:pPr>
      <w:spacing w:line="360" w:lineRule="auto"/>
    </w:pPr>
    <w:rPr>
      <w:rFonts w:ascii="Tahoma" w:hAnsi="Tahoma"/>
      <w:sz w:val="24"/>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47">
    <w:name w:val="三级条标题"/>
    <w:basedOn w:val="548"/>
    <w:next w:val="540"/>
    <w:qFormat/>
    <w:uiPriority w:val="0"/>
    <w:pPr>
      <w:tabs>
        <w:tab w:val="left" w:pos="1260"/>
        <w:tab w:val="left" w:pos="2100"/>
        <w:tab w:val="left" w:pos="2520"/>
      </w:tabs>
      <w:ind w:left="2520"/>
      <w:outlineLvl w:val="4"/>
    </w:pPr>
  </w:style>
  <w:style w:type="paragraph" w:customStyle="1" w:styleId="548">
    <w:name w:val="二级条标题"/>
    <w:basedOn w:val="538"/>
    <w:next w:val="540"/>
    <w:qFormat/>
    <w:uiPriority w:val="0"/>
    <w:pPr>
      <w:tabs>
        <w:tab w:val="left" w:pos="2100"/>
        <w:tab w:val="clear" w:pos="1680"/>
      </w:tabs>
      <w:ind w:left="0"/>
      <w:outlineLvl w:val="3"/>
    </w:pPr>
  </w:style>
  <w:style w:type="paragraph" w:customStyle="1" w:styleId="549">
    <w:name w:val="Char Char11 Char Char Char Char Char Char Char Char Char11"/>
    <w:basedOn w:val="1"/>
    <w:qFormat/>
    <w:uiPriority w:val="0"/>
    <w:pPr>
      <w:spacing w:line="360" w:lineRule="auto"/>
    </w:pPr>
    <w:rPr>
      <w:szCs w:val="20"/>
    </w:rPr>
  </w:style>
  <w:style w:type="paragraph" w:customStyle="1" w:styleId="55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标1"/>
    <w:basedOn w:val="1"/>
    <w:qFormat/>
    <w:uiPriority w:val="0"/>
    <w:pPr>
      <w:widowControl/>
      <w:tabs>
        <w:tab w:val="left" w:pos="1020"/>
      </w:tabs>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553">
    <w:name w:val="Char Char Char Char Char Char Char Char Char Char"/>
    <w:basedOn w:val="1"/>
    <w:qFormat/>
    <w:uiPriority w:val="0"/>
    <w:rPr>
      <w:rFonts w:ascii="仿宋_GB2312" w:eastAsia="仿宋_GB2312"/>
      <w:b/>
      <w:sz w:val="32"/>
      <w:szCs w:val="32"/>
    </w:rPr>
  </w:style>
  <w:style w:type="paragraph" w:customStyle="1" w:styleId="554">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5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1 Char Char Char21"/>
    <w:basedOn w:val="1"/>
    <w:qFormat/>
    <w:uiPriority w:val="0"/>
    <w:rPr>
      <w:rFonts w:ascii="Tahoma" w:hAnsi="Tahoma"/>
      <w:sz w:val="24"/>
      <w:szCs w:val="20"/>
    </w:rPr>
  </w:style>
  <w:style w:type="paragraph" w:customStyle="1" w:styleId="5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8">
    <w:name w:val="Body Text 2*"/>
    <w:basedOn w:val="1"/>
    <w:qFormat/>
    <w:uiPriority w:val="0"/>
    <w:pPr>
      <w:widowControl/>
      <w:adjustRightInd/>
      <w:ind w:left="720" w:hanging="720"/>
    </w:pPr>
    <w:rPr>
      <w:color w:val="000000"/>
      <w:kern w:val="0"/>
      <w:sz w:val="24"/>
      <w:szCs w:val="20"/>
      <w:lang w:val="en-GB" w:eastAsia="en-GB"/>
    </w:rPr>
  </w:style>
  <w:style w:type="paragraph" w:customStyle="1" w:styleId="559">
    <w:name w:val="列出段落5"/>
    <w:basedOn w:val="1"/>
    <w:qFormat/>
    <w:uiPriority w:val="0"/>
    <w:pPr>
      <w:spacing w:line="360" w:lineRule="auto"/>
      <w:ind w:firstLine="200" w:firstLineChars="200"/>
    </w:pPr>
    <w:rPr>
      <w:rFonts w:eastAsia="楷体_GB2312" w:cs="Lucida Sans"/>
      <w:sz w:val="24"/>
    </w:rPr>
  </w:style>
  <w:style w:type="paragraph" w:customStyle="1" w:styleId="56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6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62">
    <w:name w:val="正文缩进1"/>
    <w:basedOn w:val="1"/>
    <w:next w:val="7"/>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563">
    <w:name w:val="正文表标题"/>
    <w:next w:val="5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65">
    <w:name w:val="正文主体"/>
    <w:basedOn w:val="485"/>
    <w:qFormat/>
    <w:uiPriority w:val="0"/>
  </w:style>
  <w:style w:type="paragraph" w:customStyle="1" w:styleId="566">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567">
    <w:name w:val="文章标题"/>
    <w:next w:val="568"/>
    <w:qFormat/>
    <w:uiPriority w:val="0"/>
    <w:pPr>
      <w:spacing w:before="800" w:beforeLines="800" w:after="100" w:afterLines="100"/>
      <w:jc w:val="center"/>
    </w:pPr>
    <w:rPr>
      <w:rFonts w:ascii="Arial" w:hAnsi="Arial" w:eastAsia="黑体" w:cs="宋体"/>
      <w:bCs/>
      <w:kern w:val="2"/>
      <w:sz w:val="52"/>
      <w:lang w:val="en-US" w:eastAsia="zh-CN" w:bidi="ar-SA"/>
    </w:rPr>
  </w:style>
  <w:style w:type="paragraph" w:customStyle="1" w:styleId="568">
    <w:name w:val="封面公司名"/>
    <w:qFormat/>
    <w:uiPriority w:val="0"/>
    <w:pPr>
      <w:jc w:val="center"/>
    </w:pPr>
    <w:rPr>
      <w:rFonts w:ascii="Arial" w:hAnsi="Arial" w:eastAsia="楷体_GB2312" w:cs="宋体"/>
      <w:bCs/>
      <w:kern w:val="2"/>
      <w:sz w:val="28"/>
      <w:lang w:val="en-US" w:eastAsia="zh-CN" w:bidi="ar-SA"/>
    </w:rPr>
  </w:style>
  <w:style w:type="paragraph" w:customStyle="1" w:styleId="569">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570">
    <w:name w:val="正文文本 21"/>
    <w:basedOn w:val="1"/>
    <w:qFormat/>
    <w:uiPriority w:val="0"/>
    <w:pPr>
      <w:widowControl/>
      <w:overflowPunct w:val="0"/>
      <w:autoSpaceDE w:val="0"/>
      <w:autoSpaceDN w:val="0"/>
      <w:ind w:left="720" w:hanging="720"/>
      <w:textAlignment w:val="baseline"/>
    </w:pPr>
    <w:rPr>
      <w:kern w:val="0"/>
      <w:sz w:val="24"/>
      <w:szCs w:val="20"/>
      <w:lang w:val="en-GB" w:eastAsia="en-GB"/>
    </w:rPr>
  </w:style>
  <w:style w:type="paragraph" w:customStyle="1" w:styleId="57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72">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57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7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7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76">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577">
    <w:name w:val="Char Char Char1 Char"/>
    <w:basedOn w:val="1"/>
    <w:qFormat/>
    <w:uiPriority w:val="0"/>
    <w:rPr>
      <w:szCs w:val="20"/>
    </w:rPr>
  </w:style>
  <w:style w:type="paragraph" w:customStyle="1" w:styleId="578">
    <w:name w:val="Char Char Char Char Char Char Char Char2"/>
    <w:basedOn w:val="1"/>
    <w:qFormat/>
    <w:uiPriority w:val="0"/>
    <w:pPr>
      <w:tabs>
        <w:tab w:val="left" w:pos="360"/>
      </w:tabs>
    </w:pPr>
    <w:rPr>
      <w:sz w:val="24"/>
      <w:szCs w:val="20"/>
    </w:rPr>
  </w:style>
  <w:style w:type="paragraph" w:customStyle="1" w:styleId="57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8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2">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83">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86">
    <w:name w:val="列表内容"/>
    <w:basedOn w:val="1"/>
    <w:next w:val="1"/>
    <w:qFormat/>
    <w:uiPriority w:val="0"/>
    <w:pPr>
      <w:widowControl/>
      <w:tabs>
        <w:tab w:val="left" w:pos="840"/>
      </w:tabs>
      <w:ind w:left="840" w:hanging="420"/>
      <w:jc w:val="left"/>
    </w:pPr>
    <w:rPr>
      <w:kern w:val="0"/>
      <w:sz w:val="18"/>
    </w:rPr>
  </w:style>
  <w:style w:type="paragraph" w:customStyle="1" w:styleId="587">
    <w:name w:val="修订3"/>
    <w:qFormat/>
    <w:uiPriority w:val="0"/>
    <w:rPr>
      <w:rFonts w:ascii="Times New Roman" w:hAnsi="Times New Roman" w:eastAsia="宋体" w:cs="Times New Roman"/>
      <w:kern w:val="2"/>
      <w:sz w:val="21"/>
      <w:lang w:val="en-US" w:eastAsia="zh-CN" w:bidi="ar-SA"/>
    </w:rPr>
  </w:style>
  <w:style w:type="paragraph" w:customStyle="1" w:styleId="58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8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90">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5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9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9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9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5">
    <w:name w:val="正文－恩普"/>
    <w:basedOn w:val="6"/>
    <w:qFormat/>
    <w:uiPriority w:val="0"/>
    <w:pPr>
      <w:adjustRightInd/>
      <w:snapToGrid/>
      <w:spacing w:before="100" w:beforeAutospacing="1" w:after="100" w:afterLines="50" w:afterAutospacing="1" w:line="360" w:lineRule="auto"/>
      <w:ind w:firstLine="200" w:firstLineChars="200"/>
      <w:jc w:val="left"/>
    </w:pPr>
    <w:rPr>
      <w:rFonts w:ascii="Times New Roman"/>
      <w:snapToGrid/>
      <w:color w:val="auto"/>
      <w:kern w:val="0"/>
      <w:sz w:val="24"/>
    </w:rPr>
  </w:style>
  <w:style w:type="paragraph" w:customStyle="1" w:styleId="596">
    <w:name w:val="_Style 11"/>
    <w:basedOn w:val="1"/>
    <w:qFormat/>
    <w:uiPriority w:val="0"/>
    <w:pPr>
      <w:adjustRightInd/>
      <w:ind w:firstLine="200" w:firstLineChars="200"/>
    </w:pPr>
    <w:rPr>
      <w:rFonts w:eastAsia="仿宋_GB2312"/>
      <w:sz w:val="28"/>
    </w:rPr>
  </w:style>
  <w:style w:type="paragraph" w:customStyle="1" w:styleId="597">
    <w:name w:val="单元格居中"/>
    <w:basedOn w:val="1"/>
    <w:qFormat/>
    <w:uiPriority w:val="0"/>
    <w:pPr>
      <w:adjustRightInd/>
      <w:spacing w:line="360" w:lineRule="auto"/>
      <w:jc w:val="center"/>
    </w:pPr>
    <w:rPr>
      <w:sz w:val="24"/>
    </w:rPr>
  </w:style>
  <w:style w:type="paragraph" w:customStyle="1" w:styleId="59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eastAsia="en-US"/>
    </w:rPr>
  </w:style>
  <w:style w:type="paragraph" w:customStyle="1" w:styleId="59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0">
    <w:name w:val="正文标准"/>
    <w:basedOn w:val="1"/>
    <w:qFormat/>
    <w:uiPriority w:val="0"/>
    <w:pPr>
      <w:adjustRightInd/>
      <w:spacing w:line="360" w:lineRule="auto"/>
      <w:ind w:firstLine="200" w:firstLineChars="200"/>
    </w:pPr>
    <w:rPr>
      <w:rFonts w:ascii="宋体" w:hAnsi="Calibri"/>
      <w:sz w:val="24"/>
    </w:rPr>
  </w:style>
  <w:style w:type="paragraph" w:customStyle="1" w:styleId="60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02">
    <w:name w:val="_Style 947"/>
    <w:basedOn w:val="1"/>
    <w:next w:val="286"/>
    <w:qFormat/>
    <w:uiPriority w:val="0"/>
    <w:pPr>
      <w:adjustRightInd/>
      <w:ind w:firstLine="200" w:firstLineChars="200"/>
    </w:pPr>
  </w:style>
  <w:style w:type="paragraph" w:customStyle="1" w:styleId="60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04">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eastAsia="新宋体"/>
      <w:sz w:val="24"/>
      <w:szCs w:val="20"/>
    </w:rPr>
  </w:style>
  <w:style w:type="paragraph" w:customStyle="1" w:styleId="605">
    <w:name w:val="正文 内标"/>
    <w:basedOn w:val="606"/>
    <w:qFormat/>
    <w:uiPriority w:val="0"/>
    <w:pPr>
      <w:tabs>
        <w:tab w:val="left" w:pos="0"/>
      </w:tabs>
      <w:ind w:left="900" w:firstLine="0" w:firstLineChars="0"/>
    </w:pPr>
  </w:style>
  <w:style w:type="paragraph" w:customStyle="1" w:styleId="60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07">
    <w:name w:val="表格标题2"/>
    <w:basedOn w:val="608"/>
    <w:qFormat/>
    <w:uiPriority w:val="0"/>
    <w:rPr>
      <w:b/>
    </w:rPr>
  </w:style>
  <w:style w:type="paragraph" w:customStyle="1" w:styleId="608">
    <w:name w:val="表格内文"/>
    <w:basedOn w:val="1"/>
    <w:qFormat/>
    <w:uiPriority w:val="0"/>
    <w:pPr>
      <w:adjustRightInd/>
      <w:spacing w:line="360" w:lineRule="auto"/>
    </w:pPr>
    <w:rPr>
      <w:rFonts w:ascii="宋体" w:hAnsi="宋体" w:cs="宋体"/>
      <w:color w:val="000000"/>
      <w:szCs w:val="20"/>
    </w:rPr>
  </w:style>
  <w:style w:type="paragraph" w:customStyle="1" w:styleId="60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Char Char Char Char Char Char Char Char"/>
    <w:basedOn w:val="1"/>
    <w:qFormat/>
    <w:uiPriority w:val="0"/>
    <w:pPr>
      <w:tabs>
        <w:tab w:val="left" w:pos="360"/>
      </w:tabs>
    </w:pPr>
    <w:rPr>
      <w:sz w:val="24"/>
      <w:szCs w:val="20"/>
    </w:rPr>
  </w:style>
  <w:style w:type="paragraph" w:customStyle="1" w:styleId="611">
    <w:name w:val="Char Char11 Char Char Char"/>
    <w:basedOn w:val="1"/>
    <w:qFormat/>
    <w:uiPriority w:val="0"/>
    <w:pPr>
      <w:spacing w:line="360" w:lineRule="auto"/>
    </w:pPr>
    <w:rPr>
      <w:szCs w:val="20"/>
    </w:rPr>
  </w:style>
  <w:style w:type="paragraph" w:customStyle="1" w:styleId="612">
    <w:name w:val="bullet"/>
    <w:basedOn w:val="1"/>
    <w:qFormat/>
    <w:uiPriority w:val="0"/>
    <w:pPr>
      <w:tabs>
        <w:tab w:val="left" w:pos="840"/>
      </w:tabs>
      <w:adjustRightInd/>
      <w:ind w:left="840" w:hanging="420"/>
    </w:pPr>
  </w:style>
  <w:style w:type="paragraph" w:customStyle="1" w:styleId="613">
    <w:name w:val="正文文本 22"/>
    <w:basedOn w:val="1"/>
    <w:qFormat/>
    <w:uiPriority w:val="0"/>
    <w:pPr>
      <w:widowControl/>
      <w:overflowPunct w:val="0"/>
      <w:autoSpaceDE w:val="0"/>
      <w:autoSpaceDN w:val="0"/>
      <w:ind w:left="720" w:hanging="720"/>
      <w:textAlignment w:val="baseline"/>
    </w:pPr>
    <w:rPr>
      <w:kern w:val="0"/>
      <w:sz w:val="24"/>
      <w:szCs w:val="20"/>
      <w:lang w:val="en-GB" w:eastAsia="en-GB"/>
    </w:rPr>
  </w:style>
  <w:style w:type="paragraph" w:customStyle="1" w:styleId="6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18">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619">
    <w:name w:val="批注框文本 Char Char"/>
    <w:basedOn w:val="1"/>
    <w:qFormat/>
    <w:uiPriority w:val="0"/>
    <w:pPr>
      <w:adjustRightInd/>
    </w:pPr>
    <w:rPr>
      <w:sz w:val="18"/>
      <w:szCs w:val="20"/>
    </w:rPr>
  </w:style>
  <w:style w:type="paragraph" w:customStyle="1" w:styleId="620">
    <w:name w:val="Char23"/>
    <w:basedOn w:val="1"/>
    <w:qFormat/>
    <w:uiPriority w:val="0"/>
    <w:rPr>
      <w:rFonts w:ascii="仿宋_GB2312" w:eastAsia="仿宋_GB2312"/>
      <w:b/>
      <w:sz w:val="32"/>
      <w:szCs w:val="32"/>
    </w:rPr>
  </w:style>
  <w:style w:type="paragraph" w:customStyle="1" w:styleId="621">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23">
    <w:name w:val="Char Char Char Char Char Char Char1"/>
    <w:basedOn w:val="1"/>
    <w:qFormat/>
    <w:uiPriority w:val="0"/>
    <w:rPr>
      <w:rFonts w:ascii="仿宋_GB2312" w:eastAsia="仿宋_GB2312"/>
      <w:b/>
      <w:sz w:val="32"/>
      <w:szCs w:val="32"/>
    </w:rPr>
  </w:style>
  <w:style w:type="paragraph" w:customStyle="1" w:styleId="62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25">
    <w:name w:val="表1"/>
    <w:basedOn w:val="1"/>
    <w:qFormat/>
    <w:uiPriority w:val="0"/>
    <w:pPr>
      <w:tabs>
        <w:tab w:val="left" w:pos="703"/>
      </w:tabs>
      <w:adjustRightInd/>
      <w:spacing w:line="360" w:lineRule="auto"/>
      <w:ind w:left="703"/>
      <w:jc w:val="center"/>
    </w:pPr>
  </w:style>
  <w:style w:type="paragraph" w:customStyle="1" w:styleId="62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28">
    <w:name w:val="默认段落字体 Para Char Char Char1 Char"/>
    <w:basedOn w:val="1"/>
    <w:qFormat/>
    <w:uiPriority w:val="0"/>
    <w:pPr>
      <w:spacing w:line="240" w:lineRule="atLeast"/>
      <w:ind w:left="420" w:firstLine="420"/>
    </w:pPr>
    <w:rPr>
      <w:sz w:val="24"/>
    </w:rPr>
  </w:style>
  <w:style w:type="paragraph" w:customStyle="1" w:styleId="629">
    <w:name w:val="样式7"/>
    <w:basedOn w:val="592"/>
    <w:next w:val="1"/>
    <w:qFormat/>
    <w:uiPriority w:val="0"/>
    <w:pPr>
      <w:spacing w:after="50" w:afterLines="50"/>
      <w:jc w:val="left"/>
      <w:outlineLvl w:val="3"/>
    </w:pPr>
    <w:rPr>
      <w:sz w:val="24"/>
      <w:szCs w:val="24"/>
    </w:rPr>
  </w:style>
  <w:style w:type="paragraph" w:customStyle="1" w:styleId="6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631">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63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34">
    <w:name w:val="MM Topic 3"/>
    <w:basedOn w:val="5"/>
    <w:qFormat/>
    <w:uiPriority w:val="0"/>
    <w:pPr>
      <w:tabs>
        <w:tab w:val="left" w:pos="1680"/>
        <w:tab w:val="clear" w:pos="900"/>
      </w:tabs>
      <w:adjustRightInd/>
      <w:ind w:left="1680" w:hanging="420"/>
    </w:pPr>
  </w:style>
  <w:style w:type="paragraph" w:customStyle="1" w:styleId="635">
    <w:name w:val="WW-正文文字缩进 2"/>
    <w:basedOn w:val="1"/>
    <w:qFormat/>
    <w:uiPriority w:val="0"/>
    <w:pPr>
      <w:suppressAutoHyphens/>
      <w:adjustRightInd/>
      <w:ind w:firstLine="420"/>
    </w:pPr>
    <w:rPr>
      <w:szCs w:val="20"/>
    </w:rPr>
  </w:style>
  <w:style w:type="paragraph" w:customStyle="1" w:styleId="636">
    <w:name w:val="MM Topic 2"/>
    <w:basedOn w:val="4"/>
    <w:qFormat/>
    <w:uiPriority w:val="0"/>
    <w:pPr>
      <w:tabs>
        <w:tab w:val="left" w:pos="1260"/>
        <w:tab w:val="clear" w:pos="432"/>
      </w:tabs>
      <w:ind w:left="1260" w:hanging="420"/>
    </w:pPr>
    <w:rPr>
      <w:rFonts w:ascii="Arial" w:hAnsi="Arial" w:eastAsia="黑体"/>
      <w:lang w:val="en-US" w:eastAsia="en-US"/>
    </w:rPr>
  </w:style>
  <w:style w:type="paragraph" w:customStyle="1" w:styleId="63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8">
    <w:name w:val="样式3"/>
    <w:basedOn w:val="533"/>
    <w:qFormat/>
    <w:uiPriority w:val="0"/>
    <w:pPr>
      <w:spacing w:before="100" w:beforeLines="100"/>
      <w:jc w:val="left"/>
    </w:pPr>
  </w:style>
  <w:style w:type="paragraph" w:customStyle="1" w:styleId="639">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40">
    <w:name w:val="Plain Text1"/>
    <w:basedOn w:val="1"/>
    <w:qFormat/>
    <w:uiPriority w:val="0"/>
    <w:pPr>
      <w:adjustRightInd/>
    </w:pPr>
    <w:rPr>
      <w:rFonts w:ascii="宋体" w:hAnsi="Courier New"/>
    </w:rPr>
  </w:style>
  <w:style w:type="paragraph" w:customStyle="1" w:styleId="64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42">
    <w:name w:val="Char Char11 Char Char Char1"/>
    <w:basedOn w:val="1"/>
    <w:qFormat/>
    <w:uiPriority w:val="0"/>
    <w:pPr>
      <w:spacing w:line="360" w:lineRule="auto"/>
    </w:pPr>
    <w:rPr>
      <w:szCs w:val="20"/>
    </w:rPr>
  </w:style>
  <w:style w:type="paragraph" w:customStyle="1" w:styleId="643">
    <w:name w:val="CSS1级正文 Char"/>
    <w:basedOn w:val="31"/>
    <w:qFormat/>
    <w:uiPriority w:val="0"/>
    <w:pPr>
      <w:autoSpaceDE/>
      <w:autoSpaceDN/>
      <w:snapToGrid w:val="0"/>
      <w:ind w:firstLine="200" w:firstLineChars="200"/>
    </w:pPr>
    <w:rPr>
      <w:rFonts w:ascii="Times New Roman"/>
      <w:szCs w:val="24"/>
      <w:lang w:val="en-US" w:eastAsia="en-US"/>
    </w:rPr>
  </w:style>
  <w:style w:type="paragraph" w:customStyle="1" w:styleId="644">
    <w:name w:val="样式1 + (中宋体"/>
    <w:basedOn w:val="408"/>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4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46">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647">
    <w:name w:val="单元格左对齐"/>
    <w:basedOn w:val="1"/>
    <w:qFormat/>
    <w:uiPriority w:val="0"/>
    <w:pPr>
      <w:adjustRightInd/>
      <w:spacing w:line="360" w:lineRule="auto"/>
    </w:pPr>
    <w:rPr>
      <w:sz w:val="24"/>
    </w:rPr>
  </w:style>
  <w:style w:type="paragraph" w:customStyle="1" w:styleId="64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9">
    <w:name w:val="Char3 Char Char Char11"/>
    <w:basedOn w:val="1"/>
    <w:qFormat/>
    <w:uiPriority w:val="0"/>
    <w:pPr>
      <w:widowControl/>
      <w:adjustRightInd/>
      <w:spacing w:after="160" w:line="240" w:lineRule="exact"/>
      <w:jc w:val="left"/>
    </w:pPr>
    <w:rPr>
      <w:szCs w:val="20"/>
    </w:rPr>
  </w:style>
  <w:style w:type="paragraph" w:customStyle="1" w:styleId="6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51">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6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53">
    <w:name w:val="Char Char1 Char Char1 Char Char1"/>
    <w:basedOn w:val="1"/>
    <w:qFormat/>
    <w:uiPriority w:val="0"/>
    <w:pPr>
      <w:tabs>
        <w:tab w:val="left" w:pos="840"/>
      </w:tabs>
      <w:ind w:left="840" w:hanging="420"/>
    </w:pPr>
    <w:rPr>
      <w:rFonts w:ascii="Tahoma" w:hAnsi="Tahoma"/>
      <w:sz w:val="24"/>
    </w:rPr>
  </w:style>
  <w:style w:type="paragraph" w:customStyle="1" w:styleId="654">
    <w:name w:val="Char3 Char Char Char1"/>
    <w:basedOn w:val="1"/>
    <w:qFormat/>
    <w:uiPriority w:val="0"/>
    <w:pPr>
      <w:widowControl/>
      <w:adjustRightInd/>
      <w:spacing w:after="160" w:line="240" w:lineRule="exact"/>
      <w:jc w:val="left"/>
    </w:pPr>
    <w:rPr>
      <w:szCs w:val="20"/>
    </w:rPr>
  </w:style>
  <w:style w:type="paragraph" w:customStyle="1" w:styleId="655">
    <w:name w:val="正文21"/>
    <w:basedOn w:val="1"/>
    <w:qFormat/>
    <w:uiPriority w:val="0"/>
    <w:pPr>
      <w:adjustRightInd/>
      <w:spacing w:before="156" w:line="360" w:lineRule="auto"/>
      <w:ind w:firstLine="200" w:firstLineChars="200"/>
    </w:pPr>
    <w:rPr>
      <w:sz w:val="24"/>
      <w:szCs w:val="20"/>
    </w:rPr>
  </w:style>
  <w:style w:type="paragraph" w:customStyle="1" w:styleId="656">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5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8">
    <w:name w:val="五级条标题"/>
    <w:basedOn w:val="659"/>
    <w:next w:val="540"/>
    <w:qFormat/>
    <w:uiPriority w:val="0"/>
    <w:pPr>
      <w:tabs>
        <w:tab w:val="left" w:pos="1260"/>
        <w:tab w:val="left" w:pos="2100"/>
        <w:tab w:val="left" w:pos="2940"/>
        <w:tab w:val="left" w:pos="3360"/>
      </w:tabs>
      <w:ind w:left="3360"/>
      <w:outlineLvl w:val="6"/>
    </w:pPr>
  </w:style>
  <w:style w:type="paragraph" w:customStyle="1" w:styleId="659">
    <w:name w:val="四级条标题"/>
    <w:basedOn w:val="547"/>
    <w:next w:val="540"/>
    <w:qFormat/>
    <w:uiPriority w:val="0"/>
    <w:pPr>
      <w:tabs>
        <w:tab w:val="left" w:pos="2940"/>
        <w:tab w:val="clear" w:pos="2520"/>
      </w:tabs>
      <w:ind w:left="2940"/>
      <w:outlineLvl w:val="5"/>
    </w:pPr>
  </w:style>
  <w:style w:type="paragraph" w:customStyle="1" w:styleId="660">
    <w:name w:val="Char1"/>
    <w:basedOn w:val="1"/>
    <w:qFormat/>
    <w:uiPriority w:val="0"/>
    <w:rPr>
      <w:rFonts w:ascii="仿宋_GB2312" w:eastAsia="仿宋_GB2312"/>
      <w:b/>
      <w:sz w:val="32"/>
      <w:szCs w:val="32"/>
    </w:rPr>
  </w:style>
  <w:style w:type="paragraph" w:customStyle="1" w:styleId="661">
    <w:name w:val="MM Topic 4"/>
    <w:basedOn w:val="8"/>
    <w:qFormat/>
    <w:uiPriority w:val="0"/>
    <w:pPr>
      <w:tabs>
        <w:tab w:val="left" w:pos="2100"/>
        <w:tab w:val="clear" w:pos="864"/>
      </w:tabs>
      <w:adjustRightInd/>
      <w:ind w:left="2100" w:hanging="420"/>
    </w:pPr>
    <w:rPr>
      <w:lang w:val="en-US" w:eastAsia="en-US"/>
    </w:rPr>
  </w:style>
  <w:style w:type="paragraph" w:customStyle="1" w:styleId="662">
    <w:name w:val="Char Char1 Char"/>
    <w:basedOn w:val="1"/>
    <w:qFormat/>
    <w:uiPriority w:val="0"/>
    <w:rPr>
      <w:rFonts w:ascii="仿宋_GB2312" w:eastAsia="仿宋_GB2312"/>
      <w:b/>
      <w:sz w:val="32"/>
      <w:szCs w:val="32"/>
    </w:rPr>
  </w:style>
  <w:style w:type="paragraph" w:customStyle="1" w:styleId="663">
    <w:name w:val="Char Char1 Char Char Char2"/>
    <w:basedOn w:val="1"/>
    <w:qFormat/>
    <w:uiPriority w:val="0"/>
    <w:rPr>
      <w:rFonts w:ascii="仿宋_GB2312" w:eastAsia="仿宋_GB2312"/>
      <w:b/>
      <w:sz w:val="32"/>
      <w:szCs w:val="32"/>
    </w:rPr>
  </w:style>
  <w:style w:type="paragraph" w:customStyle="1" w:styleId="664">
    <w:name w:val="样式 标题 2标题2H2Heading 2 HiddenHeading 2 CCBSheading 22nd lev..."/>
    <w:basedOn w:val="4"/>
    <w:qFormat/>
    <w:uiPriority w:val="0"/>
    <w:pPr>
      <w:widowControl/>
      <w:spacing w:before="260" w:after="260" w:line="415" w:lineRule="auto"/>
      <w:ind w:left="0" w:firstLine="0"/>
    </w:pPr>
    <w:rPr>
      <w:rFonts w:ascii="Arial" w:hAnsi="Arial" w:eastAsia="黑体"/>
      <w:sz w:val="30"/>
      <w:szCs w:val="21"/>
    </w:rPr>
  </w:style>
  <w:style w:type="paragraph" w:customStyle="1" w:styleId="6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6">
    <w:name w:val="CM14"/>
    <w:basedOn w:val="266"/>
    <w:next w:val="266"/>
    <w:qFormat/>
    <w:uiPriority w:val="0"/>
    <w:pPr>
      <w:spacing w:after="68"/>
    </w:pPr>
    <w:rPr>
      <w:rFonts w:ascii="FHLHE E+ Futura Bk" w:eastAsia="FHLHE E+ Futura Bk" w:cs="Times New Roman"/>
      <w:color w:val="auto"/>
    </w:rPr>
  </w:style>
  <w:style w:type="paragraph" w:customStyle="1" w:styleId="667">
    <w:name w:val="默认段落样式"/>
    <w:basedOn w:val="180"/>
    <w:qFormat/>
    <w:uiPriority w:val="0"/>
    <w:pPr>
      <w:spacing w:before="0"/>
      <w:outlineLvl w:val="2"/>
    </w:pPr>
    <w:rPr>
      <w:rFonts w:ascii="仿宋_GB2312" w:hAnsi="宋体" w:eastAsia="仿宋_GB2312"/>
      <w:color w:val="000000"/>
      <w:szCs w:val="24"/>
    </w:rPr>
  </w:style>
  <w:style w:type="paragraph" w:customStyle="1" w:styleId="6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71">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73">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74">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675">
    <w:name w:val="Char"/>
    <w:basedOn w:val="1"/>
    <w:qFormat/>
    <w:uiPriority w:val="0"/>
    <w:rPr>
      <w:rFonts w:ascii="仿宋_GB2312" w:eastAsia="仿宋_GB2312"/>
      <w:b/>
      <w:sz w:val="32"/>
      <w:szCs w:val="32"/>
    </w:rPr>
  </w:style>
  <w:style w:type="paragraph" w:customStyle="1" w:styleId="6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77">
    <w:name w:val="数字标题2"/>
    <w:basedOn w:val="4"/>
    <w:next w:val="1"/>
    <w:qFormat/>
    <w:uiPriority w:val="0"/>
    <w:pPr>
      <w:tabs>
        <w:tab w:val="left" w:pos="480"/>
        <w:tab w:val="clear" w:pos="432"/>
      </w:tabs>
      <w:ind w:left="480" w:hanging="480"/>
    </w:pPr>
    <w:rPr>
      <w:rFonts w:ascii="Times New Roman" w:eastAsia="宋体"/>
      <w:i/>
      <w:sz w:val="36"/>
      <w:szCs w:val="36"/>
      <w:lang w:val="en-US" w:eastAsia="en-US"/>
    </w:rPr>
  </w:style>
  <w:style w:type="paragraph" w:customStyle="1" w:styleId="678">
    <w:name w:val="表格项目符号 2"/>
    <w:basedOn w:val="36"/>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679">
    <w:name w:val="标题五"/>
    <w:basedOn w:val="1"/>
    <w:qFormat/>
    <w:uiPriority w:val="0"/>
    <w:pPr>
      <w:adjustRightInd/>
      <w:spacing w:before="50" w:beforeLines="50" w:line="360" w:lineRule="auto"/>
    </w:pPr>
    <w:rPr>
      <w:b/>
      <w:sz w:val="24"/>
    </w:rPr>
  </w:style>
  <w:style w:type="paragraph" w:customStyle="1" w:styleId="680">
    <w:name w:val="表格正文"/>
    <w:basedOn w:val="1"/>
    <w:qFormat/>
    <w:uiPriority w:val="0"/>
    <w:pPr>
      <w:adjustRightInd/>
      <w:spacing w:line="360" w:lineRule="auto"/>
    </w:pPr>
    <w:rPr>
      <w:rFonts w:ascii="宋体" w:hAnsi="宋体" w:eastAsia="楷体_GB2312" w:cs="宋体"/>
      <w:sz w:val="24"/>
      <w:szCs w:val="20"/>
    </w:rPr>
  </w:style>
  <w:style w:type="paragraph" w:customStyle="1" w:styleId="681">
    <w:name w:val="修订1"/>
    <w:qFormat/>
    <w:uiPriority w:val="0"/>
    <w:rPr>
      <w:rFonts w:ascii="Times New Roman" w:hAnsi="Times New Roman" w:eastAsia="宋体" w:cs="Times New Roman"/>
      <w:color w:val="000000"/>
      <w:kern w:val="2"/>
      <w:sz w:val="21"/>
      <w:lang w:val="en-US" w:eastAsia="zh-CN" w:bidi="ar-SA"/>
    </w:rPr>
  </w:style>
  <w:style w:type="paragraph" w:customStyle="1" w:styleId="682">
    <w:name w:val="四号　首行缩进"/>
    <w:basedOn w:val="1"/>
    <w:qFormat/>
    <w:uiPriority w:val="0"/>
    <w:pPr>
      <w:adjustRightInd/>
      <w:spacing w:line="360" w:lineRule="auto"/>
    </w:pPr>
    <w:rPr>
      <w:rFonts w:ascii="宋体" w:hAnsi="宋体"/>
      <w:szCs w:val="20"/>
    </w:rPr>
  </w:style>
  <w:style w:type="paragraph" w:customStyle="1" w:styleId="68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4">
    <w:name w:val="样式 正文文本缩进 + 段前: 2 字符"/>
    <w:basedOn w:val="1"/>
    <w:qFormat/>
    <w:uiPriority w:val="0"/>
    <w:pPr>
      <w:adjustRightInd/>
      <w:ind w:left="200" w:leftChars="200"/>
      <w:jc w:val="left"/>
    </w:pPr>
    <w:rPr>
      <w:sz w:val="28"/>
      <w:szCs w:val="20"/>
      <w:lang w:eastAsia="zh-TW"/>
    </w:rPr>
  </w:style>
  <w:style w:type="paragraph" w:customStyle="1" w:styleId="685">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86">
    <w:name w:val="Char Char Char Char Char Char Char Char Char Char2"/>
    <w:basedOn w:val="1"/>
    <w:qFormat/>
    <w:uiPriority w:val="0"/>
    <w:rPr>
      <w:rFonts w:ascii="仿宋_GB2312" w:eastAsia="仿宋_GB2312"/>
      <w:b/>
      <w:sz w:val="32"/>
      <w:szCs w:val="32"/>
    </w:rPr>
  </w:style>
  <w:style w:type="paragraph" w:customStyle="1" w:styleId="687">
    <w:name w:val="Char5"/>
    <w:basedOn w:val="1"/>
    <w:qFormat/>
    <w:uiPriority w:val="0"/>
    <w:rPr>
      <w:rFonts w:ascii="仿宋_GB2312" w:eastAsia="仿宋_GB2312"/>
      <w:b/>
      <w:sz w:val="32"/>
      <w:szCs w:val="32"/>
    </w:rPr>
  </w:style>
  <w:style w:type="paragraph" w:customStyle="1" w:styleId="688">
    <w:name w:val="表格（小）"/>
    <w:basedOn w:val="1"/>
    <w:qFormat/>
    <w:uiPriority w:val="0"/>
    <w:pPr>
      <w:adjustRightInd/>
      <w:snapToGrid w:val="0"/>
      <w:spacing w:line="300" w:lineRule="auto"/>
    </w:pPr>
    <w:rPr>
      <w:rFonts w:eastAsia="仿宋"/>
      <w:szCs w:val="21"/>
    </w:rPr>
  </w:style>
  <w:style w:type="paragraph" w:customStyle="1" w:styleId="68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90">
    <w:name w:val="Char2 Char Char"/>
    <w:basedOn w:val="1"/>
    <w:qFormat/>
    <w:uiPriority w:val="0"/>
    <w:pPr>
      <w:adjustRightInd/>
    </w:pPr>
    <w:rPr>
      <w:rFonts w:ascii="Tahoma" w:hAnsi="Tahoma"/>
      <w:sz w:val="24"/>
      <w:szCs w:val="20"/>
    </w:rPr>
  </w:style>
  <w:style w:type="paragraph" w:customStyle="1" w:styleId="6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2">
    <w:name w:val="trademark"/>
    <w:qFormat/>
    <w:uiPriority w:val="0"/>
    <w:pPr>
      <w:spacing w:after="60"/>
    </w:pPr>
    <w:rPr>
      <w:rFonts w:ascii="Futura Bk" w:hAnsi="Futura Bk" w:eastAsia="宋体" w:cs="Times New Roman"/>
      <w:sz w:val="15"/>
      <w:lang w:val="en-US" w:eastAsia="en-US" w:bidi="ar-SA"/>
    </w:rPr>
  </w:style>
  <w:style w:type="paragraph" w:customStyle="1" w:styleId="693">
    <w:name w:val="样式 正文文本缩进 2 + 仿宋_GB2312 黑色 行距: 1.5 倍行距"/>
    <w:basedOn w:val="47"/>
    <w:qFormat/>
    <w:uiPriority w:val="0"/>
    <w:pPr>
      <w:adjustRightInd/>
      <w:ind w:firstLine="200" w:firstLineChars="200"/>
      <w:textAlignment w:val="auto"/>
    </w:pPr>
    <w:rPr>
      <w:rFonts w:hAnsi="宋体" w:cs="宋体"/>
      <w:color w:val="000000"/>
      <w:kern w:val="2"/>
      <w:sz w:val="24"/>
    </w:rPr>
  </w:style>
  <w:style w:type="paragraph" w:customStyle="1" w:styleId="6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5">
    <w:name w:val="样式 标题 4PIM 4H4h4bulletblbbH41H42H43H44H45H46H47H48...1"/>
    <w:basedOn w:val="8"/>
    <w:qFormat/>
    <w:uiPriority w:val="0"/>
    <w:pPr>
      <w:widowControl/>
      <w:jc w:val="left"/>
    </w:pPr>
    <w:rPr>
      <w:rFonts w:cs="宋体"/>
      <w:sz w:val="24"/>
      <w:szCs w:val="20"/>
    </w:rPr>
  </w:style>
  <w:style w:type="paragraph" w:customStyle="1" w:styleId="696">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6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8">
    <w:name w:val="正文（标题三）"/>
    <w:basedOn w:val="1"/>
    <w:qFormat/>
    <w:uiPriority w:val="0"/>
    <w:pPr>
      <w:spacing w:line="360" w:lineRule="auto"/>
      <w:ind w:firstLine="200" w:firstLineChars="200"/>
    </w:pPr>
    <w:rPr>
      <w:sz w:val="24"/>
    </w:rPr>
  </w:style>
  <w:style w:type="paragraph" w:customStyle="1" w:styleId="699">
    <w:name w:val="封面"/>
    <w:basedOn w:val="1"/>
    <w:qFormat/>
    <w:uiPriority w:val="0"/>
    <w:pPr>
      <w:spacing w:line="360" w:lineRule="atLeast"/>
      <w:jc w:val="right"/>
      <w:textAlignment w:val="baseline"/>
    </w:pPr>
    <w:rPr>
      <w:rFonts w:ascii="Symbol" w:hAnsi="Symbol"/>
      <w:kern w:val="0"/>
      <w:szCs w:val="20"/>
    </w:rPr>
  </w:style>
  <w:style w:type="paragraph" w:customStyle="1" w:styleId="700">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eastAsia="en-GB"/>
    </w:rPr>
  </w:style>
  <w:style w:type="paragraph" w:customStyle="1" w:styleId="7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0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03">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704">
    <w:name w:val="Char Char Char"/>
    <w:basedOn w:val="1"/>
    <w:qFormat/>
    <w:uiPriority w:val="0"/>
    <w:rPr>
      <w:rFonts w:ascii="Tahoma" w:hAnsi="Tahoma"/>
      <w:sz w:val="24"/>
      <w:szCs w:val="20"/>
    </w:rPr>
  </w:style>
  <w:style w:type="paragraph" w:customStyle="1" w:styleId="7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6">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70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08">
    <w:name w:val="索引 11"/>
    <w:basedOn w:val="1"/>
    <w:next w:val="1"/>
    <w:qFormat/>
    <w:uiPriority w:val="0"/>
    <w:pPr>
      <w:adjustRightInd/>
      <w:spacing w:line="360" w:lineRule="auto"/>
    </w:pPr>
    <w:rPr>
      <w:rFonts w:ascii="仿宋_GB2312" w:eastAsia="仿宋_GB2312"/>
      <w:sz w:val="24"/>
      <w:szCs w:val="20"/>
    </w:rPr>
  </w:style>
  <w:style w:type="paragraph" w:customStyle="1" w:styleId="709">
    <w:name w:val="正文（首行缩进2字符）"/>
    <w:basedOn w:val="1"/>
    <w:qFormat/>
    <w:uiPriority w:val="0"/>
    <w:pPr>
      <w:adjustRightInd/>
      <w:spacing w:line="360" w:lineRule="auto"/>
      <w:ind w:firstLine="200" w:firstLineChars="200"/>
    </w:pPr>
    <w:rPr>
      <w:sz w:val="24"/>
      <w:szCs w:val="20"/>
    </w:rPr>
  </w:style>
  <w:style w:type="paragraph" w:customStyle="1" w:styleId="71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711">
    <w:name w:val="MM Title"/>
    <w:basedOn w:val="7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eastAsia="en-US"/>
    </w:rPr>
  </w:style>
  <w:style w:type="paragraph" w:customStyle="1" w:styleId="7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13">
    <w:name w:val="Char Char1121"/>
    <w:basedOn w:val="1"/>
    <w:qFormat/>
    <w:uiPriority w:val="0"/>
    <w:pPr>
      <w:spacing w:line="360" w:lineRule="auto"/>
    </w:pPr>
    <w:rPr>
      <w:szCs w:val="20"/>
    </w:rPr>
  </w:style>
  <w:style w:type="paragraph" w:customStyle="1" w:styleId="714">
    <w:name w:val="正文 项目2"/>
    <w:basedOn w:val="715"/>
    <w:qFormat/>
    <w:uiPriority w:val="0"/>
    <w:pPr>
      <w:tabs>
        <w:tab w:val="left" w:pos="840"/>
      </w:tabs>
      <w:spacing w:after="0"/>
      <w:ind w:left="900"/>
    </w:pPr>
  </w:style>
  <w:style w:type="paragraph" w:customStyle="1" w:styleId="71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16">
    <w:name w:val="List Paragraph1"/>
    <w:basedOn w:val="1"/>
    <w:qFormat/>
    <w:uiPriority w:val="0"/>
    <w:pPr>
      <w:spacing w:line="360" w:lineRule="auto"/>
      <w:ind w:firstLine="200" w:firstLineChars="200"/>
    </w:pPr>
    <w:rPr>
      <w:rFonts w:eastAsia="楷体_GB2312" w:cs="Lucida Sans"/>
      <w:sz w:val="24"/>
    </w:rPr>
  </w:style>
  <w:style w:type="paragraph" w:customStyle="1" w:styleId="7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eastAsia="en-US"/>
    </w:rPr>
  </w:style>
  <w:style w:type="paragraph" w:customStyle="1" w:styleId="719">
    <w:name w:val="!大节"/>
    <w:basedOn w:val="4"/>
    <w:qFormat/>
    <w:uiPriority w:val="0"/>
    <w:pPr>
      <w:spacing w:before="260" w:after="260" w:line="415" w:lineRule="auto"/>
      <w:ind w:left="420" w:hanging="420"/>
    </w:pPr>
    <w:rPr>
      <w:rFonts w:ascii="Arial" w:hAnsi="Arial" w:eastAsia="微软雅黑"/>
      <w:lang w:val="en-US" w:eastAsia="en-US"/>
    </w:rPr>
  </w:style>
  <w:style w:type="paragraph" w:customStyle="1" w:styleId="7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缺省文本"/>
    <w:basedOn w:val="1"/>
    <w:qFormat/>
    <w:uiPriority w:val="0"/>
    <w:pPr>
      <w:widowControl/>
      <w:overflowPunct w:val="0"/>
      <w:autoSpaceDE w:val="0"/>
      <w:autoSpaceDN w:val="0"/>
      <w:spacing w:line="360" w:lineRule="auto"/>
      <w:ind w:firstLine="200" w:firstLineChars="200"/>
      <w:textAlignment w:val="baseline"/>
    </w:pPr>
    <w:rPr>
      <w:rFonts w:ascii="宋体" w:eastAsia="仿宋_GB2312"/>
      <w:kern w:val="0"/>
      <w:sz w:val="28"/>
      <w:szCs w:val="20"/>
    </w:rPr>
  </w:style>
  <w:style w:type="paragraph" w:customStyle="1" w:styleId="722">
    <w:name w:val="Char Char Char1 Char1"/>
    <w:basedOn w:val="1"/>
    <w:qFormat/>
    <w:uiPriority w:val="0"/>
    <w:rPr>
      <w:szCs w:val="20"/>
    </w:rPr>
  </w:style>
  <w:style w:type="paragraph" w:customStyle="1" w:styleId="723">
    <w:name w:val="Char1 Char Char Char4"/>
    <w:basedOn w:val="1"/>
    <w:qFormat/>
    <w:uiPriority w:val="0"/>
    <w:pPr>
      <w:adjustRightInd/>
      <w:ind w:firstLine="200" w:firstLineChars="200"/>
    </w:pPr>
    <w:rPr>
      <w:rFonts w:ascii="Tahoma" w:hAnsi="Tahoma"/>
      <w:sz w:val="24"/>
      <w:szCs w:val="20"/>
    </w:rPr>
  </w:style>
  <w:style w:type="paragraph" w:customStyle="1" w:styleId="72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5">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72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731">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32">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Char Char Char Char Char Char Char Char Char Char Char Char1 Char1"/>
    <w:basedOn w:val="1"/>
    <w:qFormat/>
    <w:uiPriority w:val="0"/>
    <w:rPr>
      <w:rFonts w:ascii="Tahoma" w:hAnsi="Tahoma" w:cs="仿宋_GB2312"/>
      <w:sz w:val="24"/>
      <w:szCs w:val="20"/>
    </w:rPr>
  </w:style>
  <w:style w:type="paragraph" w:customStyle="1" w:styleId="73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38">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739">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74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4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42">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743">
    <w:name w:val="中文标题 1"/>
    <w:basedOn w:val="7"/>
    <w:next w:val="7"/>
    <w:qFormat/>
    <w:uiPriority w:val="0"/>
    <w:pPr>
      <w:keepNext/>
      <w:adjustRightInd/>
      <w:spacing w:before="50" w:beforeLines="50" w:after="100" w:afterAutospacing="1" w:line="360" w:lineRule="auto"/>
      <w:ind w:firstLine="482" w:firstLineChars="0"/>
      <w:outlineLvl w:val="0"/>
    </w:pPr>
    <w:rPr>
      <w:rFonts w:ascii="Times New Roman" w:hAnsi="Times New Roman" w:eastAsia="楷体_GB2312"/>
      <w:kern w:val="28"/>
    </w:rPr>
  </w:style>
  <w:style w:type="paragraph" w:customStyle="1" w:styleId="744">
    <w:name w:val="Char2 Char Char1"/>
    <w:basedOn w:val="1"/>
    <w:qFormat/>
    <w:uiPriority w:val="0"/>
    <w:pPr>
      <w:adjustRightInd/>
    </w:pPr>
    <w:rPr>
      <w:rFonts w:ascii="Tahoma" w:hAnsi="Tahoma"/>
      <w:sz w:val="24"/>
      <w:szCs w:val="20"/>
    </w:rPr>
  </w:style>
  <w:style w:type="paragraph" w:customStyle="1" w:styleId="745">
    <w:name w:val="_标题2"/>
    <w:basedOn w:val="622"/>
    <w:next w:val="622"/>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74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eastAsia="en-US"/>
    </w:rPr>
  </w:style>
  <w:style w:type="paragraph" w:customStyle="1" w:styleId="747">
    <w:name w:val="有符号正文"/>
    <w:basedOn w:val="1"/>
    <w:qFormat/>
    <w:uiPriority w:val="0"/>
    <w:pPr>
      <w:adjustRightInd/>
      <w:spacing w:line="400" w:lineRule="exact"/>
      <w:ind w:firstLine="200" w:firstLineChars="200"/>
    </w:pPr>
    <w:rPr>
      <w:rFonts w:ascii="Arial" w:hAnsi="Arial"/>
    </w:rPr>
  </w:style>
  <w:style w:type="paragraph" w:customStyle="1" w:styleId="74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9">
    <w:name w:val="带编号样式"/>
    <w:basedOn w:val="750"/>
    <w:qFormat/>
    <w:uiPriority w:val="0"/>
    <w:pPr>
      <w:tabs>
        <w:tab w:val="left" w:pos="840"/>
      </w:tabs>
      <w:snapToGrid w:val="0"/>
      <w:ind w:left="840" w:hanging="420" w:firstLineChars="0"/>
    </w:pPr>
    <w:rPr>
      <w:rFonts w:ascii="仿宋_GB2312" w:eastAsia="仿宋_GB2312"/>
      <w:color w:val="000000"/>
    </w:rPr>
  </w:style>
  <w:style w:type="paragraph" w:customStyle="1" w:styleId="750">
    <w:name w:val="文本正文 Char"/>
    <w:basedOn w:val="1"/>
    <w:qFormat/>
    <w:uiPriority w:val="0"/>
    <w:pPr>
      <w:spacing w:line="360" w:lineRule="auto"/>
      <w:ind w:firstLine="200" w:firstLineChars="200"/>
    </w:pPr>
    <w:rPr>
      <w:kern w:val="0"/>
      <w:sz w:val="24"/>
      <w:szCs w:val="20"/>
    </w:rPr>
  </w:style>
  <w:style w:type="paragraph" w:customStyle="1" w:styleId="751">
    <w:name w:val="Char3"/>
    <w:basedOn w:val="1"/>
    <w:qFormat/>
    <w:uiPriority w:val="0"/>
    <w:pPr>
      <w:adjustRightInd/>
    </w:pPr>
    <w:rPr>
      <w:rFonts w:ascii="仿宋_GB2312" w:eastAsia="仿宋_GB2312"/>
      <w:b/>
      <w:sz w:val="32"/>
      <w:szCs w:val="32"/>
    </w:rPr>
  </w:style>
  <w:style w:type="paragraph" w:customStyle="1" w:styleId="752">
    <w:name w:val="样式6"/>
    <w:basedOn w:val="41"/>
    <w:qFormat/>
    <w:uiPriority w:val="0"/>
    <w:pPr>
      <w:spacing w:line="460" w:lineRule="exact"/>
      <w:outlineLvl w:val="2"/>
    </w:pPr>
    <w:rPr>
      <w:rFonts w:ascii="仿宋_GB2312" w:hAnsi="宋体" w:eastAsia="仿宋_GB2312"/>
      <w:b/>
      <w:bCs/>
      <w:sz w:val="24"/>
      <w:szCs w:val="24"/>
    </w:rPr>
  </w:style>
  <w:style w:type="paragraph" w:customStyle="1" w:styleId="7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56">
    <w:name w:val="五级无标题条"/>
    <w:basedOn w:val="1"/>
    <w:qFormat/>
    <w:uiPriority w:val="0"/>
    <w:pPr>
      <w:adjustRightInd/>
    </w:p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6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762">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3">
    <w:name w:val="Char2"/>
    <w:basedOn w:val="1"/>
    <w:qFormat/>
    <w:uiPriority w:val="0"/>
    <w:rPr>
      <w:rFonts w:ascii="仿宋_GB2312" w:eastAsia="仿宋_GB2312"/>
      <w:b/>
      <w:sz w:val="32"/>
      <w:szCs w:val="32"/>
    </w:rPr>
  </w:style>
  <w:style w:type="paragraph" w:customStyle="1" w:styleId="764">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765">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66">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7">
    <w:name w:val="_Style 3"/>
    <w:basedOn w:val="1"/>
    <w:qFormat/>
    <w:uiPriority w:val="0"/>
    <w:pPr>
      <w:adjustRightInd/>
      <w:ind w:firstLine="200" w:firstLineChars="200"/>
    </w:pPr>
    <w:rPr>
      <w:rFonts w:eastAsia="仿宋_GB2312"/>
      <w:sz w:val="28"/>
    </w:rPr>
  </w:style>
  <w:style w:type="paragraph" w:customStyle="1" w:styleId="76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69">
    <w:name w:val="数字标题3"/>
    <w:basedOn w:val="5"/>
    <w:next w:val="1"/>
    <w:qFormat/>
    <w:uiPriority w:val="0"/>
    <w:pPr>
      <w:spacing w:line="240" w:lineRule="auto"/>
    </w:pPr>
    <w:rPr>
      <w:sz w:val="28"/>
      <w:szCs w:val="28"/>
    </w:rPr>
  </w:style>
  <w:style w:type="paragraph" w:customStyle="1" w:styleId="770">
    <w:name w:val="4"/>
    <w:basedOn w:val="1"/>
    <w:next w:val="47"/>
    <w:qFormat/>
    <w:uiPriority w:val="0"/>
    <w:pPr>
      <w:spacing w:after="120" w:line="480" w:lineRule="auto"/>
      <w:ind w:left="200" w:leftChars="200"/>
    </w:pPr>
    <w:rPr>
      <w:sz w:val="24"/>
      <w:szCs w:val="20"/>
    </w:rPr>
  </w:style>
  <w:style w:type="paragraph" w:customStyle="1" w:styleId="771">
    <w:name w:val="表格"/>
    <w:basedOn w:val="1"/>
    <w:qFormat/>
    <w:uiPriority w:val="0"/>
    <w:pPr>
      <w:snapToGrid w:val="0"/>
      <w:ind w:firstLine="21" w:firstLineChars="21"/>
    </w:pPr>
    <w:rPr>
      <w:rFonts w:ascii="宋体" w:hAnsi="宋体"/>
      <w:kern w:val="0"/>
      <w:sz w:val="20"/>
      <w:szCs w:val="20"/>
    </w:rPr>
  </w:style>
  <w:style w:type="paragraph" w:customStyle="1" w:styleId="77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3">
    <w:name w:val="MM Topic 5"/>
    <w:basedOn w:val="9"/>
    <w:qFormat/>
    <w:uiPriority w:val="0"/>
    <w:pPr>
      <w:tabs>
        <w:tab w:val="left" w:pos="2520"/>
        <w:tab w:val="clear" w:pos="1008"/>
      </w:tabs>
      <w:adjustRightInd/>
      <w:ind w:left="2520" w:hanging="420"/>
    </w:pPr>
  </w:style>
  <w:style w:type="paragraph" w:customStyle="1" w:styleId="774">
    <w:name w:val="Char Char Char Char11"/>
    <w:basedOn w:val="1"/>
    <w:qFormat/>
    <w:uiPriority w:val="0"/>
    <w:rPr>
      <w:rFonts w:ascii="Tahoma" w:hAnsi="Tahoma"/>
      <w:sz w:val="24"/>
      <w:szCs w:val="20"/>
    </w:rPr>
  </w:style>
  <w:style w:type="paragraph" w:customStyle="1" w:styleId="77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76">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77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7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779">
    <w:name w:val="Char Char Char1 Char2"/>
    <w:basedOn w:val="1"/>
    <w:qFormat/>
    <w:uiPriority w:val="0"/>
    <w:rPr>
      <w:szCs w:val="20"/>
    </w:rPr>
  </w:style>
  <w:style w:type="paragraph" w:customStyle="1" w:styleId="780">
    <w:name w:val="Char Char Char Char Char Char Char Char Char Char1"/>
    <w:basedOn w:val="1"/>
    <w:qFormat/>
    <w:uiPriority w:val="0"/>
    <w:rPr>
      <w:rFonts w:ascii="仿宋_GB2312" w:eastAsia="仿宋_GB2312"/>
      <w:b/>
      <w:sz w:val="32"/>
      <w:szCs w:val="32"/>
    </w:rPr>
  </w:style>
  <w:style w:type="paragraph" w:customStyle="1" w:styleId="781">
    <w:name w:val="标题3"/>
    <w:basedOn w:val="5"/>
    <w:next w:val="65"/>
    <w:qFormat/>
    <w:uiPriority w:val="0"/>
    <w:pPr>
      <w:tabs>
        <w:tab w:val="clear" w:pos="900"/>
      </w:tabs>
      <w:spacing w:after="0" w:line="360" w:lineRule="auto"/>
    </w:pPr>
    <w:rPr>
      <w:rFonts w:ascii="仿宋" w:hAnsi="仿宋" w:eastAsia="仿宋" w:cs="仿宋"/>
    </w:rPr>
  </w:style>
  <w:style w:type="paragraph" w:customStyle="1" w:styleId="78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8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85">
    <w:name w:val="Char2 Char Char Char"/>
    <w:basedOn w:val="1"/>
    <w:qFormat/>
    <w:uiPriority w:val="0"/>
    <w:rPr>
      <w:rFonts w:ascii="仿宋_GB2312" w:eastAsia="仿宋_GB2312"/>
      <w:b/>
      <w:sz w:val="32"/>
      <w:szCs w:val="32"/>
    </w:rPr>
  </w:style>
  <w:style w:type="paragraph" w:customStyle="1" w:styleId="78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eastAsia="en-US"/>
    </w:rPr>
  </w:style>
  <w:style w:type="paragraph" w:customStyle="1" w:styleId="787">
    <w:name w:val="首行缩进"/>
    <w:basedOn w:val="1"/>
    <w:qFormat/>
    <w:uiPriority w:val="0"/>
    <w:pPr>
      <w:spacing w:line="360" w:lineRule="auto"/>
      <w:ind w:firstLine="200" w:firstLineChars="200"/>
    </w:pPr>
    <w:rPr>
      <w:rFonts w:ascii="宋体"/>
      <w:sz w:val="24"/>
      <w:szCs w:val="20"/>
    </w:rPr>
  </w:style>
  <w:style w:type="paragraph" w:customStyle="1" w:styleId="78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789">
    <w:name w:val="2级标题"/>
    <w:basedOn w:val="569"/>
    <w:qFormat/>
    <w:uiPriority w:val="0"/>
    <w:pPr>
      <w:jc w:val="left"/>
      <w:outlineLvl w:val="1"/>
    </w:pPr>
    <w:rPr>
      <w:rFonts w:ascii="Times New Roman" w:hAnsi="Times New Roman" w:eastAsia="仿宋"/>
      <w:sz w:val="30"/>
    </w:rPr>
  </w:style>
  <w:style w:type="paragraph" w:customStyle="1" w:styleId="790">
    <w:name w:val="彩色列表 - 强调文字颜色 11"/>
    <w:basedOn w:val="1"/>
    <w:qFormat/>
    <w:uiPriority w:val="0"/>
    <w:pPr>
      <w:adjustRightInd/>
      <w:ind w:firstLine="200" w:firstLineChars="200"/>
    </w:pPr>
    <w:rPr>
      <w:rFonts w:ascii="Calibri" w:hAnsi="Calibri"/>
      <w:szCs w:val="22"/>
    </w:rPr>
  </w:style>
  <w:style w:type="paragraph" w:customStyle="1" w:styleId="79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7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794">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96">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9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98">
    <w:name w:val="标准小四"/>
    <w:basedOn w:val="1"/>
    <w:qFormat/>
    <w:uiPriority w:val="0"/>
    <w:pPr>
      <w:spacing w:line="360" w:lineRule="auto"/>
      <w:ind w:firstLine="200" w:firstLineChars="200"/>
    </w:pPr>
    <w:rPr>
      <w:rFonts w:ascii="Arial" w:hAnsi="Arial"/>
      <w:sz w:val="24"/>
      <w:szCs w:val="21"/>
    </w:rPr>
  </w:style>
  <w:style w:type="paragraph" w:customStyle="1" w:styleId="79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800">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801">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802">
    <w:name w:val="样式 标题 3H3 + 两端对齐"/>
    <w:basedOn w:val="5"/>
    <w:qFormat/>
    <w:uiPriority w:val="0"/>
    <w:pPr>
      <w:keepLines w:val="0"/>
      <w:spacing w:before="0" w:after="0" w:line="240" w:lineRule="auto"/>
      <w:jc w:val="left"/>
    </w:pPr>
    <w:rPr>
      <w:rFonts w:cs="宋体"/>
      <w:sz w:val="21"/>
      <w:szCs w:val="20"/>
    </w:rPr>
  </w:style>
  <w:style w:type="paragraph" w:customStyle="1" w:styleId="803">
    <w:name w:val="MM Topic 1"/>
    <w:basedOn w:val="3"/>
    <w:qFormat/>
    <w:uiPriority w:val="0"/>
    <w:pPr>
      <w:tabs>
        <w:tab w:val="left" w:pos="840"/>
        <w:tab w:val="clear" w:pos="432"/>
      </w:tabs>
      <w:adjustRightInd/>
      <w:ind w:left="840" w:hanging="420"/>
    </w:pPr>
  </w:style>
  <w:style w:type="paragraph" w:customStyle="1" w:styleId="804">
    <w:name w:val="正文文字表格居中"/>
    <w:basedOn w:val="1"/>
    <w:next w:val="71"/>
    <w:qFormat/>
    <w:uiPriority w:val="0"/>
    <w:pPr>
      <w:snapToGrid w:val="0"/>
      <w:spacing w:line="360" w:lineRule="auto"/>
    </w:pPr>
    <w:rPr>
      <w:rFonts w:ascii="宋体"/>
      <w:b/>
      <w:sz w:val="24"/>
      <w:szCs w:val="20"/>
    </w:rPr>
  </w:style>
  <w:style w:type="paragraph" w:customStyle="1" w:styleId="805">
    <w:name w:val="Char111"/>
    <w:basedOn w:val="1"/>
    <w:qFormat/>
    <w:uiPriority w:val="0"/>
    <w:rPr>
      <w:rFonts w:ascii="仿宋_GB2312" w:eastAsia="仿宋_GB2312"/>
      <w:b/>
      <w:sz w:val="32"/>
      <w:szCs w:val="32"/>
    </w:rPr>
  </w:style>
  <w:style w:type="paragraph" w:customStyle="1" w:styleId="806">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80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GB"/>
    </w:rPr>
  </w:style>
  <w:style w:type="paragraph" w:customStyle="1" w:styleId="808">
    <w:name w:val="左对齐表格文字"/>
    <w:basedOn w:val="1"/>
    <w:qFormat/>
    <w:uiPriority w:val="0"/>
    <w:pPr>
      <w:adjustRightInd/>
      <w:ind w:firstLine="200" w:firstLineChars="200"/>
      <w:jc w:val="right"/>
    </w:pPr>
  </w:style>
  <w:style w:type="paragraph" w:customStyle="1" w:styleId="809">
    <w:name w:val="Char Char Char Char Char Char Char Char1"/>
    <w:basedOn w:val="1"/>
    <w:qFormat/>
    <w:uiPriority w:val="0"/>
    <w:pPr>
      <w:tabs>
        <w:tab w:val="left" w:pos="360"/>
      </w:tabs>
    </w:pPr>
    <w:rPr>
      <w:sz w:val="24"/>
      <w:szCs w:val="20"/>
    </w:rPr>
  </w:style>
  <w:style w:type="paragraph" w:customStyle="1" w:styleId="81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11">
    <w:name w:val="_Style 5"/>
    <w:basedOn w:val="1"/>
    <w:qFormat/>
    <w:uiPriority w:val="0"/>
    <w:pPr>
      <w:adjustRightInd/>
      <w:ind w:firstLine="200" w:firstLineChars="200"/>
    </w:pPr>
    <w:rPr>
      <w:rFonts w:eastAsia="仿宋_GB2312"/>
      <w:sz w:val="28"/>
    </w:rPr>
  </w:style>
  <w:style w:type="paragraph" w:customStyle="1" w:styleId="812">
    <w:name w:val="Char Char11 Char Char Char Char Char Char Char Char Char"/>
    <w:basedOn w:val="1"/>
    <w:qFormat/>
    <w:uiPriority w:val="0"/>
    <w:pPr>
      <w:spacing w:line="360" w:lineRule="auto"/>
    </w:pPr>
    <w:rPr>
      <w:szCs w:val="20"/>
    </w:rPr>
  </w:style>
  <w:style w:type="paragraph" w:customStyle="1" w:styleId="813">
    <w:name w:val="正文（首行缩进）"/>
    <w:basedOn w:val="7"/>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814">
    <w:name w:val="p0"/>
    <w:basedOn w:val="1"/>
    <w:qFormat/>
    <w:uiPriority w:val="0"/>
    <w:pPr>
      <w:widowControl/>
      <w:adjustRightInd/>
    </w:pPr>
    <w:rPr>
      <w:kern w:val="0"/>
      <w:szCs w:val="21"/>
    </w:rPr>
  </w:style>
  <w:style w:type="paragraph" w:customStyle="1" w:styleId="8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eastAsia="en-US"/>
    </w:rPr>
  </w:style>
  <w:style w:type="paragraph" w:customStyle="1" w:styleId="81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819">
    <w:name w:val="a1"/>
    <w:basedOn w:val="1"/>
    <w:qFormat/>
    <w:uiPriority w:val="0"/>
    <w:pPr>
      <w:widowControl/>
      <w:spacing w:line="300" w:lineRule="atLeast"/>
      <w:jc w:val="left"/>
    </w:pPr>
    <w:rPr>
      <w:rFonts w:ascii="宋体" w:hAnsi="宋体"/>
      <w:kern w:val="0"/>
      <w:sz w:val="18"/>
      <w:szCs w:val="20"/>
    </w:rPr>
  </w:style>
  <w:style w:type="paragraph" w:customStyle="1" w:styleId="820">
    <w:name w:val="Char Char Char Char Char Char Char"/>
    <w:basedOn w:val="1"/>
    <w:qFormat/>
    <w:uiPriority w:val="0"/>
    <w:rPr>
      <w:rFonts w:ascii="仿宋_GB2312" w:eastAsia="仿宋_GB2312"/>
      <w:b/>
      <w:sz w:val="32"/>
      <w:szCs w:val="32"/>
    </w:rPr>
  </w:style>
  <w:style w:type="paragraph" w:customStyle="1" w:styleId="82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8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82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24">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82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826">
    <w:name w:val="_Style 6"/>
    <w:basedOn w:val="1"/>
    <w:qFormat/>
    <w:uiPriority w:val="0"/>
    <w:pPr>
      <w:adjustRightInd/>
      <w:ind w:firstLine="200" w:firstLineChars="200"/>
    </w:pPr>
    <w:rPr>
      <w:rFonts w:eastAsia="仿宋_GB2312"/>
      <w:sz w:val="28"/>
    </w:rPr>
  </w:style>
  <w:style w:type="paragraph" w:customStyle="1" w:styleId="827">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828">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82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3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831">
    <w:name w:val="默认段落字体 Para Char"/>
    <w:basedOn w:val="1"/>
    <w:qFormat/>
    <w:uiPriority w:val="0"/>
    <w:rPr>
      <w:rFonts w:ascii="Tahoma" w:hAnsi="Tahoma"/>
      <w:sz w:val="24"/>
      <w:szCs w:val="20"/>
    </w:rPr>
  </w:style>
  <w:style w:type="paragraph" w:customStyle="1" w:styleId="832">
    <w:name w:val="Char Char Char Char Char Char Char Char Char Char Char1 Char"/>
    <w:basedOn w:val="1"/>
    <w:qFormat/>
    <w:uiPriority w:val="0"/>
    <w:pPr>
      <w:adjustRightInd/>
    </w:pPr>
    <w:rPr>
      <w:rFonts w:ascii="Tahoma" w:hAnsi="Tahoma"/>
      <w:sz w:val="24"/>
    </w:rPr>
  </w:style>
  <w:style w:type="paragraph" w:customStyle="1" w:styleId="833">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834">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835">
    <w:name w:val="表文字"/>
    <w:qFormat/>
    <w:uiPriority w:val="0"/>
    <w:rPr>
      <w:rFonts w:ascii="宋体" w:hAnsi="Times New Roman" w:eastAsia="宋体" w:cs="Times New Roman"/>
      <w:kern w:val="2"/>
      <w:lang w:val="en-US" w:eastAsia="zh-CN" w:bidi="ar-SA"/>
    </w:rPr>
  </w:style>
  <w:style w:type="paragraph" w:customStyle="1" w:styleId="836">
    <w:name w:val="Char Char Char 字元 字元"/>
    <w:basedOn w:val="1"/>
    <w:qFormat/>
    <w:uiPriority w:val="0"/>
    <w:pPr>
      <w:adjustRightInd/>
      <w:spacing w:line="360" w:lineRule="auto"/>
      <w:ind w:firstLine="200" w:firstLineChars="200"/>
    </w:pPr>
    <w:rPr>
      <w:szCs w:val="20"/>
    </w:rPr>
  </w:style>
  <w:style w:type="paragraph" w:customStyle="1" w:styleId="83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8">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839">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40">
    <w:name w:val="注释"/>
    <w:basedOn w:val="1"/>
    <w:qFormat/>
    <w:uiPriority w:val="0"/>
    <w:pPr>
      <w:adjustRightInd/>
      <w:spacing w:line="360" w:lineRule="auto"/>
      <w:ind w:firstLine="480"/>
    </w:pPr>
    <w:rPr>
      <w:sz w:val="24"/>
    </w:rPr>
  </w:style>
  <w:style w:type="paragraph" w:customStyle="1" w:styleId="841">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842">
    <w:name w:val="Normal0"/>
    <w:qFormat/>
    <w:uiPriority w:val="0"/>
    <w:rPr>
      <w:rFonts w:ascii="Times New Roman" w:hAnsi="Times New Roman" w:eastAsia="宋体" w:cs="Times New Roman"/>
      <w:lang w:val="en-US" w:eastAsia="en-US" w:bidi="ar-SA"/>
    </w:rPr>
  </w:style>
  <w:style w:type="paragraph" w:customStyle="1" w:styleId="843">
    <w:name w:val="Char Char1 Char Char Char Char Char Char1"/>
    <w:basedOn w:val="1"/>
    <w:qFormat/>
    <w:uiPriority w:val="0"/>
    <w:rPr>
      <w:rFonts w:ascii="仿宋_GB2312" w:eastAsia="仿宋_GB2312"/>
      <w:b/>
      <w:sz w:val="32"/>
      <w:szCs w:val="20"/>
    </w:rPr>
  </w:style>
  <w:style w:type="paragraph" w:customStyle="1" w:styleId="844">
    <w:name w:val="Bulleted List"/>
    <w:basedOn w:val="1"/>
    <w:qFormat/>
    <w:uiPriority w:val="0"/>
    <w:pPr>
      <w:tabs>
        <w:tab w:val="left" w:pos="1260"/>
      </w:tabs>
      <w:adjustRightInd/>
      <w:ind w:left="1260" w:hanging="420"/>
    </w:pPr>
  </w:style>
  <w:style w:type="paragraph" w:customStyle="1" w:styleId="845">
    <w:name w:val="Char3 Char Char Char"/>
    <w:basedOn w:val="1"/>
    <w:qFormat/>
    <w:uiPriority w:val="0"/>
    <w:pPr>
      <w:widowControl/>
      <w:adjustRightInd/>
      <w:spacing w:after="160" w:line="240" w:lineRule="exact"/>
      <w:jc w:val="left"/>
    </w:pPr>
    <w:rPr>
      <w:szCs w:val="20"/>
    </w:rPr>
  </w:style>
  <w:style w:type="paragraph" w:customStyle="1" w:styleId="8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47">
    <w:name w:val="p1"/>
    <w:basedOn w:val="1"/>
    <w:qFormat/>
    <w:uiPriority w:val="0"/>
    <w:pPr>
      <w:widowControl/>
      <w:adjustRightInd/>
      <w:jc w:val="left"/>
    </w:pPr>
    <w:rPr>
      <w:rFonts w:ascii=".PingFang SC" w:eastAsia=".PingFang SC"/>
      <w:color w:val="454545"/>
      <w:kern w:val="0"/>
      <w:sz w:val="18"/>
      <w:szCs w:val="18"/>
    </w:rPr>
  </w:style>
  <w:style w:type="paragraph" w:customStyle="1" w:styleId="848">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849">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850">
    <w:name w:val="Table Contents"/>
    <w:basedOn w:val="1"/>
    <w:qFormat/>
    <w:uiPriority w:val="0"/>
    <w:pPr>
      <w:suppressAutoHyphens/>
      <w:autoSpaceDE w:val="0"/>
      <w:spacing w:after="120"/>
      <w:jc w:val="left"/>
    </w:pPr>
    <w:rPr>
      <w:rFonts w:ascii="Helvetica" w:hAnsi="Helvetica"/>
      <w:sz w:val="20"/>
      <w:szCs w:val="20"/>
    </w:rPr>
  </w:style>
  <w:style w:type="paragraph" w:customStyle="1" w:styleId="851">
    <w:name w:val="正文文字缩进2字"/>
    <w:basedOn w:val="31"/>
    <w:qFormat/>
    <w:uiPriority w:val="0"/>
    <w:pPr>
      <w:autoSpaceDE/>
      <w:autoSpaceDN/>
      <w:adjustRightInd/>
      <w:spacing w:before="60" w:after="60"/>
      <w:ind w:firstLine="200" w:firstLineChars="200"/>
    </w:pPr>
    <w:rPr>
      <w:rFonts w:ascii="Times New Roman"/>
      <w:szCs w:val="20"/>
      <w:lang w:val="en-US" w:eastAsia="en-US"/>
    </w:rPr>
  </w:style>
  <w:style w:type="paragraph" w:customStyle="1" w:styleId="8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53">
    <w:name w:val="默认段落字体 Para Char Char Char Char"/>
    <w:basedOn w:val="1"/>
    <w:qFormat/>
    <w:uiPriority w:val="0"/>
    <w:pPr>
      <w:spacing w:line="360" w:lineRule="auto"/>
    </w:pPr>
    <w:rPr>
      <w:szCs w:val="20"/>
    </w:rPr>
  </w:style>
  <w:style w:type="paragraph" w:customStyle="1" w:styleId="85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56">
    <w:name w:val="Char2 Char Char Char2"/>
    <w:basedOn w:val="1"/>
    <w:qFormat/>
    <w:uiPriority w:val="0"/>
    <w:rPr>
      <w:rFonts w:ascii="仿宋_GB2312" w:eastAsia="仿宋_GB2312"/>
      <w:b/>
      <w:sz w:val="32"/>
      <w:szCs w:val="32"/>
    </w:rPr>
  </w:style>
  <w:style w:type="paragraph" w:customStyle="1" w:styleId="85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58">
    <w:name w:val="ZK_标题1"/>
    <w:basedOn w:val="1"/>
    <w:next w:val="1"/>
    <w:qFormat/>
    <w:uiPriority w:val="0"/>
    <w:pPr>
      <w:tabs>
        <w:tab w:val="left" w:pos="600"/>
      </w:tabs>
      <w:adjustRightInd/>
      <w:spacing w:line="360" w:lineRule="auto"/>
      <w:ind w:left="601" w:hanging="601"/>
      <w:jc w:val="left"/>
      <w:outlineLvl w:val="0"/>
    </w:pPr>
    <w:rPr>
      <w:rFonts w:ascii="Arial" w:hAnsi="Arial" w:eastAsia="黑体"/>
      <w:b/>
      <w:sz w:val="36"/>
    </w:rPr>
  </w:style>
  <w:style w:type="paragraph" w:customStyle="1" w:styleId="8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860">
    <w:name w:val="Char Char4 Char Char"/>
    <w:basedOn w:val="1"/>
    <w:qFormat/>
    <w:uiPriority w:val="0"/>
    <w:pPr>
      <w:widowControl/>
      <w:adjustRightInd/>
      <w:spacing w:after="160" w:line="240" w:lineRule="exact"/>
      <w:jc w:val="left"/>
    </w:pPr>
  </w:style>
  <w:style w:type="paragraph" w:customStyle="1" w:styleId="861">
    <w:name w:val="Table Paragraph"/>
    <w:basedOn w:val="1"/>
    <w:qFormat/>
    <w:uiPriority w:val="0"/>
    <w:pPr>
      <w:adjustRightInd/>
      <w:jc w:val="left"/>
    </w:pPr>
    <w:rPr>
      <w:rFonts w:ascii="Calibri" w:hAnsi="Calibri"/>
      <w:kern w:val="0"/>
      <w:sz w:val="22"/>
      <w:szCs w:val="22"/>
    </w:rPr>
  </w:style>
  <w:style w:type="paragraph" w:customStyle="1" w:styleId="8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863">
    <w:name w:val="Char Char11 Char Char Char2"/>
    <w:basedOn w:val="1"/>
    <w:qFormat/>
    <w:uiPriority w:val="0"/>
    <w:pPr>
      <w:spacing w:line="360" w:lineRule="auto"/>
    </w:pPr>
    <w:rPr>
      <w:szCs w:val="20"/>
    </w:rPr>
  </w:style>
  <w:style w:type="paragraph" w:customStyle="1" w:styleId="86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6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867">
    <w:name w:val="正文_0_0"/>
    <w:qFormat/>
    <w:uiPriority w:val="0"/>
    <w:rPr>
      <w:rFonts w:ascii="Times New Roman" w:hAnsi="Times New Roman" w:eastAsia="宋体" w:cs="Times New Roman"/>
      <w:lang w:val="en-US" w:eastAsia="zh-CN" w:bidi="ar-SA"/>
    </w:rPr>
  </w:style>
  <w:style w:type="paragraph" w:customStyle="1" w:styleId="868">
    <w:name w:val="数字标题4"/>
    <w:basedOn w:val="8"/>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eastAsia="en-US"/>
    </w:rPr>
  </w:style>
  <w:style w:type="paragraph" w:customStyle="1" w:styleId="8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70">
    <w:name w:val="Char311"/>
    <w:basedOn w:val="1"/>
    <w:qFormat/>
    <w:uiPriority w:val="0"/>
    <w:pPr>
      <w:adjustRightInd/>
      <w:ind w:firstLine="200" w:firstLineChars="200"/>
    </w:pPr>
    <w:rPr>
      <w:rFonts w:ascii="Tahoma" w:hAnsi="Tahoma"/>
      <w:sz w:val="24"/>
      <w:szCs w:val="20"/>
    </w:rPr>
  </w:style>
  <w:style w:type="paragraph" w:customStyle="1" w:styleId="87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7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3">
    <w:name w:val="模板普通正文"/>
    <w:basedOn w:val="7"/>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874">
    <w:name w:val="Char Char1 Char Char Char Char Char Char"/>
    <w:basedOn w:val="1"/>
    <w:qFormat/>
    <w:uiPriority w:val="0"/>
    <w:rPr>
      <w:rFonts w:ascii="仿宋_GB2312" w:eastAsia="仿宋_GB2312"/>
      <w:b/>
      <w:sz w:val="32"/>
      <w:szCs w:val="20"/>
    </w:rPr>
  </w:style>
  <w:style w:type="paragraph" w:customStyle="1" w:styleId="875">
    <w:name w:val="Char Char1 Char Char Char Char Char Char2"/>
    <w:basedOn w:val="1"/>
    <w:qFormat/>
    <w:uiPriority w:val="0"/>
    <w:rPr>
      <w:rFonts w:ascii="仿宋_GB2312" w:eastAsia="仿宋_GB2312"/>
      <w:b/>
      <w:sz w:val="32"/>
      <w:szCs w:val="20"/>
    </w:rPr>
  </w:style>
  <w:style w:type="paragraph" w:customStyle="1" w:styleId="87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7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1">
    <w:name w:val="Char31"/>
    <w:basedOn w:val="1"/>
    <w:qFormat/>
    <w:uiPriority w:val="0"/>
    <w:pPr>
      <w:adjustRightInd/>
    </w:pPr>
    <w:rPr>
      <w:rFonts w:ascii="仿宋_GB2312" w:eastAsia="仿宋_GB2312"/>
      <w:b/>
      <w:sz w:val="32"/>
      <w:szCs w:val="32"/>
    </w:rPr>
  </w:style>
  <w:style w:type="paragraph" w:customStyle="1" w:styleId="88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83">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88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85">
    <w:name w:val="Char Char1"/>
    <w:basedOn w:val="1"/>
    <w:qFormat/>
    <w:uiPriority w:val="0"/>
    <w:pPr>
      <w:widowControl/>
      <w:spacing w:after="160" w:line="240" w:lineRule="exact"/>
      <w:jc w:val="left"/>
    </w:pPr>
    <w:rPr>
      <w:rFonts w:eastAsia="仿宋_GB2312"/>
      <w:sz w:val="28"/>
    </w:rPr>
  </w:style>
  <w:style w:type="paragraph" w:customStyle="1" w:styleId="886">
    <w:name w:val="Char21"/>
    <w:basedOn w:val="1"/>
    <w:qFormat/>
    <w:uiPriority w:val="0"/>
    <w:pPr>
      <w:adjustRightInd/>
      <w:ind w:firstLine="200" w:firstLineChars="200"/>
    </w:pPr>
    <w:rPr>
      <w:rFonts w:ascii="仿宋_GB2312" w:eastAsia="仿宋_GB2312"/>
      <w:b/>
      <w:sz w:val="32"/>
      <w:szCs w:val="32"/>
    </w:rPr>
  </w:style>
  <w:style w:type="paragraph" w:customStyle="1" w:styleId="887">
    <w:name w:val="列表段落1"/>
    <w:basedOn w:val="1"/>
    <w:qFormat/>
    <w:uiPriority w:val="0"/>
    <w:pPr>
      <w:adjustRightInd/>
      <w:ind w:right="238" w:firstLine="420"/>
    </w:pPr>
    <w:rPr>
      <w:rFonts w:ascii="Calibri" w:hAnsi="Calibri"/>
      <w:sz w:val="24"/>
    </w:rPr>
  </w:style>
  <w:style w:type="paragraph" w:customStyle="1" w:styleId="888">
    <w:name w:val="Char Char110"/>
    <w:basedOn w:val="1"/>
    <w:qFormat/>
    <w:uiPriority w:val="0"/>
    <w:pPr>
      <w:spacing w:line="360" w:lineRule="auto"/>
    </w:pPr>
    <w:rPr>
      <w:rFonts w:ascii="Tahoma" w:hAnsi="Tahoma"/>
      <w:sz w:val="24"/>
      <w:szCs w:val="20"/>
    </w:rPr>
  </w:style>
  <w:style w:type="paragraph" w:customStyle="1" w:styleId="88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3">
    <w:name w:val="Char Char Char Char Char Char Char Char Char Char Char Char1 Char2"/>
    <w:basedOn w:val="1"/>
    <w:qFormat/>
    <w:uiPriority w:val="0"/>
    <w:rPr>
      <w:rFonts w:ascii="Tahoma" w:hAnsi="Tahoma" w:cs="仿宋_GB2312"/>
      <w:sz w:val="24"/>
      <w:szCs w:val="20"/>
    </w:rPr>
  </w:style>
  <w:style w:type="paragraph" w:customStyle="1" w:styleId="89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96">
    <w:name w:val="样式 列表编号 + 段后: 0.5 行"/>
    <w:basedOn w:val="20"/>
    <w:qFormat/>
    <w:uiPriority w:val="0"/>
    <w:pPr>
      <w:tabs>
        <w:tab w:val="clear" w:pos="390"/>
        <w:tab w:val="clear" w:pos="454"/>
      </w:tabs>
      <w:spacing w:after="0" w:afterLines="0"/>
      <w:ind w:left="840" w:hanging="420"/>
      <w:contextualSpacing/>
    </w:pPr>
    <w:rPr>
      <w:rFonts w:cs="宋体"/>
    </w:rPr>
  </w:style>
  <w:style w:type="paragraph" w:customStyle="1" w:styleId="89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98">
    <w:name w:val="_Style 12"/>
    <w:basedOn w:val="24"/>
    <w:qFormat/>
    <w:uiPriority w:val="0"/>
    <w:pPr>
      <w:snapToGrid w:val="0"/>
      <w:spacing w:line="360" w:lineRule="auto"/>
    </w:pPr>
  </w:style>
  <w:style w:type="paragraph" w:customStyle="1" w:styleId="89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0">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901">
    <w:name w:val="_Style 94"/>
    <w:basedOn w:val="1"/>
    <w:next w:val="286"/>
    <w:qFormat/>
    <w:uiPriority w:val="0"/>
    <w:pPr>
      <w:adjustRightInd/>
      <w:spacing w:line="360" w:lineRule="auto"/>
      <w:ind w:firstLine="200" w:firstLineChars="200"/>
    </w:pPr>
    <w:rPr>
      <w:rFonts w:ascii="Calibri" w:hAnsi="Calibri"/>
      <w:sz w:val="28"/>
      <w:szCs w:val="20"/>
    </w:rPr>
  </w:style>
  <w:style w:type="paragraph" w:customStyle="1" w:styleId="902">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9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0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05">
    <w:name w:val="3级标题"/>
    <w:basedOn w:val="789"/>
    <w:qFormat/>
    <w:uiPriority w:val="0"/>
    <w:pPr>
      <w:outlineLvl w:val="2"/>
    </w:pPr>
  </w:style>
  <w:style w:type="paragraph" w:customStyle="1" w:styleId="90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7">
    <w:name w:val="Char1 Char Char Char3"/>
    <w:basedOn w:val="1"/>
    <w:qFormat/>
    <w:uiPriority w:val="0"/>
    <w:pPr>
      <w:adjustRightInd/>
      <w:ind w:firstLine="200" w:firstLineChars="200"/>
    </w:pPr>
    <w:rPr>
      <w:rFonts w:ascii="Tahoma" w:hAnsi="Tahoma"/>
      <w:sz w:val="24"/>
      <w:szCs w:val="20"/>
    </w:rPr>
  </w:style>
  <w:style w:type="paragraph" w:customStyle="1" w:styleId="90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09">
    <w:name w:val="MM Empty"/>
    <w:basedOn w:val="1"/>
    <w:qFormat/>
    <w:uiPriority w:val="0"/>
    <w:pPr>
      <w:adjustRightInd/>
    </w:pPr>
  </w:style>
  <w:style w:type="paragraph" w:customStyle="1" w:styleId="910">
    <w:name w:val="Char24"/>
    <w:basedOn w:val="1"/>
    <w:qFormat/>
    <w:uiPriority w:val="0"/>
    <w:rPr>
      <w:rFonts w:ascii="仿宋_GB2312" w:eastAsia="仿宋_GB2312"/>
      <w:b/>
      <w:sz w:val="32"/>
      <w:szCs w:val="32"/>
    </w:rPr>
  </w:style>
  <w:style w:type="paragraph" w:customStyle="1" w:styleId="911">
    <w:name w:val="正文箭头"/>
    <w:basedOn w:val="822"/>
    <w:qFormat/>
    <w:uiPriority w:val="0"/>
  </w:style>
  <w:style w:type="paragraph" w:customStyle="1" w:styleId="912">
    <w:name w:val="U_编号2"/>
    <w:basedOn w:val="1"/>
    <w:qFormat/>
    <w:uiPriority w:val="0"/>
    <w:pPr>
      <w:tabs>
        <w:tab w:val="left" w:pos="785"/>
      </w:tabs>
      <w:adjustRightInd/>
      <w:spacing w:before="10" w:beforeLines="10" w:after="10" w:afterLines="10" w:line="300" w:lineRule="auto"/>
    </w:pPr>
    <w:rPr>
      <w:sz w:val="24"/>
    </w:rPr>
  </w:style>
  <w:style w:type="paragraph" w:customStyle="1" w:styleId="91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5">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6">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7">
    <w:name w:val="_Style 1"/>
    <w:basedOn w:val="1"/>
    <w:qFormat/>
    <w:uiPriority w:val="0"/>
    <w:pPr>
      <w:adjustRightInd/>
      <w:ind w:firstLine="200" w:firstLineChars="200"/>
    </w:pPr>
    <w:rPr>
      <w:rFonts w:eastAsia="仿宋_GB2312"/>
      <w:sz w:val="28"/>
    </w:rPr>
  </w:style>
  <w:style w:type="paragraph" w:customStyle="1" w:styleId="918">
    <w:name w:val="表格 内容"/>
    <w:basedOn w:val="543"/>
    <w:qFormat/>
    <w:uiPriority w:val="0"/>
    <w:rPr>
      <w:b w:val="0"/>
      <w:sz w:val="20"/>
    </w:rPr>
  </w:style>
  <w:style w:type="paragraph" w:customStyle="1" w:styleId="919">
    <w:name w:val="正文首行缩进1"/>
    <w:basedOn w:val="31"/>
    <w:qFormat/>
    <w:uiPriority w:val="0"/>
    <w:pPr>
      <w:suppressAutoHyphens/>
      <w:autoSpaceDE/>
      <w:autoSpaceDN/>
      <w:adjustRightInd/>
      <w:spacing w:after="120" w:line="240" w:lineRule="auto"/>
      <w:ind w:firstLine="420"/>
      <w:jc w:val="left"/>
    </w:pPr>
    <w:rPr>
      <w:rFonts w:ascii="Times New Roman"/>
      <w:sz w:val="28"/>
      <w:szCs w:val="24"/>
      <w:lang w:val="en-US" w:eastAsia="ar-SA"/>
    </w:rPr>
  </w:style>
  <w:style w:type="paragraph" w:customStyle="1" w:styleId="920">
    <w:name w:val="数字标题5"/>
    <w:basedOn w:val="9"/>
    <w:next w:val="1"/>
    <w:qFormat/>
    <w:uiPriority w:val="0"/>
    <w:pPr>
      <w:tabs>
        <w:tab w:val="left" w:pos="1080"/>
        <w:tab w:val="clear" w:pos="1008"/>
      </w:tabs>
      <w:ind w:left="1080" w:hanging="1080"/>
    </w:pPr>
  </w:style>
  <w:style w:type="paragraph" w:customStyle="1" w:styleId="921">
    <w:name w:val="数字标题1"/>
    <w:basedOn w:val="3"/>
    <w:next w:val="1"/>
    <w:qFormat/>
    <w:uiPriority w:val="0"/>
    <w:pPr>
      <w:tabs>
        <w:tab w:val="left" w:pos="480"/>
        <w:tab w:val="clear" w:pos="432"/>
      </w:tabs>
      <w:ind w:left="480" w:hanging="480"/>
    </w:pPr>
  </w:style>
  <w:style w:type="paragraph" w:customStyle="1" w:styleId="92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24">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92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GB"/>
    </w:rPr>
  </w:style>
  <w:style w:type="paragraph" w:customStyle="1" w:styleId="9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7">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928">
    <w:name w:val="0"/>
    <w:basedOn w:val="1"/>
    <w:qFormat/>
    <w:uiPriority w:val="0"/>
    <w:pPr>
      <w:widowControl/>
    </w:pPr>
    <w:rPr>
      <w:kern w:val="0"/>
      <w:sz w:val="24"/>
      <w:szCs w:val="20"/>
    </w:rPr>
  </w:style>
  <w:style w:type="paragraph" w:customStyle="1" w:styleId="929">
    <w:name w:val="Char Char113"/>
    <w:basedOn w:val="1"/>
    <w:qFormat/>
    <w:uiPriority w:val="0"/>
    <w:pPr>
      <w:widowControl/>
      <w:spacing w:after="160" w:line="240" w:lineRule="exact"/>
      <w:jc w:val="left"/>
    </w:pPr>
    <w:rPr>
      <w:rFonts w:eastAsia="仿宋_GB2312"/>
      <w:sz w:val="28"/>
    </w:rPr>
  </w:style>
  <w:style w:type="paragraph" w:customStyle="1" w:styleId="930">
    <w:name w:val="_Style 8"/>
    <w:basedOn w:val="1"/>
    <w:qFormat/>
    <w:uiPriority w:val="0"/>
    <w:pPr>
      <w:adjustRightInd/>
      <w:ind w:firstLine="200" w:firstLineChars="200"/>
    </w:pPr>
    <w:rPr>
      <w:rFonts w:eastAsia="仿宋_GB2312"/>
      <w:sz w:val="28"/>
    </w:rPr>
  </w:style>
  <w:style w:type="paragraph" w:customStyle="1" w:styleId="931">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93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93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934">
    <w:name w:val="Char Char112"/>
    <w:basedOn w:val="1"/>
    <w:qFormat/>
    <w:uiPriority w:val="0"/>
    <w:pPr>
      <w:widowControl/>
      <w:spacing w:after="160" w:line="240" w:lineRule="exact"/>
      <w:jc w:val="left"/>
    </w:pPr>
    <w:rPr>
      <w:rFonts w:eastAsia="仿宋_GB2312"/>
      <w:sz w:val="28"/>
    </w:rPr>
  </w:style>
  <w:style w:type="paragraph" w:customStyle="1" w:styleId="935">
    <w:name w:val="正文 图"/>
    <w:basedOn w:val="528"/>
    <w:qFormat/>
    <w:uiPriority w:val="0"/>
    <w:pPr>
      <w:adjustRightInd/>
      <w:spacing w:before="0"/>
      <w:ind w:firstLine="0"/>
      <w:jc w:val="center"/>
    </w:pPr>
    <w:rPr>
      <w:rFonts w:ascii="微软雅黑" w:hAnsi="微软雅黑"/>
    </w:rPr>
  </w:style>
  <w:style w:type="paragraph" w:customStyle="1" w:styleId="93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8">
    <w:name w:val="Thf"/>
    <w:basedOn w:val="473"/>
    <w:qFormat/>
    <w:uiPriority w:val="0"/>
    <w:pPr>
      <w:ind w:left="0"/>
    </w:pPr>
  </w:style>
  <w:style w:type="paragraph" w:customStyle="1" w:styleId="93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41">
    <w:name w:val="列出段落111"/>
    <w:basedOn w:val="1"/>
    <w:qFormat/>
    <w:uiPriority w:val="0"/>
    <w:pPr>
      <w:ind w:firstLine="200" w:firstLineChars="200"/>
    </w:pPr>
  </w:style>
  <w:style w:type="paragraph" w:customStyle="1" w:styleId="942">
    <w:name w:val="纯文本2"/>
    <w:basedOn w:val="1"/>
    <w:qFormat/>
    <w:uiPriority w:val="0"/>
    <w:pPr>
      <w:adjustRightInd/>
      <w:snapToGrid w:val="0"/>
      <w:jc w:val="left"/>
    </w:pPr>
    <w:rPr>
      <w:rFonts w:ascii="Century Gothic" w:hAnsi="楷体_GB2312" w:eastAsia="Century Gothic"/>
      <w:szCs w:val="20"/>
    </w:rPr>
  </w:style>
  <w:style w:type="paragraph" w:customStyle="1" w:styleId="94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4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4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eastAsia="en-US"/>
    </w:rPr>
  </w:style>
  <w:style w:type="paragraph" w:customStyle="1" w:styleId="946">
    <w:name w:val="Blockquote"/>
    <w:basedOn w:val="1"/>
    <w:qFormat/>
    <w:uiPriority w:val="0"/>
    <w:pPr>
      <w:autoSpaceDE w:val="0"/>
      <w:autoSpaceDN w:val="0"/>
      <w:spacing w:before="100" w:after="100"/>
      <w:ind w:left="360" w:right="360"/>
      <w:jc w:val="left"/>
    </w:pPr>
    <w:rPr>
      <w:kern w:val="0"/>
      <w:sz w:val="24"/>
      <w:szCs w:val="20"/>
    </w:rPr>
  </w:style>
  <w:style w:type="paragraph" w:customStyle="1" w:styleId="947">
    <w:name w:val="修订4"/>
    <w:qFormat/>
    <w:uiPriority w:val="0"/>
    <w:rPr>
      <w:rFonts w:ascii="Times New Roman" w:hAnsi="Times New Roman" w:eastAsia="宋体" w:cs="Times New Roman"/>
      <w:kern w:val="2"/>
      <w:sz w:val="21"/>
      <w:szCs w:val="24"/>
      <w:lang w:val="en-US" w:eastAsia="zh-CN" w:bidi="ar-SA"/>
    </w:rPr>
  </w:style>
  <w:style w:type="paragraph" w:customStyle="1" w:styleId="948">
    <w:name w:val="[Normal]"/>
    <w:qFormat/>
    <w:uiPriority w:val="0"/>
    <w:rPr>
      <w:rFonts w:ascii="宋体" w:hAnsi="宋体" w:eastAsia="宋体" w:cs="Times New Roman"/>
      <w:sz w:val="24"/>
      <w:szCs w:val="22"/>
      <w:lang w:val="zh-CN" w:eastAsia="zh-CN" w:bidi="ar-SA"/>
    </w:rPr>
  </w:style>
  <w:style w:type="paragraph" w:customStyle="1" w:styleId="949">
    <w:name w:val="ZK_正文"/>
    <w:basedOn w:val="1"/>
    <w:qFormat/>
    <w:uiPriority w:val="0"/>
    <w:pPr>
      <w:adjustRightInd/>
      <w:spacing w:before="50" w:beforeLines="50" w:line="360" w:lineRule="auto"/>
    </w:pPr>
    <w:rPr>
      <w:sz w:val="24"/>
    </w:rPr>
  </w:style>
  <w:style w:type="paragraph" w:customStyle="1" w:styleId="950">
    <w:name w:val="ZK_正文缩进"/>
    <w:basedOn w:val="949"/>
    <w:qFormat/>
    <w:uiPriority w:val="0"/>
    <w:pPr>
      <w:spacing w:beforeLines="0"/>
      <w:ind w:firstLine="200" w:firstLineChars="200"/>
    </w:pPr>
  </w:style>
  <w:style w:type="paragraph" w:customStyle="1" w:styleId="951">
    <w:name w:val="注意事项"/>
    <w:basedOn w:val="1"/>
    <w:next w:val="1"/>
    <w:qFormat/>
    <w:uiPriority w:val="0"/>
    <w:pPr>
      <w:adjustRightInd/>
      <w:spacing w:before="50" w:beforeLines="50" w:after="50" w:afterLines="50" w:line="360" w:lineRule="auto"/>
      <w:ind w:firstLine="200" w:firstLineChars="200"/>
    </w:pPr>
    <w:rPr>
      <w:rFonts w:eastAsia="黑体" w:cs="Latha"/>
      <w:bCs/>
      <w:szCs w:val="21"/>
    </w:rPr>
  </w:style>
  <w:style w:type="paragraph" w:customStyle="1" w:styleId="952">
    <w:name w:val="ZK_表格文字"/>
    <w:basedOn w:val="1"/>
    <w:qFormat/>
    <w:uiPriority w:val="0"/>
    <w:pPr>
      <w:adjustRightInd/>
      <w:jc w:val="left"/>
    </w:pPr>
  </w:style>
  <w:style w:type="paragraph" w:customStyle="1" w:styleId="953">
    <w:name w:val="样式 标题 1 + 四号 加粗"/>
    <w:basedOn w:val="3"/>
    <w:qFormat/>
    <w:uiPriority w:val="0"/>
    <w:pPr>
      <w:tabs>
        <w:tab w:val="clear" w:pos="432"/>
      </w:tabs>
      <w:adjustRightInd/>
      <w:ind w:left="0" w:firstLine="0"/>
    </w:pPr>
    <w:rPr>
      <w:rFonts w:eastAsia="黑体"/>
    </w:rPr>
  </w:style>
  <w:style w:type="paragraph" w:customStyle="1" w:styleId="954">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955">
    <w:name w:val="修订5"/>
    <w:qFormat/>
    <w:uiPriority w:val="0"/>
    <w:rPr>
      <w:rFonts w:ascii="Calibri" w:hAnsi="Calibri" w:eastAsia="宋体" w:cs="Times New Roman"/>
      <w:kern w:val="2"/>
      <w:sz w:val="21"/>
      <w:szCs w:val="22"/>
      <w:lang w:val="en-US" w:eastAsia="zh-CN" w:bidi="ar-SA"/>
    </w:rPr>
  </w:style>
  <w:style w:type="paragraph" w:customStyle="1" w:styleId="95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957">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958">
    <w:name w:val="表格标题"/>
    <w:basedOn w:val="680"/>
    <w:qFormat/>
    <w:uiPriority w:val="0"/>
    <w:pPr>
      <w:jc w:val="center"/>
    </w:pPr>
    <w:rPr>
      <w:b/>
    </w:rPr>
  </w:style>
  <w:style w:type="paragraph" w:customStyle="1" w:styleId="959">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960">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961">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962">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963">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964">
    <w:name w:val="正文缩进2"/>
    <w:basedOn w:val="1"/>
    <w:qFormat/>
    <w:uiPriority w:val="0"/>
    <w:pPr>
      <w:spacing w:line="360" w:lineRule="auto"/>
      <w:ind w:firstLine="225" w:firstLineChars="225"/>
      <w:textAlignment w:val="baseline"/>
    </w:pPr>
    <w:rPr>
      <w:sz w:val="24"/>
      <w:szCs w:val="20"/>
    </w:rPr>
  </w:style>
  <w:style w:type="paragraph" w:customStyle="1" w:styleId="965">
    <w:name w:val="font16"/>
    <w:basedOn w:val="1"/>
    <w:qFormat/>
    <w:uiPriority w:val="0"/>
    <w:pPr>
      <w:widowControl/>
      <w:adjustRightInd/>
      <w:spacing w:before="100" w:beforeAutospacing="1" w:after="100" w:afterAutospacing="1"/>
      <w:jc w:val="left"/>
    </w:pPr>
    <w:rPr>
      <w:rFonts w:ascii="宋体" w:hAnsi="宋体" w:cs="宋体"/>
      <w:color w:val="000000"/>
      <w:kern w:val="0"/>
      <w:szCs w:val="21"/>
    </w:rPr>
  </w:style>
  <w:style w:type="paragraph" w:customStyle="1" w:styleId="966">
    <w:name w:val="Normal_13"/>
    <w:qFormat/>
    <w:uiPriority w:val="0"/>
    <w:pPr>
      <w:spacing w:before="120" w:after="240"/>
      <w:jc w:val="both"/>
    </w:pPr>
    <w:rPr>
      <w:rFonts w:ascii="Times New Roman" w:hAnsi="Times New Roman" w:eastAsia="Calibri" w:cs="Times New Roman"/>
      <w:sz w:val="22"/>
      <w:szCs w:val="22"/>
      <w:lang w:val="ru-RU" w:eastAsia="ru-RU" w:bidi="ar-SA"/>
    </w:rPr>
  </w:style>
  <w:style w:type="paragraph" w:customStyle="1" w:styleId="967">
    <w:name w:val="Char Char1 Char Char Char Char Char Char Char Char"/>
    <w:basedOn w:val="1"/>
    <w:qFormat/>
    <w:uiPriority w:val="0"/>
    <w:pPr>
      <w:widowControl/>
      <w:adjustRightInd/>
      <w:spacing w:after="160" w:line="240" w:lineRule="exact"/>
      <w:jc w:val="left"/>
    </w:pPr>
    <w:rPr>
      <w:rFonts w:ascii="Verdana" w:hAnsi="Verdana"/>
      <w:kern w:val="0"/>
      <w:sz w:val="20"/>
      <w:szCs w:val="20"/>
    </w:rPr>
  </w:style>
  <w:style w:type="paragraph" w:customStyle="1" w:styleId="96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969">
    <w:name w:val="paragraph1"/>
    <w:basedOn w:val="1"/>
    <w:qFormat/>
    <w:uiPriority w:val="0"/>
    <w:pPr>
      <w:adjustRightInd/>
      <w:spacing w:before="20" w:beforeLines="20" w:after="30" w:afterLines="30" w:line="360" w:lineRule="auto"/>
      <w:ind w:firstLine="200" w:firstLineChars="200"/>
    </w:pPr>
    <w:rPr>
      <w:rFonts w:ascii="等线" w:hAnsi="等线"/>
      <w:sz w:val="24"/>
    </w:rPr>
  </w:style>
  <w:style w:type="paragraph" w:customStyle="1" w:styleId="970">
    <w:name w:val="标准小三"/>
    <w:basedOn w:val="1"/>
    <w:qFormat/>
    <w:uiPriority w:val="0"/>
    <w:pPr>
      <w:widowControl/>
      <w:adjustRightInd/>
      <w:spacing w:line="700" w:lineRule="exact"/>
      <w:ind w:firstLine="200" w:firstLineChars="200"/>
      <w:jc w:val="left"/>
    </w:pPr>
    <w:rPr>
      <w:rFonts w:ascii="宋体" w:hAnsi="Arial" w:eastAsia="仿宋_GB2312" w:cs="宋体"/>
      <w:snapToGrid w:val="0"/>
      <w:kern w:val="0"/>
      <w:sz w:val="30"/>
      <w:szCs w:val="32"/>
    </w:rPr>
  </w:style>
  <w:style w:type="paragraph" w:customStyle="1" w:styleId="971">
    <w:name w:val="标题 ４"/>
    <w:basedOn w:val="5"/>
    <w:qFormat/>
    <w:uiPriority w:val="0"/>
    <w:pPr>
      <w:tabs>
        <w:tab w:val="left" w:pos="720"/>
        <w:tab w:val="left" w:pos="993"/>
        <w:tab w:val="left" w:pos="1980"/>
        <w:tab w:val="clear" w:pos="900"/>
      </w:tabs>
      <w:adjustRightInd/>
      <w:ind w:left="1980" w:hanging="420"/>
    </w:pPr>
  </w:style>
  <w:style w:type="paragraph" w:customStyle="1" w:styleId="972">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973">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974">
    <w:name w:val="符号 1"/>
    <w:basedOn w:val="7"/>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975">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976">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977">
    <w:name w:val="正文蓝"/>
    <w:basedOn w:val="1"/>
    <w:qFormat/>
    <w:uiPriority w:val="0"/>
    <w:pPr>
      <w:adjustRightInd/>
      <w:spacing w:before="156" w:line="360" w:lineRule="auto"/>
      <w:ind w:firstLine="200" w:firstLineChars="200"/>
    </w:pPr>
    <w:rPr>
      <w:rFonts w:ascii="仿宋_GB2312" w:hAnsi="等线" w:eastAsia="仿宋_GB2312"/>
      <w:color w:val="000080"/>
      <w:sz w:val="24"/>
      <w:szCs w:val="20"/>
    </w:rPr>
  </w:style>
  <w:style w:type="paragraph" w:customStyle="1" w:styleId="978">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979">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980">
    <w:name w:val="样式 样式 首行缩进:  0.74 厘米 行距: 1.5 倍行距 + 段后: 0.5 行"/>
    <w:basedOn w:val="1"/>
    <w:qFormat/>
    <w:uiPriority w:val="0"/>
    <w:pPr>
      <w:widowControl/>
      <w:adjustRightInd/>
      <w:spacing w:after="200" w:line="360" w:lineRule="auto"/>
      <w:ind w:firstLine="200" w:firstLineChars="200"/>
      <w:jc w:val="left"/>
    </w:pPr>
    <w:rPr>
      <w:rFonts w:ascii="Calibri" w:hAnsi="Calibri"/>
      <w:kern w:val="0"/>
      <w:sz w:val="22"/>
      <w:szCs w:val="20"/>
      <w:lang w:bidi="en-US"/>
    </w:rPr>
  </w:style>
  <w:style w:type="paragraph" w:customStyle="1" w:styleId="981">
    <w:name w:val="Char Char1 Char Char Char Char"/>
    <w:basedOn w:val="1"/>
    <w:qFormat/>
    <w:uiPriority w:val="0"/>
    <w:pPr>
      <w:widowControl/>
      <w:adjustRightInd/>
      <w:spacing w:after="160" w:line="240" w:lineRule="exact"/>
      <w:jc w:val="left"/>
    </w:pPr>
    <w:rPr>
      <w:rFonts w:ascii="Verdana" w:hAnsi="Verdana"/>
      <w:kern w:val="0"/>
      <w:sz w:val="20"/>
      <w:szCs w:val="20"/>
    </w:rPr>
  </w:style>
  <w:style w:type="paragraph" w:customStyle="1" w:styleId="982">
    <w:name w:val="符号 2"/>
    <w:basedOn w:val="974"/>
    <w:qFormat/>
    <w:uiPriority w:val="0"/>
    <w:pPr>
      <w:tabs>
        <w:tab w:val="left" w:pos="1320"/>
        <w:tab w:val="clear" w:pos="900"/>
      </w:tabs>
      <w:ind w:left="1320"/>
    </w:pPr>
  </w:style>
  <w:style w:type="paragraph" w:customStyle="1" w:styleId="9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984">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lang w:val="en-GB" w:eastAsia="en-GB"/>
    </w:rPr>
  </w:style>
  <w:style w:type="paragraph" w:customStyle="1" w:styleId="985">
    <w:name w:val="中文标题 4"/>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86">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987">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988">
    <w:name w:val="正文7"/>
    <w:qFormat/>
    <w:uiPriority w:val="0"/>
    <w:pPr>
      <w:jc w:val="both"/>
    </w:pPr>
    <w:rPr>
      <w:rFonts w:ascii="Times New Roman" w:hAnsi="Times New Roman" w:eastAsia="宋体" w:cs="宋体"/>
      <w:kern w:val="2"/>
      <w:sz w:val="21"/>
      <w:szCs w:val="21"/>
      <w:lang w:val="en-US" w:eastAsia="zh-CN" w:bidi="ar-SA"/>
    </w:rPr>
  </w:style>
  <w:style w:type="paragraph" w:customStyle="1" w:styleId="989">
    <w:name w:val="正文空格"/>
    <w:basedOn w:val="1"/>
    <w:next w:val="1"/>
    <w:qFormat/>
    <w:uiPriority w:val="0"/>
    <w:pPr>
      <w:adjustRightInd/>
      <w:ind w:firstLine="200" w:firstLineChars="200"/>
    </w:pPr>
    <w:rPr>
      <w:rFonts w:ascii="等线" w:hAnsi="等线"/>
    </w:rPr>
  </w:style>
  <w:style w:type="paragraph" w:customStyle="1" w:styleId="990">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991">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992">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993">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994">
    <w:name w:val="font17"/>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995">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996">
    <w:name w:val="_Style 40"/>
    <w:basedOn w:val="1"/>
    <w:qFormat/>
    <w:uiPriority w:val="0"/>
    <w:pPr>
      <w:adjustRightInd/>
    </w:pPr>
    <w:rPr>
      <w:rFonts w:ascii="等线" w:hAnsi="等线" w:eastAsia="??"/>
      <w:szCs w:val="28"/>
    </w:rPr>
  </w:style>
  <w:style w:type="paragraph" w:customStyle="1" w:styleId="997">
    <w:name w:val="纯文本3"/>
    <w:basedOn w:val="1"/>
    <w:qFormat/>
    <w:uiPriority w:val="0"/>
    <w:rPr>
      <w:rFonts w:ascii="宋体" w:hAnsi="Courier New"/>
      <w:szCs w:val="21"/>
    </w:rPr>
  </w:style>
  <w:style w:type="paragraph" w:customStyle="1" w:styleId="998">
    <w:name w:val="正文 首行缩进:  2 字符"/>
    <w:basedOn w:val="1"/>
    <w:qFormat/>
    <w:uiPriority w:val="0"/>
    <w:pPr>
      <w:adjustRightInd/>
      <w:spacing w:line="360" w:lineRule="auto"/>
      <w:ind w:firstLine="200" w:firstLineChars="200"/>
    </w:pPr>
    <w:rPr>
      <w:rFonts w:ascii="等线" w:hAnsi="等线" w:eastAsia="楷体_GB2312" w:cs="宋体"/>
      <w:sz w:val="24"/>
      <w:szCs w:val="20"/>
    </w:rPr>
  </w:style>
  <w:style w:type="paragraph" w:customStyle="1" w:styleId="999">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100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001">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1002">
    <w:name w:val="jd-正文1"/>
    <w:basedOn w:val="1"/>
    <w:qFormat/>
    <w:uiPriority w:val="0"/>
    <w:pPr>
      <w:widowControl/>
      <w:adjustRightInd/>
      <w:spacing w:line="360" w:lineRule="auto"/>
      <w:ind w:firstLine="200" w:firstLineChars="200"/>
    </w:pPr>
    <w:rPr>
      <w:rFonts w:ascii="宋体" w:hAnsi="宋体" w:cs="宋体"/>
      <w:sz w:val="24"/>
      <w:szCs w:val="20"/>
    </w:rPr>
  </w:style>
  <w:style w:type="paragraph" w:customStyle="1" w:styleId="1003">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04">
    <w:name w:val="标题4"/>
    <w:basedOn w:val="1"/>
    <w:qFormat/>
    <w:uiPriority w:val="0"/>
    <w:pPr>
      <w:adjustRightInd/>
    </w:pPr>
    <w:rPr>
      <w:rFonts w:ascii="等线" w:hAnsi="等线" w:eastAsia="??_GB2312"/>
      <w:sz w:val="32"/>
      <w:szCs w:val="28"/>
    </w:rPr>
  </w:style>
  <w:style w:type="paragraph" w:customStyle="1" w:styleId="1005">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06">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007">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0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009">
    <w:name w:val="公文标题 3"/>
    <w:basedOn w:val="1010"/>
    <w:next w:val="359"/>
    <w:qFormat/>
    <w:uiPriority w:val="0"/>
    <w:pPr>
      <w:outlineLvl w:val="2"/>
    </w:pPr>
  </w:style>
  <w:style w:type="paragraph" w:customStyle="1" w:styleId="1010">
    <w:name w:val="公文标题 2"/>
    <w:basedOn w:val="1011"/>
    <w:next w:val="359"/>
    <w:qFormat/>
    <w:uiPriority w:val="0"/>
    <w:pPr>
      <w:ind w:firstLine="561"/>
      <w:outlineLvl w:val="1"/>
    </w:pPr>
    <w:rPr>
      <w:sz w:val="28"/>
      <w:lang w:val="en-US" w:eastAsia="en-US"/>
    </w:rPr>
  </w:style>
  <w:style w:type="paragraph" w:customStyle="1" w:styleId="1011">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1012">
    <w:name w:val="大标题"/>
    <w:basedOn w:val="1"/>
    <w:next w:val="1"/>
    <w:qFormat/>
    <w:uiPriority w:val="0"/>
    <w:pPr>
      <w:pageBreakBefore/>
      <w:tabs>
        <w:tab w:val="left" w:pos="900"/>
      </w:tabs>
      <w:adjustRightInd/>
      <w:spacing w:line="360" w:lineRule="auto"/>
      <w:ind w:firstLine="200" w:firstLineChars="200"/>
      <w:outlineLvl w:val="0"/>
    </w:pPr>
    <w:rPr>
      <w:rFonts w:ascii="等线" w:hAnsi="等线"/>
      <w:b/>
      <w:iCs/>
      <w:sz w:val="44"/>
    </w:rPr>
  </w:style>
  <w:style w:type="paragraph" w:customStyle="1" w:styleId="1013">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1014">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015">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1016">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17">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101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1019">
    <w:name w:val="正文 2"/>
    <w:qFormat/>
    <w:uiPriority w:val="0"/>
    <w:pP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020">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21">
    <w:name w:val="_Style 47"/>
    <w:basedOn w:val="1"/>
    <w:qFormat/>
    <w:uiPriority w:val="0"/>
    <w:pPr>
      <w:adjustRightInd/>
    </w:pPr>
    <w:rPr>
      <w:rFonts w:ascii="仿宋_GB2312" w:hAnsi="等线" w:eastAsia="仿宋_GB2312"/>
      <w:b/>
      <w:sz w:val="32"/>
      <w:szCs w:val="32"/>
    </w:rPr>
  </w:style>
  <w:style w:type="paragraph" w:customStyle="1" w:styleId="1022">
    <w:name w:val="样式 正文文本缩进 + 左侧:  0.63 厘米 首行缩进:  0 厘米"/>
    <w:basedOn w:val="7"/>
    <w:qFormat/>
    <w:uiPriority w:val="0"/>
    <w:pPr>
      <w:autoSpaceDE w:val="0"/>
      <w:autoSpaceDN w:val="0"/>
      <w:spacing w:after="120" w:line="360" w:lineRule="auto"/>
      <w:ind w:left="116" w:leftChars="116" w:right="17" w:firstLine="192" w:firstLineChars="192"/>
    </w:pPr>
    <w:rPr>
      <w:rFonts w:eastAsia="楷体_GB2312"/>
    </w:rPr>
  </w:style>
  <w:style w:type="paragraph" w:customStyle="1" w:styleId="1023">
    <w:name w:val="font14"/>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024">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025">
    <w:name w:val="页眉与页脚"/>
    <w:qFormat/>
    <w:uiPriority w:val="0"/>
    <w:pPr>
      <w:tabs>
        <w:tab w:val="right" w:pos="9020"/>
      </w:tabs>
    </w:pPr>
    <w:rPr>
      <w:rFonts w:ascii="Helvetica" w:hAnsi="Arial Unicode MS" w:eastAsia="Times New Roman" w:cs="Times New Roman"/>
      <w:color w:val="000000"/>
      <w:sz w:val="24"/>
      <w:szCs w:val="22"/>
      <w:lang w:val="en-US" w:eastAsia="zh-CN" w:bidi="ar-SA"/>
    </w:rPr>
  </w:style>
  <w:style w:type="paragraph" w:customStyle="1" w:styleId="1026">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27">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028">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029">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30">
    <w:name w:val="符号》"/>
    <w:basedOn w:val="1"/>
    <w:qFormat/>
    <w:uiPriority w:val="0"/>
    <w:pPr>
      <w:widowControl/>
      <w:tabs>
        <w:tab w:val="left" w:pos="795"/>
      </w:tabs>
      <w:adjustRightInd/>
      <w:spacing w:line="360" w:lineRule="auto"/>
      <w:jc w:val="left"/>
    </w:pPr>
    <w:rPr>
      <w:rFonts w:ascii="宋体" w:hAnsi="宋体" w:eastAsia="楷体_GB2312" w:cs="宋体"/>
      <w:kern w:val="0"/>
      <w:sz w:val="24"/>
    </w:rPr>
  </w:style>
  <w:style w:type="paragraph" w:customStyle="1" w:styleId="1031">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32">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033">
    <w:name w:val="样式 标题 1H1标书1h1Level 1 Topic Heading1st levelSection Headl..."/>
    <w:basedOn w:val="3"/>
    <w:qFormat/>
    <w:uiPriority w:val="0"/>
    <w:pPr>
      <w:keepNext w:val="0"/>
      <w:tabs>
        <w:tab w:val="left" w:pos="780"/>
        <w:tab w:val="clear" w:pos="432"/>
      </w:tabs>
      <w:adjustRightInd/>
      <w:spacing w:before="50" w:beforeLines="50" w:after="50" w:afterLines="50"/>
      <w:ind w:left="100" w:leftChars="100" w:right="100" w:rightChars="100" w:firstLine="50" w:firstLineChars="50"/>
    </w:pPr>
    <w:rPr>
      <w:rFonts w:eastAsia="楷体_GB2312" w:cs="宋体"/>
      <w:sz w:val="32"/>
      <w:szCs w:val="20"/>
    </w:rPr>
  </w:style>
  <w:style w:type="paragraph" w:customStyle="1" w:styleId="1034">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103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36">
    <w:name w:val="Normal_3"/>
    <w:qFormat/>
    <w:uiPriority w:val="0"/>
    <w:pPr>
      <w:spacing w:before="120" w:after="240"/>
      <w:jc w:val="both"/>
    </w:pPr>
    <w:rPr>
      <w:rFonts w:ascii="Times New Roman" w:hAnsi="Times New Roman" w:eastAsia="Calibri" w:cs="Times New Roman"/>
      <w:sz w:val="22"/>
      <w:szCs w:val="22"/>
      <w:lang w:val="ru-RU" w:eastAsia="ru-RU" w:bidi="ar-SA"/>
    </w:rPr>
  </w:style>
  <w:style w:type="paragraph" w:customStyle="1" w:styleId="1037">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038">
    <w:name w:val="Normal_20"/>
    <w:qFormat/>
    <w:uiPriority w:val="0"/>
    <w:pPr>
      <w:spacing w:before="120" w:after="240"/>
      <w:jc w:val="both"/>
    </w:pPr>
    <w:rPr>
      <w:rFonts w:ascii="Times New Roman" w:hAnsi="Times New Roman" w:eastAsia="Calibri" w:cs="Times New Roman"/>
      <w:sz w:val="22"/>
      <w:szCs w:val="22"/>
      <w:lang w:val="ru-RU" w:eastAsia="ru-RU" w:bidi="ar-SA"/>
    </w:rPr>
  </w:style>
  <w:style w:type="paragraph" w:customStyle="1" w:styleId="1039">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040">
    <w:name w:val="font15"/>
    <w:basedOn w:val="1"/>
    <w:qFormat/>
    <w:uiPriority w:val="0"/>
    <w:pPr>
      <w:widowControl/>
      <w:adjustRightInd/>
      <w:spacing w:before="100" w:beforeAutospacing="1" w:after="100" w:afterAutospacing="1"/>
      <w:jc w:val="left"/>
    </w:pPr>
    <w:rPr>
      <w:rFonts w:ascii="宋体" w:hAnsi="宋体" w:cs="宋体"/>
      <w:color w:val="000000"/>
      <w:kern w:val="0"/>
      <w:szCs w:val="21"/>
    </w:rPr>
  </w:style>
  <w:style w:type="paragraph" w:customStyle="1" w:styleId="1041">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042">
    <w:name w:val="TOC 标题2"/>
    <w:basedOn w:val="3"/>
    <w:next w:val="1"/>
    <w:qFormat/>
    <w:uiPriority w:val="0"/>
    <w:pPr>
      <w:widowControl/>
      <w:tabs>
        <w:tab w:val="clear" w:pos="432"/>
      </w:tabs>
      <w:adjustRightInd/>
      <w:spacing w:before="480" w:after="0" w:line="276" w:lineRule="auto"/>
      <w:ind w:left="0" w:firstLine="0"/>
      <w:jc w:val="left"/>
      <w:outlineLvl w:val="9"/>
    </w:pPr>
    <w:rPr>
      <w:rFonts w:ascii="Cambria" w:hAnsi="Cambria" w:eastAsia="??" w:cs="宋体"/>
      <w:color w:val="365F91"/>
      <w:kern w:val="0"/>
      <w:sz w:val="28"/>
      <w:szCs w:val="28"/>
    </w:rPr>
  </w:style>
  <w:style w:type="paragraph" w:customStyle="1" w:styleId="1043">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1044">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045">
    <w:name w:val="带标题正文"/>
    <w:basedOn w:val="1"/>
    <w:qFormat/>
    <w:uiPriority w:val="0"/>
    <w:pPr>
      <w:tabs>
        <w:tab w:val="left" w:pos="425"/>
      </w:tabs>
      <w:adjustRightInd/>
      <w:snapToGrid w:val="0"/>
      <w:spacing w:before="100" w:after="100"/>
      <w:ind w:firstLine="115"/>
    </w:pPr>
    <w:rPr>
      <w:rFonts w:ascii="楷体" w:hAnsi="等线" w:eastAsia="楷体"/>
      <w:b/>
      <w:sz w:val="28"/>
      <w:szCs w:val="20"/>
    </w:rPr>
  </w:style>
  <w:style w:type="paragraph" w:customStyle="1" w:styleId="1046">
    <w:name w:val="编号 2"/>
    <w:basedOn w:val="1001"/>
    <w:qFormat/>
    <w:uiPriority w:val="0"/>
    <w:pPr>
      <w:tabs>
        <w:tab w:val="left" w:pos="1560"/>
        <w:tab w:val="clear" w:pos="1320"/>
      </w:tabs>
      <w:ind w:left="-80"/>
    </w:pPr>
    <w:rPr>
      <w:szCs w:val="20"/>
    </w:rPr>
  </w:style>
  <w:style w:type="paragraph" w:customStyle="1" w:styleId="1047">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1048">
    <w:name w:val="正文文字缩进 3"/>
    <w:basedOn w:val="1"/>
    <w:qFormat/>
    <w:uiPriority w:val="0"/>
    <w:pPr>
      <w:suppressAutoHyphens/>
      <w:adjustRightInd/>
      <w:spacing w:line="360" w:lineRule="auto"/>
      <w:ind w:left="481" w:firstLine="480"/>
    </w:pPr>
    <w:rPr>
      <w:rFonts w:ascii="等线" w:hAnsi="等线" w:eastAsia="楷体_GB2312"/>
      <w:sz w:val="24"/>
      <w:szCs w:val="20"/>
      <w:lang w:eastAsia="ar-SA"/>
    </w:rPr>
  </w:style>
  <w:style w:type="paragraph" w:customStyle="1" w:styleId="104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050">
    <w:name w:val="正文 居中"/>
    <w:basedOn w:val="1"/>
    <w:qFormat/>
    <w:uiPriority w:val="0"/>
    <w:pPr>
      <w:adjustRightInd/>
      <w:spacing w:line="360" w:lineRule="auto"/>
      <w:jc w:val="center"/>
    </w:pPr>
    <w:rPr>
      <w:rFonts w:ascii="等线" w:hAnsi="等线"/>
      <w:sz w:val="24"/>
      <w:szCs w:val="20"/>
    </w:rPr>
  </w:style>
  <w:style w:type="paragraph" w:customStyle="1" w:styleId="1051">
    <w:name w:val="公文标题"/>
    <w:basedOn w:val="359"/>
    <w:next w:val="359"/>
    <w:qFormat/>
    <w:uiPriority w:val="0"/>
    <w:pPr>
      <w:spacing w:before="0"/>
      <w:ind w:firstLine="0" w:firstLineChars="0"/>
      <w:jc w:val="center"/>
    </w:pPr>
    <w:rPr>
      <w:rFonts w:hAnsi="宋体"/>
      <w:b/>
      <w:bCs/>
      <w:kern w:val="28"/>
      <w:sz w:val="44"/>
    </w:rPr>
  </w:style>
  <w:style w:type="paragraph" w:customStyle="1" w:styleId="1052">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1053">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054">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1055">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1056">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57">
    <w:name w:val="样式 正文文本缩进 + 仿宋_GB2312 四号"/>
    <w:basedOn w:val="1"/>
    <w:next w:val="10"/>
    <w:qFormat/>
    <w:uiPriority w:val="0"/>
    <w:pPr>
      <w:widowControl/>
      <w:adjustRightInd/>
      <w:spacing w:line="360" w:lineRule="auto"/>
      <w:jc w:val="left"/>
    </w:pPr>
    <w:rPr>
      <w:rFonts w:ascii="宋体" w:hAnsi="宋体" w:cs="宋体"/>
      <w:b/>
      <w:snapToGrid w:val="0"/>
      <w:kern w:val="0"/>
      <w:sz w:val="28"/>
      <w:szCs w:val="28"/>
    </w:rPr>
  </w:style>
  <w:style w:type="paragraph" w:customStyle="1" w:styleId="1058">
    <w:name w:val="标题 5l"/>
    <w:basedOn w:val="9"/>
    <w:qFormat/>
    <w:uiPriority w:val="0"/>
    <w:pPr>
      <w:tabs>
        <w:tab w:val="left" w:pos="0"/>
        <w:tab w:val="clear" w:pos="1008"/>
      </w:tabs>
      <w:spacing w:line="376" w:lineRule="atLeast"/>
      <w:textAlignment w:val="baseline"/>
    </w:pPr>
    <w:rPr>
      <w:rFonts w:eastAsia="楷体_GB2312"/>
      <w:kern w:val="0"/>
    </w:rPr>
  </w:style>
  <w:style w:type="paragraph" w:customStyle="1" w:styleId="1059">
    <w:name w:val="自由格式"/>
    <w:qFormat/>
    <w:uiPriority w:val="0"/>
    <w:rPr>
      <w:rFonts w:ascii="Cambria" w:hAnsi="Cambria" w:eastAsia="Cambria" w:cs="Cambria"/>
      <w:color w:val="000000"/>
      <w:sz w:val="24"/>
      <w:szCs w:val="24"/>
      <w:lang w:val="en-US" w:eastAsia="zh-CN" w:bidi="ar-SA"/>
    </w:rPr>
  </w:style>
  <w:style w:type="paragraph" w:customStyle="1" w:styleId="1060">
    <w:name w:val="Body text|1"/>
    <w:basedOn w:val="1"/>
    <w:qFormat/>
    <w:uiPriority w:val="0"/>
    <w:pPr>
      <w:adjustRightInd/>
      <w:spacing w:line="424" w:lineRule="auto"/>
      <w:ind w:firstLine="400"/>
    </w:pPr>
    <w:rPr>
      <w:rFonts w:ascii="宋体" w:hAnsi="宋体" w:cs="宋体"/>
      <w:sz w:val="20"/>
      <w:szCs w:val="20"/>
      <w:lang w:val="zh-CN" w:bidi="zh-CN"/>
    </w:rPr>
  </w:style>
  <w:style w:type="paragraph" w:customStyle="1" w:styleId="1061">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1062">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1063">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064">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65">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1066">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67">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068">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069">
    <w:name w:val="样式 正文首行缩进 + 首行缩进:  1 字符"/>
    <w:basedOn w:val="78"/>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eastAsia="en-US"/>
    </w:rPr>
  </w:style>
  <w:style w:type="paragraph" w:customStyle="1" w:styleId="1070">
    <w:name w:val="样式 仿宋_GB2312 三号"/>
    <w:basedOn w:val="1"/>
    <w:qFormat/>
    <w:uiPriority w:val="0"/>
    <w:pPr>
      <w:snapToGrid w:val="0"/>
      <w:spacing w:line="360" w:lineRule="auto"/>
      <w:ind w:firstLine="200" w:firstLineChars="200"/>
    </w:pPr>
    <w:rPr>
      <w:rFonts w:ascii="仿宋_GB2312" w:hAnsi="等线" w:eastAsia="仿宋_GB2312" w:cs="宋体"/>
      <w:sz w:val="32"/>
      <w:szCs w:val="20"/>
    </w:rPr>
  </w:style>
  <w:style w:type="paragraph" w:customStyle="1" w:styleId="1071">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1072">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107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1074">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10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6">
    <w:name w:val="序号"/>
    <w:basedOn w:val="1"/>
    <w:qFormat/>
    <w:uiPriority w:val="0"/>
    <w:pPr>
      <w:tabs>
        <w:tab w:val="left" w:pos="840"/>
        <w:tab w:val="left" w:pos="900"/>
      </w:tabs>
      <w:adjustRightInd/>
      <w:snapToGrid w:val="0"/>
      <w:spacing w:line="360" w:lineRule="auto"/>
      <w:ind w:firstLine="200" w:firstLineChars="200"/>
    </w:pPr>
    <w:rPr>
      <w:rFonts w:ascii="仿宋" w:hAnsi="仿宋" w:eastAsia="仿宋"/>
      <w:bCs/>
      <w:sz w:val="24"/>
    </w:rPr>
  </w:style>
  <w:style w:type="paragraph" w:customStyle="1" w:styleId="1077">
    <w:name w:val="样式 标题 2H2h2Heading 2 HiddenHeading 2 CCBSl2heading 2I22n...1"/>
    <w:basedOn w:val="4"/>
    <w:qFormat/>
    <w:uiPriority w:val="0"/>
    <w:pPr>
      <w:tabs>
        <w:tab w:val="left" w:pos="1560"/>
        <w:tab w:val="clear" w:pos="432"/>
      </w:tabs>
      <w:spacing w:before="260" w:after="260" w:line="415" w:lineRule="auto"/>
      <w:ind w:left="1560" w:hanging="420"/>
      <w:jc w:val="both"/>
    </w:pPr>
    <w:rPr>
      <w:rFonts w:ascii="Times New Roman" w:hAnsi="Times New Roman" w:eastAsia="黑体"/>
      <w:b w:val="0"/>
      <w:sz w:val="24"/>
      <w:lang w:val="en-US" w:eastAsia="en-US"/>
    </w:rPr>
  </w:style>
  <w:style w:type="paragraph" w:customStyle="1" w:styleId="1078">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79">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1080">
    <w:name w:val="Char Char Char1 Char Char Char1 Char"/>
    <w:basedOn w:val="1"/>
    <w:qFormat/>
    <w:uiPriority w:val="0"/>
    <w:pPr>
      <w:tabs>
        <w:tab w:val="left" w:pos="360"/>
      </w:tabs>
      <w:adjustRightInd/>
    </w:pPr>
    <w:rPr>
      <w:rFonts w:ascii="等线" w:hAnsi="等线"/>
      <w:sz w:val="24"/>
    </w:rPr>
  </w:style>
  <w:style w:type="paragraph" w:customStyle="1" w:styleId="108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2">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083">
    <w:name w:val="列表段落2"/>
    <w:basedOn w:val="1"/>
    <w:qFormat/>
    <w:uiPriority w:val="0"/>
    <w:pPr>
      <w:adjustRightInd/>
      <w:ind w:firstLine="200" w:firstLineChars="200"/>
    </w:pPr>
    <w:rPr>
      <w:rFonts w:ascii="等线" w:hAnsi="等线"/>
      <w:szCs w:val="20"/>
    </w:rPr>
  </w:style>
  <w:style w:type="paragraph" w:customStyle="1" w:styleId="1084">
    <w:name w:val="5 Char"/>
    <w:basedOn w:val="1"/>
    <w:qFormat/>
    <w:uiPriority w:val="0"/>
    <w:pPr>
      <w:adjustRightInd/>
    </w:pPr>
    <w:rPr>
      <w:rFonts w:ascii="等线" w:hAnsi="等线" w:eastAsia="楷体_GB2312"/>
    </w:rPr>
  </w:style>
  <w:style w:type="paragraph" w:customStyle="1" w:styleId="1085">
    <w:name w:val="正文首行缩进二字符"/>
    <w:basedOn w:val="1"/>
    <w:qFormat/>
    <w:uiPriority w:val="0"/>
    <w:pPr>
      <w:adjustRightInd/>
      <w:snapToGrid w:val="0"/>
      <w:spacing w:line="360" w:lineRule="auto"/>
      <w:ind w:firstLine="200" w:firstLineChars="200"/>
    </w:pPr>
    <w:rPr>
      <w:rFonts w:ascii="仿宋" w:hAnsi="仿宋" w:eastAsia="仿宋"/>
      <w:sz w:val="24"/>
    </w:rPr>
  </w:style>
  <w:style w:type="paragraph" w:customStyle="1" w:styleId="1086">
    <w:name w:val="正文文本缩进1"/>
    <w:basedOn w:val="1"/>
    <w:qFormat/>
    <w:uiPriority w:val="0"/>
    <w:pPr>
      <w:spacing w:line="360" w:lineRule="auto"/>
      <w:ind w:firstLine="490"/>
      <w:jc w:val="left"/>
    </w:pPr>
    <w:rPr>
      <w:rFonts w:ascii="宋体" w:hAnsi="宋体"/>
      <w:sz w:val="24"/>
    </w:rPr>
  </w:style>
  <w:style w:type="paragraph" w:customStyle="1" w:styleId="1087">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1088">
    <w:name w:val="普通段落"/>
    <w:basedOn w:val="1"/>
    <w:qFormat/>
    <w:uiPriority w:val="0"/>
    <w:pPr>
      <w:snapToGrid w:val="0"/>
      <w:spacing w:line="360" w:lineRule="auto"/>
      <w:ind w:firstLine="200" w:firstLineChars="200"/>
    </w:pPr>
    <w:rPr>
      <w:rFonts w:ascii="等线" w:hAnsi="等线"/>
      <w:sz w:val="24"/>
      <w:szCs w:val="20"/>
    </w:rPr>
  </w:style>
  <w:style w:type="paragraph" w:customStyle="1" w:styleId="1089">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90">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1091">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1092">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093">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1094">
    <w:name w:val="正文内"/>
    <w:basedOn w:val="1"/>
    <w:qFormat/>
    <w:uiPriority w:val="0"/>
    <w:pPr>
      <w:adjustRightInd/>
      <w:spacing w:line="400" w:lineRule="exact"/>
      <w:ind w:firstLine="200" w:firstLineChars="200"/>
    </w:pPr>
    <w:rPr>
      <w:rFonts w:ascii="??" w:hAnsi="??" w:eastAsia="??" w:cs="宋体"/>
      <w:szCs w:val="28"/>
    </w:rPr>
  </w:style>
  <w:style w:type="paragraph" w:customStyle="1" w:styleId="1095">
    <w:name w:val="公文标题 4"/>
    <w:basedOn w:val="1009"/>
    <w:next w:val="359"/>
    <w:qFormat/>
    <w:uiPriority w:val="0"/>
    <w:pPr>
      <w:outlineLvl w:val="9"/>
    </w:pPr>
  </w:style>
  <w:style w:type="paragraph" w:customStyle="1" w:styleId="1096">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1097">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1098">
    <w:name w:val="2"/>
    <w:basedOn w:val="1"/>
    <w:qFormat/>
    <w:uiPriority w:val="0"/>
    <w:pPr>
      <w:adjustRightInd/>
    </w:pPr>
    <w:rPr>
      <w:rFonts w:ascii="Tahoma" w:hAnsi="Tahoma" w:eastAsia="??" w:cs="Tahoma"/>
      <w:sz w:val="24"/>
      <w:szCs w:val="28"/>
    </w:rPr>
  </w:style>
  <w:style w:type="paragraph" w:customStyle="1" w:styleId="1099">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1100">
    <w:name w:val="中文标题 2"/>
    <w:basedOn w:val="7"/>
    <w:next w:val="7"/>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1101">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1103">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1104">
    <w:name w:val="段 1"/>
    <w:basedOn w:val="1"/>
    <w:qFormat/>
    <w:uiPriority w:val="0"/>
    <w:pPr>
      <w:adjustRightInd/>
      <w:spacing w:line="360" w:lineRule="auto"/>
    </w:pPr>
    <w:rPr>
      <w:rFonts w:ascii="等线" w:hAnsi="等线" w:eastAsia="楷体_GB2312"/>
      <w:b/>
      <w:bCs/>
      <w:sz w:val="24"/>
    </w:rPr>
  </w:style>
  <w:style w:type="paragraph" w:customStyle="1" w:styleId="1105">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106">
    <w:name w:val="正文缩进11"/>
    <w:basedOn w:val="1"/>
    <w:qFormat/>
    <w:uiPriority w:val="0"/>
    <w:pPr>
      <w:widowControl/>
      <w:snapToGrid w:val="0"/>
      <w:spacing w:line="480" w:lineRule="exact"/>
      <w:ind w:firstLine="567"/>
    </w:pPr>
    <w:rPr>
      <w:rFonts w:ascii="宋体" w:hAnsi="Calibri"/>
      <w:snapToGrid w:val="0"/>
      <w:color w:val="000000"/>
      <w:kern w:val="28"/>
      <w:sz w:val="28"/>
      <w:szCs w:val="22"/>
    </w:rPr>
  </w:style>
  <w:style w:type="paragraph" w:customStyle="1" w:styleId="110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8">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109">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1110">
    <w:name w:val="样式 正文缩进正文（首行缩进两字）表正文正文非缩进特点段1段1 Charno-step正文双线四号首行缩进..."/>
    <w:basedOn w:val="6"/>
    <w:qFormat/>
    <w:uiPriority w:val="0"/>
    <w:pPr>
      <w:widowControl w:val="0"/>
      <w:spacing w:line="360" w:lineRule="auto"/>
      <w:ind w:firstLine="200" w:firstLineChars="200"/>
    </w:pPr>
    <w:rPr>
      <w:rFonts w:ascii="仿宋_GB2312" w:eastAsia="仿宋_GB2312" w:cs="Century"/>
      <w:snapToGrid/>
      <w:kern w:val="2"/>
    </w:rPr>
  </w:style>
  <w:style w:type="paragraph" w:customStyle="1" w:styleId="1111">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111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13">
    <w:name w:val="正文规范1"/>
    <w:basedOn w:val="1"/>
    <w:qFormat/>
    <w:uiPriority w:val="0"/>
    <w:pPr>
      <w:adjustRightInd/>
      <w:spacing w:line="360" w:lineRule="auto"/>
      <w:ind w:firstLine="200" w:firstLineChars="200"/>
    </w:pPr>
    <w:rPr>
      <w:rFonts w:ascii="等线" w:hAnsi="等线"/>
      <w:sz w:val="24"/>
    </w:rPr>
  </w:style>
  <w:style w:type="paragraph" w:customStyle="1" w:styleId="1114">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1115">
    <w:name w:val="pa-68"/>
    <w:basedOn w:val="1"/>
    <w:qFormat/>
    <w:uiPriority w:val="0"/>
    <w:pPr>
      <w:widowControl/>
      <w:adjustRightInd/>
      <w:spacing w:line="330" w:lineRule="atLeast"/>
      <w:jc w:val="left"/>
    </w:pPr>
    <w:rPr>
      <w:rFonts w:ascii="宋体" w:hAnsi="宋体" w:cs="宋体"/>
      <w:kern w:val="0"/>
      <w:sz w:val="24"/>
    </w:rPr>
  </w:style>
  <w:style w:type="paragraph" w:customStyle="1" w:styleId="1116">
    <w:name w:val="Code"/>
    <w:basedOn w:val="1"/>
    <w:qFormat/>
    <w:uiPriority w:val="0"/>
    <w:pPr>
      <w:pBdr>
        <w:top w:val="single" w:color="auto" w:sz="4" w:space="1"/>
        <w:left w:val="single" w:color="auto" w:sz="4" w:space="4"/>
        <w:bottom w:val="single" w:color="auto" w:sz="4" w:space="1"/>
        <w:right w:val="single" w:color="auto" w:sz="4" w:space="4"/>
      </w:pBdr>
      <w:adjustRightInd/>
      <w:ind w:left="400" w:hanging="400" w:hangingChars="400"/>
    </w:pPr>
    <w:rPr>
      <w:rFonts w:ascii="宋体" w:hAnsi="宋体" w:eastAsia="楷体_GB2312" w:cs="Courier New"/>
      <w:sz w:val="18"/>
    </w:rPr>
  </w:style>
  <w:style w:type="paragraph" w:customStyle="1" w:styleId="111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118">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1119">
    <w:name w:val="样式 Arial 左侧:  0.43 厘米 段前: 1.4 磅 段后: 2.8 磅"/>
    <w:basedOn w:val="1"/>
    <w:qFormat/>
    <w:uiPriority w:val="0"/>
    <w:pPr>
      <w:adjustRightInd/>
      <w:spacing w:before="28" w:after="56" w:line="360" w:lineRule="auto"/>
      <w:ind w:left="244" w:firstLine="225" w:firstLineChars="225"/>
    </w:pPr>
    <w:rPr>
      <w:rFonts w:ascii="Arial" w:hAnsi="Arial" w:eastAsia="楷体_GB2312" w:cs="宋体"/>
      <w:sz w:val="24"/>
    </w:rPr>
  </w:style>
  <w:style w:type="paragraph" w:customStyle="1" w:styleId="1120">
    <w:name w:val="无间隔3"/>
    <w:qFormat/>
    <w:uiPriority w:val="0"/>
    <w:rPr>
      <w:rFonts w:ascii="Times New Roman" w:hAnsi="Times New Roman" w:eastAsia="??" w:cs="宋体"/>
      <w:sz w:val="22"/>
      <w:szCs w:val="22"/>
      <w:lang w:val="en-US" w:eastAsia="en-US" w:bidi="ar-SA"/>
    </w:rPr>
  </w:style>
  <w:style w:type="paragraph" w:customStyle="1" w:styleId="1121">
    <w:name w:val="修订6"/>
    <w:qFormat/>
    <w:uiPriority w:val="0"/>
    <w:rPr>
      <w:rFonts w:ascii="Times New Roman" w:hAnsi="Times New Roman" w:eastAsia="宋体" w:cs="Times New Roman"/>
      <w:kern w:val="2"/>
      <w:sz w:val="21"/>
      <w:szCs w:val="24"/>
      <w:lang w:val="en-US" w:eastAsia="zh-CN" w:bidi="ar-SA"/>
    </w:rPr>
  </w:style>
  <w:style w:type="paragraph" w:customStyle="1" w:styleId="1122">
    <w:name w:val="修订7"/>
    <w:qFormat/>
    <w:uiPriority w:val="0"/>
    <w:rPr>
      <w:rFonts w:ascii="Times New Roman" w:hAnsi="Times New Roman" w:eastAsia="宋体" w:cs="Times New Roman"/>
      <w:kern w:val="2"/>
      <w:sz w:val="21"/>
      <w:szCs w:val="24"/>
      <w:lang w:val="en-US" w:eastAsia="zh-CN" w:bidi="ar-SA"/>
    </w:rPr>
  </w:style>
  <w:style w:type="paragraph" w:customStyle="1" w:styleId="1123">
    <w:name w:val="_Style 1122"/>
    <w:qFormat/>
    <w:uiPriority w:val="0"/>
    <w:rPr>
      <w:rFonts w:ascii="Times New Roman" w:hAnsi="Times New Roman" w:eastAsia="宋体" w:cs="Times New Roman"/>
      <w:kern w:val="2"/>
      <w:sz w:val="21"/>
      <w:szCs w:val="24"/>
      <w:lang w:val="en-US" w:eastAsia="zh-CN" w:bidi="ar-SA"/>
    </w:rPr>
  </w:style>
  <w:style w:type="character" w:customStyle="1" w:styleId="1124">
    <w:name w:val="text_tjakk"/>
    <w:qFormat/>
    <w:uiPriority w:val="0"/>
  </w:style>
  <w:style w:type="paragraph" w:customStyle="1" w:styleId="1125">
    <w:name w:val="方案 正文"/>
    <w:basedOn w:val="1"/>
    <w:qFormat/>
    <w:uiPriority w:val="0"/>
    <w:pPr>
      <w:widowControl/>
      <w:adjustRightInd/>
      <w:spacing w:after="30" w:afterLines="30" w:line="360" w:lineRule="auto"/>
      <w:ind w:firstLine="200" w:firstLineChars="200"/>
      <w:jc w:val="left"/>
    </w:pPr>
    <w:rPr>
      <w:sz w:val="24"/>
      <w:szCs w:val="21"/>
    </w:rPr>
  </w:style>
  <w:style w:type="character" w:customStyle="1" w:styleId="1126">
    <w:name w:val="正文文本缩进 字符1"/>
    <w:qFormat/>
    <w:uiPriority w:val="0"/>
    <w:rPr>
      <w:rFonts w:ascii="??" w:hAnsi="??" w:eastAsia="??" w:cs="宋体"/>
      <w:kern w:val="2"/>
      <w:sz w:val="28"/>
      <w:szCs w:val="28"/>
      <w:lang w:bidi="ar-SA"/>
    </w:rPr>
  </w:style>
  <w:style w:type="paragraph" w:customStyle="1" w:styleId="1127">
    <w:name w:val="正文（首行不缩进）"/>
    <w:basedOn w:val="1"/>
    <w:qFormat/>
    <w:uiPriority w:val="0"/>
    <w:pPr>
      <w:adjustRightInd/>
      <w:spacing w:after="50" w:afterLines="50"/>
    </w:pPr>
  </w:style>
  <w:style w:type="paragraph" w:customStyle="1" w:styleId="1128">
    <w:name w:val="缺省文本:1"/>
    <w:basedOn w:val="1"/>
    <w:qFormat/>
    <w:uiPriority w:val="0"/>
    <w:pPr>
      <w:autoSpaceDE w:val="0"/>
      <w:autoSpaceDN w:val="0"/>
      <w:spacing w:line="480" w:lineRule="exact"/>
      <w:jc w:val="left"/>
    </w:pPr>
    <w:rPr>
      <w:rFonts w:ascii="宋体"/>
      <w:kern w:val="0"/>
      <w:sz w:val="24"/>
      <w:szCs w:val="20"/>
    </w:rPr>
  </w:style>
  <w:style w:type="character" w:customStyle="1" w:styleId="1129">
    <w:name w:val="纯文本 字符2"/>
    <w:qFormat/>
    <w:uiPriority w:val="0"/>
    <w:rPr>
      <w:rFonts w:ascii="宋体" w:hAnsi="Courier New" w:eastAsia="宋体" w:cs="Arial"/>
      <w:snapToGrid w:val="0"/>
      <w:kern w:val="2"/>
      <w:sz w:val="21"/>
      <w:szCs w:val="21"/>
      <w:lang w:val="en-US" w:eastAsia="zh-CN" w:bidi="ar-SA"/>
    </w:rPr>
  </w:style>
  <w:style w:type="paragraph" w:customStyle="1" w:styleId="1130">
    <w:name w:val="_Style 60"/>
    <w:basedOn w:val="1"/>
    <w:next w:val="286"/>
    <w:qFormat/>
    <w:uiPriority w:val="0"/>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246</Pages>
  <Words>65539</Words>
  <Characters>72569</Characters>
  <Lines>1190</Lines>
  <Paragraphs>335</Paragraphs>
  <TotalTime>42</TotalTime>
  <ScaleCrop>false</ScaleCrop>
  <LinksUpToDate>false</LinksUpToDate>
  <CharactersWithSpaces>73811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2025-06-26T07:22:00Z</dcterms:created>
  <dc:creator>玥</dc:creator>
  <cp:lastModifiedBy>Kizuna</cp:lastModifiedBy>
  <cp:lastPrinted>2025-06-26T07:24:00Z</cp:lastPrinted>
  <dcterms:modified xsi:type="dcterms:W3CDTF">2025-07-16T10:04:06Z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B6B5AC259F824B40A2BA6F277740EDFC_13</vt:lpwstr>
  </property>
  <property fmtid="{D5CDD505-2E9C-101B-9397-08002B2CF9AE}" pid="5" name="KSOTemplateDocerSaveRecord">
    <vt:lpwstr>eyJoZGlkIjoiYjhlNWVlOWQ2ZmU1NGMzMDM3NzlhZjE2YmFlZDc5YmIiLCJ1c2VySWQiOiIzOTEzNzY2NjEifQ==</vt:lpwstr>
  </property>
</Properties>
</file>