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F5D0">
      <w:pPr>
        <w:spacing w:line="360" w:lineRule="auto"/>
        <w:jc w:val="center"/>
        <w:rPr>
          <w:rFonts w:ascii="宋体" w:hAnsi="宋体" w:cs="宋体"/>
          <w:b/>
          <w:color w:val="auto"/>
          <w:sz w:val="24"/>
          <w:highlight w:val="none"/>
        </w:rPr>
      </w:pPr>
    </w:p>
    <w:p w14:paraId="45825F29">
      <w:pPr>
        <w:spacing w:line="360" w:lineRule="auto"/>
        <w:jc w:val="center"/>
        <w:rPr>
          <w:rFonts w:ascii="宋体" w:hAnsi="宋体" w:cs="宋体"/>
          <w:b/>
          <w:color w:val="auto"/>
          <w:sz w:val="24"/>
          <w:highlight w:val="none"/>
        </w:rPr>
      </w:pPr>
    </w:p>
    <w:p w14:paraId="57D6A34B">
      <w:pPr>
        <w:adjustRightInd/>
        <w:spacing w:line="360" w:lineRule="auto"/>
        <w:jc w:val="center"/>
        <w:rPr>
          <w:rFonts w:ascii="宋体" w:hAnsi="宋体" w:cs="宋体"/>
          <w:b/>
          <w:color w:val="auto"/>
          <w:sz w:val="44"/>
          <w:szCs w:val="44"/>
          <w:highlight w:val="none"/>
        </w:rPr>
      </w:pPr>
    </w:p>
    <w:p w14:paraId="38DB0B66">
      <w:pPr>
        <w:adjustRightInd/>
        <w:spacing w:line="360" w:lineRule="auto"/>
        <w:jc w:val="center"/>
        <w:outlineLvl w:val="0"/>
        <w:rPr>
          <w:rFonts w:ascii="宋体" w:hAnsi="宋体" w:cs="宋体"/>
          <w:b/>
          <w:color w:val="auto"/>
          <w:sz w:val="72"/>
          <w:szCs w:val="72"/>
          <w:highlight w:val="none"/>
        </w:rPr>
      </w:pPr>
      <w:bookmarkStart w:id="0" w:name="_Toc21891"/>
      <w:bookmarkStart w:id="1" w:name="_Toc26006"/>
      <w:r>
        <w:rPr>
          <w:rFonts w:hint="eastAsia" w:ascii="宋体" w:hAnsi="宋体" w:cs="宋体"/>
          <w:b/>
          <w:bCs/>
          <w:color w:val="auto"/>
          <w:w w:val="95"/>
          <w:sz w:val="72"/>
          <w:szCs w:val="72"/>
          <w:highlight w:val="none"/>
          <w:lang w:val="zh-CN"/>
        </w:rPr>
        <w:t>竞争性磋商</w:t>
      </w:r>
      <w:r>
        <w:rPr>
          <w:rFonts w:hint="eastAsia" w:ascii="宋体" w:hAnsi="宋体" w:cs="宋体"/>
          <w:b/>
          <w:color w:val="auto"/>
          <w:sz w:val="72"/>
          <w:szCs w:val="72"/>
          <w:highlight w:val="none"/>
        </w:rPr>
        <w:t>文件</w:t>
      </w:r>
      <w:bookmarkEnd w:id="0"/>
      <w:bookmarkEnd w:id="1"/>
    </w:p>
    <w:p w14:paraId="68A1357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0D89DED">
      <w:pPr>
        <w:snapToGrid w:val="0"/>
        <w:spacing w:line="360" w:lineRule="auto"/>
        <w:jc w:val="center"/>
        <w:rPr>
          <w:rFonts w:ascii="宋体" w:hAnsi="宋体" w:cs="宋体"/>
          <w:color w:val="auto"/>
          <w:sz w:val="30"/>
          <w:szCs w:val="30"/>
          <w:highlight w:val="none"/>
        </w:rPr>
      </w:pPr>
    </w:p>
    <w:p w14:paraId="1DE9ABAF">
      <w:pPr>
        <w:snapToGrid w:val="0"/>
        <w:spacing w:line="360" w:lineRule="auto"/>
        <w:rPr>
          <w:rFonts w:ascii="宋体" w:hAnsi="宋体" w:cs="宋体"/>
          <w:color w:val="auto"/>
          <w:sz w:val="30"/>
          <w:szCs w:val="30"/>
          <w:highlight w:val="none"/>
        </w:rPr>
      </w:pPr>
      <w:bookmarkStart w:id="2" w:name="_Toc30047"/>
    </w:p>
    <w:p w14:paraId="344F3BBB">
      <w:pPr>
        <w:snapToGrid w:val="0"/>
        <w:spacing w:line="360" w:lineRule="auto"/>
        <w:ind w:firstLine="1600" w:firstLineChars="5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bookmarkEnd w:id="2"/>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ZJCT-NB【2025】23397</w:t>
      </w:r>
    </w:p>
    <w:p w14:paraId="3690617F">
      <w:pPr>
        <w:snapToGrid w:val="0"/>
        <w:spacing w:line="360" w:lineRule="auto"/>
        <w:ind w:firstLine="1600" w:firstLineChars="5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项目名称：浙江万里学院回龙校区8#宿舍楼修缮项目</w:t>
      </w:r>
    </w:p>
    <w:p w14:paraId="63B48011">
      <w:pPr>
        <w:spacing w:line="360" w:lineRule="auto"/>
        <w:jc w:val="center"/>
        <w:rPr>
          <w:rFonts w:ascii="宋体" w:hAnsi="宋体" w:cs="宋体"/>
          <w:color w:val="auto"/>
          <w:sz w:val="24"/>
          <w:highlight w:val="none"/>
        </w:rPr>
      </w:pPr>
    </w:p>
    <w:p w14:paraId="622B480B">
      <w:pPr>
        <w:spacing w:line="360" w:lineRule="auto"/>
        <w:jc w:val="center"/>
        <w:rPr>
          <w:rFonts w:ascii="宋体" w:hAnsi="宋体" w:cs="宋体"/>
          <w:color w:val="auto"/>
          <w:sz w:val="24"/>
          <w:highlight w:val="none"/>
        </w:rPr>
      </w:pPr>
    </w:p>
    <w:p w14:paraId="6DA82765">
      <w:pPr>
        <w:spacing w:line="360" w:lineRule="auto"/>
        <w:jc w:val="center"/>
        <w:rPr>
          <w:rFonts w:ascii="宋体" w:hAnsi="宋体" w:cs="宋体"/>
          <w:color w:val="auto"/>
          <w:sz w:val="24"/>
          <w:highlight w:val="none"/>
        </w:rPr>
      </w:pPr>
    </w:p>
    <w:p w14:paraId="73B36D7C">
      <w:pPr>
        <w:spacing w:line="360" w:lineRule="auto"/>
        <w:jc w:val="center"/>
        <w:rPr>
          <w:rFonts w:ascii="宋体" w:hAnsi="宋体" w:cs="宋体"/>
          <w:color w:val="auto"/>
          <w:sz w:val="24"/>
          <w:highlight w:val="none"/>
        </w:rPr>
      </w:pPr>
    </w:p>
    <w:p w14:paraId="73F18081">
      <w:pPr>
        <w:spacing w:line="360" w:lineRule="auto"/>
        <w:jc w:val="center"/>
        <w:rPr>
          <w:rFonts w:ascii="宋体" w:hAnsi="宋体" w:cs="宋体"/>
          <w:b/>
          <w:color w:val="auto"/>
          <w:sz w:val="24"/>
          <w:highlight w:val="none"/>
        </w:rPr>
      </w:pPr>
    </w:p>
    <w:p w14:paraId="00229B39">
      <w:pPr>
        <w:snapToGrid w:val="0"/>
        <w:spacing w:line="360" w:lineRule="auto"/>
        <w:jc w:val="center"/>
        <w:rPr>
          <w:rFonts w:ascii="宋体" w:hAnsi="宋体" w:cs="宋体"/>
          <w:color w:val="auto"/>
          <w:sz w:val="32"/>
          <w:szCs w:val="32"/>
          <w:highlight w:val="none"/>
        </w:rPr>
      </w:pPr>
    </w:p>
    <w:p w14:paraId="509683E9">
      <w:pPr>
        <w:snapToGrid w:val="0"/>
        <w:spacing w:line="360" w:lineRule="auto"/>
        <w:jc w:val="center"/>
        <w:rPr>
          <w:rFonts w:ascii="宋体" w:hAnsi="宋体" w:cs="宋体"/>
          <w:color w:val="auto"/>
          <w:sz w:val="32"/>
          <w:szCs w:val="32"/>
          <w:highlight w:val="none"/>
        </w:rPr>
      </w:pPr>
      <w:bookmarkStart w:id="3" w:name="_Toc24447"/>
    </w:p>
    <w:p w14:paraId="6BF65DEA">
      <w:pPr>
        <w:snapToGrid w:val="0"/>
        <w:spacing w:line="360" w:lineRule="auto"/>
        <w:ind w:firstLine="1600" w:firstLineChars="500"/>
        <w:rPr>
          <w:rFonts w:ascii="宋体" w:hAnsi="宋体" w:cs="宋体"/>
          <w:color w:val="auto"/>
          <w:sz w:val="32"/>
          <w:szCs w:val="32"/>
          <w:highlight w:val="none"/>
        </w:rPr>
      </w:pPr>
      <w:r>
        <w:rPr>
          <w:rFonts w:hint="eastAsia" w:ascii="宋体" w:hAnsi="宋体" w:cs="宋体"/>
          <w:color w:val="auto"/>
          <w:sz w:val="32"/>
          <w:szCs w:val="32"/>
          <w:highlight w:val="none"/>
        </w:rPr>
        <w:t>采购人：</w:t>
      </w:r>
      <w:bookmarkEnd w:id="3"/>
      <w:r>
        <w:rPr>
          <w:rFonts w:hint="eastAsia" w:ascii="宋体" w:hAnsi="宋体" w:cs="宋体"/>
          <w:color w:val="auto"/>
          <w:sz w:val="32"/>
          <w:szCs w:val="32"/>
          <w:highlight w:val="none"/>
        </w:rPr>
        <w:t>浙江万里学院</w:t>
      </w:r>
    </w:p>
    <w:p w14:paraId="0F193E21">
      <w:pPr>
        <w:spacing w:line="360" w:lineRule="auto"/>
        <w:ind w:firstLine="1600" w:firstLineChars="500"/>
        <w:rPr>
          <w:rFonts w:ascii="宋体" w:hAnsi="宋体" w:cs="宋体"/>
          <w:bCs/>
          <w:color w:val="auto"/>
          <w:sz w:val="32"/>
          <w:szCs w:val="32"/>
          <w:highlight w:val="none"/>
        </w:rPr>
      </w:pPr>
      <w:bookmarkStart w:id="4" w:name="_Toc7448"/>
      <w:r>
        <w:rPr>
          <w:rFonts w:hint="eastAsia" w:ascii="宋体" w:hAnsi="宋体" w:cs="宋体"/>
          <w:bCs/>
          <w:color w:val="auto"/>
          <w:sz w:val="32"/>
          <w:szCs w:val="32"/>
          <w:highlight w:val="none"/>
        </w:rPr>
        <w:t>采购代理机构：</w:t>
      </w:r>
      <w:bookmarkEnd w:id="4"/>
      <w:r>
        <w:rPr>
          <w:rFonts w:hint="eastAsia" w:ascii="宋体" w:hAnsi="宋体" w:cs="宋体"/>
          <w:bCs/>
          <w:color w:val="auto"/>
          <w:sz w:val="32"/>
          <w:szCs w:val="32"/>
          <w:highlight w:val="none"/>
        </w:rPr>
        <w:t>浙江省成套工程有限公司</w:t>
      </w:r>
    </w:p>
    <w:p w14:paraId="77B38B38">
      <w:pPr>
        <w:snapToGrid w:val="0"/>
        <w:spacing w:line="360" w:lineRule="auto"/>
        <w:jc w:val="center"/>
        <w:rPr>
          <w:rFonts w:ascii="宋体" w:hAnsi="宋体" w:cs="宋体"/>
          <w:bCs/>
          <w:color w:val="auto"/>
          <w:sz w:val="32"/>
          <w:szCs w:val="32"/>
          <w:highlight w:val="none"/>
        </w:rPr>
      </w:pPr>
    </w:p>
    <w:p w14:paraId="68D50EB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二○二五年六月</w:t>
      </w:r>
    </w:p>
    <w:p w14:paraId="2A4852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5" w:name="_Hlt67893495"/>
      <w:bookmarkEnd w:id="5"/>
    </w:p>
    <w:p w14:paraId="50456EFC">
      <w:pPr>
        <w:spacing w:line="360" w:lineRule="auto"/>
        <w:jc w:val="center"/>
        <w:rPr>
          <w:rFonts w:ascii="宋体" w:hAnsi="宋体" w:cs="宋体"/>
          <w:color w:val="auto"/>
          <w:sz w:val="24"/>
          <w:highlight w:val="none"/>
        </w:rPr>
      </w:pPr>
    </w:p>
    <w:p w14:paraId="442796C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65850"/>
        <w:docPartObj>
          <w:docPartGallery w:val="Table of Contents"/>
          <w:docPartUnique/>
        </w:docPartObj>
      </w:sdtPr>
      <w:sdtEndPr>
        <w:rPr>
          <w:rFonts w:hint="eastAsia" w:ascii="宋体" w:hAnsi="宋体" w:cs="宋体"/>
          <w:color w:val="auto"/>
          <w:szCs w:val="32"/>
          <w:highlight w:val="none"/>
        </w:rPr>
      </w:sdtEndPr>
      <w:sdtContent>
        <w:p w14:paraId="38F52CE5">
          <w:pPr>
            <w:jc w:val="center"/>
            <w:rPr>
              <w:color w:val="auto"/>
              <w:highlight w:val="none"/>
            </w:rPr>
          </w:pPr>
        </w:p>
        <w:p w14:paraId="09480A23">
          <w:pPr>
            <w:pStyle w:val="966"/>
            <w:tabs>
              <w:tab w:val="right" w:leader="dot" w:pos="9746"/>
            </w:tabs>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"_Toc4180" </w:instrText>
          </w:r>
          <w:r>
            <w:rPr>
              <w:color w:val="auto"/>
              <w:highlight w:val="none"/>
            </w:rPr>
            <w:fldChar w:fldCharType="separate"/>
          </w:r>
          <w:r>
            <w:rPr>
              <w:rFonts w:hint="eastAsia" w:ascii="宋体" w:hAnsi="宋体" w:cs="宋体"/>
              <w:color w:val="auto"/>
              <w:sz w:val="32"/>
              <w:szCs w:val="32"/>
              <w:highlight w:val="none"/>
            </w:rPr>
            <w:t>第一部分 竞争性磋商公告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_Toc4180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103831D">
          <w:pPr>
            <w:pStyle w:val="966"/>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"_Toc23841"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_Toc23841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E5C1790">
          <w:pPr>
            <w:pStyle w:val="966"/>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"_Toc561"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DCE4901">
          <w:pPr>
            <w:pStyle w:val="966"/>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"_Toc31295" </w:instrText>
          </w:r>
          <w:r>
            <w:rPr>
              <w:color w:val="auto"/>
              <w:highlight w:val="none"/>
            </w:rPr>
            <w:fldChar w:fldCharType="separate"/>
          </w:r>
          <w:r>
            <w:rPr>
              <w:rFonts w:hint="eastAsia" w:ascii="宋体" w:hAnsi="宋体" w:cs="宋体"/>
              <w:color w:val="auto"/>
              <w:sz w:val="32"/>
              <w:szCs w:val="32"/>
              <w:highlight w:val="none"/>
            </w:rPr>
            <w:t>第四部分 评审办法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_Toc31295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EBDFE6A">
          <w:pPr>
            <w:pStyle w:val="966"/>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"_Toc27383"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_Toc27383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931B301">
          <w:pPr>
            <w:pStyle w:val="966"/>
            <w:tabs>
              <w:tab w:val="right" w:leader="dot" w:pos="9746"/>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"_Toc10046"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_Toc10046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F4C1623">
          <w:pPr>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749713F0">
      <w:pPr>
        <w:spacing w:line="360" w:lineRule="auto"/>
        <w:ind w:firstLine="1280" w:firstLineChars="400"/>
        <w:rPr>
          <w:rFonts w:ascii="宋体" w:hAnsi="宋体" w:cs="宋体"/>
          <w:color w:val="auto"/>
          <w:sz w:val="32"/>
          <w:szCs w:val="32"/>
          <w:highlight w:val="none"/>
        </w:rPr>
      </w:pPr>
    </w:p>
    <w:p w14:paraId="6CBED7CE">
      <w:pPr>
        <w:spacing w:line="360" w:lineRule="auto"/>
        <w:ind w:firstLine="549" w:firstLineChars="229"/>
        <w:rPr>
          <w:rFonts w:ascii="宋体" w:hAnsi="宋体" w:cs="宋体"/>
          <w:color w:val="auto"/>
          <w:sz w:val="24"/>
          <w:highlight w:val="none"/>
        </w:rPr>
      </w:pPr>
      <w:bookmarkStart w:id="6" w:name="_Hlt91233176"/>
      <w:bookmarkEnd w:id="6"/>
      <w:bookmarkStart w:id="7" w:name="_Toc91899869"/>
    </w:p>
    <w:p w14:paraId="756887D0">
      <w:pPr>
        <w:spacing w:line="360" w:lineRule="auto"/>
        <w:ind w:firstLine="549" w:firstLineChars="229"/>
        <w:rPr>
          <w:rFonts w:ascii="宋体" w:hAnsi="宋体" w:cs="宋体"/>
          <w:color w:val="auto"/>
          <w:sz w:val="24"/>
          <w:highlight w:val="none"/>
        </w:rPr>
      </w:pPr>
    </w:p>
    <w:p w14:paraId="6BBBC235">
      <w:pPr>
        <w:spacing w:line="360" w:lineRule="auto"/>
        <w:ind w:firstLine="549" w:firstLineChars="229"/>
        <w:rPr>
          <w:rFonts w:ascii="宋体" w:hAnsi="宋体" w:cs="宋体"/>
          <w:color w:val="auto"/>
          <w:sz w:val="24"/>
          <w:highlight w:val="none"/>
        </w:rPr>
      </w:pPr>
    </w:p>
    <w:p w14:paraId="77F7BF3F">
      <w:pPr>
        <w:spacing w:line="360" w:lineRule="auto"/>
        <w:ind w:firstLine="549" w:firstLineChars="229"/>
        <w:rPr>
          <w:rFonts w:ascii="宋体" w:hAnsi="宋体" w:cs="宋体"/>
          <w:color w:val="auto"/>
          <w:sz w:val="24"/>
          <w:highlight w:val="none"/>
        </w:rPr>
      </w:pPr>
    </w:p>
    <w:p w14:paraId="00FBD008">
      <w:pPr>
        <w:spacing w:line="360" w:lineRule="auto"/>
        <w:ind w:firstLine="549" w:firstLineChars="229"/>
        <w:rPr>
          <w:rFonts w:ascii="宋体" w:hAnsi="宋体" w:cs="宋体"/>
          <w:color w:val="auto"/>
          <w:sz w:val="24"/>
          <w:highlight w:val="none"/>
        </w:rPr>
      </w:pPr>
    </w:p>
    <w:p w14:paraId="76832877">
      <w:pPr>
        <w:spacing w:line="360" w:lineRule="auto"/>
        <w:ind w:firstLine="549" w:firstLineChars="229"/>
        <w:rPr>
          <w:rFonts w:ascii="宋体" w:hAnsi="宋体" w:cs="宋体"/>
          <w:color w:val="auto"/>
          <w:sz w:val="24"/>
          <w:highlight w:val="none"/>
        </w:rPr>
      </w:pPr>
    </w:p>
    <w:p w14:paraId="224FF622">
      <w:pPr>
        <w:spacing w:line="360" w:lineRule="auto"/>
        <w:ind w:firstLine="549" w:firstLineChars="229"/>
        <w:rPr>
          <w:rFonts w:ascii="宋体" w:hAnsi="宋体" w:cs="宋体"/>
          <w:color w:val="auto"/>
          <w:sz w:val="24"/>
          <w:highlight w:val="none"/>
        </w:rPr>
      </w:pPr>
    </w:p>
    <w:p w14:paraId="62E11BDF">
      <w:pPr>
        <w:spacing w:line="360" w:lineRule="auto"/>
        <w:ind w:firstLine="549" w:firstLineChars="229"/>
        <w:rPr>
          <w:rFonts w:ascii="宋体" w:hAnsi="宋体" w:cs="宋体"/>
          <w:color w:val="auto"/>
          <w:sz w:val="24"/>
          <w:highlight w:val="none"/>
        </w:rPr>
      </w:pPr>
    </w:p>
    <w:p w14:paraId="1E294049">
      <w:pPr>
        <w:spacing w:line="360" w:lineRule="auto"/>
        <w:ind w:firstLine="549" w:firstLineChars="229"/>
        <w:rPr>
          <w:rFonts w:ascii="宋体" w:hAnsi="宋体" w:cs="宋体"/>
          <w:color w:val="auto"/>
          <w:sz w:val="24"/>
          <w:highlight w:val="none"/>
        </w:rPr>
      </w:pPr>
    </w:p>
    <w:p w14:paraId="04C4F6E1">
      <w:pPr>
        <w:spacing w:line="360" w:lineRule="auto"/>
        <w:ind w:firstLine="549" w:firstLineChars="229"/>
        <w:rPr>
          <w:rFonts w:ascii="宋体" w:hAnsi="宋体" w:cs="宋体"/>
          <w:color w:val="auto"/>
          <w:sz w:val="24"/>
          <w:highlight w:val="none"/>
        </w:rPr>
      </w:pPr>
    </w:p>
    <w:p w14:paraId="6DA3B877">
      <w:pPr>
        <w:spacing w:line="360" w:lineRule="auto"/>
        <w:ind w:firstLine="549" w:firstLineChars="229"/>
        <w:rPr>
          <w:rFonts w:ascii="宋体" w:hAnsi="宋体" w:cs="宋体"/>
          <w:color w:val="auto"/>
          <w:sz w:val="24"/>
          <w:highlight w:val="none"/>
        </w:rPr>
      </w:pPr>
    </w:p>
    <w:p w14:paraId="41642AC3">
      <w:pPr>
        <w:spacing w:line="360" w:lineRule="auto"/>
        <w:ind w:firstLine="549" w:firstLineChars="229"/>
        <w:rPr>
          <w:rFonts w:ascii="宋体" w:hAnsi="宋体" w:cs="宋体"/>
          <w:color w:val="auto"/>
          <w:sz w:val="24"/>
          <w:highlight w:val="none"/>
        </w:rPr>
      </w:pPr>
    </w:p>
    <w:p w14:paraId="4FCDE63E">
      <w:pPr>
        <w:spacing w:line="360" w:lineRule="auto"/>
        <w:ind w:firstLine="549" w:firstLineChars="229"/>
        <w:rPr>
          <w:rFonts w:ascii="宋体" w:hAnsi="宋体" w:cs="宋体"/>
          <w:color w:val="auto"/>
          <w:sz w:val="24"/>
          <w:highlight w:val="none"/>
        </w:rPr>
      </w:pPr>
    </w:p>
    <w:p w14:paraId="5253B5A2">
      <w:pPr>
        <w:spacing w:line="360" w:lineRule="auto"/>
        <w:rPr>
          <w:rFonts w:ascii="宋体" w:hAnsi="宋体" w:cs="宋体"/>
          <w:color w:val="auto"/>
          <w:sz w:val="24"/>
          <w:highlight w:val="none"/>
        </w:rPr>
      </w:pPr>
    </w:p>
    <w:p w14:paraId="422F5C4B">
      <w:pPr>
        <w:adjustRightInd/>
        <w:spacing w:line="360" w:lineRule="auto"/>
        <w:ind w:firstLine="723" w:firstLineChars="200"/>
        <w:jc w:val="center"/>
        <w:outlineLvl w:val="0"/>
        <w:rPr>
          <w:rFonts w:ascii="宋体" w:hAnsi="宋体" w:cs="宋体"/>
          <w:b/>
          <w:color w:val="auto"/>
          <w:sz w:val="36"/>
          <w:szCs w:val="20"/>
          <w:highlight w:val="none"/>
        </w:rPr>
      </w:pPr>
      <w:bookmarkStart w:id="8" w:name="第一部分"/>
      <w:r>
        <w:rPr>
          <w:rFonts w:hint="eastAsia" w:ascii="宋体" w:hAnsi="宋体" w:cs="宋体"/>
          <w:b/>
          <w:color w:val="auto"/>
          <w:sz w:val="36"/>
          <w:szCs w:val="36"/>
          <w:highlight w:val="none"/>
        </w:rPr>
        <w:br w:type="page"/>
      </w:r>
      <w:bookmarkEnd w:id="7"/>
      <w:bookmarkEnd w:id="8"/>
      <w:bookmarkStart w:id="9" w:name="_Hlt74707423"/>
      <w:bookmarkEnd w:id="9"/>
      <w:bookmarkStart w:id="10" w:name="_Hlt74728647"/>
      <w:bookmarkEnd w:id="10"/>
      <w:bookmarkStart w:id="11" w:name="_Hlt74729822"/>
      <w:bookmarkEnd w:id="11"/>
      <w:bookmarkStart w:id="12" w:name="_Hlt74649545"/>
      <w:bookmarkEnd w:id="12"/>
      <w:bookmarkStart w:id="13" w:name="_Toc4180"/>
      <w:bookmarkStart w:id="14" w:name="第二部分"/>
      <w:bookmarkStart w:id="15" w:name="_Toc91899870"/>
      <w:bookmarkStart w:id="16" w:name="_Toc91899871"/>
      <w:r>
        <w:rPr>
          <w:rFonts w:hint="eastAsia" w:ascii="宋体" w:hAnsi="宋体" w:cs="宋体"/>
          <w:b/>
          <w:color w:val="auto"/>
          <w:sz w:val="36"/>
          <w:szCs w:val="20"/>
          <w:highlight w:val="none"/>
        </w:rPr>
        <w:t>第一部分 竞争性磋商公告</w:t>
      </w:r>
      <w:bookmarkEnd w:id="13"/>
    </w:p>
    <w:p w14:paraId="42B8C0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24FD33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浙江万里学院回龙校区8#宿舍楼修缮项目</w:t>
      </w:r>
      <w:r>
        <w:rPr>
          <w:rFonts w:hint="eastAsia" w:ascii="宋体" w:hAnsi="宋体" w:cs="宋体"/>
          <w:color w:val="auto"/>
          <w:sz w:val="24"/>
          <w:highlight w:val="none"/>
          <w:u w:val="single"/>
        </w:rPr>
        <w:t>）</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w:t>
      </w:r>
      <w:r>
        <w:rPr>
          <w:rFonts w:hint="eastAsia" w:ascii="宋体" w:hAnsi="宋体" w:cs="宋体"/>
          <w:color w:val="auto"/>
          <w:sz w:val="24"/>
          <w:highlight w:val="none"/>
        </w:rPr>
        <w:t>）</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r>
        <w:rPr>
          <w:rStyle w:val="76"/>
          <w:rFonts w:hint="eastAsia" w:ascii="宋体" w:hAnsi="宋体" w:eastAsia="宋体" w:cs="宋体"/>
          <w:snapToGrid/>
          <w:color w:val="auto"/>
          <w:kern w:val="2"/>
          <w:sz w:val="24"/>
          <w:szCs w:val="24"/>
          <w:highlight w:val="none"/>
        </w:rPr>
        <w:t>并于</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03088FB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一、项目基本情况</w:t>
      </w:r>
    </w:p>
    <w:p w14:paraId="5CB7327D">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ZJCT-NB【2025】23397</w:t>
      </w:r>
    </w:p>
    <w:p w14:paraId="5D874B97">
      <w:pPr>
        <w:snapToGrid w:val="0"/>
        <w:spacing w:line="360" w:lineRule="auto"/>
        <w:ind w:firstLine="482" w:firstLineChars="200"/>
        <w:rPr>
          <w:rFonts w:hint="eastAsia" w:ascii="宋体" w:hAnsi="宋体" w:cs="宋体"/>
          <w:bCs/>
          <w:snapToGrid w:val="0"/>
          <w:color w:val="auto"/>
          <w:kern w:val="28"/>
          <w:sz w:val="24"/>
          <w:szCs w:val="20"/>
          <w:highlight w:val="none"/>
          <w:lang w:eastAsia="zh-CN"/>
        </w:rPr>
      </w:pPr>
      <w:r>
        <w:rPr>
          <w:rFonts w:hint="eastAsia" w:ascii="宋体" w:hAnsi="宋体" w:cs="宋体"/>
          <w:b/>
          <w:color w:val="auto"/>
          <w:sz w:val="24"/>
          <w:highlight w:val="none"/>
        </w:rPr>
        <w:t>项目名称：</w:t>
      </w:r>
      <w:r>
        <w:rPr>
          <w:rFonts w:hint="eastAsia" w:ascii="宋体" w:hAnsi="宋体" w:cs="宋体"/>
          <w:bCs/>
          <w:snapToGrid w:val="0"/>
          <w:color w:val="auto"/>
          <w:kern w:val="28"/>
          <w:sz w:val="24"/>
          <w:szCs w:val="20"/>
          <w:highlight w:val="none"/>
          <w:lang w:eastAsia="zh-CN"/>
        </w:rPr>
        <w:t>浙江万里学院回龙校区8#宿舍楼修缮项目</w:t>
      </w:r>
    </w:p>
    <w:p w14:paraId="11260878">
      <w:pPr>
        <w:snapToGrid w:val="0"/>
        <w:spacing w:line="360" w:lineRule="auto"/>
        <w:ind w:firstLine="482" w:firstLineChars="200"/>
        <w:rPr>
          <w:rFonts w:hint="default"/>
          <w:lang w:val="en-US" w:eastAsia="zh-CN"/>
        </w:rPr>
      </w:pPr>
      <w:r>
        <w:rPr>
          <w:rFonts w:hint="eastAsia" w:ascii="宋体" w:hAnsi="宋体" w:cs="宋体"/>
          <w:b/>
          <w:color w:val="auto"/>
          <w:sz w:val="24"/>
          <w:highlight w:val="none"/>
          <w:lang w:val="en-US" w:eastAsia="zh-CN"/>
        </w:rPr>
        <w:t>采购方式：竞争性磋商</w:t>
      </w:r>
    </w:p>
    <w:p w14:paraId="2DF7186B">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预算金额（元）：3440108</w:t>
      </w:r>
    </w:p>
    <w:p w14:paraId="27663CE2">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最高投标限价（元）：3440108</w:t>
      </w:r>
    </w:p>
    <w:p w14:paraId="3BD98D87">
      <w:pPr>
        <w:pStyle w:val="2"/>
        <w:ind w:left="0" w:leftChars="0" w:firstLine="482" w:firstLineChars="200"/>
        <w:rPr>
          <w:rFonts w:hint="default" w:eastAsia="宋体"/>
          <w:lang w:val="en-US" w:eastAsia="zh-CN"/>
        </w:rPr>
      </w:pPr>
      <w:r>
        <w:rPr>
          <w:rFonts w:hint="eastAsia" w:cs="宋体"/>
          <w:b/>
          <w:color w:val="auto"/>
          <w:sz w:val="24"/>
          <w:highlight w:val="none"/>
          <w:lang w:val="en-US" w:eastAsia="zh-CN"/>
        </w:rPr>
        <w:t>数量：1项</w:t>
      </w:r>
    </w:p>
    <w:p w14:paraId="1107F679">
      <w:pPr>
        <w:pStyle w:val="7"/>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浙江万里学院回龙校区8#宿舍楼修缮项目</w:t>
      </w:r>
      <w:r>
        <w:rPr>
          <w:rFonts w:hint="eastAsia" w:hAnsi="宋体" w:cs="宋体"/>
          <w:bCs/>
          <w:color w:val="auto"/>
          <w:sz w:val="24"/>
          <w:highlight w:val="none"/>
        </w:rPr>
        <w:t>，主要包括8#宿舍楼室内墙面、地面、天棚的改造、阳台卫生间重做及走廊墙地面、天棚的改造、屋顶防水、门头维修等，具体详见招标文件第三部分采购需求。</w:t>
      </w:r>
    </w:p>
    <w:p w14:paraId="38F82CCC">
      <w:pPr>
        <w:pStyle w:val="129"/>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合同签订生效后于</w:t>
      </w:r>
      <w:r>
        <w:rPr>
          <w:rFonts w:hint="eastAsia" w:ascii="宋体" w:hAnsi="宋体" w:cs="宋体"/>
          <w:bCs/>
          <w:color w:val="auto"/>
          <w:highlight w:val="none"/>
          <w:lang w:eastAsia="zh-CN"/>
        </w:rPr>
        <w:t>50日历天</w:t>
      </w:r>
      <w:r>
        <w:rPr>
          <w:rFonts w:hint="eastAsia" w:ascii="宋体" w:hAnsi="宋体" w:cs="宋体"/>
          <w:bCs/>
          <w:color w:val="auto"/>
          <w:highlight w:val="none"/>
        </w:rPr>
        <w:t>完成工程施工，并一次性验收通过，具体时间满足采购人要求。</w:t>
      </w:r>
    </w:p>
    <w:p w14:paraId="09858454">
      <w:pPr>
        <w:pStyle w:val="7"/>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是；</w:t>
      </w:r>
      <w:sdt>
        <w:sdtPr>
          <w:rPr>
            <w:rFonts w:hint="eastAsia" w:hAnsi="宋体" w:cs="宋体"/>
            <w:color w:val="auto"/>
            <w:sz w:val="24"/>
            <w:highlight w:val="none"/>
          </w:rPr>
          <w:id w:val="-1"/>
          <w14:checkbox>
            <w14:checked w14:val="0"/>
            <w14:checkedState w14:val="00FE" w14:font="Wingdings"/>
            <w14:uncheckedState w14:val="2610" w14:font="MS Gothic"/>
          </w14:checkbox>
        </w:sdtPr>
        <w:sdtEndPr>
          <w:rPr>
            <w:rFonts w:hint="eastAsia" w:hAnsi="宋体" w:cs="宋体"/>
            <w:color w:val="auto"/>
            <w:sz w:val="24"/>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hAnsi="宋体" w:cs="宋体"/>
          <w:color w:val="auto"/>
          <w:sz w:val="24"/>
          <w:highlight w:val="none"/>
        </w:rPr>
        <w:t>否</w:t>
      </w:r>
      <w:r>
        <w:rPr>
          <w:rFonts w:hint="eastAsia" w:hAnsi="宋体" w:cs="宋体"/>
          <w:color w:val="auto"/>
          <w:kern w:val="0"/>
          <w:sz w:val="24"/>
          <w:highlight w:val="none"/>
        </w:rPr>
        <w:t>。</w:t>
      </w:r>
    </w:p>
    <w:p w14:paraId="6FDC95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w:t>
      </w:r>
      <w:bookmarkStart w:id="17" w:name="_Hlk101132948"/>
      <w:r>
        <w:rPr>
          <w:rFonts w:hint="eastAsia" w:ascii="宋体" w:hAnsi="宋体" w:cs="宋体"/>
          <w:b/>
          <w:color w:val="auto"/>
          <w:sz w:val="24"/>
          <w:highlight w:val="none"/>
        </w:rPr>
        <w:t>申请人的资格要求</w:t>
      </w:r>
      <w:bookmarkEnd w:id="17"/>
      <w:r>
        <w:rPr>
          <w:rFonts w:hint="eastAsia" w:ascii="宋体" w:hAnsi="宋体" w:cs="宋体"/>
          <w:b/>
          <w:color w:val="auto"/>
          <w:sz w:val="24"/>
          <w:highlight w:val="none"/>
        </w:rPr>
        <w:t>：</w:t>
      </w:r>
    </w:p>
    <w:p w14:paraId="2D7448CD">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即：重大税收违法失信主体）、政府采购严重违法失信行为记录名单；</w:t>
      </w:r>
    </w:p>
    <w:p w14:paraId="6F6E7C63">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2.以联合体形式参与的，提供联合协议（本项目不接受联合体或者供应商不以联合体形式参与的，则不需要提供）；</w:t>
      </w:r>
    </w:p>
    <w:p w14:paraId="37156BB3">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D184B5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7A9FFC1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0490282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CBE23CA">
      <w:pPr>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3310576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工程全部由符合政策要求的中小企业承建，提供中小企业声明函；</w:t>
      </w:r>
    </w:p>
    <w:p w14:paraId="12C681C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36916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69942B8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204440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8"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8"/>
    <w:p w14:paraId="1EC7EA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34BA914C">
      <w:pPr>
        <w:widowControl/>
        <w:numPr>
          <w:ilvl w:val="0"/>
          <w:numId w:val="1"/>
        </w:numPr>
        <w:spacing w:line="360" w:lineRule="auto"/>
        <w:ind w:firstLine="514" w:firstLineChars="200"/>
        <w:rPr>
          <w:rFonts w:hint="eastAsia" w:ascii="宋体" w:hAnsi="宋体" w:cs="宋体"/>
          <w:b/>
          <w:bCs/>
          <w:color w:val="auto"/>
          <w:spacing w:val="8"/>
          <w:kern w:val="0"/>
          <w:sz w:val="24"/>
          <w:highlight w:val="none"/>
        </w:rPr>
      </w:pPr>
      <w:r>
        <w:rPr>
          <w:rFonts w:hint="eastAsia" w:ascii="宋体" w:hAnsi="宋体" w:cs="宋体"/>
          <w:b/>
          <w:bCs/>
          <w:color w:val="auto"/>
          <w:spacing w:val="8"/>
          <w:kern w:val="0"/>
          <w:sz w:val="24"/>
          <w:highlight w:val="none"/>
        </w:rPr>
        <w:t>本项目的特定资格要求：</w:t>
      </w:r>
    </w:p>
    <w:p w14:paraId="348AE1D0">
      <w:pPr>
        <w:widowControl/>
        <w:numPr>
          <w:ilvl w:val="0"/>
          <w:numId w:val="0"/>
        </w:numPr>
        <w:spacing w:line="360" w:lineRule="auto"/>
        <w:ind w:firstLine="514" w:firstLineChars="200"/>
        <w:rPr>
          <w:rFonts w:hint="eastAsia" w:ascii="宋体" w:hAnsi="宋体" w:cs="宋体"/>
          <w:b/>
          <w:bCs/>
          <w:color w:val="auto"/>
          <w:spacing w:val="8"/>
          <w:kern w:val="0"/>
          <w:sz w:val="24"/>
          <w:highlight w:val="none"/>
        </w:rPr>
      </w:pPr>
      <w:r>
        <w:rPr>
          <w:rFonts w:hint="eastAsia" w:ascii="宋体" w:hAnsi="宋体" w:cs="宋体"/>
          <w:b/>
          <w:bCs/>
          <w:color w:val="auto"/>
          <w:spacing w:val="8"/>
          <w:kern w:val="0"/>
          <w:sz w:val="24"/>
          <w:highlight w:val="none"/>
        </w:rPr>
        <w:t>具备</w:t>
      </w:r>
      <w:r>
        <w:rPr>
          <w:rFonts w:hint="eastAsia" w:ascii="宋体" w:hAnsi="宋体" w:cs="宋体"/>
          <w:b/>
          <w:bCs/>
          <w:color w:val="auto"/>
          <w:spacing w:val="8"/>
          <w:kern w:val="0"/>
          <w:sz w:val="24"/>
          <w:highlight w:val="none"/>
          <w:lang w:val="en-US" w:eastAsia="zh-CN"/>
        </w:rPr>
        <w:t>合法有效的</w:t>
      </w:r>
      <w:r>
        <w:rPr>
          <w:rFonts w:hint="eastAsia" w:ascii="宋体" w:hAnsi="宋体" w:cs="宋体"/>
          <w:b/>
          <w:bCs/>
          <w:color w:val="auto"/>
          <w:spacing w:val="8"/>
          <w:kern w:val="0"/>
          <w:sz w:val="24"/>
          <w:highlight w:val="none"/>
        </w:rPr>
        <w:t>营业执照</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rPr>
        <w:t>建设行政主管部门核发的建筑装修装饰工程专业承包贰级及以上资质、安全生产许可证（响应文件中须提供</w:t>
      </w:r>
      <w:r>
        <w:rPr>
          <w:rFonts w:hint="eastAsia" w:ascii="宋体" w:hAnsi="宋体" w:cs="宋体"/>
          <w:b/>
          <w:bCs/>
          <w:color w:val="auto"/>
          <w:spacing w:val="8"/>
          <w:kern w:val="0"/>
          <w:sz w:val="24"/>
          <w:highlight w:val="none"/>
          <w:lang w:val="en-US" w:eastAsia="zh-CN"/>
        </w:rPr>
        <w:t>营业执照、资质</w:t>
      </w:r>
      <w:r>
        <w:rPr>
          <w:rFonts w:hint="eastAsia" w:ascii="宋体" w:hAnsi="宋体" w:cs="宋体"/>
          <w:b/>
          <w:bCs/>
          <w:color w:val="auto"/>
          <w:spacing w:val="8"/>
          <w:kern w:val="0"/>
          <w:sz w:val="24"/>
          <w:highlight w:val="none"/>
        </w:rPr>
        <w:t>证书</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lang w:val="en-US" w:eastAsia="zh-CN"/>
        </w:rPr>
        <w:t>安全生产许可证</w:t>
      </w:r>
      <w:r>
        <w:rPr>
          <w:rFonts w:hint="eastAsia" w:ascii="宋体" w:hAnsi="宋体" w:cs="宋体"/>
          <w:b/>
          <w:bCs/>
          <w:color w:val="auto"/>
          <w:spacing w:val="8"/>
          <w:kern w:val="0"/>
          <w:sz w:val="24"/>
          <w:highlight w:val="none"/>
        </w:rPr>
        <w:t>复印件加盖投标人公章）</w:t>
      </w:r>
      <w:r>
        <w:rPr>
          <w:rFonts w:hint="eastAsia" w:ascii="宋体" w:hAnsi="宋体" w:cs="宋体"/>
          <w:b/>
          <w:bCs/>
          <w:color w:val="auto"/>
          <w:spacing w:val="8"/>
          <w:kern w:val="0"/>
          <w:sz w:val="24"/>
          <w:highlight w:val="none"/>
          <w:lang w:eastAsia="zh-CN"/>
        </w:rPr>
        <w:t>。</w:t>
      </w:r>
    </w:p>
    <w:p w14:paraId="34CAC6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81CB4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招标文件</w:t>
      </w:r>
      <w:r>
        <w:rPr>
          <w:rFonts w:hint="eastAsia" w:ascii="宋体" w:hAnsi="宋体" w:cs="宋体"/>
          <w:b/>
          <w:color w:val="auto"/>
          <w:sz w:val="24"/>
          <w:highlight w:val="none"/>
        </w:rPr>
        <w:t xml:space="preserve"> </w:t>
      </w:r>
    </w:p>
    <w:p w14:paraId="041803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至</w:t>
      </w:r>
      <w:r>
        <w:rPr>
          <w:rFonts w:hint="eastAsia" w:ascii="宋体" w:hAnsi="宋体" w:cs="宋体"/>
          <w:bCs/>
          <w:color w:val="auto"/>
          <w:sz w:val="24"/>
          <w:highlight w:val="none"/>
          <w:lang w:eastAsia="zh-CN"/>
        </w:rPr>
        <w:t>2025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585F3C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06BFC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5D38A5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61DE023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558AA498">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757ACC1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政府采购云平台（http://www.zcygov.cn/）。 </w:t>
      </w:r>
    </w:p>
    <w:p w14:paraId="0636F7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E685A41">
      <w:pPr>
        <w:spacing w:line="360" w:lineRule="auto"/>
        <w:ind w:firstLine="482" w:firstLineChars="200"/>
        <w:rPr>
          <w:rFonts w:hint="eastAsia" w:ascii="宋体" w:hAnsi="宋体" w:eastAsia="宋体" w:cs="宋体"/>
          <w:bCs/>
          <w:color w:val="auto"/>
          <w:sz w:val="24"/>
          <w:highlight w:val="none"/>
          <w:u w:val="none"/>
          <w:lang w:eastAsia="zh-CN"/>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7844359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bookmarkStart w:id="738" w:name="_GoBack"/>
      <w:bookmarkEnd w:id="738"/>
      <w:r>
        <w:rPr>
          <w:rFonts w:hint="eastAsia" w:ascii="宋体" w:hAnsi="宋体" w:cs="宋体"/>
          <w:color w:val="auto"/>
          <w:sz w:val="24"/>
          <w:highlight w:val="none"/>
        </w:rPr>
        <w:t>政府采购云平台（http://www.zcygov.cn/）。</w:t>
      </w:r>
    </w:p>
    <w:p w14:paraId="291955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539296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12723C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14:paraId="41F75E19">
      <w:pPr>
        <w:spacing w:line="360" w:lineRule="auto"/>
        <w:ind w:firstLine="480" w:firstLineChars="200"/>
        <w:rPr>
          <w:rFonts w:hint="eastAsia" w:cs="宋体" w:asciiTheme="minorEastAsia" w:hAnsiTheme="minorEastAsia" w:eastAsiaTheme="minorEastAsia"/>
          <w:b w:val="0"/>
          <w:bCs/>
          <w:color w:val="auto"/>
          <w:kern w:val="0"/>
          <w:sz w:val="24"/>
          <w:highlight w:val="none"/>
        </w:rPr>
      </w:pPr>
      <w:r>
        <w:rPr>
          <w:rFonts w:hint="eastAsia" w:cs="宋体" w:asciiTheme="minorEastAsia" w:hAnsiTheme="minorEastAsia" w:eastAsiaTheme="minorEastAsia"/>
          <w:b w:val="0"/>
          <w:bCs/>
          <w:color w:val="auto"/>
          <w:kern w:val="0"/>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68028C6">
      <w:pPr>
        <w:spacing w:line="360" w:lineRule="auto"/>
        <w:ind w:firstLine="480" w:firstLineChars="200"/>
        <w:rPr>
          <w:rFonts w:hint="eastAsia" w:cs="宋体" w:asciiTheme="minorEastAsia" w:hAnsiTheme="minorEastAsia" w:eastAsiaTheme="minorEastAsia"/>
          <w:b w:val="0"/>
          <w:bCs/>
          <w:color w:val="auto"/>
          <w:kern w:val="0"/>
          <w:sz w:val="24"/>
          <w:highlight w:val="none"/>
        </w:rPr>
      </w:pPr>
      <w:r>
        <w:rPr>
          <w:rFonts w:hint="eastAsia" w:cs="宋体" w:asciiTheme="minorEastAsia" w:hAnsiTheme="minorEastAsia" w:eastAsiaTheme="minorEastAsia"/>
          <w:b w:val="0"/>
          <w:bCs/>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ED275BC">
      <w:pPr>
        <w:numPr>
          <w:ilvl w:val="0"/>
          <w:numId w:val="0"/>
        </w:numPr>
        <w:spacing w:line="360" w:lineRule="auto"/>
        <w:ind w:firstLine="480" w:firstLineChars="200"/>
        <w:rPr>
          <w:rFonts w:hint="eastAsia" w:cs="宋体" w:asciiTheme="minorEastAsia" w:hAnsiTheme="minorEastAsia" w:eastAsiaTheme="minorEastAsia"/>
          <w:b w:val="0"/>
          <w:bCs/>
          <w:color w:val="auto"/>
          <w:kern w:val="0"/>
          <w:sz w:val="24"/>
          <w:highlight w:val="none"/>
        </w:rPr>
      </w:pPr>
      <w:r>
        <w:rPr>
          <w:rFonts w:hint="eastAsia" w:cs="宋体" w:asciiTheme="minorEastAsia" w:hAnsiTheme="minorEastAsia" w:eastAsiaTheme="minorEastAsia"/>
          <w:b w:val="0"/>
          <w:bCs/>
          <w:color w:val="auto"/>
          <w:kern w:val="0"/>
          <w:sz w:val="24"/>
          <w:szCs w:val="24"/>
          <w:lang w:val="en-US" w:eastAsia="zh-CN" w:bidi="ar-SA"/>
        </w:rPr>
        <w:t>3.</w:t>
      </w:r>
      <w:r>
        <w:rPr>
          <w:rFonts w:hint="eastAsia" w:cs="宋体" w:asciiTheme="minorEastAsia" w:hAnsiTheme="minorEastAsia" w:eastAsiaTheme="minorEastAsia"/>
          <w:b w:val="0"/>
          <w:bCs/>
          <w:color w:val="auto"/>
          <w:kern w:val="0"/>
          <w:sz w:val="24"/>
          <w:highlight w:val="none"/>
        </w:rPr>
        <w:t xml:space="preserve">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00DA8BB">
      <w:pPr>
        <w:numPr>
          <w:ilvl w:val="0"/>
          <w:numId w:val="0"/>
        </w:numPr>
        <w:spacing w:line="360" w:lineRule="auto"/>
        <w:ind w:firstLine="480" w:firstLineChars="200"/>
        <w:rPr>
          <w:rFonts w:cs="宋体" w:asciiTheme="minorEastAsia" w:hAnsiTheme="minorEastAsia" w:eastAsiaTheme="minorEastAsia"/>
          <w:b w:val="0"/>
          <w:bCs/>
          <w:color w:val="auto"/>
          <w:kern w:val="0"/>
          <w:sz w:val="24"/>
          <w:highlight w:val="none"/>
        </w:rPr>
      </w:pPr>
      <w:r>
        <w:rPr>
          <w:rFonts w:cs="宋体" w:asciiTheme="minorEastAsia" w:hAnsiTheme="minorEastAsia" w:eastAsiaTheme="minorEastAsia"/>
          <w:b w:val="0"/>
          <w:bCs/>
          <w:color w:val="auto"/>
          <w:kern w:val="0"/>
          <w:sz w:val="24"/>
          <w:szCs w:val="24"/>
          <w:lang w:val="en-US" w:eastAsia="zh-CN" w:bidi="ar-SA"/>
        </w:rPr>
        <w:t>4.</w:t>
      </w:r>
      <w:r>
        <w:rPr>
          <w:rFonts w:hint="eastAsia" w:cs="宋体" w:asciiTheme="minorEastAsia" w:hAnsiTheme="minorEastAsia" w:eastAsiaTheme="minorEastAsia"/>
          <w:b w:val="0"/>
          <w:bCs/>
          <w:color w:val="auto"/>
          <w:kern w:val="0"/>
          <w:sz w:val="24"/>
          <w:szCs w:val="24"/>
          <w:lang w:val="en-US" w:eastAsia="zh-CN" w:bidi="ar-SA"/>
        </w:rPr>
        <w:t>其他事项：</w:t>
      </w:r>
      <w:r>
        <w:rPr>
          <w:rFonts w:hint="eastAsia" w:cs="宋体" w:asciiTheme="minorEastAsia" w:hAnsiTheme="minorEastAsia" w:eastAsiaTheme="minorEastAsia"/>
          <w:b w:val="0"/>
          <w:bCs/>
          <w:color w:val="auto"/>
          <w:kern w:val="0"/>
          <w:sz w:val="24"/>
          <w:highlight w:val="none"/>
        </w:rPr>
        <w:t>（1）需要落实的政府采购政策：包括节约资源、保护环境、</w:t>
      </w:r>
      <w:r>
        <w:rPr>
          <w:rFonts w:hint="eastAsia" w:cs="宋体" w:asciiTheme="minorEastAsia" w:hAnsiTheme="minorEastAsia" w:eastAsiaTheme="minorEastAsia"/>
          <w:b w:val="0"/>
          <w:bCs/>
          <w:color w:val="auto"/>
          <w:sz w:val="24"/>
          <w:highlight w:val="none"/>
        </w:rPr>
        <w:t>支持创新、</w:t>
      </w:r>
      <w:r>
        <w:rPr>
          <w:rFonts w:hint="eastAsia" w:cs="宋体" w:asciiTheme="minorEastAsia" w:hAnsiTheme="minorEastAsia" w:eastAsiaTheme="minorEastAsia"/>
          <w:b w:val="0"/>
          <w:bCs/>
          <w:color w:val="auto"/>
          <w:kern w:val="0"/>
          <w:sz w:val="24"/>
          <w:highlight w:val="none"/>
        </w:rPr>
        <w:t>促进中小企业发展等，详见磋商文件第三部分。</w:t>
      </w:r>
    </w:p>
    <w:p w14:paraId="09AAE2BA">
      <w:pPr>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szCs w:val="20"/>
          <w:highlight w:val="none"/>
        </w:rPr>
        <w:t>（2）</w:t>
      </w:r>
      <w:r>
        <w:rPr>
          <w:rFonts w:hint="eastAsia" w:cs="仿宋_GB2312" w:asciiTheme="minorEastAsia" w:hAnsiTheme="minorEastAsia" w:eastAsiaTheme="minorEastAsia"/>
          <w:b w:val="0"/>
          <w:bCs/>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w:t>
      </w:r>
      <w:r>
        <w:rPr>
          <w:rFonts w:hint="eastAsia" w:cs="仿宋_GB2312" w:asciiTheme="minorEastAsia" w:hAnsiTheme="minorEastAsia" w:eastAsiaTheme="minorEastAsia"/>
          <w:b w:val="0"/>
          <w:bCs/>
          <w:color w:val="auto"/>
          <w:sz w:val="24"/>
          <w:highlight w:val="none"/>
          <w:lang w:eastAsia="zh-CN"/>
        </w:rPr>
        <w:t>招标文件</w:t>
      </w:r>
      <w:r>
        <w:rPr>
          <w:rFonts w:hint="eastAsia" w:cs="仿宋_GB2312" w:asciiTheme="minorEastAsia" w:hAnsiTheme="minorEastAsia" w:eastAsiaTheme="minorEastAsia"/>
          <w:b w:val="0"/>
          <w:bCs/>
          <w:color w:val="auto"/>
          <w:sz w:val="24"/>
          <w:highlight w:val="none"/>
        </w:rPr>
        <w:t>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highlight w:val="none"/>
        </w:rPr>
        <w:t>5）</w:t>
      </w:r>
      <w:r>
        <w:rPr>
          <w:rFonts w:hint="eastAsia" w:cs="仿宋_GB2312" w:asciiTheme="minorEastAsia" w:hAnsiTheme="minorEastAsia" w:eastAsiaTheme="minorEastAsia"/>
          <w:b w:val="0"/>
          <w:bCs/>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highlight w:val="none"/>
        </w:rPr>
        <w:t>6）</w:t>
      </w:r>
      <w:r>
        <w:rPr>
          <w:rFonts w:hint="eastAsia" w:cs="仿宋_GB2312" w:asciiTheme="minorEastAsia" w:hAnsiTheme="minorEastAsia" w:eastAsiaTheme="minorEastAsia"/>
          <w:b w:val="0"/>
          <w:bCs/>
          <w:color w:val="auto"/>
          <w:sz w:val="24"/>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highlight w:val="none"/>
        </w:rPr>
        <w:t>7）</w:t>
      </w:r>
      <w:r>
        <w:rPr>
          <w:rFonts w:hint="eastAsia" w:cs="仿宋_GB2312" w:asciiTheme="minorEastAsia" w:hAnsiTheme="minorEastAsia" w:eastAsiaTheme="minorEastAsia"/>
          <w:b w:val="0"/>
          <w:bCs/>
          <w:color w:val="auto"/>
          <w:sz w:val="24"/>
          <w:highlight w:val="none"/>
        </w:rPr>
        <w:t>不提供磋商文件纸质版；</w:t>
      </w:r>
      <w:r>
        <w:rPr>
          <w:rFonts w:cs="仿宋_GB2312" w:asciiTheme="minorEastAsia" w:hAnsiTheme="minorEastAsia" w:eastAsiaTheme="minorEastAsia"/>
          <w:b w:val="0"/>
          <w:bCs/>
          <w:color w:val="auto"/>
          <w:sz w:val="24"/>
          <w:highlight w:val="none"/>
        </w:rPr>
        <w:t>8</w:t>
      </w:r>
      <w:r>
        <w:rPr>
          <w:rFonts w:hint="eastAsia" w:cs="仿宋_GB2312" w:asciiTheme="minorEastAsia" w:hAnsiTheme="minorEastAsia" w:eastAsiaTheme="minorEastAsia"/>
          <w:b w:val="0"/>
          <w:bCs/>
          <w:color w:val="auto"/>
          <w:sz w:val="24"/>
          <w:highlight w:val="none"/>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w:t>
      </w:r>
      <w:r>
        <w:rPr>
          <w:rFonts w:hint="eastAsia" w:cs="仿宋_GB2312" w:asciiTheme="minorEastAsia" w:hAnsiTheme="minorEastAsia" w:eastAsiaTheme="minorEastAsia"/>
          <w:color w:val="auto"/>
          <w:sz w:val="24"/>
          <w:highlight w:val="none"/>
        </w:rPr>
        <w:t>“服务中心-帮助文档-项目采购-操作流程-电子招投标-政府采购项目电子交易管理操作指南-供应商”。</w:t>
      </w:r>
    </w:p>
    <w:p w14:paraId="2DB24323">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磋商文件公告期限与磋商公告的公告期限一致。</w:t>
      </w:r>
    </w:p>
    <w:p w14:paraId="04916BB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（4）本《第一部分  竞争性磋商公告》中二、申请人的资格要求：第一条中的“重大税收违法案件当事人名单”即为“重大税收违法失信主体”。</w:t>
      </w:r>
    </w:p>
    <w:p w14:paraId="2A31F5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（5）本公告发布媒体：浙江政府采购网（www.zjzfcg.gov.cn） 。</w:t>
      </w:r>
    </w:p>
    <w:p w14:paraId="2DE3ADF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126A0E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4504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zh-TW"/>
        </w:rPr>
        <w:t>浙江万里学院</w:t>
      </w:r>
    </w:p>
    <w:p w14:paraId="7BA231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址：宁波鄞州区钱湖南路8号</w:t>
      </w:r>
    </w:p>
    <w:p w14:paraId="7D44E3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2CD05528">
      <w:pPr>
        <w:wordWrap w:val="0"/>
        <w:spacing w:line="360" w:lineRule="auto"/>
        <w:ind w:firstLine="480" w:firstLineChars="200"/>
        <w:rPr>
          <w:rFonts w:ascii="宋体" w:hAnsi="宋体" w:cs="宋体"/>
          <w:color w:val="auto"/>
          <w:sz w:val="24"/>
          <w:highlight w:val="none"/>
          <w:lang w:val="zh-TW" w:eastAsia="zh-TW"/>
        </w:rPr>
      </w:pPr>
      <w:r>
        <w:rPr>
          <w:rFonts w:hint="eastAsia" w:ascii="宋体" w:hAnsi="宋体" w:cs="宋体"/>
          <w:color w:val="auto"/>
          <w:sz w:val="24"/>
          <w:highlight w:val="none"/>
        </w:rPr>
        <w:t>项目联系人（询问）：于老师</w:t>
      </w:r>
    </w:p>
    <w:p w14:paraId="3DCF403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项目联系方式（询问）：0574-88223169             </w:t>
      </w:r>
    </w:p>
    <w:p w14:paraId="2E40992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肖</w:t>
      </w:r>
      <w:r>
        <w:rPr>
          <w:rFonts w:hint="eastAsia" w:ascii="宋体" w:hAnsi="宋体" w:cs="宋体"/>
          <w:color w:val="auto"/>
          <w:sz w:val="24"/>
          <w:highlight w:val="none"/>
        </w:rPr>
        <w:t>老师</w:t>
      </w:r>
    </w:p>
    <w:p w14:paraId="39FD33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质疑联系方式：0574-88223169</w:t>
      </w:r>
    </w:p>
    <w:p w14:paraId="761C88F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8E5612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称：浙江省成套工程有限公司</w:t>
      </w:r>
    </w:p>
    <w:p w14:paraId="48F80B1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址：宁波市海曙区中山西路75号鼓楼大厦5楼</w:t>
      </w:r>
    </w:p>
    <w:p w14:paraId="7D8230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9C629F0">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谢梦圆</w:t>
      </w:r>
      <w:r>
        <w:rPr>
          <w:rFonts w:hint="eastAsia" w:ascii="宋体" w:hAnsi="宋体" w:cs="宋体"/>
          <w:color w:val="auto"/>
          <w:sz w:val="24"/>
          <w:highlight w:val="none"/>
        </w:rPr>
        <w:t>、胡佳东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钱旦</w:t>
      </w:r>
    </w:p>
    <w:p w14:paraId="4C0976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项目联系方式（询问）：0574-87304840</w:t>
      </w:r>
    </w:p>
    <w:p w14:paraId="3F7038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质疑联系人：王吉</w:t>
      </w:r>
    </w:p>
    <w:p w14:paraId="3BA19F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质疑联系方式：0574-87297944</w:t>
      </w:r>
    </w:p>
    <w:p w14:paraId="389D77AC">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2B40A85">
      <w:pPr>
        <w:snapToGrid w:val="0"/>
        <w:spacing w:line="360" w:lineRule="auto"/>
        <w:ind w:firstLine="480" w:firstLineChars="200"/>
        <w:rPr>
          <w:rFonts w:hint="eastAsia" w:ascii="宋体" w:hAnsi="宋体" w:eastAsia="宋体" w:cs="宋体"/>
          <w:color w:val="auto"/>
          <w:sz w:val="24"/>
          <w:highlight w:val="none"/>
        </w:rPr>
      </w:pPr>
      <w:bookmarkStart w:id="19" w:name="_Toc23841"/>
      <w:r>
        <w:rPr>
          <w:rFonts w:hint="eastAsia" w:ascii="宋体" w:hAnsi="宋体" w:eastAsia="宋体" w:cs="宋体"/>
          <w:color w:val="auto"/>
          <w:sz w:val="24"/>
          <w:highlight w:val="none"/>
          <w:lang w:val="en-US" w:eastAsia="zh-CN"/>
        </w:rPr>
        <w:t>名称：浙江省政府采购行政裁决服务中心</w:t>
      </w:r>
      <w:r>
        <w:rPr>
          <w:rFonts w:hint="eastAsia" w:ascii="宋体" w:hAnsi="宋体" w:eastAsia="宋体" w:cs="宋体"/>
          <w:color w:val="auto"/>
          <w:sz w:val="24"/>
          <w:highlight w:val="none"/>
        </w:rPr>
        <w:t xml:space="preserve">           </w:t>
      </w:r>
    </w:p>
    <w:p w14:paraId="473F1A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地址：杭州市上城区清泰街549号城建综合大楼11楼</w:t>
      </w:r>
    </w:p>
    <w:p w14:paraId="7B5814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联系人：匡老师</w:t>
      </w:r>
    </w:p>
    <w:p w14:paraId="7AD62E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政策咨询：何一平、冯华，0571-87058424、87055741若对项目采购电子交易系统操作有疑问，可登录政采云（https://www.zcygov.cn/），点击右侧咨询小采，获取采小蜜智能服务管家帮助，或拨打政采云服务热线95763获取热线服务帮助。</w:t>
      </w:r>
    </w:p>
    <w:p w14:paraId="05B8710D">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p>
    <w:p w14:paraId="3568A3B7">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2562736">
      <w:pPr>
        <w:pStyle w:val="33"/>
        <w:spacing w:line="360" w:lineRule="auto"/>
        <w:ind w:firstLine="723" w:firstLineChars="200"/>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14"/>
      <w:r>
        <w:rPr>
          <w:rFonts w:hint="eastAsia" w:hAnsi="宋体" w:cs="宋体"/>
          <w:b/>
          <w:snapToGrid/>
          <w:color w:val="auto"/>
          <w:sz w:val="36"/>
          <w:szCs w:val="20"/>
          <w:highlight w:val="none"/>
        </w:rPr>
        <w:t xml:space="preserve"> 供应商须知</w:t>
      </w:r>
      <w:bookmarkEnd w:id="15"/>
      <w:bookmarkEnd w:id="19"/>
    </w:p>
    <w:p w14:paraId="7695B056">
      <w:pPr>
        <w:snapToGrid w:val="0"/>
        <w:spacing w:line="360" w:lineRule="auto"/>
        <w:ind w:firstLine="643" w:firstLineChars="20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8"/>
        <w:gridCol w:w="1681"/>
        <w:gridCol w:w="6585"/>
      </w:tblGrid>
      <w:tr w14:paraId="3310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918" w:type="dxa"/>
            <w:vAlign w:val="center"/>
          </w:tcPr>
          <w:p w14:paraId="29823A60">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序号</w:t>
            </w:r>
          </w:p>
        </w:tc>
        <w:tc>
          <w:tcPr>
            <w:tcW w:w="1681" w:type="dxa"/>
            <w:vAlign w:val="center"/>
          </w:tcPr>
          <w:p w14:paraId="16F3AEF8">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事项</w:t>
            </w:r>
          </w:p>
        </w:tc>
        <w:tc>
          <w:tcPr>
            <w:tcW w:w="6585" w:type="dxa"/>
            <w:vAlign w:val="center"/>
          </w:tcPr>
          <w:p w14:paraId="2360DF04">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D53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09E82595">
            <w:pPr>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1681" w:type="dxa"/>
            <w:vAlign w:val="center"/>
          </w:tcPr>
          <w:p w14:paraId="2A17B893">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项目属性</w:t>
            </w:r>
          </w:p>
        </w:tc>
        <w:tc>
          <w:tcPr>
            <w:tcW w:w="6585" w:type="dxa"/>
            <w:vAlign w:val="center"/>
          </w:tcPr>
          <w:p w14:paraId="5B12E81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8C9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6EEE1215">
            <w:pPr>
              <w:jc w:val="center"/>
              <w:rPr>
                <w:rFonts w:ascii="宋体" w:hAnsi="宋体" w:cs="宋体"/>
                <w:color w:val="auto"/>
                <w:sz w:val="24"/>
                <w:szCs w:val="32"/>
                <w:highlight w:val="none"/>
              </w:rPr>
            </w:pPr>
            <w:r>
              <w:rPr>
                <w:rFonts w:hint="eastAsia" w:ascii="宋体" w:hAnsi="宋体" w:cs="宋体"/>
                <w:color w:val="auto"/>
                <w:sz w:val="24"/>
                <w:szCs w:val="32"/>
                <w:highlight w:val="none"/>
              </w:rPr>
              <w:t>2</w:t>
            </w:r>
          </w:p>
        </w:tc>
        <w:tc>
          <w:tcPr>
            <w:tcW w:w="1681" w:type="dxa"/>
            <w:vAlign w:val="center"/>
          </w:tcPr>
          <w:p w14:paraId="04E9350C">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采购标的及其对应的中小企业划分标准所属行业</w:t>
            </w:r>
          </w:p>
        </w:tc>
        <w:tc>
          <w:tcPr>
            <w:tcW w:w="6585" w:type="dxa"/>
            <w:vAlign w:val="center"/>
          </w:tcPr>
          <w:p w14:paraId="01279E42">
            <w:pPr>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浙江万里学院回龙校区8#宿舍楼修缮项目</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rPr>
              <w:t>建筑业</w:t>
            </w:r>
            <w:r>
              <w:rPr>
                <w:rFonts w:hint="eastAsia" w:ascii="宋体" w:hAnsi="宋体" w:cs="宋体"/>
                <w:color w:val="auto"/>
                <w:kern w:val="0"/>
                <w:sz w:val="24"/>
                <w:highlight w:val="none"/>
              </w:rPr>
              <w:t>行业。</w:t>
            </w:r>
          </w:p>
        </w:tc>
      </w:tr>
      <w:tr w14:paraId="55F1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695DF24B">
            <w:pPr>
              <w:jc w:val="center"/>
              <w:rPr>
                <w:rFonts w:ascii="宋体" w:hAnsi="宋体" w:cs="宋体"/>
                <w:color w:val="auto"/>
                <w:sz w:val="24"/>
                <w:szCs w:val="32"/>
                <w:highlight w:val="none"/>
              </w:rPr>
            </w:pPr>
            <w:r>
              <w:rPr>
                <w:rFonts w:hint="eastAsia" w:ascii="宋体" w:hAnsi="宋体" w:cs="宋体"/>
                <w:color w:val="auto"/>
                <w:sz w:val="24"/>
                <w:szCs w:val="32"/>
                <w:highlight w:val="none"/>
              </w:rPr>
              <w:t>3</w:t>
            </w:r>
          </w:p>
        </w:tc>
        <w:tc>
          <w:tcPr>
            <w:tcW w:w="1681" w:type="dxa"/>
            <w:vAlign w:val="center"/>
          </w:tcPr>
          <w:p w14:paraId="2FB4FE6A">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是否允许采购进口产品</w:t>
            </w:r>
          </w:p>
        </w:tc>
        <w:tc>
          <w:tcPr>
            <w:tcW w:w="6585" w:type="dxa"/>
            <w:vAlign w:val="center"/>
          </w:tcPr>
          <w:p w14:paraId="7C203B09">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0349958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0D5D1DF4">
            <w:pPr>
              <w:spacing w:line="360" w:lineRule="auto"/>
              <w:ind w:firstLine="480" w:firstLineChars="200"/>
              <w:rPr>
                <w:rFonts w:ascii="宋体" w:hAnsi="宋体" w:cs="宋体"/>
                <w:color w:val="auto"/>
                <w:highlight w:val="none"/>
              </w:rPr>
            </w:pPr>
            <w:sdt>
              <w:sdtPr>
                <w:rPr>
                  <w:rFonts w:hint="eastAsia" w:ascii="宋体" w:hAnsi="宋体" w:cs="宋体"/>
                  <w:color w:val="auto"/>
                  <w:kern w:val="0"/>
                  <w:sz w:val="24"/>
                  <w:highlight w:val="none"/>
                </w:rPr>
                <w:id w:val="-56148099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采购进口产品，具体品牌详见清单。</w:t>
            </w:r>
          </w:p>
        </w:tc>
      </w:tr>
      <w:tr w14:paraId="3340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7AFD19ED">
            <w:pPr>
              <w:jc w:val="center"/>
              <w:rPr>
                <w:rFonts w:ascii="宋体" w:hAnsi="宋体" w:cs="宋体"/>
                <w:color w:val="auto"/>
                <w:sz w:val="24"/>
                <w:szCs w:val="32"/>
                <w:highlight w:val="none"/>
              </w:rPr>
            </w:pPr>
            <w:r>
              <w:rPr>
                <w:rFonts w:hint="eastAsia" w:ascii="宋体" w:hAnsi="宋体" w:cs="宋体"/>
                <w:color w:val="auto"/>
                <w:sz w:val="24"/>
                <w:szCs w:val="32"/>
                <w:highlight w:val="none"/>
              </w:rPr>
              <w:t>4</w:t>
            </w:r>
          </w:p>
        </w:tc>
        <w:tc>
          <w:tcPr>
            <w:tcW w:w="1681" w:type="dxa"/>
            <w:vAlign w:val="center"/>
          </w:tcPr>
          <w:p w14:paraId="3CC9FD87">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分包</w:t>
            </w:r>
          </w:p>
        </w:tc>
        <w:tc>
          <w:tcPr>
            <w:tcW w:w="6585" w:type="dxa"/>
            <w:vAlign w:val="center"/>
          </w:tcPr>
          <w:p w14:paraId="167CE4E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690622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DF0C0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2348521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CCA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538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66D72687">
            <w:pPr>
              <w:jc w:val="center"/>
              <w:rPr>
                <w:rFonts w:ascii="宋体" w:hAnsi="宋体" w:cs="宋体"/>
                <w:color w:val="auto"/>
                <w:sz w:val="24"/>
                <w:szCs w:val="32"/>
                <w:highlight w:val="none"/>
              </w:rPr>
            </w:pPr>
            <w:r>
              <w:rPr>
                <w:rFonts w:hint="eastAsia" w:ascii="宋体" w:hAnsi="宋体" w:cs="宋体"/>
                <w:color w:val="auto"/>
                <w:sz w:val="24"/>
                <w:szCs w:val="32"/>
                <w:highlight w:val="none"/>
              </w:rPr>
              <w:t>5</w:t>
            </w:r>
          </w:p>
        </w:tc>
        <w:tc>
          <w:tcPr>
            <w:tcW w:w="1681" w:type="dxa"/>
            <w:vAlign w:val="center"/>
          </w:tcPr>
          <w:p w14:paraId="2E77C224">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磋商前答疑会或现场考察</w:t>
            </w:r>
          </w:p>
        </w:tc>
        <w:tc>
          <w:tcPr>
            <w:tcW w:w="6585" w:type="dxa"/>
            <w:vAlign w:val="center"/>
          </w:tcPr>
          <w:p w14:paraId="1914EAB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2944812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F7BDE1">
            <w:pPr>
              <w:spacing w:line="360" w:lineRule="auto"/>
              <w:ind w:firstLine="480" w:firstLineChars="200"/>
              <w:rPr>
                <w:rFonts w:ascii="宋体" w:hAnsi="宋体" w:cs="宋体"/>
                <w:color w:val="auto"/>
                <w:sz w:val="24"/>
                <w:szCs w:val="20"/>
                <w:highlight w:val="none"/>
              </w:rPr>
            </w:pPr>
            <w:sdt>
              <w:sdtPr>
                <w:rPr>
                  <w:rFonts w:hint="eastAsia" w:ascii="宋体" w:hAnsi="宋体" w:cs="宋体"/>
                  <w:color w:val="auto"/>
                  <w:kern w:val="0"/>
                  <w:sz w:val="24"/>
                  <w:highlight w:val="none"/>
                </w:rPr>
                <w:id w:val="2833086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勘察现场所发生的费用由供应商自己承担。不论何种原因所造成，在勘察过程中，供应商自行对由此次踏勘现场而造成的死亡、人身伤害、财产损失、损害以及任何其他损失、损害和引起的费用和开支承担责任。若因供应商自身原因未参加踏勘而对项目理解有误造成自身损失等后果均由供应商自己承担。</w:t>
            </w:r>
          </w:p>
        </w:tc>
      </w:tr>
      <w:tr w14:paraId="7946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21B0BDFC">
            <w:pPr>
              <w:jc w:val="center"/>
              <w:rPr>
                <w:rFonts w:ascii="宋体" w:hAnsi="宋体" w:cs="宋体"/>
                <w:color w:val="auto"/>
                <w:sz w:val="24"/>
                <w:szCs w:val="32"/>
                <w:highlight w:val="none"/>
              </w:rPr>
            </w:pPr>
            <w:r>
              <w:rPr>
                <w:rFonts w:hint="eastAsia" w:ascii="宋体" w:hAnsi="宋体" w:cs="宋体"/>
                <w:color w:val="auto"/>
                <w:sz w:val="24"/>
                <w:szCs w:val="32"/>
                <w:highlight w:val="none"/>
              </w:rPr>
              <w:t>6</w:t>
            </w:r>
          </w:p>
        </w:tc>
        <w:tc>
          <w:tcPr>
            <w:tcW w:w="1681" w:type="dxa"/>
            <w:vAlign w:val="center"/>
          </w:tcPr>
          <w:p w14:paraId="59653AD0">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样品提供</w:t>
            </w:r>
          </w:p>
        </w:tc>
        <w:tc>
          <w:tcPr>
            <w:tcW w:w="6585" w:type="dxa"/>
            <w:vAlign w:val="center"/>
          </w:tcPr>
          <w:p w14:paraId="066750C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4040782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BC6734">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77F2FD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7212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B327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29433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17DB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74A7CD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B9E7A0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A1A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6D4C4866">
            <w:pPr>
              <w:jc w:val="center"/>
              <w:rPr>
                <w:rFonts w:ascii="宋体" w:hAnsi="宋体" w:cs="宋体"/>
                <w:color w:val="auto"/>
                <w:sz w:val="24"/>
                <w:szCs w:val="32"/>
                <w:highlight w:val="none"/>
              </w:rPr>
            </w:pPr>
            <w:r>
              <w:rPr>
                <w:rFonts w:hint="eastAsia" w:ascii="宋体" w:hAnsi="宋体" w:cs="宋体"/>
                <w:color w:val="auto"/>
                <w:sz w:val="24"/>
                <w:szCs w:val="32"/>
                <w:highlight w:val="none"/>
              </w:rPr>
              <w:t>7</w:t>
            </w:r>
          </w:p>
        </w:tc>
        <w:tc>
          <w:tcPr>
            <w:tcW w:w="1681" w:type="dxa"/>
            <w:vAlign w:val="center"/>
          </w:tcPr>
          <w:p w14:paraId="6512462B">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方案讲解演示</w:t>
            </w:r>
          </w:p>
        </w:tc>
        <w:tc>
          <w:tcPr>
            <w:tcW w:w="6585" w:type="dxa"/>
            <w:vAlign w:val="center"/>
          </w:tcPr>
          <w:p w14:paraId="6FA0E7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968431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2345752">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p w14:paraId="1D71C2D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1395CA1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74F03B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7ACAABD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38B0429">
            <w:pPr>
              <w:snapToGrid w:val="0"/>
              <w:spacing w:line="360" w:lineRule="auto"/>
              <w:ind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855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Merge w:val="restart"/>
            <w:vAlign w:val="center"/>
          </w:tcPr>
          <w:p w14:paraId="0EB2CE2C">
            <w:pPr>
              <w:jc w:val="center"/>
              <w:rPr>
                <w:rFonts w:ascii="宋体" w:hAnsi="宋体" w:cs="宋体"/>
                <w:color w:val="auto"/>
                <w:sz w:val="24"/>
                <w:szCs w:val="32"/>
                <w:highlight w:val="none"/>
              </w:rPr>
            </w:pPr>
            <w:r>
              <w:rPr>
                <w:rFonts w:hint="eastAsia" w:ascii="宋体" w:hAnsi="宋体" w:cs="宋体"/>
                <w:color w:val="auto"/>
                <w:sz w:val="24"/>
                <w:szCs w:val="32"/>
                <w:highlight w:val="none"/>
              </w:rPr>
              <w:t>8</w:t>
            </w:r>
          </w:p>
        </w:tc>
        <w:tc>
          <w:tcPr>
            <w:tcW w:w="1681" w:type="dxa"/>
            <w:vMerge w:val="restart"/>
            <w:vAlign w:val="center"/>
          </w:tcPr>
          <w:p w14:paraId="71BEF914">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供应商应当提供的资格、资信证明文件</w:t>
            </w:r>
          </w:p>
        </w:tc>
        <w:tc>
          <w:tcPr>
            <w:tcW w:w="6585" w:type="dxa"/>
            <w:vAlign w:val="center"/>
          </w:tcPr>
          <w:p w14:paraId="5660D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第二部分11.1。</w:t>
            </w:r>
          </w:p>
          <w:p w14:paraId="494CE1F7">
            <w:pPr>
              <w:spacing w:line="360" w:lineRule="auto"/>
              <w:ind w:firstLine="480" w:firstLineChars="200"/>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供应商未提供有效的资格证明文件的，视为供应商不具备招标文件中规定的资格要求，响应文件无效。</w:t>
            </w:r>
          </w:p>
        </w:tc>
      </w:tr>
      <w:tr w14:paraId="3A5C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Merge w:val="continue"/>
            <w:vAlign w:val="center"/>
          </w:tcPr>
          <w:p w14:paraId="1FB31689">
            <w:pPr>
              <w:jc w:val="center"/>
              <w:rPr>
                <w:rFonts w:ascii="宋体" w:hAnsi="宋体" w:cs="宋体"/>
                <w:color w:val="auto"/>
                <w:sz w:val="24"/>
                <w:szCs w:val="32"/>
                <w:highlight w:val="none"/>
              </w:rPr>
            </w:pPr>
          </w:p>
        </w:tc>
        <w:tc>
          <w:tcPr>
            <w:tcW w:w="1681" w:type="dxa"/>
            <w:vMerge w:val="continue"/>
            <w:vAlign w:val="center"/>
          </w:tcPr>
          <w:p w14:paraId="21D6896D">
            <w:pPr>
              <w:jc w:val="center"/>
              <w:rPr>
                <w:rFonts w:ascii="宋体" w:hAnsi="宋体" w:cs="宋体"/>
                <w:b/>
                <w:bCs/>
                <w:color w:val="auto"/>
                <w:sz w:val="24"/>
                <w:szCs w:val="32"/>
                <w:highlight w:val="none"/>
              </w:rPr>
            </w:pPr>
          </w:p>
        </w:tc>
        <w:tc>
          <w:tcPr>
            <w:tcW w:w="6585" w:type="dxa"/>
            <w:vAlign w:val="center"/>
          </w:tcPr>
          <w:p w14:paraId="5B80B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第四部分评审标准提供。</w:t>
            </w:r>
          </w:p>
        </w:tc>
      </w:tr>
      <w:tr w14:paraId="7477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688067B3">
            <w:pPr>
              <w:jc w:val="center"/>
              <w:rPr>
                <w:rFonts w:ascii="宋体" w:hAnsi="宋体" w:cs="宋体"/>
                <w:color w:val="auto"/>
                <w:sz w:val="24"/>
                <w:szCs w:val="32"/>
                <w:highlight w:val="none"/>
              </w:rPr>
            </w:pPr>
            <w:r>
              <w:rPr>
                <w:rFonts w:hint="eastAsia" w:ascii="宋体" w:hAnsi="宋体" w:cs="宋体"/>
                <w:color w:val="auto"/>
                <w:sz w:val="24"/>
                <w:szCs w:val="32"/>
                <w:highlight w:val="none"/>
              </w:rPr>
              <w:t>9</w:t>
            </w:r>
          </w:p>
        </w:tc>
        <w:tc>
          <w:tcPr>
            <w:tcW w:w="1681" w:type="dxa"/>
            <w:vAlign w:val="center"/>
          </w:tcPr>
          <w:p w14:paraId="13812042">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节能产品、环境标志产品</w:t>
            </w:r>
          </w:p>
        </w:tc>
        <w:tc>
          <w:tcPr>
            <w:tcW w:w="6585" w:type="dxa"/>
            <w:vAlign w:val="center"/>
          </w:tcPr>
          <w:p w14:paraId="69FA5021">
            <w:pPr>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FB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12F796ED">
            <w:pPr>
              <w:jc w:val="center"/>
              <w:rPr>
                <w:rFonts w:ascii="宋体" w:hAnsi="宋体" w:cs="宋体"/>
                <w:color w:val="auto"/>
                <w:sz w:val="24"/>
                <w:szCs w:val="32"/>
                <w:highlight w:val="none"/>
              </w:rPr>
            </w:pPr>
            <w:r>
              <w:rPr>
                <w:rFonts w:hint="eastAsia" w:ascii="宋体" w:hAnsi="宋体" w:cs="宋体"/>
                <w:color w:val="auto"/>
                <w:sz w:val="24"/>
                <w:szCs w:val="32"/>
                <w:highlight w:val="none"/>
              </w:rPr>
              <w:t>10</w:t>
            </w:r>
          </w:p>
        </w:tc>
        <w:tc>
          <w:tcPr>
            <w:tcW w:w="1681" w:type="dxa"/>
            <w:vAlign w:val="center"/>
          </w:tcPr>
          <w:p w14:paraId="1C3B3921">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报价要求</w:t>
            </w:r>
          </w:p>
        </w:tc>
        <w:tc>
          <w:tcPr>
            <w:tcW w:w="6585" w:type="dxa"/>
            <w:vAlign w:val="center"/>
          </w:tcPr>
          <w:p w14:paraId="40B48102">
            <w:pPr>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有关本项目实施所需的所有费用（含税费）均计入报价。响应文件中价格全部采用人民币报价。</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文件未列明，而供应商认为必需的费用也需列入报价。</w:t>
            </w:r>
          </w:p>
          <w:p w14:paraId="40D308F8">
            <w:pPr>
              <w:snapToGrid w:val="0"/>
              <w:spacing w:line="360" w:lineRule="auto"/>
              <w:ind w:firstLine="482" w:firstLineChars="20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本项目投标</w:t>
            </w:r>
            <w:r>
              <w:rPr>
                <w:rFonts w:hint="eastAsia" w:ascii="宋体" w:hAnsi="宋体" w:cs="宋体"/>
                <w:b/>
                <w:bCs/>
                <w:color w:val="auto"/>
                <w:kern w:val="0"/>
                <w:sz w:val="24"/>
                <w:highlight w:val="none"/>
              </w:rPr>
              <w:t>报价</w:t>
            </w:r>
            <w:r>
              <w:rPr>
                <w:rFonts w:hint="eastAsia" w:ascii="宋体" w:hAnsi="宋体" w:cs="宋体"/>
                <w:b/>
                <w:bCs/>
                <w:color w:val="auto"/>
                <w:kern w:val="0"/>
                <w:sz w:val="24"/>
                <w:highlight w:val="none"/>
                <w:lang w:val="zh-CN"/>
              </w:rPr>
              <w:t>包括</w:t>
            </w:r>
            <w:r>
              <w:rPr>
                <w:rFonts w:hint="eastAsia" w:ascii="宋体" w:hAnsi="宋体" w:cs="宋体"/>
                <w:b/>
                <w:bCs/>
                <w:color w:val="auto"/>
                <w:kern w:val="0"/>
                <w:sz w:val="24"/>
                <w:highlight w:val="none"/>
              </w:rPr>
              <w:t>图纸、工程量清单范围内</w:t>
            </w:r>
            <w:r>
              <w:rPr>
                <w:rFonts w:hint="eastAsia" w:ascii="宋体" w:hAnsi="宋体" w:cs="宋体"/>
                <w:b/>
                <w:bCs/>
                <w:color w:val="auto"/>
                <w:kern w:val="0"/>
                <w:sz w:val="24"/>
                <w:highlight w:val="none"/>
                <w:lang w:val="zh-CN"/>
              </w:rPr>
              <w:t>所有</w:t>
            </w:r>
            <w:r>
              <w:rPr>
                <w:rFonts w:hint="eastAsia" w:ascii="宋体" w:hAnsi="宋体" w:cs="宋体"/>
                <w:b/>
                <w:bCs/>
                <w:color w:val="auto"/>
                <w:kern w:val="0"/>
                <w:sz w:val="24"/>
                <w:highlight w:val="none"/>
              </w:rPr>
              <w:t>工程</w:t>
            </w:r>
            <w:r>
              <w:rPr>
                <w:rFonts w:hint="eastAsia" w:ascii="宋体" w:hAnsi="宋体" w:cs="宋体"/>
                <w:b/>
                <w:bCs/>
                <w:color w:val="auto"/>
                <w:kern w:val="0"/>
                <w:sz w:val="24"/>
                <w:highlight w:val="none"/>
                <w:lang w:val="zh-CN"/>
              </w:rPr>
              <w:t>内容，包括</w:t>
            </w:r>
            <w:r>
              <w:rPr>
                <w:rFonts w:hint="eastAsia" w:ascii="宋体" w:hAnsi="宋体" w:cs="宋体"/>
                <w:b/>
                <w:bCs/>
                <w:color w:val="auto"/>
                <w:kern w:val="0"/>
                <w:sz w:val="24"/>
                <w:highlight w:val="none"/>
                <w:lang w:val="en-US" w:eastAsia="zh-CN"/>
              </w:rPr>
              <w:t>工程</w:t>
            </w:r>
            <w:r>
              <w:rPr>
                <w:rFonts w:hint="eastAsia" w:ascii="宋体" w:hAnsi="宋体" w:cs="宋体"/>
                <w:b/>
                <w:bCs/>
                <w:color w:val="auto"/>
                <w:kern w:val="0"/>
                <w:sz w:val="24"/>
                <w:highlight w:val="none"/>
              </w:rPr>
              <w:t>验收合格所发生的费用，包括</w:t>
            </w:r>
            <w:r>
              <w:rPr>
                <w:rFonts w:hint="eastAsia" w:ascii="宋体" w:hAnsi="宋体" w:cs="宋体"/>
                <w:b/>
                <w:bCs/>
                <w:color w:val="auto"/>
                <w:kern w:val="0"/>
                <w:sz w:val="24"/>
                <w:highlight w:val="none"/>
                <w:lang w:val="zh-CN"/>
              </w:rPr>
              <w:t>但不</w:t>
            </w:r>
            <w:r>
              <w:rPr>
                <w:rFonts w:hint="eastAsia" w:ascii="宋体" w:hAnsi="宋体" w:cs="宋体"/>
                <w:b/>
                <w:bCs/>
                <w:color w:val="auto"/>
                <w:kern w:val="0"/>
                <w:sz w:val="24"/>
                <w:highlight w:val="none"/>
              </w:rPr>
              <w:t>仅</w:t>
            </w:r>
            <w:r>
              <w:rPr>
                <w:rFonts w:hint="eastAsia" w:ascii="宋体" w:hAnsi="宋体" w:cs="宋体"/>
                <w:b/>
                <w:bCs/>
                <w:color w:val="auto"/>
                <w:kern w:val="0"/>
                <w:sz w:val="24"/>
                <w:highlight w:val="none"/>
                <w:lang w:val="zh-CN"/>
              </w:rPr>
              <w:t>限于：</w:t>
            </w:r>
            <w:r>
              <w:rPr>
                <w:rFonts w:hint="eastAsia" w:ascii="宋体" w:hAnsi="宋体" w:cs="宋体"/>
                <w:b/>
                <w:bCs/>
                <w:color w:val="auto"/>
                <w:kern w:val="0"/>
                <w:sz w:val="24"/>
                <w:highlight w:val="none"/>
                <w:lang w:val="en-US" w:eastAsia="zh-CN"/>
              </w:rPr>
              <w:t>材料</w:t>
            </w:r>
            <w:r>
              <w:rPr>
                <w:rFonts w:hint="eastAsia" w:ascii="宋体" w:hAnsi="宋体" w:cs="宋体"/>
                <w:b/>
                <w:bCs/>
                <w:color w:val="auto"/>
                <w:kern w:val="0"/>
                <w:sz w:val="24"/>
                <w:highlight w:val="none"/>
                <w:lang w:val="zh-CN"/>
              </w:rPr>
              <w:t>设备费、运输、</w:t>
            </w:r>
            <w:r>
              <w:rPr>
                <w:rFonts w:hint="eastAsia" w:ascii="宋体" w:hAnsi="宋体" w:cs="宋体"/>
                <w:b/>
                <w:bCs/>
                <w:color w:val="auto"/>
                <w:kern w:val="0"/>
                <w:sz w:val="24"/>
                <w:highlight w:val="none"/>
                <w:lang w:val="en-US" w:eastAsia="zh-CN"/>
              </w:rPr>
              <w:t>装卸、</w:t>
            </w:r>
            <w:r>
              <w:rPr>
                <w:rFonts w:hint="eastAsia" w:ascii="宋体" w:hAnsi="宋体" w:cs="宋体"/>
                <w:b/>
                <w:bCs/>
                <w:color w:val="auto"/>
                <w:kern w:val="0"/>
                <w:sz w:val="24"/>
                <w:highlight w:val="none"/>
                <w:lang w:val="zh-CN"/>
              </w:rPr>
              <w:t>二次搬运、检验检测费、安装调试、安全生产、文明施工、</w:t>
            </w:r>
            <w:r>
              <w:rPr>
                <w:rFonts w:hint="eastAsia" w:ascii="宋体" w:hAnsi="宋体" w:cs="宋体"/>
                <w:b/>
                <w:bCs/>
                <w:color w:val="auto"/>
                <w:kern w:val="0"/>
                <w:sz w:val="24"/>
                <w:highlight w:val="none"/>
                <w:lang w:val="en-US" w:eastAsia="zh-CN"/>
              </w:rPr>
              <w:t>工程</w:t>
            </w:r>
            <w:r>
              <w:rPr>
                <w:rFonts w:hint="eastAsia" w:ascii="宋体" w:hAnsi="宋体" w:cs="宋体"/>
                <w:b/>
                <w:bCs/>
                <w:color w:val="auto"/>
                <w:kern w:val="0"/>
                <w:sz w:val="24"/>
                <w:highlight w:val="none"/>
                <w:lang w:val="zh-CN"/>
              </w:rPr>
              <w:t>验收、</w:t>
            </w:r>
            <w:r>
              <w:rPr>
                <w:rFonts w:hint="eastAsia" w:ascii="宋体" w:hAnsi="宋体" w:cs="宋体"/>
                <w:b/>
                <w:bCs/>
                <w:color w:val="auto"/>
                <w:kern w:val="0"/>
                <w:sz w:val="24"/>
                <w:highlight w:val="none"/>
                <w:lang w:val="en-US" w:eastAsia="zh-CN"/>
              </w:rPr>
              <w:t>保修、</w:t>
            </w:r>
            <w:r>
              <w:rPr>
                <w:rFonts w:hint="eastAsia" w:ascii="宋体" w:hAnsi="宋体" w:cs="宋体"/>
                <w:b/>
                <w:bCs/>
                <w:color w:val="auto"/>
                <w:kern w:val="0"/>
                <w:sz w:val="24"/>
                <w:highlight w:val="none"/>
                <w:lang w:val="zh-CN"/>
              </w:rPr>
              <w:t>售后服务、</w:t>
            </w:r>
            <w:r>
              <w:rPr>
                <w:rFonts w:hint="eastAsia" w:ascii="宋体" w:hAnsi="宋体" w:cs="宋体"/>
                <w:b/>
                <w:bCs/>
                <w:color w:val="auto"/>
                <w:kern w:val="0"/>
                <w:sz w:val="24"/>
                <w:highlight w:val="none"/>
              </w:rPr>
              <w:t>税金</w:t>
            </w:r>
            <w:r>
              <w:rPr>
                <w:rFonts w:hint="eastAsia" w:ascii="宋体" w:hAnsi="宋体" w:cs="宋体"/>
                <w:b/>
                <w:bCs/>
                <w:color w:val="auto"/>
                <w:kern w:val="0"/>
                <w:sz w:val="24"/>
                <w:highlight w:val="none"/>
                <w:lang w:val="zh-CN"/>
              </w:rPr>
              <w:t>、利润、政策性文件规定及合同包含的风险等各项应有的费用。</w:t>
            </w:r>
          </w:p>
          <w:p w14:paraId="2AB3B267">
            <w:pPr>
              <w:snapToGrid w:val="0"/>
              <w:spacing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en-US" w:eastAsia="zh-CN"/>
              </w:rPr>
              <w:t>说明</w:t>
            </w:r>
            <w:r>
              <w:rPr>
                <w:rFonts w:hint="eastAsia" w:ascii="宋体" w:hAnsi="宋体" w:cs="宋体"/>
                <w:b/>
                <w:bCs/>
                <w:color w:val="auto"/>
                <w:kern w:val="0"/>
                <w:sz w:val="24"/>
                <w:highlight w:val="none"/>
                <w:lang w:val="zh-CN"/>
              </w:rPr>
              <w:t>：</w:t>
            </w:r>
          </w:p>
          <w:p w14:paraId="5D6BBA89">
            <w:pPr>
              <w:snapToGrid w:val="0"/>
              <w:spacing w:line="360" w:lineRule="auto"/>
              <w:ind w:firstLine="480" w:firstLineChars="200"/>
              <w:jc w:val="left"/>
              <w:rPr>
                <w:rFonts w:hint="eastAsia" w:ascii="宋体" w:hAnsi="宋体" w:cs="宋体"/>
                <w:b w:val="0"/>
                <w:bCs w:val="0"/>
                <w:color w:val="auto"/>
                <w:kern w:val="0"/>
                <w:sz w:val="24"/>
                <w:highlight w:val="none"/>
                <w:u w:val="single"/>
              </w:rPr>
            </w:pPr>
            <w:r>
              <w:rPr>
                <w:rFonts w:hint="eastAsia" w:ascii="宋体" w:hAnsi="宋体" w:cs="宋体"/>
                <w:b w:val="0"/>
                <w:bCs w:val="0"/>
                <w:color w:val="auto"/>
                <w:kern w:val="0"/>
                <w:sz w:val="24"/>
                <w:highlight w:val="none"/>
                <w:u w:val="single"/>
              </w:rPr>
              <w:t>本项目报价方式：投标人</w:t>
            </w:r>
            <w:r>
              <w:rPr>
                <w:rFonts w:hint="eastAsia" w:ascii="宋体" w:hAnsi="宋体" w:cs="宋体"/>
                <w:b w:val="0"/>
                <w:bCs w:val="0"/>
                <w:color w:val="auto"/>
                <w:kern w:val="0"/>
                <w:sz w:val="24"/>
                <w:highlight w:val="none"/>
                <w:u w:val="single"/>
                <w:lang w:val="en-US" w:eastAsia="zh-CN"/>
              </w:rPr>
              <w:t>的投标</w:t>
            </w:r>
            <w:r>
              <w:rPr>
                <w:rFonts w:hint="eastAsia" w:ascii="宋体" w:hAnsi="宋体" w:cs="宋体"/>
                <w:b w:val="0"/>
                <w:bCs w:val="0"/>
                <w:color w:val="auto"/>
                <w:kern w:val="0"/>
                <w:sz w:val="24"/>
                <w:highlight w:val="none"/>
                <w:u w:val="single"/>
              </w:rPr>
              <w:t>报价</w:t>
            </w:r>
            <w:r>
              <w:rPr>
                <w:rFonts w:hint="eastAsia" w:ascii="宋体" w:hAnsi="宋体" w:cs="宋体"/>
                <w:b w:val="0"/>
                <w:bCs w:val="0"/>
                <w:color w:val="auto"/>
                <w:kern w:val="0"/>
                <w:sz w:val="24"/>
                <w:highlight w:val="none"/>
                <w:u w:val="single"/>
                <w:lang w:val="en-US" w:eastAsia="zh-CN"/>
              </w:rPr>
              <w:t>按</w:t>
            </w:r>
            <w:r>
              <w:rPr>
                <w:rFonts w:hint="eastAsia" w:ascii="宋体" w:hAnsi="宋体" w:cs="宋体"/>
                <w:b w:val="0"/>
                <w:bCs w:val="0"/>
                <w:color w:val="auto"/>
                <w:kern w:val="0"/>
                <w:sz w:val="24"/>
                <w:highlight w:val="none"/>
                <w:u w:val="single"/>
              </w:rPr>
              <w:t>采购人提供的</w:t>
            </w:r>
            <w:r>
              <w:rPr>
                <w:rFonts w:hint="eastAsia" w:ascii="宋体" w:hAnsi="宋体" w:cs="宋体"/>
                <w:b w:val="0"/>
                <w:bCs w:val="0"/>
                <w:color w:val="auto"/>
                <w:kern w:val="0"/>
                <w:sz w:val="24"/>
                <w:highlight w:val="none"/>
                <w:u w:val="single"/>
                <w:lang w:val="en-US" w:eastAsia="zh-CN"/>
              </w:rPr>
              <w:t>预算</w:t>
            </w:r>
            <w:r>
              <w:rPr>
                <w:rFonts w:hint="eastAsia" w:ascii="宋体" w:hAnsi="宋体" w:cs="宋体"/>
                <w:b w:val="0"/>
                <w:bCs w:val="0"/>
                <w:color w:val="auto"/>
                <w:kern w:val="0"/>
                <w:sz w:val="24"/>
                <w:highlight w:val="none"/>
                <w:u w:val="single"/>
              </w:rPr>
              <w:t>书</w:t>
            </w:r>
            <w:r>
              <w:rPr>
                <w:rFonts w:hint="eastAsia" w:ascii="宋体" w:hAnsi="宋体" w:cs="宋体"/>
                <w:b w:val="0"/>
                <w:bCs w:val="0"/>
                <w:color w:val="auto"/>
                <w:kern w:val="0"/>
                <w:sz w:val="24"/>
                <w:highlight w:val="none"/>
                <w:u w:val="single"/>
                <w:lang w:val="en-US" w:eastAsia="zh-CN"/>
              </w:rPr>
              <w:t>为</w:t>
            </w:r>
            <w:r>
              <w:rPr>
                <w:rFonts w:hint="eastAsia" w:ascii="宋体" w:hAnsi="宋体" w:cs="宋体"/>
                <w:b w:val="0"/>
                <w:bCs w:val="0"/>
                <w:color w:val="auto"/>
                <w:kern w:val="0"/>
                <w:sz w:val="24"/>
                <w:highlight w:val="none"/>
                <w:u w:val="single"/>
              </w:rPr>
              <w:t>基础，采用</w:t>
            </w:r>
            <w:r>
              <w:rPr>
                <w:rFonts w:hint="eastAsia" w:ascii="宋体" w:hAnsi="宋体" w:cs="宋体"/>
                <w:b w:val="0"/>
                <w:bCs w:val="0"/>
                <w:color w:val="auto"/>
                <w:kern w:val="0"/>
                <w:sz w:val="24"/>
                <w:highlight w:val="none"/>
                <w:u w:val="single"/>
                <w:lang w:val="en-US" w:eastAsia="zh-CN"/>
              </w:rPr>
              <w:t>折扣率</w:t>
            </w:r>
            <w:r>
              <w:rPr>
                <w:rFonts w:hint="eastAsia" w:ascii="宋体" w:hAnsi="宋体" w:cs="宋体"/>
                <w:b w:val="0"/>
                <w:bCs w:val="0"/>
                <w:color w:val="auto"/>
                <w:kern w:val="0"/>
                <w:sz w:val="24"/>
                <w:highlight w:val="none"/>
                <w:u w:val="single"/>
              </w:rPr>
              <w:t>形式</w:t>
            </w:r>
            <w:r>
              <w:rPr>
                <w:rFonts w:hint="eastAsia" w:ascii="宋体" w:hAnsi="宋体" w:cs="宋体"/>
                <w:b w:val="0"/>
                <w:bCs w:val="0"/>
                <w:color w:val="auto"/>
                <w:kern w:val="0"/>
                <w:sz w:val="24"/>
                <w:highlight w:val="none"/>
                <w:u w:val="single"/>
                <w:lang w:val="en-US" w:eastAsia="zh-CN"/>
              </w:rPr>
              <w:t>报价</w:t>
            </w:r>
            <w:r>
              <w:rPr>
                <w:rFonts w:hint="eastAsia" w:ascii="宋体" w:hAnsi="宋体" w:cs="宋体"/>
                <w:b w:val="0"/>
                <w:bCs w:val="0"/>
                <w:color w:val="auto"/>
                <w:kern w:val="0"/>
                <w:sz w:val="24"/>
                <w:highlight w:val="none"/>
                <w:u w:val="single"/>
              </w:rPr>
              <w:t>，以％表示，最多保留两位小数。</w:t>
            </w:r>
            <w:r>
              <w:rPr>
                <w:rFonts w:hint="eastAsia" w:ascii="宋体" w:hAnsi="宋体" w:cs="宋体"/>
                <w:b w:val="0"/>
                <w:bCs w:val="0"/>
                <w:color w:val="auto"/>
                <w:kern w:val="0"/>
                <w:sz w:val="24"/>
                <w:highlight w:val="none"/>
                <w:u w:val="single"/>
                <w:lang w:val="en-US" w:eastAsia="zh-CN"/>
              </w:rPr>
              <w:t>合同</w:t>
            </w:r>
            <w:r>
              <w:rPr>
                <w:rFonts w:hint="eastAsia" w:ascii="宋体" w:hAnsi="宋体" w:cs="宋体"/>
                <w:b w:val="0"/>
                <w:bCs w:val="0"/>
                <w:color w:val="auto"/>
                <w:kern w:val="0"/>
                <w:sz w:val="24"/>
                <w:highlight w:val="none"/>
                <w:u w:val="single"/>
              </w:rPr>
              <w:t>结算以中标单价</w:t>
            </w:r>
            <w:r>
              <w:rPr>
                <w:rFonts w:hint="eastAsia" w:ascii="宋体" w:hAnsi="宋体" w:cs="宋体"/>
                <w:b w:val="0"/>
                <w:bCs w:val="0"/>
                <w:color w:val="auto"/>
                <w:kern w:val="0"/>
                <w:sz w:val="24"/>
                <w:highlight w:val="none"/>
                <w:u w:val="single"/>
                <w:lang w:val="en-US" w:eastAsia="zh-CN"/>
              </w:rPr>
              <w:t>固定、总价可调原则</w:t>
            </w:r>
            <w:r>
              <w:rPr>
                <w:rFonts w:hint="eastAsia" w:ascii="宋体" w:hAnsi="宋体" w:cs="宋体"/>
                <w:b w:val="0"/>
                <w:bCs w:val="0"/>
                <w:color w:val="auto"/>
                <w:kern w:val="0"/>
                <w:sz w:val="24"/>
                <w:highlight w:val="none"/>
                <w:u w:val="single"/>
              </w:rPr>
              <w:t>结算：∑（采购人提供的各分部分项单价×实际工程量）×</w:t>
            </w:r>
            <w:r>
              <w:rPr>
                <w:rFonts w:hint="eastAsia" w:ascii="宋体" w:hAnsi="宋体" w:cs="宋体"/>
                <w:b w:val="0"/>
                <w:bCs w:val="0"/>
                <w:color w:val="auto"/>
                <w:kern w:val="0"/>
                <w:sz w:val="24"/>
                <w:highlight w:val="none"/>
                <w:u w:val="single"/>
                <w:lang w:val="en-US" w:eastAsia="zh-CN"/>
              </w:rPr>
              <w:t>投标折扣率</w:t>
            </w:r>
            <w:r>
              <w:rPr>
                <w:rFonts w:hint="eastAsia" w:ascii="宋体" w:hAnsi="宋体" w:cs="宋体"/>
                <w:b w:val="0"/>
                <w:bCs w:val="0"/>
                <w:color w:val="auto"/>
                <w:kern w:val="0"/>
                <w:sz w:val="24"/>
                <w:highlight w:val="none"/>
                <w:u w:val="single"/>
              </w:rPr>
              <w:t>，具体以合同签订为准。</w:t>
            </w:r>
          </w:p>
          <w:p w14:paraId="6FAD61A8">
            <w:pPr>
              <w:snapToGrid w:val="0"/>
              <w:spacing w:line="360" w:lineRule="auto"/>
              <w:ind w:firstLine="482" w:firstLineChars="2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52ED701D">
            <w:pPr>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响应文件出现不是唯一的、有选择性最后报价的；</w:t>
            </w:r>
          </w:p>
          <w:p w14:paraId="56CEE5CD">
            <w:pPr>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最后报价超过招标文件中规定的预算金额或者最高</w:t>
            </w:r>
            <w:r>
              <w:rPr>
                <w:rFonts w:hint="eastAsia" w:ascii="宋体" w:hAnsi="宋体" w:cs="宋体"/>
                <w:bCs/>
                <w:color w:val="auto"/>
                <w:kern w:val="0"/>
                <w:sz w:val="24"/>
                <w:highlight w:val="none"/>
              </w:rPr>
              <w:t>投标</w:t>
            </w:r>
            <w:r>
              <w:rPr>
                <w:rFonts w:hint="eastAsia" w:ascii="宋体" w:hAnsi="宋体" w:cs="宋体"/>
                <w:bCs/>
                <w:color w:val="auto"/>
                <w:kern w:val="0"/>
                <w:sz w:val="24"/>
                <w:highlight w:val="none"/>
                <w:lang w:val="zh-CN"/>
              </w:rPr>
              <w:t>限价的；</w:t>
            </w:r>
          </w:p>
          <w:p w14:paraId="4CD9B953">
            <w:pPr>
              <w:spacing w:line="360" w:lineRule="auto"/>
              <w:ind w:firstLine="480" w:firstLineChars="200"/>
              <w:rPr>
                <w:rFonts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14:paraId="56F0F042">
            <w:pPr>
              <w:spacing w:line="360" w:lineRule="auto"/>
              <w:ind w:firstLine="480" w:firstLineChars="200"/>
              <w:rPr>
                <w:rFonts w:ascii="宋体" w:hAnsi="宋体" w:cs="宋体"/>
                <w:color w:val="auto"/>
                <w:sz w:val="24"/>
                <w:highlight w:val="none"/>
              </w:rPr>
            </w:pPr>
            <w:r>
              <w:rPr>
                <w:rFonts w:hint="eastAsia" w:ascii="宋体" w:hAnsi="宋体" w:cs="宋体"/>
                <w:bCs/>
                <w:color w:val="auto"/>
                <w:kern w:val="0"/>
                <w:sz w:val="24"/>
                <w:highlight w:val="none"/>
              </w:rPr>
              <w:t>供应商对根据修正原则修正后的报价不确认的</w:t>
            </w:r>
            <w:r>
              <w:rPr>
                <w:rFonts w:hint="eastAsia" w:ascii="宋体" w:hAnsi="宋体" w:cs="宋体"/>
                <w:bCs/>
                <w:color w:val="auto"/>
                <w:sz w:val="24"/>
                <w:highlight w:val="none"/>
              </w:rPr>
              <w:t>。</w:t>
            </w:r>
          </w:p>
        </w:tc>
      </w:tr>
      <w:tr w14:paraId="6DAB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0142DE63">
            <w:pPr>
              <w:jc w:val="center"/>
              <w:rPr>
                <w:rFonts w:ascii="宋体" w:hAnsi="宋体" w:cs="宋体"/>
                <w:color w:val="auto"/>
                <w:sz w:val="24"/>
                <w:szCs w:val="32"/>
                <w:highlight w:val="none"/>
              </w:rPr>
            </w:pPr>
            <w:r>
              <w:rPr>
                <w:rFonts w:hint="eastAsia" w:ascii="宋体" w:hAnsi="宋体" w:cs="宋体"/>
                <w:color w:val="auto"/>
                <w:sz w:val="24"/>
                <w:szCs w:val="32"/>
                <w:highlight w:val="none"/>
              </w:rPr>
              <w:t>11</w:t>
            </w:r>
          </w:p>
        </w:tc>
        <w:tc>
          <w:tcPr>
            <w:tcW w:w="1681" w:type="dxa"/>
            <w:vAlign w:val="center"/>
          </w:tcPr>
          <w:p w14:paraId="4B7F493B">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中小企业信用融资</w:t>
            </w:r>
          </w:p>
        </w:tc>
        <w:tc>
          <w:tcPr>
            <w:tcW w:w="6585" w:type="dxa"/>
            <w:vAlign w:val="center"/>
          </w:tcPr>
          <w:p w14:paraId="14F3260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552C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4BF980AD">
            <w:pPr>
              <w:jc w:val="center"/>
              <w:rPr>
                <w:rFonts w:ascii="宋体" w:hAnsi="宋体" w:cs="宋体"/>
                <w:color w:val="auto"/>
                <w:sz w:val="24"/>
                <w:szCs w:val="32"/>
                <w:highlight w:val="none"/>
              </w:rPr>
            </w:pPr>
            <w:r>
              <w:rPr>
                <w:rFonts w:hint="eastAsia" w:ascii="宋体" w:hAnsi="宋体" w:cs="宋体"/>
                <w:color w:val="auto"/>
                <w:sz w:val="24"/>
                <w:szCs w:val="32"/>
                <w:highlight w:val="none"/>
              </w:rPr>
              <w:t>12</w:t>
            </w:r>
          </w:p>
        </w:tc>
        <w:tc>
          <w:tcPr>
            <w:tcW w:w="1681" w:type="dxa"/>
            <w:vAlign w:val="center"/>
          </w:tcPr>
          <w:p w14:paraId="275F833E">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备份响应文件送达地点和签收人员</w:t>
            </w:r>
          </w:p>
        </w:tc>
        <w:tc>
          <w:tcPr>
            <w:tcW w:w="6585" w:type="dxa"/>
            <w:vAlign w:val="center"/>
          </w:tcPr>
          <w:p w14:paraId="21AAAA7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供应商可以准备U盘存储的电子备份响应文件1份，按政府采购云平台要求制作的电子备份响应文件，以用于异常情况处理。</w:t>
            </w:r>
          </w:p>
          <w:p w14:paraId="409BC1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如提供备份响应文件的，应于响应文件提交（上传）截止时间前，将以U盘存储的电子备份响应文件密封，递交至</w:t>
            </w:r>
            <w:r>
              <w:rPr>
                <w:rFonts w:hint="eastAsia" w:hAnsi="宋体" w:cs="宋体"/>
                <w:b/>
                <w:bCs/>
                <w:color w:val="auto"/>
                <w:kern w:val="28"/>
                <w:sz w:val="24"/>
                <w:highlight w:val="none"/>
                <w:u w:val="single"/>
              </w:rPr>
              <w:t>宁波市海曙区中山西路77号鼓楼大厦5楼</w:t>
            </w:r>
            <w:r>
              <w:rPr>
                <w:rFonts w:hint="eastAsia" w:ascii="宋体" w:hAnsi="宋体" w:cs="宋体"/>
                <w:snapToGrid w:val="0"/>
                <w:color w:val="auto"/>
                <w:kern w:val="28"/>
                <w:sz w:val="24"/>
                <w:highlight w:val="none"/>
              </w:rPr>
              <w:t>，逾期送达或未密封将予以拒收。</w:t>
            </w:r>
          </w:p>
          <w:p w14:paraId="3CCAF18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供应商可采用邮寄（含快递）方式递交备份响应文件。</w:t>
            </w:r>
          </w:p>
          <w:p w14:paraId="7A5FC2A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9FD286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拟在开标前一个工作日的16:00前到件的邮寄地址为：</w:t>
            </w:r>
            <w:r>
              <w:rPr>
                <w:rFonts w:hint="eastAsia" w:ascii="宋体" w:hAnsi="宋体" w:cs="宋体"/>
                <w:snapToGrid w:val="0"/>
                <w:color w:val="auto"/>
                <w:kern w:val="28"/>
                <w:sz w:val="24"/>
                <w:highlight w:val="none"/>
                <w:u w:val="single"/>
              </w:rPr>
              <w:t>宁波市海曙区中山西路75号鼓楼大厦5楼</w:t>
            </w:r>
            <w:r>
              <w:rPr>
                <w:rFonts w:hint="eastAsia" w:ascii="宋体" w:hAnsi="宋体" w:cs="宋体"/>
                <w:snapToGrid w:val="0"/>
                <w:color w:val="auto"/>
                <w:kern w:val="28"/>
                <w:sz w:val="24"/>
                <w:highlight w:val="none"/>
              </w:rPr>
              <w:t>。</w:t>
            </w:r>
          </w:p>
          <w:p w14:paraId="0657166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收件人：</w:t>
            </w:r>
            <w:r>
              <w:rPr>
                <w:rFonts w:hint="eastAsia" w:ascii="宋体" w:hAnsi="宋体" w:cs="宋体"/>
                <w:snapToGrid w:val="0"/>
                <w:color w:val="auto"/>
                <w:kern w:val="28"/>
                <w:sz w:val="24"/>
                <w:highlight w:val="none"/>
                <w:u w:val="single"/>
                <w:lang w:val="en-US" w:eastAsia="zh-CN"/>
              </w:rPr>
              <w:t>谢梦圆</w:t>
            </w:r>
            <w:r>
              <w:rPr>
                <w:rFonts w:hint="eastAsia" w:ascii="宋体" w:hAnsi="宋体" w:cs="宋体"/>
                <w:snapToGrid w:val="0"/>
                <w:color w:val="auto"/>
                <w:kern w:val="28"/>
                <w:sz w:val="24"/>
                <w:highlight w:val="none"/>
              </w:rPr>
              <w:t>；联系方式：</w:t>
            </w:r>
            <w:r>
              <w:rPr>
                <w:rFonts w:hint="eastAsia" w:ascii="宋体" w:hAnsi="宋体" w:cs="宋体"/>
                <w:snapToGrid w:val="0"/>
                <w:color w:val="auto"/>
                <w:kern w:val="28"/>
                <w:sz w:val="24"/>
                <w:highlight w:val="none"/>
                <w:u w:val="single"/>
              </w:rPr>
              <w:t>0574-87304840</w:t>
            </w:r>
            <w:r>
              <w:rPr>
                <w:rFonts w:hint="eastAsia" w:ascii="宋体" w:hAnsi="宋体" w:cs="宋体"/>
                <w:snapToGrid w:val="0"/>
                <w:color w:val="auto"/>
                <w:kern w:val="28"/>
                <w:sz w:val="24"/>
                <w:highlight w:val="none"/>
              </w:rPr>
              <w:t>。</w:t>
            </w:r>
          </w:p>
          <w:p w14:paraId="322C364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请各供应商确保密封包装在邮寄过程密封包装完好，因邮寄过程的密封破损造成不符合开标要求的，本采购代理及采购人概不负责。</w:t>
            </w:r>
          </w:p>
          <w:p w14:paraId="34733E9C">
            <w:pPr>
              <w:pStyle w:val="33"/>
              <w:spacing w:line="360" w:lineRule="auto"/>
              <w:ind w:firstLine="482" w:firstLineChars="200"/>
              <w:rPr>
                <w:rFonts w:hAnsi="宋体" w:cs="宋体"/>
                <w:color w:val="auto"/>
                <w:kern w:val="28"/>
                <w:sz w:val="24"/>
                <w:highlight w:val="none"/>
              </w:rPr>
            </w:pPr>
            <w:r>
              <w:rPr>
                <w:rFonts w:hint="eastAsia" w:hAnsi="宋体" w:cs="宋体"/>
                <w:b/>
                <w:bCs/>
                <w:color w:val="auto"/>
                <w:kern w:val="28"/>
                <w:sz w:val="24"/>
                <w:szCs w:val="24"/>
                <w:highlight w:val="none"/>
              </w:rPr>
              <w:t>采购人、采购代理机构不强制或变相强制供应商提交备份响应文件</w:t>
            </w:r>
            <w:r>
              <w:rPr>
                <w:rFonts w:hint="eastAsia" w:hAnsi="宋体" w:cs="宋体"/>
                <w:b/>
                <w:bCs/>
                <w:color w:val="auto"/>
                <w:sz w:val="24"/>
                <w:szCs w:val="24"/>
                <w:highlight w:val="none"/>
              </w:rPr>
              <w:t>。</w:t>
            </w:r>
          </w:p>
        </w:tc>
      </w:tr>
      <w:tr w14:paraId="600B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3978EF90">
            <w:pPr>
              <w:jc w:val="center"/>
              <w:rPr>
                <w:rFonts w:ascii="宋体" w:hAnsi="宋体" w:cs="宋体"/>
                <w:color w:val="auto"/>
                <w:sz w:val="24"/>
                <w:szCs w:val="32"/>
                <w:highlight w:val="none"/>
              </w:rPr>
            </w:pPr>
            <w:r>
              <w:rPr>
                <w:rFonts w:hint="eastAsia" w:ascii="宋体" w:hAnsi="宋体" w:cs="宋体"/>
                <w:color w:val="auto"/>
                <w:sz w:val="24"/>
                <w:szCs w:val="32"/>
                <w:highlight w:val="none"/>
              </w:rPr>
              <w:t>13</w:t>
            </w:r>
          </w:p>
        </w:tc>
        <w:tc>
          <w:tcPr>
            <w:tcW w:w="1681" w:type="dxa"/>
            <w:vAlign w:val="center"/>
          </w:tcPr>
          <w:p w14:paraId="19122842">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其它说明</w:t>
            </w:r>
          </w:p>
        </w:tc>
        <w:tc>
          <w:tcPr>
            <w:tcW w:w="6585" w:type="dxa"/>
            <w:vAlign w:val="center"/>
          </w:tcPr>
          <w:p w14:paraId="30B3D9C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7F2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651BBE83">
            <w:pPr>
              <w:jc w:val="center"/>
              <w:rPr>
                <w:rFonts w:ascii="宋体" w:hAnsi="宋体" w:cs="宋体"/>
                <w:color w:val="auto"/>
                <w:sz w:val="24"/>
                <w:szCs w:val="32"/>
                <w:highlight w:val="none"/>
              </w:rPr>
            </w:pPr>
            <w:r>
              <w:rPr>
                <w:rFonts w:hint="eastAsia" w:ascii="宋体" w:hAnsi="宋体" w:cs="宋体"/>
                <w:color w:val="auto"/>
                <w:sz w:val="24"/>
                <w:szCs w:val="32"/>
                <w:highlight w:val="none"/>
              </w:rPr>
              <w:t>14</w:t>
            </w:r>
          </w:p>
        </w:tc>
        <w:tc>
          <w:tcPr>
            <w:tcW w:w="1681" w:type="dxa"/>
            <w:vAlign w:val="center"/>
          </w:tcPr>
          <w:p w14:paraId="5E21DE9D">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招标代理服务费</w:t>
            </w:r>
          </w:p>
        </w:tc>
        <w:tc>
          <w:tcPr>
            <w:tcW w:w="6585" w:type="dxa"/>
            <w:vAlign w:val="center"/>
          </w:tcPr>
          <w:p w14:paraId="4A70495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color w:val="auto"/>
                <w:sz w:val="24"/>
                <w:highlight w:val="none"/>
              </w:rPr>
              <w:t>本项目规定向中标人收取招标代理服务费，招标代理服务费参照《宁波市招标（采购）代理服务收费指导意见》的收费标准70%计取，不足3000元按3000元计取。</w:t>
            </w:r>
          </w:p>
        </w:tc>
      </w:tr>
      <w:tr w14:paraId="1180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18" w:type="dxa"/>
            <w:vAlign w:val="center"/>
          </w:tcPr>
          <w:p w14:paraId="728389ED">
            <w:pPr>
              <w:jc w:val="center"/>
              <w:rPr>
                <w:rFonts w:ascii="宋体" w:hAnsi="宋体" w:cs="宋体"/>
                <w:color w:val="auto"/>
                <w:sz w:val="24"/>
                <w:szCs w:val="32"/>
                <w:highlight w:val="none"/>
              </w:rPr>
            </w:pPr>
            <w:bookmarkStart w:id="20" w:name="第三部分"/>
            <w:bookmarkStart w:id="21" w:name="_Toc164416483"/>
            <w:r>
              <w:rPr>
                <w:rFonts w:hint="eastAsia" w:ascii="宋体" w:hAnsi="宋体" w:cs="宋体"/>
                <w:color w:val="auto"/>
                <w:sz w:val="24"/>
                <w:szCs w:val="32"/>
                <w:highlight w:val="none"/>
              </w:rPr>
              <w:t>15</w:t>
            </w:r>
          </w:p>
        </w:tc>
        <w:tc>
          <w:tcPr>
            <w:tcW w:w="1681" w:type="dxa"/>
            <w:vAlign w:val="center"/>
          </w:tcPr>
          <w:p w14:paraId="33C5D4D2">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w:t>
            </w:r>
          </w:p>
          <w:p w14:paraId="2C58A081">
            <w:pPr>
              <w:wordWrap w:val="0"/>
              <w:snapToGrid w:val="0"/>
              <w:spacing w:line="360" w:lineRule="auto"/>
              <w:jc w:val="center"/>
              <w:rPr>
                <w:rFonts w:ascii="宋体" w:hAnsi="宋体" w:cs="宋体"/>
                <w:b/>
                <w:bCs/>
                <w:color w:val="auto"/>
                <w:sz w:val="24"/>
                <w:szCs w:val="32"/>
                <w:highlight w:val="none"/>
              </w:rPr>
            </w:pPr>
            <w:r>
              <w:rPr>
                <w:rFonts w:hint="eastAsia" w:ascii="宋体" w:hAnsi="宋体" w:cs="宋体"/>
                <w:b/>
                <w:color w:val="auto"/>
                <w:sz w:val="24"/>
                <w:highlight w:val="none"/>
              </w:rPr>
              <w:t>融资</w:t>
            </w:r>
          </w:p>
        </w:tc>
        <w:tc>
          <w:tcPr>
            <w:tcW w:w="6585" w:type="dxa"/>
            <w:vAlign w:val="center"/>
          </w:tcPr>
          <w:p w14:paraId="379EEE75">
            <w:pPr>
              <w:wordWrap w:val="0"/>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bookmarkEnd w:id="16"/>
    </w:tbl>
    <w:p w14:paraId="5DB8BAEC">
      <w:pPr>
        <w:widowControl/>
        <w:adjustRightInd/>
        <w:spacing w:line="360" w:lineRule="auto"/>
        <w:ind w:firstLine="643" w:firstLineChars="200"/>
        <w:jc w:val="left"/>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14:paraId="35F4A394">
      <w:pPr>
        <w:snapToGrid w:val="0"/>
        <w:spacing w:line="360" w:lineRule="auto"/>
        <w:ind w:firstLine="643" w:firstLineChars="200"/>
        <w:jc w:val="center"/>
        <w:outlineLvl w:val="0"/>
        <w:rPr>
          <w:rFonts w:ascii="宋体" w:hAnsi="宋体" w:cs="宋体"/>
          <w:b/>
          <w:color w:val="auto"/>
          <w:sz w:val="32"/>
          <w:szCs w:val="20"/>
          <w:highlight w:val="none"/>
        </w:rPr>
      </w:pPr>
      <w:bookmarkStart w:id="22" w:name="_Toc17569"/>
      <w:r>
        <w:rPr>
          <w:rFonts w:hint="eastAsia" w:ascii="宋体" w:hAnsi="宋体" w:cs="宋体"/>
          <w:b/>
          <w:color w:val="auto"/>
          <w:sz w:val="32"/>
          <w:szCs w:val="20"/>
          <w:highlight w:val="none"/>
        </w:rPr>
        <w:t>一、总则</w:t>
      </w:r>
      <w:bookmarkEnd w:id="22"/>
    </w:p>
    <w:p w14:paraId="588EE41A">
      <w:pPr>
        <w:snapToGrid w:val="0"/>
        <w:spacing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C855B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适用于该项目的采购邀请、响应文件提交、响应文件开启、资格审查及信用信息查询、磋商、评审、成交供应商确定、合同、验收等行为（法律、法规另有规定的，从其规定）。</w:t>
      </w:r>
    </w:p>
    <w:p w14:paraId="64C1D96E">
      <w:pPr>
        <w:snapToGrid w:val="0"/>
        <w:spacing w:line="360" w:lineRule="auto"/>
        <w:ind w:firstLine="482" w:firstLineChars="200"/>
        <w:outlineLvl w:val="0"/>
        <w:rPr>
          <w:rFonts w:ascii="宋体" w:hAnsi="宋体" w:cs="宋体"/>
          <w:b/>
          <w:color w:val="auto"/>
          <w:sz w:val="24"/>
          <w:highlight w:val="none"/>
        </w:rPr>
      </w:pPr>
      <w:bookmarkStart w:id="23" w:name="_Toc18298"/>
      <w:r>
        <w:rPr>
          <w:rFonts w:hint="eastAsia" w:ascii="宋体" w:hAnsi="宋体" w:cs="宋体"/>
          <w:b/>
          <w:color w:val="auto"/>
          <w:sz w:val="24"/>
          <w:highlight w:val="none"/>
        </w:rPr>
        <w:t>2.定义</w:t>
      </w:r>
      <w:bookmarkEnd w:id="23"/>
    </w:p>
    <w:p w14:paraId="4B78F9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C7B8C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7A5EDF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34DC3F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2B314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“成交人”系指经评审确定的成交供应商。</w:t>
      </w:r>
    </w:p>
    <w:p w14:paraId="25A885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“响应文件”系指供应商提交的资格文件、商务技术文件、报价文件。供应商提交最后报价后，最后报价是供应商响应文件的有效组成部分。</w:t>
      </w:r>
    </w:p>
    <w:p w14:paraId="7B9A83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59035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 “电子交易平台”系指本项目政府采购活动所依托的政府采购云平台（https://www.zcygov.cn/）。</w:t>
      </w:r>
    </w:p>
    <w:p w14:paraId="4BDA0F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 “书面形式”包括数据电文形式与纸质形式。数据电文形式与纸质形式的采购活动具有同等法律效力。</w:t>
      </w:r>
    </w:p>
    <w:p w14:paraId="49BB9D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2.10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5ED78C9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53A5B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F6C4D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1D91CAE2">
      <w:pPr>
        <w:snapToGrid w:val="0"/>
        <w:spacing w:line="360" w:lineRule="auto"/>
        <w:ind w:firstLine="480" w:firstLineChars="200"/>
        <w:rPr>
          <w:rFonts w:ascii="宋体" w:hAnsi="宋体" w:cs="宋体"/>
          <w:b w:val="0"/>
          <w:bCs w:val="0"/>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竞争性磋商文件要求提供相关产品认证证书。</w:t>
      </w:r>
      <w:r>
        <w:rPr>
          <w:rFonts w:hint="eastAsia" w:ascii="宋体" w:hAnsi="宋体" w:cs="宋体"/>
          <w:b w:val="0"/>
          <w:bCs w:val="0"/>
          <w:color w:val="auto"/>
          <w:sz w:val="24"/>
          <w:highlight w:val="none"/>
        </w:rPr>
        <w:t>采购人拟采购的产品属于政府强制采购的节能产品品目清单范围的，供应商未按</w:t>
      </w:r>
      <w:r>
        <w:rPr>
          <w:rFonts w:hint="eastAsia" w:ascii="宋体" w:hAnsi="宋体" w:cs="宋体"/>
          <w:b w:val="0"/>
          <w:bCs w:val="0"/>
          <w:color w:val="auto"/>
          <w:sz w:val="24"/>
          <w:highlight w:val="none"/>
          <w:lang w:eastAsia="zh-CN"/>
        </w:rPr>
        <w:t>招标文件</w:t>
      </w:r>
      <w:r>
        <w:rPr>
          <w:rFonts w:hint="eastAsia" w:ascii="宋体" w:hAnsi="宋体" w:cs="宋体"/>
          <w:b w:val="0"/>
          <w:bCs w:val="0"/>
          <w:color w:val="auto"/>
          <w:sz w:val="24"/>
          <w:highlight w:val="none"/>
        </w:rPr>
        <w:t>要求提供国家确定的认证机构出具的、处于有效期之内的节能产品认证证书的，响应文件无效。</w:t>
      </w:r>
    </w:p>
    <w:p w14:paraId="3C9596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726DE0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6FBBCC">
      <w:pPr>
        <w:pStyle w:val="5"/>
        <w:tabs>
          <w:tab w:val="left" w:pos="0"/>
          <w:tab w:val="clear" w:pos="432"/>
        </w:tabs>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80203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9268C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49A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7038A4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DE764B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69BA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w:t>
      </w:r>
      <w:bookmarkStart w:id="24" w:name="_Hlk101132181"/>
      <w:r>
        <w:rPr>
          <w:rFonts w:hint="eastAsia" w:ascii="宋体" w:hAnsi="宋体" w:cs="宋体"/>
          <w:color w:val="auto"/>
          <w:sz w:val="24"/>
          <w:highlight w:val="none"/>
        </w:rPr>
        <w:t>联合协议或者分包意向协议约定小微企业的合同份额占到合同总金额30%以上的</w:t>
      </w:r>
      <w:bookmarkEnd w:id="24"/>
      <w:r>
        <w:rPr>
          <w:rFonts w:hint="eastAsia" w:ascii="宋体" w:hAnsi="宋体" w:cs="宋体"/>
          <w:color w:val="auto"/>
          <w:sz w:val="24"/>
          <w:highlight w:val="none"/>
        </w:rPr>
        <w:t>，对联合体或者大中型企业的报价给予1%的扣除，用扣除后的价格参加评审。组成联合体或者接受分包的小微企业与联合体内其他企业、分包企业之间存在直接控股、管理关系的，不享受价格扣除优惠政策。</w:t>
      </w:r>
    </w:p>
    <w:p w14:paraId="146FC8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1C379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789C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14:paraId="3851EC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05B2C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2B692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73676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DC6E2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CCC983D">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4. 询问、质疑、投诉</w:t>
      </w:r>
    </w:p>
    <w:p w14:paraId="28813FFF">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4C566F6E">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7FBF1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31604A">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F9181D">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3409845">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招标文件</w:t>
      </w:r>
      <w:r>
        <w:rPr>
          <w:rFonts w:hint="eastAsia" w:hAnsi="宋体" w:cs="宋体"/>
          <w:color w:val="auto"/>
          <w:sz w:val="24"/>
          <w:highlight w:val="none"/>
        </w:rPr>
        <w:t>的，可以对该文件提出质疑。</w:t>
      </w:r>
    </w:p>
    <w:p w14:paraId="48C69CE7">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w:t>
      </w:r>
      <w:r>
        <w:rPr>
          <w:rFonts w:hint="eastAsia" w:hAnsi="宋体" w:cs="宋体"/>
          <w:color w:val="auto"/>
          <w:sz w:val="24"/>
          <w:highlight w:val="none"/>
          <w:lang w:eastAsia="zh-CN"/>
        </w:rPr>
        <w:t>招标文件</w:t>
      </w:r>
      <w:r>
        <w:rPr>
          <w:rFonts w:hint="eastAsia" w:hAnsi="宋体" w:cs="宋体"/>
          <w:color w:val="auto"/>
          <w:sz w:val="24"/>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14:paraId="04E50246">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w:t>
      </w:r>
      <w:r>
        <w:rPr>
          <w:rFonts w:hint="eastAsia" w:hAnsi="宋体" w:cs="宋体"/>
          <w:snapToGrid/>
          <w:color w:val="auto"/>
          <w:kern w:val="2"/>
          <w:sz w:val="24"/>
          <w:highlight w:val="none"/>
          <w:lang w:eastAsia="zh-CN"/>
        </w:rPr>
        <w:t>招标文件</w:t>
      </w:r>
      <w:r>
        <w:rPr>
          <w:rFonts w:hint="eastAsia" w:hAnsi="宋体" w:cs="宋体"/>
          <w:snapToGrid/>
          <w:color w:val="auto"/>
          <w:kern w:val="2"/>
          <w:sz w:val="24"/>
          <w:highlight w:val="none"/>
        </w:rPr>
        <w:t>提出质疑的，质疑期限为供应商获得</w:t>
      </w:r>
      <w:r>
        <w:rPr>
          <w:rFonts w:hint="eastAsia" w:hAnsi="宋体" w:cs="宋体"/>
          <w:snapToGrid/>
          <w:color w:val="auto"/>
          <w:kern w:val="2"/>
          <w:sz w:val="24"/>
          <w:highlight w:val="none"/>
          <w:lang w:eastAsia="zh-CN"/>
        </w:rPr>
        <w:t>招标文件</w:t>
      </w:r>
      <w:r>
        <w:rPr>
          <w:rFonts w:hint="eastAsia" w:hAnsi="宋体" w:cs="宋体"/>
          <w:snapToGrid/>
          <w:color w:val="auto"/>
          <w:kern w:val="2"/>
          <w:sz w:val="24"/>
          <w:highlight w:val="none"/>
        </w:rPr>
        <w:t>之日或者</w:t>
      </w:r>
      <w:r>
        <w:rPr>
          <w:rFonts w:hint="eastAsia" w:hAnsi="宋体" w:cs="宋体"/>
          <w:snapToGrid/>
          <w:color w:val="auto"/>
          <w:kern w:val="2"/>
          <w:sz w:val="24"/>
          <w:highlight w:val="none"/>
          <w:lang w:eastAsia="zh-CN"/>
        </w:rPr>
        <w:t>招标文件</w:t>
      </w:r>
      <w:r>
        <w:rPr>
          <w:rFonts w:hint="eastAsia" w:hAnsi="宋体" w:cs="宋体"/>
          <w:snapToGrid/>
          <w:color w:val="auto"/>
          <w:kern w:val="2"/>
          <w:sz w:val="24"/>
          <w:highlight w:val="none"/>
        </w:rPr>
        <w:t>公告期限届满之日起计算。</w:t>
      </w:r>
    </w:p>
    <w:p w14:paraId="37981F98">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75990EBD">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1B24C6DF">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5F5457C">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481082D8">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FF6C864">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B06ADA9">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AC60CA7">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534E856">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66B1D5">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AF2EB4">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46E9037A">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753BD67">
      <w:pPr>
        <w:pStyle w:val="887"/>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94B744E">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E064AC5">
      <w:pPr>
        <w:pStyle w:val="887"/>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71662CD">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38071AB">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261795D">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387E2D02">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47BA692">
      <w:pPr>
        <w:pStyle w:val="887"/>
        <w:snapToGrid w:val="0"/>
        <w:spacing w:after="240" w:afterAutospacing="0" w:line="360" w:lineRule="auto"/>
        <w:ind w:firstLine="480" w:firstLineChars="200"/>
        <w:contextualSpacing/>
        <w:rPr>
          <w:color w:val="auto"/>
          <w:highlight w:val="none"/>
        </w:rPr>
      </w:pPr>
      <w:r>
        <w:rPr>
          <w:rFonts w:hint="eastAsia"/>
          <w:color w:val="auto"/>
          <w:highlight w:val="none"/>
        </w:rPr>
        <w:t>4.5.5投诉材料寄送相关信息详见《第一部分  竞争性磋商公告》“同级政府采购监督管理部门”。</w:t>
      </w:r>
    </w:p>
    <w:p w14:paraId="0332C7C3">
      <w:pPr>
        <w:pStyle w:val="887"/>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59DA819A">
      <w:pPr>
        <w:snapToGrid w:val="0"/>
        <w:spacing w:line="360" w:lineRule="auto"/>
        <w:ind w:firstLine="643" w:firstLineChars="200"/>
        <w:jc w:val="center"/>
        <w:outlineLvl w:val="0"/>
        <w:rPr>
          <w:rFonts w:ascii="宋体" w:hAnsi="宋体" w:cs="宋体"/>
          <w:b/>
          <w:color w:val="auto"/>
          <w:sz w:val="32"/>
          <w:szCs w:val="20"/>
          <w:highlight w:val="none"/>
        </w:rPr>
      </w:pPr>
      <w:bookmarkStart w:id="25" w:name="_Toc21397"/>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招标文件</w:t>
      </w:r>
      <w:r>
        <w:rPr>
          <w:rFonts w:hint="eastAsia" w:ascii="宋体" w:hAnsi="宋体" w:cs="宋体"/>
          <w:b/>
          <w:color w:val="auto"/>
          <w:sz w:val="32"/>
          <w:szCs w:val="20"/>
          <w:highlight w:val="none"/>
        </w:rPr>
        <w:t>的构成、澄清、修改</w:t>
      </w:r>
      <w:bookmarkEnd w:id="25"/>
    </w:p>
    <w:p w14:paraId="6B324892">
      <w:pPr>
        <w:pStyle w:val="33"/>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招标文件</w:t>
      </w:r>
      <w:r>
        <w:rPr>
          <w:rFonts w:hint="eastAsia" w:hAnsi="宋体" w:cs="宋体"/>
          <w:b/>
          <w:color w:val="auto"/>
          <w:sz w:val="24"/>
          <w:szCs w:val="24"/>
          <w:highlight w:val="none"/>
        </w:rPr>
        <w:t>的构成</w:t>
      </w:r>
    </w:p>
    <w:p w14:paraId="10FDE18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5.1 </w:t>
      </w:r>
      <w:r>
        <w:rPr>
          <w:rFonts w:hint="eastAsia" w:hAnsi="宋体" w:cs="宋体"/>
          <w:color w:val="auto"/>
          <w:sz w:val="24"/>
          <w:szCs w:val="24"/>
          <w:highlight w:val="none"/>
          <w:lang w:eastAsia="zh-CN"/>
        </w:rPr>
        <w:t>招标文件</w:t>
      </w:r>
      <w:r>
        <w:rPr>
          <w:rFonts w:hint="eastAsia" w:hAnsi="宋体" w:cs="宋体"/>
          <w:color w:val="auto"/>
          <w:sz w:val="24"/>
          <w:szCs w:val="24"/>
          <w:highlight w:val="none"/>
        </w:rPr>
        <w:t>包括下列文件及附件：</w:t>
      </w:r>
    </w:p>
    <w:p w14:paraId="77238ACD">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5.1.1竞争性磋商公告；</w:t>
      </w:r>
    </w:p>
    <w:p w14:paraId="3249924D">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5.1.2供应商须知；</w:t>
      </w:r>
    </w:p>
    <w:p w14:paraId="238CB3D0">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711FDA78">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5.1.4评审办法；</w:t>
      </w:r>
    </w:p>
    <w:p w14:paraId="43611806">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1A667685">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2C7D9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的组成部分</w:t>
      </w:r>
      <w:r>
        <w:rPr>
          <w:rFonts w:hint="eastAsia" w:ascii="宋体" w:hAnsi="宋体" w:cs="宋体"/>
          <w:color w:val="auto"/>
          <w:sz w:val="24"/>
          <w:highlight w:val="none"/>
        </w:rPr>
        <w:t>。</w:t>
      </w:r>
    </w:p>
    <w:p w14:paraId="5967AB34">
      <w:pPr>
        <w:pStyle w:val="33"/>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6. </w:t>
      </w:r>
      <w:r>
        <w:rPr>
          <w:rFonts w:hint="eastAsia" w:hAnsi="宋体" w:cs="宋体"/>
          <w:b/>
          <w:color w:val="auto"/>
          <w:sz w:val="24"/>
          <w:szCs w:val="24"/>
          <w:highlight w:val="none"/>
          <w:lang w:eastAsia="zh-CN"/>
        </w:rPr>
        <w:t>招标文件</w:t>
      </w:r>
      <w:r>
        <w:rPr>
          <w:rFonts w:hint="eastAsia" w:hAnsi="宋体" w:cs="宋体"/>
          <w:b/>
          <w:color w:val="auto"/>
          <w:sz w:val="24"/>
          <w:szCs w:val="24"/>
          <w:highlight w:val="none"/>
        </w:rPr>
        <w:t>的澄清、修改</w:t>
      </w:r>
    </w:p>
    <w:p w14:paraId="5ACE2EE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w:t>
      </w:r>
      <w:r>
        <w:rPr>
          <w:rFonts w:hint="eastAsia" w:ascii="宋体" w:hAnsi="宋体" w:cs="宋体"/>
          <w:color w:val="auto"/>
          <w:highlight w:val="none"/>
          <w:lang w:eastAsia="zh-CN"/>
        </w:rPr>
        <w:t>招标文件</w:t>
      </w:r>
      <w:r>
        <w:rPr>
          <w:rFonts w:hint="eastAsia" w:ascii="宋体" w:hAnsi="宋体" w:cs="宋体"/>
          <w:color w:val="auto"/>
          <w:highlight w:val="none"/>
        </w:rPr>
        <w:t>的潜在供应商，若有问题需要澄清，应于响应文件提交（上传）截止时间前，以书面形式向采购代理机构提出。</w:t>
      </w:r>
    </w:p>
    <w:p w14:paraId="01DBFCC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w:t>
      </w:r>
      <w:r>
        <w:rPr>
          <w:rFonts w:hint="eastAsia" w:ascii="宋体" w:hAnsi="宋体" w:cs="宋体"/>
          <w:color w:val="auto"/>
          <w:highlight w:val="none"/>
          <w:lang w:eastAsia="zh-CN"/>
        </w:rPr>
        <w:t>招标文件</w:t>
      </w:r>
      <w:r>
        <w:rPr>
          <w:rFonts w:hint="eastAsia" w:ascii="宋体" w:hAnsi="宋体" w:cs="宋体"/>
          <w:color w:val="auto"/>
          <w:highlight w:val="none"/>
        </w:rPr>
        <w:t>进行澄清或修改的，将同时通过电子交易平台通知已获取</w:t>
      </w:r>
      <w:r>
        <w:rPr>
          <w:rFonts w:hint="eastAsia" w:ascii="宋体" w:hAnsi="宋体" w:cs="宋体"/>
          <w:color w:val="auto"/>
          <w:highlight w:val="none"/>
          <w:lang w:eastAsia="zh-CN"/>
        </w:rPr>
        <w:t>招标文件</w:t>
      </w:r>
      <w:r>
        <w:rPr>
          <w:rFonts w:hint="eastAsia" w:ascii="宋体" w:hAnsi="宋体" w:cs="宋体"/>
          <w:color w:val="auto"/>
          <w:highlight w:val="none"/>
        </w:rPr>
        <w:t>的潜在供应商。依法应当公告的，将按规定公告，同时视情况延长响应文件提交（上传）截止时间和响应文件开启时间。该澄清或者修改的内容为</w:t>
      </w:r>
      <w:r>
        <w:rPr>
          <w:rFonts w:hint="eastAsia" w:ascii="宋体" w:hAnsi="宋体" w:cs="宋体"/>
          <w:color w:val="auto"/>
          <w:highlight w:val="none"/>
          <w:lang w:eastAsia="zh-CN"/>
        </w:rPr>
        <w:t>招标文件</w:t>
      </w:r>
      <w:r>
        <w:rPr>
          <w:rFonts w:hint="eastAsia" w:ascii="宋体" w:hAnsi="宋体" w:cs="宋体"/>
          <w:color w:val="auto"/>
          <w:highlight w:val="none"/>
        </w:rPr>
        <w:t>的组成部分。</w:t>
      </w:r>
    </w:p>
    <w:p w14:paraId="59C97B6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C872A31">
      <w:pPr>
        <w:pStyle w:val="129"/>
        <w:snapToGrid w:val="0"/>
        <w:spacing w:before="0"/>
        <w:ind w:firstLine="482"/>
        <w:rPr>
          <w:rFonts w:ascii="宋体" w:hAnsi="宋体" w:cs="宋体"/>
          <w:color w:val="auto"/>
          <w:sz w:val="18"/>
          <w:szCs w:val="18"/>
          <w:highlight w:val="none"/>
        </w:rPr>
      </w:pPr>
      <w:r>
        <w:rPr>
          <w:rFonts w:hint="eastAsia" w:ascii="宋体" w:hAnsi="宋体" w:cs="宋体"/>
          <w:b/>
          <w:color w:val="auto"/>
          <w:highlight w:val="none"/>
        </w:rPr>
        <w:t>★</w:t>
      </w:r>
      <w:r>
        <w:rPr>
          <w:rFonts w:hint="eastAsia" w:ascii="宋体" w:hAnsi="宋体" w:cs="宋体"/>
          <w:b/>
          <w:color w:val="auto"/>
          <w:szCs w:val="21"/>
          <w:highlight w:val="none"/>
        </w:rPr>
        <w:t>响应文件未按</w:t>
      </w:r>
      <w:r>
        <w:rPr>
          <w:rFonts w:hint="eastAsia" w:ascii="宋体" w:hAnsi="宋体" w:cs="宋体"/>
          <w:color w:val="auto"/>
          <w:highlight w:val="none"/>
        </w:rPr>
        <w:t>磋商</w:t>
      </w:r>
      <w:r>
        <w:rPr>
          <w:rFonts w:hint="eastAsia" w:ascii="宋体" w:hAnsi="宋体" w:cs="宋体"/>
          <w:b/>
          <w:color w:val="auto"/>
          <w:szCs w:val="21"/>
          <w:highlight w:val="none"/>
        </w:rPr>
        <w:t>文件的澄清、修改的内容编制，又不符合实质性要求的，响应无效。</w:t>
      </w:r>
    </w:p>
    <w:p w14:paraId="7A76DBD0">
      <w:pPr>
        <w:snapToGrid w:val="0"/>
        <w:spacing w:line="360" w:lineRule="auto"/>
        <w:ind w:firstLine="643" w:firstLineChars="200"/>
        <w:jc w:val="center"/>
        <w:outlineLvl w:val="0"/>
        <w:rPr>
          <w:rFonts w:ascii="宋体" w:hAnsi="宋体" w:cs="宋体"/>
          <w:b/>
          <w:color w:val="auto"/>
          <w:sz w:val="32"/>
          <w:szCs w:val="20"/>
          <w:highlight w:val="none"/>
        </w:rPr>
      </w:pPr>
      <w:bookmarkStart w:id="26" w:name="_Toc28479"/>
      <w:r>
        <w:rPr>
          <w:rFonts w:hint="eastAsia" w:ascii="宋体" w:hAnsi="宋体" w:cs="宋体"/>
          <w:b/>
          <w:color w:val="auto"/>
          <w:sz w:val="32"/>
          <w:szCs w:val="20"/>
          <w:highlight w:val="none"/>
        </w:rPr>
        <w:t>三、提交响应文件</w:t>
      </w:r>
      <w:bookmarkEnd w:id="26"/>
    </w:p>
    <w:p w14:paraId="758C3ED4">
      <w:pPr>
        <w:pStyle w:val="33"/>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7. </w:t>
      </w:r>
      <w:r>
        <w:rPr>
          <w:rFonts w:hint="eastAsia" w:hAnsi="宋体" w:cs="宋体"/>
          <w:b/>
          <w:color w:val="auto"/>
          <w:sz w:val="24"/>
          <w:szCs w:val="24"/>
          <w:highlight w:val="none"/>
          <w:lang w:eastAsia="zh-CN"/>
        </w:rPr>
        <w:t>招标文件</w:t>
      </w:r>
      <w:r>
        <w:rPr>
          <w:rFonts w:hint="eastAsia" w:hAnsi="宋体" w:cs="宋体"/>
          <w:b/>
          <w:color w:val="auto"/>
          <w:sz w:val="24"/>
          <w:szCs w:val="24"/>
          <w:highlight w:val="none"/>
        </w:rPr>
        <w:t>的获取</w:t>
      </w:r>
    </w:p>
    <w:p w14:paraId="089AA68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w:t>
      </w:r>
      <w:r>
        <w:rPr>
          <w:rFonts w:hint="eastAsia" w:ascii="宋体" w:hAnsi="宋体" w:cs="宋体"/>
          <w:snapToGrid w:val="0"/>
          <w:color w:val="auto"/>
          <w:kern w:val="28"/>
          <w:sz w:val="24"/>
          <w:highlight w:val="none"/>
          <w:lang w:eastAsia="zh-CN"/>
        </w:rPr>
        <w:t>招标文件</w:t>
      </w:r>
      <w:r>
        <w:rPr>
          <w:rFonts w:hint="eastAsia" w:ascii="宋体" w:hAnsi="宋体" w:cs="宋体"/>
          <w:snapToGrid w:val="0"/>
          <w:color w:val="auto"/>
          <w:kern w:val="28"/>
          <w:sz w:val="24"/>
          <w:highlight w:val="none"/>
        </w:rPr>
        <w:t>的时间期限、地点、方式及</w:t>
      </w:r>
      <w:r>
        <w:rPr>
          <w:rFonts w:hint="eastAsia" w:ascii="宋体" w:hAnsi="宋体" w:cs="宋体"/>
          <w:snapToGrid w:val="0"/>
          <w:color w:val="auto"/>
          <w:kern w:val="28"/>
          <w:sz w:val="24"/>
          <w:highlight w:val="none"/>
          <w:lang w:eastAsia="zh-CN"/>
        </w:rPr>
        <w:t>招标文件</w:t>
      </w:r>
      <w:r>
        <w:rPr>
          <w:rFonts w:hint="eastAsia" w:ascii="宋体" w:hAnsi="宋体" w:cs="宋体"/>
          <w:snapToGrid w:val="0"/>
          <w:color w:val="auto"/>
          <w:kern w:val="28"/>
          <w:sz w:val="24"/>
          <w:highlight w:val="none"/>
        </w:rPr>
        <w:t>售价。</w:t>
      </w:r>
    </w:p>
    <w:p w14:paraId="2DF3EAA3">
      <w:pPr>
        <w:pStyle w:val="33"/>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08F57C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1042CA9D">
      <w:pPr>
        <w:pStyle w:val="33"/>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9.磋商保证金</w:t>
      </w:r>
    </w:p>
    <w:p w14:paraId="73717404">
      <w:pPr>
        <w:pStyle w:val="7"/>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本项目不需缴纳磋商保证金。</w:t>
      </w:r>
    </w:p>
    <w:p w14:paraId="67D7FCDA">
      <w:pPr>
        <w:pStyle w:val="33"/>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 响应文件的语言</w:t>
      </w:r>
    </w:p>
    <w:p w14:paraId="7080CDC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A19C863">
      <w:pPr>
        <w:pStyle w:val="33"/>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 响应文件的组成</w:t>
      </w:r>
    </w:p>
    <w:p w14:paraId="1ACEFE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58667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350D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11.1.2</w:t>
      </w:r>
      <w:bookmarkStart w:id="27" w:name="_Hlk101259339"/>
      <w:r>
        <w:rPr>
          <w:rFonts w:hint="eastAsia" w:ascii="宋体" w:hAnsi="宋体" w:cs="宋体"/>
          <w:snapToGrid w:val="0"/>
          <w:color w:val="auto"/>
          <w:kern w:val="28"/>
          <w:sz w:val="24"/>
          <w:szCs w:val="20"/>
          <w:highlight w:val="none"/>
        </w:rPr>
        <w:t>联合协议</w:t>
      </w:r>
      <w:bookmarkStart w:id="28" w:name="_Hlk101257010"/>
      <w:r>
        <w:rPr>
          <w:rFonts w:hint="eastAsia" w:ascii="宋体" w:hAnsi="宋体" w:cs="宋体"/>
          <w:snapToGrid w:val="0"/>
          <w:color w:val="auto"/>
          <w:kern w:val="28"/>
          <w:sz w:val="24"/>
          <w:szCs w:val="20"/>
          <w:highlight w:val="none"/>
        </w:rPr>
        <w:t>（如果有）</w:t>
      </w:r>
      <w:bookmarkEnd w:id="27"/>
      <w:bookmarkEnd w:id="28"/>
      <w:r>
        <w:rPr>
          <w:rFonts w:hint="eastAsia" w:ascii="宋体" w:hAnsi="宋体" w:cs="宋体"/>
          <w:snapToGrid w:val="0"/>
          <w:color w:val="auto"/>
          <w:kern w:val="28"/>
          <w:sz w:val="24"/>
          <w:szCs w:val="20"/>
          <w:highlight w:val="none"/>
        </w:rPr>
        <w:t>；</w:t>
      </w:r>
    </w:p>
    <w:p w14:paraId="33A826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30E420">
      <w:pPr>
        <w:snapToGrid w:val="0"/>
        <w:spacing w:line="360" w:lineRule="auto"/>
        <w:ind w:firstLine="482" w:firstLineChars="200"/>
        <w:rPr>
          <w:rFonts w:ascii="宋体" w:hAnsi="宋体" w:cs="宋体"/>
          <w:b/>
          <w:bCs/>
          <w:snapToGrid w:val="0"/>
          <w:color w:val="auto"/>
          <w:kern w:val="28"/>
          <w:sz w:val="24"/>
          <w:szCs w:val="20"/>
          <w:highlight w:val="none"/>
        </w:rPr>
      </w:pPr>
      <w:r>
        <w:rPr>
          <w:rFonts w:hint="eastAsia" w:ascii="宋体" w:hAnsi="宋体" w:cs="宋体"/>
          <w:b/>
          <w:bCs/>
          <w:color w:val="auto"/>
          <w:sz w:val="24"/>
          <w:highlight w:val="none"/>
        </w:rPr>
        <w:t>11.1.4本项目的特定资格要求</w:t>
      </w:r>
      <w:r>
        <w:rPr>
          <w:rFonts w:hint="eastAsia" w:ascii="宋体" w:hAnsi="宋体" w:cs="宋体"/>
          <w:b/>
          <w:bCs/>
          <w:snapToGrid w:val="0"/>
          <w:color w:val="auto"/>
          <w:kern w:val="28"/>
          <w:sz w:val="24"/>
          <w:szCs w:val="20"/>
          <w:highlight w:val="none"/>
        </w:rPr>
        <w:t>（如果有）</w:t>
      </w:r>
      <w:r>
        <w:rPr>
          <w:rFonts w:hint="eastAsia" w:ascii="宋体" w:hAnsi="宋体" w:cs="宋体"/>
          <w:b/>
          <w:bCs/>
          <w:snapToGrid w:val="0"/>
          <w:color w:val="auto"/>
          <w:kern w:val="28"/>
          <w:sz w:val="24"/>
          <w:szCs w:val="20"/>
          <w:highlight w:val="none"/>
          <w:lang w:eastAsia="zh-CN"/>
        </w:rPr>
        <w:t>：</w:t>
      </w:r>
      <w:r>
        <w:rPr>
          <w:rFonts w:hint="eastAsia" w:ascii="宋体" w:hAnsi="宋体" w:cs="宋体"/>
          <w:b/>
          <w:bCs/>
          <w:color w:val="auto"/>
          <w:spacing w:val="8"/>
          <w:kern w:val="0"/>
          <w:sz w:val="24"/>
          <w:highlight w:val="none"/>
        </w:rPr>
        <w:t>具备</w:t>
      </w:r>
      <w:r>
        <w:rPr>
          <w:rFonts w:hint="eastAsia" w:ascii="宋体" w:hAnsi="宋体" w:cs="宋体"/>
          <w:b/>
          <w:bCs/>
          <w:color w:val="auto"/>
          <w:spacing w:val="8"/>
          <w:kern w:val="0"/>
          <w:sz w:val="24"/>
          <w:highlight w:val="none"/>
          <w:lang w:val="en-US" w:eastAsia="zh-CN"/>
        </w:rPr>
        <w:t>合法有效的</w:t>
      </w:r>
      <w:r>
        <w:rPr>
          <w:rFonts w:hint="eastAsia" w:ascii="宋体" w:hAnsi="宋体" w:cs="宋体"/>
          <w:b/>
          <w:bCs/>
          <w:color w:val="auto"/>
          <w:spacing w:val="8"/>
          <w:kern w:val="0"/>
          <w:sz w:val="24"/>
          <w:highlight w:val="none"/>
        </w:rPr>
        <w:t>营业执照</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rPr>
        <w:t>建设行政主管部门核发的建筑装修装饰工程专业承包贰级及以上资质、安全生产许可证（响应文件中须提供</w:t>
      </w:r>
      <w:r>
        <w:rPr>
          <w:rFonts w:hint="eastAsia" w:ascii="宋体" w:hAnsi="宋体" w:cs="宋体"/>
          <w:b/>
          <w:bCs/>
          <w:color w:val="auto"/>
          <w:spacing w:val="8"/>
          <w:kern w:val="0"/>
          <w:sz w:val="24"/>
          <w:highlight w:val="none"/>
          <w:lang w:val="en-US" w:eastAsia="zh-CN"/>
        </w:rPr>
        <w:t>营业执照、资质</w:t>
      </w:r>
      <w:r>
        <w:rPr>
          <w:rFonts w:hint="eastAsia" w:ascii="宋体" w:hAnsi="宋体" w:cs="宋体"/>
          <w:b/>
          <w:bCs/>
          <w:color w:val="auto"/>
          <w:spacing w:val="8"/>
          <w:kern w:val="0"/>
          <w:sz w:val="24"/>
          <w:highlight w:val="none"/>
        </w:rPr>
        <w:t>证书</w:t>
      </w:r>
      <w:r>
        <w:rPr>
          <w:rFonts w:hint="eastAsia" w:ascii="宋体" w:hAnsi="宋体" w:cs="宋体"/>
          <w:b/>
          <w:bCs/>
          <w:color w:val="auto"/>
          <w:spacing w:val="8"/>
          <w:kern w:val="0"/>
          <w:sz w:val="24"/>
          <w:highlight w:val="none"/>
          <w:lang w:eastAsia="zh-CN"/>
        </w:rPr>
        <w:t>、</w:t>
      </w:r>
      <w:r>
        <w:rPr>
          <w:rFonts w:hint="eastAsia" w:ascii="宋体" w:hAnsi="宋体" w:cs="宋体"/>
          <w:b/>
          <w:bCs/>
          <w:color w:val="auto"/>
          <w:spacing w:val="8"/>
          <w:kern w:val="0"/>
          <w:sz w:val="24"/>
          <w:highlight w:val="none"/>
          <w:lang w:val="en-US" w:eastAsia="zh-CN"/>
        </w:rPr>
        <w:t>安全生产许可证</w:t>
      </w:r>
      <w:r>
        <w:rPr>
          <w:rFonts w:hint="eastAsia" w:ascii="宋体" w:hAnsi="宋体" w:cs="宋体"/>
          <w:b/>
          <w:bCs/>
          <w:color w:val="auto"/>
          <w:spacing w:val="8"/>
          <w:kern w:val="0"/>
          <w:sz w:val="24"/>
          <w:highlight w:val="none"/>
        </w:rPr>
        <w:t>复印件加盖投标人公章）</w:t>
      </w:r>
      <w:r>
        <w:rPr>
          <w:rFonts w:hint="eastAsia" w:ascii="宋体" w:hAnsi="宋体" w:cs="宋体"/>
          <w:b/>
          <w:bCs/>
          <w:color w:val="auto"/>
          <w:spacing w:val="8"/>
          <w:kern w:val="0"/>
          <w:sz w:val="24"/>
          <w:highlight w:val="none"/>
          <w:lang w:eastAsia="zh-CN"/>
        </w:rPr>
        <w:t>。</w:t>
      </w:r>
    </w:p>
    <w:p w14:paraId="3E53FFA6">
      <w:pPr>
        <w:snapToGrid w:val="0"/>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11.1.</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中小企业声明函。</w:t>
      </w:r>
    </w:p>
    <w:p w14:paraId="342773A2">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B0DD3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CB3A4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A77F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11.2.3分包意向协议（如果有）（本项目不同意分包）；</w:t>
      </w:r>
    </w:p>
    <w:p w14:paraId="555B45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11.2.4符合</w:t>
      </w:r>
      <w:r>
        <w:rPr>
          <w:rFonts w:hint="eastAsia" w:ascii="宋体" w:hAnsi="宋体" w:eastAsia="宋体" w:cs="宋体"/>
          <w:color w:val="auto"/>
          <w:sz w:val="24"/>
          <w:highlight w:val="none"/>
        </w:rPr>
        <w:t>性审查资料；</w:t>
      </w:r>
    </w:p>
    <w:p w14:paraId="3B004E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11.2.5评审标准相应的商务技术资料；</w:t>
      </w:r>
    </w:p>
    <w:p w14:paraId="6B7996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725B3AEC">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7CB0ED2">
      <w:pPr>
        <w:snapToGrid w:val="0"/>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rPr>
        <w:t>11.</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zh-CN"/>
        </w:rPr>
        <w:t>.</w:t>
      </w:r>
      <w:r>
        <w:rPr>
          <w:rFonts w:hint="eastAsia" w:ascii="宋体" w:hAnsi="宋体" w:eastAsia="宋体" w:cs="宋体"/>
          <w:b w:val="0"/>
          <w:bCs w:val="0"/>
          <w:color w:val="auto"/>
          <w:sz w:val="24"/>
          <w:highlight w:val="none"/>
          <w:lang w:val="en-US" w:eastAsia="zh-CN"/>
        </w:rPr>
        <w:t>8主要材料品牌约定一览表</w:t>
      </w:r>
      <w:r>
        <w:rPr>
          <w:rFonts w:hint="eastAsia" w:ascii="宋体" w:hAnsi="宋体" w:cs="宋体"/>
          <w:b w:val="0"/>
          <w:bCs w:val="0"/>
          <w:color w:val="auto"/>
          <w:kern w:val="0"/>
          <w:sz w:val="24"/>
          <w:highlight w:val="none"/>
        </w:rPr>
        <w:t>。</w:t>
      </w:r>
    </w:p>
    <w:p w14:paraId="52D13BF3">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3728F0D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11.3.1报价单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初次报价</w:t>
      </w:r>
      <w:r>
        <w:rPr>
          <w:rFonts w:hint="eastAsia" w:ascii="宋体" w:hAnsi="宋体" w:cs="宋体"/>
          <w:color w:val="auto"/>
          <w:sz w:val="24"/>
          <w:highlight w:val="none"/>
          <w:lang w:eastAsia="zh-CN"/>
        </w:rPr>
        <w:t>）。</w:t>
      </w:r>
    </w:p>
    <w:p w14:paraId="676C0128">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响应文件含有采购人不能接受的附加条件的，响应文件无效；</w:t>
      </w:r>
    </w:p>
    <w:p w14:paraId="7CE09112">
      <w:pPr>
        <w:spacing w:line="360" w:lineRule="auto"/>
        <w:ind w:firstLine="480" w:firstLineChars="200"/>
        <w:rPr>
          <w:rFonts w:ascii="宋体" w:hAnsi="宋体" w:cs="宋体"/>
          <w:b w:val="0"/>
          <w:bCs/>
          <w:color w:val="auto"/>
          <w:sz w:val="24"/>
          <w:szCs w:val="21"/>
          <w:highlight w:val="none"/>
        </w:rPr>
      </w:pPr>
      <w:r>
        <w:rPr>
          <w:rFonts w:hint="eastAsia" w:ascii="宋体" w:hAnsi="宋体" w:cs="宋体"/>
          <w:b w:val="0"/>
          <w:bCs/>
          <w:color w:val="auto"/>
          <w:sz w:val="24"/>
          <w:highlight w:val="none"/>
        </w:rPr>
        <w:t>供应商提供虚假材料的，响应文件无效。</w:t>
      </w:r>
    </w:p>
    <w:p w14:paraId="3842A783">
      <w:pPr>
        <w:pStyle w:val="129"/>
        <w:snapToGrid w:val="0"/>
        <w:spacing w:before="0"/>
        <w:ind w:firstLine="482"/>
        <w:outlineLvl w:val="0"/>
        <w:rPr>
          <w:rFonts w:ascii="宋体" w:hAnsi="宋体" w:cs="宋体"/>
          <w:b/>
          <w:color w:val="auto"/>
          <w:szCs w:val="24"/>
          <w:highlight w:val="none"/>
        </w:rPr>
      </w:pPr>
      <w:bookmarkStart w:id="29" w:name="_Toc8830"/>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响应文件的编制（文件后缀为：jmbs）</w:t>
      </w:r>
      <w:bookmarkEnd w:id="29"/>
    </w:p>
    <w:p w14:paraId="7883334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w:t>
      </w:r>
      <w:r>
        <w:rPr>
          <w:rFonts w:hint="eastAsia" w:ascii="宋体" w:hAnsi="宋体" w:cs="宋体"/>
          <w:color w:val="auto"/>
          <w:kern w:val="0"/>
          <w:sz w:val="24"/>
          <w:highlight w:val="none"/>
          <w:u w:val="single"/>
          <w:lang w:val="zh-CN"/>
        </w:rPr>
        <w:t>资格文件、商务技术文件、报价文件</w:t>
      </w:r>
      <w:r>
        <w:rPr>
          <w:rFonts w:hint="eastAsia" w:ascii="宋体" w:hAnsi="宋体" w:cs="宋体"/>
          <w:color w:val="auto"/>
          <w:kern w:val="0"/>
          <w:sz w:val="24"/>
          <w:highlight w:val="none"/>
          <w:lang w:val="zh-CN"/>
        </w:rPr>
        <w:t>三部分。各供应商在编制响应文件时请按照招标文件第六部分规定的格式进行，混乱的编排导致响应文件被误读或磋商小组查找不到有效文件是供应商的风险。</w:t>
      </w:r>
    </w:p>
    <w:p w14:paraId="606A4CE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12.2供应商进行电子投标应安装客户端软件—“政采云电子交易客户端”，并按照招标文件和电子交易平台的要求编制并加密响应文件。供应商未按规定加密的响应文件，电子交易平台将拒收并提示。</w:t>
      </w:r>
    </w:p>
    <w:p w14:paraId="454547E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374F02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30261B5F">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w:t>
      </w:r>
      <w:r>
        <w:rPr>
          <w:rFonts w:hint="eastAsia" w:ascii="宋体" w:hAnsi="宋体" w:cs="宋体"/>
          <w:color w:val="auto"/>
          <w:szCs w:val="24"/>
          <w:highlight w:val="none"/>
          <w:lang w:eastAsia="zh-CN"/>
        </w:rPr>
        <w:t>招标文件</w:t>
      </w:r>
      <w:r>
        <w:rPr>
          <w:rFonts w:hint="eastAsia" w:ascii="宋体" w:hAnsi="宋体" w:cs="宋体"/>
          <w:color w:val="auto"/>
          <w:szCs w:val="24"/>
          <w:highlight w:val="none"/>
        </w:rPr>
        <w:t>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w:t>
      </w:r>
      <w:r>
        <w:rPr>
          <w:rFonts w:hint="eastAsia" w:ascii="宋体" w:hAnsi="宋体" w:cs="宋体"/>
          <w:b/>
          <w:color w:val="auto"/>
          <w:highlight w:val="none"/>
          <w:lang w:eastAsia="zh-CN"/>
        </w:rPr>
        <w:t>招标文件</w:t>
      </w:r>
      <w:r>
        <w:rPr>
          <w:rFonts w:hint="eastAsia" w:ascii="宋体" w:hAnsi="宋体" w:cs="宋体"/>
          <w:b/>
          <w:color w:val="auto"/>
          <w:highlight w:val="none"/>
        </w:rPr>
        <w:t>要求签署、盖章的，其响应文件无效</w:t>
      </w:r>
      <w:r>
        <w:rPr>
          <w:rFonts w:hint="eastAsia" w:ascii="宋体" w:hAnsi="宋体" w:cs="宋体"/>
          <w:color w:val="auto"/>
          <w:szCs w:val="24"/>
          <w:highlight w:val="none"/>
        </w:rPr>
        <w:t>。</w:t>
      </w:r>
    </w:p>
    <w:p w14:paraId="27FE874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72AF2F4C">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w:t>
      </w:r>
      <w:r>
        <w:rPr>
          <w:rFonts w:hint="eastAsia" w:ascii="宋体" w:hAnsi="宋体" w:cs="宋体"/>
          <w:color w:val="auto"/>
          <w:highlight w:val="none"/>
          <w:lang w:eastAsia="zh-CN"/>
        </w:rPr>
        <w:t>招标文件</w:t>
      </w:r>
      <w:r>
        <w:rPr>
          <w:rFonts w:hint="eastAsia" w:ascii="宋体" w:hAnsi="宋体" w:cs="宋体"/>
          <w:color w:val="auto"/>
          <w:highlight w:val="none"/>
        </w:rPr>
        <w:t>对响应文件签署、盖章的要求适用于电子签名。</w:t>
      </w:r>
    </w:p>
    <w:p w14:paraId="2F77E29C">
      <w:pPr>
        <w:pStyle w:val="129"/>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EFBF879">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D270DC3">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 在响应截止时间以后，不能补充、修改响应文件。</w:t>
      </w:r>
    </w:p>
    <w:p w14:paraId="68679F0F">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 在提交“最后报价”后，供应商不能退出磋商。</w:t>
      </w:r>
    </w:p>
    <w:p w14:paraId="19A0612E">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14.4电子交易平台收到响应文件，将妥善保存并即时向供应商发出确认回执通知。在响应文件提交（上传）截止时间前，除供应商补充、修改或者撤回响应文件外，任何单位和个人不得解密或提取响应文件。</w:t>
      </w:r>
    </w:p>
    <w:p w14:paraId="1F143476">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5A796EF">
      <w:pPr>
        <w:pStyle w:val="33"/>
        <w:snapToGrid w:val="0"/>
        <w:spacing w:line="360" w:lineRule="auto"/>
        <w:ind w:firstLine="480" w:firstLineChars="200"/>
        <w:rPr>
          <w:rFonts w:hAnsi="宋体" w:cs="宋体"/>
          <w:b w:val="0"/>
          <w:bCs/>
          <w:color w:val="auto"/>
          <w:sz w:val="24"/>
          <w:szCs w:val="24"/>
          <w:highlight w:val="none"/>
        </w:rPr>
      </w:pPr>
      <w:r>
        <w:rPr>
          <w:rFonts w:hint="eastAsia" w:hAnsi="宋体" w:cs="宋体"/>
          <w:b w:val="0"/>
          <w:bCs/>
          <w:color w:val="auto"/>
          <w:sz w:val="24"/>
          <w:szCs w:val="24"/>
          <w:highlight w:val="none"/>
        </w:rPr>
        <w:t>15.备份响应文件（文件后缀为：bfbs）</w:t>
      </w:r>
    </w:p>
    <w:p w14:paraId="1A81019F">
      <w:pPr>
        <w:pStyle w:val="33"/>
        <w:snapToGrid w:val="0"/>
        <w:spacing w:line="360" w:lineRule="auto"/>
        <w:ind w:firstLine="480" w:firstLineChars="200"/>
        <w:rPr>
          <w:rFonts w:hAnsi="宋体" w:cs="宋体"/>
          <w:b w:val="0"/>
          <w:bCs/>
          <w:color w:val="auto"/>
          <w:sz w:val="24"/>
          <w:szCs w:val="24"/>
          <w:highlight w:val="none"/>
        </w:rPr>
      </w:pPr>
      <w:r>
        <w:rPr>
          <w:rFonts w:hint="eastAsia" w:hAnsi="宋体" w:cs="宋体"/>
          <w:b w:val="0"/>
          <w:bCs/>
          <w:color w:val="auto"/>
          <w:sz w:val="24"/>
          <w:szCs w:val="24"/>
          <w:highlight w:val="none"/>
        </w:rPr>
        <w:t xml:space="preserve"> 15.1供应商在电子交易平台传输递交响应文件后，还可以在响应文件提交（上传）截止时间前直接提交或者以邮政快递方式递交备份响应文件1份，但采购人、采购代理机构不强制或变相强制供应商提交备份响应文件。</w:t>
      </w:r>
    </w:p>
    <w:p w14:paraId="2CCE2608">
      <w:pPr>
        <w:pStyle w:val="33"/>
        <w:snapToGrid w:val="0"/>
        <w:spacing w:line="360" w:lineRule="auto"/>
        <w:ind w:firstLine="480" w:firstLineChars="200"/>
        <w:rPr>
          <w:rFonts w:hAnsi="宋体" w:cs="宋体"/>
          <w:b w:val="0"/>
          <w:bCs/>
          <w:color w:val="auto"/>
          <w:sz w:val="24"/>
          <w:szCs w:val="24"/>
          <w:highlight w:val="none"/>
        </w:rPr>
      </w:pPr>
      <w:r>
        <w:rPr>
          <w:rFonts w:hint="eastAsia" w:hAnsi="宋体" w:cs="宋体"/>
          <w:color w:val="auto"/>
          <w:sz w:val="24"/>
          <w:szCs w:val="24"/>
          <w:highlight w:val="none"/>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val="0"/>
          <w:bCs/>
          <w:color w:val="auto"/>
          <w:sz w:val="24"/>
          <w:highlight w:val="none"/>
        </w:rPr>
        <w:t>不符合上述制作、</w:t>
      </w:r>
      <w:r>
        <w:rPr>
          <w:rFonts w:hint="eastAsia" w:hAnsi="宋体" w:cs="宋体"/>
          <w:b w:val="0"/>
          <w:bCs/>
          <w:color w:val="auto"/>
          <w:sz w:val="24"/>
          <w:szCs w:val="24"/>
          <w:highlight w:val="none"/>
        </w:rPr>
        <w:t>存储、密封规定的备份响应文件将被视为无效或者被拒绝接收。</w:t>
      </w:r>
    </w:p>
    <w:p w14:paraId="3075CABA">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15.3直接提交备份响应文件的，供应商应于响应截止时间前在磋商文件第三部分供应商须知前附表规定的地点将备份响应文件提交给采购代理机构，采购代理机构将拒绝接受逾期送达的备份响应文件。</w:t>
      </w:r>
    </w:p>
    <w:p w14:paraId="24AC51F4">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15.4以邮政快递方式递交备份响应文件的，供应商应先将备份响应文件按要求密封和标记，再进行邮政快递包装后邮寄。备份响应文件须按磋商文件第三部分供应商须知前附表规定时间和地点送达</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9BCE365">
      <w:pPr>
        <w:pStyle w:val="33"/>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2B3B3C90">
      <w:pPr>
        <w:pStyle w:val="129"/>
        <w:spacing w:before="0"/>
        <w:ind w:firstLine="482"/>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C9D8ECA">
      <w:pPr>
        <w:pStyle w:val="3"/>
        <w:spacing w:line="360" w:lineRule="auto"/>
        <w:rPr>
          <w:rFonts w:hint="eastAsia" w:eastAsia="宋体" w:cs="宋体"/>
          <w:color w:val="auto"/>
          <w:szCs w:val="21"/>
          <w:highlight w:val="none"/>
          <w:lang w:eastAsia="zh-CN"/>
        </w:rPr>
      </w:pPr>
      <w:r>
        <w:rPr>
          <w:rFonts w:hint="eastAsia" w:cs="宋体"/>
          <w:color w:val="auto"/>
          <w:szCs w:val="21"/>
          <w:highlight w:val="none"/>
        </w:rPr>
        <w:t>有</w:t>
      </w:r>
      <w:r>
        <w:rPr>
          <w:rFonts w:hint="eastAsia" w:cs="宋体"/>
          <w:color w:val="auto"/>
          <w:szCs w:val="21"/>
          <w:highlight w:val="none"/>
          <w:lang w:eastAsia="zh-CN"/>
        </w:rPr>
        <w:t>招标文件</w:t>
      </w:r>
      <w:r>
        <w:rPr>
          <w:rFonts w:hint="eastAsia" w:cs="宋体"/>
          <w:color w:val="auto"/>
          <w:szCs w:val="21"/>
          <w:highlight w:val="none"/>
        </w:rPr>
        <w:t>第四部分</w:t>
      </w:r>
      <w:r>
        <w:rPr>
          <w:rFonts w:hint="eastAsia" w:cs="宋体"/>
          <w:color w:val="auto"/>
          <w:highlight w:val="none"/>
        </w:rPr>
        <w:t>4.2规定</w:t>
      </w:r>
      <w:r>
        <w:rPr>
          <w:rFonts w:hint="eastAsia" w:cs="宋体"/>
          <w:color w:val="auto"/>
          <w:szCs w:val="21"/>
          <w:highlight w:val="none"/>
        </w:rPr>
        <w:t>的情形之一的，响应文件无效</w:t>
      </w:r>
      <w:r>
        <w:rPr>
          <w:rFonts w:hint="eastAsia" w:cs="宋体"/>
          <w:color w:val="auto"/>
          <w:szCs w:val="21"/>
          <w:highlight w:val="none"/>
          <w:lang w:eastAsia="zh-CN"/>
        </w:rPr>
        <w:t>。</w:t>
      </w:r>
    </w:p>
    <w:p w14:paraId="3B4C0B15">
      <w:pPr>
        <w:pStyle w:val="129"/>
        <w:spacing w:before="0"/>
        <w:ind w:firstLine="482"/>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57D81E9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w:t>
      </w:r>
      <w:r>
        <w:rPr>
          <w:rFonts w:hint="eastAsia" w:ascii="宋体" w:hAnsi="宋体" w:cs="宋体"/>
          <w:b/>
          <w:color w:val="auto"/>
          <w:sz w:val="24"/>
          <w:szCs w:val="21"/>
          <w:highlight w:val="none"/>
          <w:lang w:eastAsia="zh-CN"/>
        </w:rPr>
        <w:t>招标文件</w:t>
      </w:r>
      <w:r>
        <w:rPr>
          <w:rFonts w:hint="eastAsia" w:ascii="宋体" w:hAnsi="宋体" w:cs="宋体"/>
          <w:b/>
          <w:color w:val="auto"/>
          <w:sz w:val="24"/>
          <w:szCs w:val="21"/>
          <w:highlight w:val="none"/>
        </w:rPr>
        <w:t>中载明的响应文件有效期的，响应文件无效。</w:t>
      </w:r>
    </w:p>
    <w:p w14:paraId="42B82BA9">
      <w:pPr>
        <w:pStyle w:val="129"/>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2C7B6F8D">
      <w:pPr>
        <w:pStyle w:val="129"/>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7742448">
      <w:pPr>
        <w:snapToGrid w:val="0"/>
        <w:spacing w:line="360" w:lineRule="auto"/>
        <w:ind w:firstLine="643" w:firstLineChars="200"/>
        <w:jc w:val="center"/>
        <w:outlineLvl w:val="0"/>
        <w:rPr>
          <w:rFonts w:ascii="宋体" w:hAnsi="宋体" w:cs="宋体"/>
          <w:b/>
          <w:color w:val="auto"/>
          <w:sz w:val="32"/>
          <w:szCs w:val="20"/>
          <w:highlight w:val="none"/>
        </w:rPr>
      </w:pPr>
      <w:bookmarkStart w:id="30" w:name="_Toc25467"/>
      <w:r>
        <w:rPr>
          <w:rFonts w:hint="eastAsia" w:ascii="宋体" w:hAnsi="宋体" w:cs="宋体"/>
          <w:b/>
          <w:color w:val="auto"/>
          <w:sz w:val="32"/>
          <w:szCs w:val="20"/>
          <w:highlight w:val="none"/>
        </w:rPr>
        <w:t>四、响应文件开启、资格审查与信用信息查询</w:t>
      </w:r>
      <w:bookmarkEnd w:id="30"/>
    </w:p>
    <w:p w14:paraId="2DEE1D9D">
      <w:pPr>
        <w:pStyle w:val="555"/>
        <w:spacing w:before="0" w:line="360" w:lineRule="auto"/>
        <w:ind w:left="0" w:firstLine="482" w:firstLineChars="20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9167C51">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规定的时间通过电子交易平台组织响应文件开启，所有供应商均应当准时在线参加。供应商不足3家的，不得开启。</w:t>
      </w:r>
    </w:p>
    <w:p w14:paraId="227135CB">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的规定在半小时内完成在线解密。</w:t>
      </w:r>
    </w:p>
    <w:p w14:paraId="7C4D922B">
      <w:pPr>
        <w:pStyle w:val="555"/>
        <w:snapToGrid w:val="0"/>
        <w:spacing w:before="0" w:line="360" w:lineRule="auto"/>
        <w:ind w:left="0" w:firstLine="480" w:firstLineChars="20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18.3响应文件未按时解密，供应商提供了备份响应文件的，以备份响应文件作为依据，否则视为响应文件撤回。响应文件已按时解密的，备份响应文件自动失效。</w:t>
      </w:r>
    </w:p>
    <w:p w14:paraId="52902C0F">
      <w:pPr>
        <w:pStyle w:val="555"/>
        <w:spacing w:before="0" w:line="360" w:lineRule="auto"/>
        <w:ind w:left="0" w:firstLine="482" w:firstLineChars="20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DEAF3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磋商小组依据法律法规和</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的规定，对供应商的资格进行审查。</w:t>
      </w:r>
    </w:p>
    <w:p w14:paraId="00028487">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w:t>
      </w:r>
      <w:r>
        <w:rPr>
          <w:rFonts w:hint="eastAsia" w:ascii="宋体" w:hAnsi="宋体" w:cs="宋体"/>
          <w:color w:val="auto"/>
          <w:highlight w:val="none"/>
          <w:lang w:eastAsia="zh-CN"/>
        </w:rPr>
        <w:t>招标文件</w:t>
      </w:r>
      <w:r>
        <w:rPr>
          <w:rFonts w:hint="eastAsia" w:ascii="宋体" w:hAnsi="宋体" w:cs="宋体"/>
          <w:color w:val="auto"/>
          <w:highlight w:val="none"/>
        </w:rPr>
        <w:t>中规定的资格要求，其响应文件无效。</w:t>
      </w:r>
    </w:p>
    <w:p w14:paraId="48A319B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3DE960E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2D555FE5">
      <w:pPr>
        <w:pStyle w:val="129"/>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14:paraId="69142D0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7805F4E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491B598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20.3信用信息的使用规则：经查询列入失信被执行人名单、重大税收违法案件当事人名单（即：重大税收违法失信主体）、政府采购严重违法失信行为记录名单的供应商将被拒绝参与政府采购活动。</w:t>
      </w:r>
    </w:p>
    <w:p w14:paraId="18345CD7">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4029021">
      <w:pPr>
        <w:snapToGrid w:val="0"/>
        <w:spacing w:line="360" w:lineRule="auto"/>
        <w:ind w:firstLine="643" w:firstLineChars="200"/>
        <w:jc w:val="center"/>
        <w:outlineLvl w:val="0"/>
        <w:rPr>
          <w:rFonts w:ascii="宋体" w:hAnsi="宋体" w:cs="宋体"/>
          <w:b/>
          <w:color w:val="auto"/>
          <w:sz w:val="32"/>
          <w:szCs w:val="20"/>
          <w:highlight w:val="none"/>
        </w:rPr>
      </w:pPr>
      <w:bookmarkStart w:id="31" w:name="_Toc2054"/>
      <w:r>
        <w:rPr>
          <w:rFonts w:hint="eastAsia" w:ascii="宋体" w:hAnsi="宋体" w:cs="宋体"/>
          <w:b/>
          <w:color w:val="auto"/>
          <w:sz w:val="32"/>
          <w:szCs w:val="20"/>
          <w:highlight w:val="none"/>
        </w:rPr>
        <w:t>五、评审</w:t>
      </w:r>
      <w:bookmarkEnd w:id="31"/>
    </w:p>
    <w:p w14:paraId="0B7A4207">
      <w:pPr>
        <w:spacing w:line="360" w:lineRule="auto"/>
        <w:ind w:firstLine="482" w:firstLineChars="200"/>
        <w:rPr>
          <w:rFonts w:ascii="宋体" w:hAnsi="宋体" w:cs="宋体"/>
          <w:b/>
          <w:color w:val="auto"/>
          <w:sz w:val="24"/>
          <w:highlight w:val="none"/>
        </w:rPr>
      </w:pPr>
      <w:bookmarkStart w:id="3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和有关规定，履行评审工作职责，并按照评审方法及评分标准，全面衡量各供应商对</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的响应情况。对实质上响应</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的供应商，按照评审因素的量化指标排出推荐成交的供应商的先后顺序，并按顺序提出授标建议。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招标文件</w:t>
      </w:r>
      <w:r>
        <w:rPr>
          <w:rFonts w:hint="eastAsia" w:ascii="宋体" w:hAnsi="宋体" w:cs="宋体"/>
          <w:b/>
          <w:color w:val="auto"/>
          <w:sz w:val="24"/>
          <w:highlight w:val="none"/>
        </w:rPr>
        <w:t>第四部分评审办法。</w:t>
      </w:r>
    </w:p>
    <w:p w14:paraId="5F54E856">
      <w:pPr>
        <w:snapToGrid w:val="0"/>
        <w:spacing w:line="360" w:lineRule="auto"/>
        <w:ind w:firstLine="643" w:firstLineChars="200"/>
        <w:jc w:val="center"/>
        <w:outlineLvl w:val="0"/>
        <w:rPr>
          <w:rFonts w:ascii="宋体" w:hAnsi="宋体" w:cs="宋体"/>
          <w:b/>
          <w:color w:val="auto"/>
          <w:sz w:val="32"/>
          <w:szCs w:val="20"/>
          <w:highlight w:val="none"/>
        </w:rPr>
      </w:pPr>
      <w:bookmarkStart w:id="33" w:name="_Toc15567"/>
      <w:r>
        <w:rPr>
          <w:rFonts w:hint="eastAsia" w:ascii="宋体" w:hAnsi="宋体" w:cs="宋体"/>
          <w:b/>
          <w:color w:val="auto"/>
          <w:sz w:val="32"/>
          <w:szCs w:val="20"/>
          <w:highlight w:val="none"/>
        </w:rPr>
        <w:t>六、成交供应商确定</w:t>
      </w:r>
      <w:bookmarkEnd w:id="33"/>
    </w:p>
    <w:p w14:paraId="7948548E">
      <w:pPr>
        <w:pStyle w:val="3"/>
        <w:spacing w:line="360" w:lineRule="auto"/>
        <w:ind w:left="479" w:firstLine="482"/>
        <w:rPr>
          <w:rFonts w:cs="宋体"/>
          <w:b/>
          <w:color w:val="auto"/>
          <w:highlight w:val="none"/>
        </w:rPr>
      </w:pPr>
      <w:r>
        <w:rPr>
          <w:rFonts w:hint="eastAsia" w:cs="宋体"/>
          <w:b/>
          <w:color w:val="auto"/>
          <w:highlight w:val="none"/>
        </w:rPr>
        <w:t>22. 确定成交供应商</w:t>
      </w:r>
    </w:p>
    <w:p w14:paraId="629DB37A">
      <w:pPr>
        <w:pStyle w:val="129"/>
        <w:snapToGrid w:val="0"/>
        <w:spacing w:before="0"/>
        <w:ind w:firstLine="480"/>
        <w:rPr>
          <w:rFonts w:ascii="宋体" w:hAnsi="宋体" w:cs="宋体"/>
          <w:b w:val="0"/>
          <w:bCs w:val="0"/>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w:t>
      </w:r>
      <w:r>
        <w:rPr>
          <w:rFonts w:hint="eastAsia" w:ascii="宋体" w:hAnsi="宋体" w:cs="宋体"/>
          <w:b w:val="0"/>
          <w:bCs w:val="0"/>
          <w:color w:val="auto"/>
          <w:szCs w:val="24"/>
          <w:highlight w:val="none"/>
        </w:rPr>
        <w:t>出。</w:t>
      </w:r>
      <w:r>
        <w:rPr>
          <w:rFonts w:hint="eastAsia" w:ascii="宋体" w:hAnsi="宋体" w:cs="宋体"/>
          <w:b w:val="0"/>
          <w:bCs w:val="0"/>
          <w:color w:val="auto"/>
          <w:highlight w:val="none"/>
        </w:rPr>
        <w:t>注：按评审后得分由高到低顺序确定1名成交人。</w:t>
      </w:r>
    </w:p>
    <w:p w14:paraId="5484738F">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1A3FD6E">
      <w:pPr>
        <w:pStyle w:val="129"/>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6EF958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23.1自成交供应商确定之日起2个工作日内，采购代理机构通过电子交易平台向成交供应商发出成交通知书，同时编制发布采购结果公告。采购代理机构也可以以纸质形式进行成交通知。</w:t>
      </w:r>
    </w:p>
    <w:p w14:paraId="5CFF01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E1E3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C7E8EF6">
      <w:pPr>
        <w:snapToGrid w:val="0"/>
        <w:spacing w:line="360" w:lineRule="auto"/>
        <w:ind w:firstLine="643" w:firstLineChars="200"/>
        <w:jc w:val="center"/>
        <w:outlineLvl w:val="0"/>
        <w:rPr>
          <w:rFonts w:ascii="宋体" w:hAnsi="宋体" w:cs="宋体"/>
          <w:b/>
          <w:color w:val="auto"/>
          <w:sz w:val="32"/>
          <w:szCs w:val="20"/>
          <w:highlight w:val="none"/>
        </w:rPr>
      </w:pPr>
      <w:bookmarkStart w:id="34" w:name="_Toc27747"/>
      <w:r>
        <w:rPr>
          <w:rFonts w:hint="eastAsia" w:ascii="宋体" w:hAnsi="宋体" w:cs="宋体"/>
          <w:b/>
          <w:color w:val="auto"/>
          <w:sz w:val="32"/>
          <w:szCs w:val="20"/>
          <w:highlight w:val="none"/>
        </w:rPr>
        <w:t>七、合同授予</w:t>
      </w:r>
      <w:bookmarkEnd w:id="34"/>
    </w:p>
    <w:p w14:paraId="3F65FC5A">
      <w:pPr>
        <w:pStyle w:val="3"/>
        <w:snapToGrid w:val="0"/>
        <w:spacing w:line="360" w:lineRule="auto"/>
        <w:ind w:firstLine="482"/>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072E03DB">
      <w:pPr>
        <w:pStyle w:val="3"/>
        <w:snapToGrid w:val="0"/>
        <w:spacing w:line="360" w:lineRule="auto"/>
        <w:ind w:firstLine="482"/>
        <w:rPr>
          <w:rFonts w:cs="宋体"/>
          <w:b/>
          <w:color w:val="auto"/>
          <w:highlight w:val="none"/>
        </w:rPr>
      </w:pPr>
      <w:r>
        <w:rPr>
          <w:rFonts w:hint="eastAsia" w:cs="宋体"/>
          <w:b/>
          <w:color w:val="auto"/>
          <w:highlight w:val="none"/>
        </w:rPr>
        <w:t>25.合同的签订</w:t>
      </w:r>
    </w:p>
    <w:p w14:paraId="2F0487E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采购人与成交供应商应当通过电子交易平台在成交通知书发出之日起三十日内，按照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日内，与成交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3680CB8F">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38E0B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32AFB7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招标代理服务费、评审专家劳务报酬等相关费用。</w:t>
      </w:r>
    </w:p>
    <w:p w14:paraId="1C88A40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w:t>
      </w:r>
      <w:r>
        <w:rPr>
          <w:rFonts w:hint="eastAsia" w:ascii="宋体" w:hAnsi="宋体" w:cs="宋体"/>
          <w:color w:val="auto"/>
          <w:highlight w:val="none"/>
          <w:lang w:eastAsia="zh-CN"/>
        </w:rPr>
        <w:t>招标文件</w:t>
      </w:r>
      <w:r>
        <w:rPr>
          <w:rFonts w:hint="eastAsia" w:ascii="宋体" w:hAnsi="宋体" w:cs="宋体"/>
          <w:color w:val="auto"/>
          <w:highlight w:val="none"/>
        </w:rPr>
        <w:t>、响应文件等内容通过政府采购电子交易平台在线签订，自动备案。</w:t>
      </w:r>
    </w:p>
    <w:p w14:paraId="4AD5C991">
      <w:pPr>
        <w:pStyle w:val="3"/>
        <w:snapToGrid w:val="0"/>
        <w:spacing w:line="360" w:lineRule="auto"/>
        <w:ind w:firstLine="482"/>
        <w:rPr>
          <w:rFonts w:cs="宋体"/>
          <w:b/>
          <w:color w:val="auto"/>
          <w:highlight w:val="none"/>
        </w:rPr>
      </w:pPr>
      <w:r>
        <w:rPr>
          <w:rFonts w:hint="eastAsia" w:cs="宋体"/>
          <w:b/>
          <w:color w:val="auto"/>
          <w:highlight w:val="none"/>
        </w:rPr>
        <w:t>26.履约保证金</w:t>
      </w:r>
    </w:p>
    <w:p w14:paraId="17EE615E">
      <w:pPr>
        <w:tabs>
          <w:tab w:val="left" w:pos="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确需收取履约保证金的，履约保证金缴纳最高比例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0A100460">
      <w:pPr>
        <w:pStyle w:val="5"/>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1ADBCA">
      <w:pPr>
        <w:pStyle w:val="5"/>
        <w:ind w:left="434" w:leftChars="202" w:hanging="10" w:hangingChars="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52CF44B3">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61168762">
      <w:pPr>
        <w:snapToGrid w:val="0"/>
        <w:spacing w:line="360" w:lineRule="auto"/>
        <w:ind w:firstLine="643" w:firstLineChars="200"/>
        <w:jc w:val="center"/>
        <w:outlineLvl w:val="0"/>
        <w:rPr>
          <w:rFonts w:ascii="宋体" w:hAnsi="宋体" w:cs="宋体"/>
          <w:b/>
          <w:color w:val="auto"/>
          <w:sz w:val="32"/>
          <w:szCs w:val="20"/>
          <w:highlight w:val="none"/>
        </w:rPr>
      </w:pPr>
      <w:bookmarkStart w:id="35" w:name="_Toc5199"/>
      <w:r>
        <w:rPr>
          <w:rFonts w:hint="eastAsia" w:ascii="宋体" w:hAnsi="宋体" w:cs="宋体"/>
          <w:b/>
          <w:color w:val="auto"/>
          <w:sz w:val="32"/>
          <w:szCs w:val="20"/>
          <w:highlight w:val="none"/>
        </w:rPr>
        <w:t>八、电子交易活动的中止</w:t>
      </w:r>
      <w:bookmarkEnd w:id="35"/>
    </w:p>
    <w:p w14:paraId="6C526911">
      <w:pPr>
        <w:pStyle w:val="129"/>
        <w:snapToGrid w:val="0"/>
        <w:spacing w:before="0"/>
        <w:ind w:firstLine="482"/>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AC860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ED130A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441EE0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6B19D7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177012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23FA78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8E59D31">
      <w:pPr>
        <w:snapToGrid w:val="0"/>
        <w:spacing w:line="360" w:lineRule="auto"/>
        <w:ind w:firstLine="643" w:firstLineChars="200"/>
        <w:jc w:val="center"/>
        <w:outlineLvl w:val="0"/>
        <w:rPr>
          <w:rFonts w:ascii="宋体" w:hAnsi="宋体" w:cs="宋体"/>
          <w:b/>
          <w:color w:val="auto"/>
          <w:sz w:val="32"/>
          <w:szCs w:val="20"/>
          <w:highlight w:val="none"/>
        </w:rPr>
      </w:pPr>
      <w:bookmarkStart w:id="36" w:name="_Toc22338"/>
      <w:r>
        <w:rPr>
          <w:rFonts w:hint="eastAsia" w:ascii="宋体" w:hAnsi="宋体" w:cs="宋体"/>
          <w:b/>
          <w:color w:val="auto"/>
          <w:sz w:val="32"/>
          <w:szCs w:val="20"/>
          <w:highlight w:val="none"/>
        </w:rPr>
        <w:t>九、验收</w:t>
      </w:r>
      <w:bookmarkEnd w:id="36"/>
    </w:p>
    <w:p w14:paraId="00E21448">
      <w:pPr>
        <w:pStyle w:val="3"/>
        <w:spacing w:line="360" w:lineRule="auto"/>
        <w:ind w:firstLine="482"/>
        <w:rPr>
          <w:rFonts w:cs="宋体"/>
          <w:b/>
          <w:color w:val="auto"/>
          <w:highlight w:val="none"/>
        </w:rPr>
      </w:pPr>
      <w:r>
        <w:rPr>
          <w:rFonts w:hint="eastAsia" w:cs="宋体"/>
          <w:b/>
          <w:color w:val="auto"/>
          <w:highlight w:val="none"/>
        </w:rPr>
        <w:t>30.验收</w:t>
      </w:r>
    </w:p>
    <w:p w14:paraId="1A9E6D5A">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A2870F">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0E95D86A">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6C5B9B">
      <w:pPr>
        <w:tabs>
          <w:tab w:val="left" w:pos="0"/>
        </w:tabs>
        <w:spacing w:line="360" w:lineRule="auto"/>
        <w:ind w:firstLine="480" w:firstLineChars="20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p w14:paraId="505023EE">
      <w:pPr>
        <w:tabs>
          <w:tab w:val="left" w:pos="0"/>
        </w:tabs>
        <w:spacing w:line="360" w:lineRule="auto"/>
        <w:ind w:firstLine="480" w:firstLineChars="200"/>
        <w:rPr>
          <w:rFonts w:ascii="宋体" w:hAnsi="宋体" w:cs="宋体"/>
          <w:color w:val="auto"/>
          <w:kern w:val="0"/>
          <w:sz w:val="24"/>
          <w:highlight w:val="none"/>
        </w:rPr>
      </w:pPr>
      <w:bookmarkStart w:id="37" w:name="_Hlt74730295"/>
      <w:bookmarkEnd w:id="37"/>
      <w:bookmarkStart w:id="38" w:name="_Hlt75236290"/>
      <w:bookmarkEnd w:id="38"/>
      <w:bookmarkStart w:id="39" w:name="_Hlt74714665"/>
      <w:bookmarkEnd w:id="39"/>
      <w:bookmarkStart w:id="40" w:name="_Hlt68072998"/>
      <w:bookmarkEnd w:id="40"/>
      <w:bookmarkStart w:id="41" w:name="_Hlt68057669"/>
      <w:bookmarkEnd w:id="41"/>
      <w:bookmarkStart w:id="42" w:name="_Hlt75236011"/>
      <w:bookmarkEnd w:id="42"/>
      <w:bookmarkStart w:id="43" w:name="_Hlt75236101"/>
      <w:bookmarkEnd w:id="43"/>
      <w:bookmarkStart w:id="44" w:name="_Hlt74729768"/>
      <w:bookmarkEnd w:id="44"/>
      <w:bookmarkStart w:id="45" w:name="_Hlt68073093"/>
      <w:bookmarkEnd w:id="45"/>
      <w:bookmarkStart w:id="46" w:name="_Hlt74707468"/>
      <w:bookmarkEnd w:id="46"/>
      <w:bookmarkStart w:id="47" w:name="_Hlt68072990"/>
      <w:bookmarkEnd w:id="47"/>
      <w:bookmarkStart w:id="48" w:name="_Hlt68403820"/>
      <w:bookmarkEnd w:id="48"/>
    </w:p>
    <w:p w14:paraId="15772933">
      <w:pPr>
        <w:pStyle w:val="25"/>
        <w:ind w:firstLine="480" w:firstLineChars="200"/>
        <w:rPr>
          <w:rFonts w:hAnsi="宋体" w:cs="宋体"/>
          <w:color w:val="auto"/>
          <w:kern w:val="0"/>
          <w:highlight w:val="none"/>
        </w:rPr>
      </w:pPr>
    </w:p>
    <w:p w14:paraId="19BD77F2">
      <w:pPr>
        <w:pStyle w:val="61"/>
        <w:ind w:firstLine="480" w:firstLineChars="200"/>
        <w:rPr>
          <w:rFonts w:hAnsi="宋体" w:cs="宋体"/>
          <w:color w:val="auto"/>
          <w:highlight w:val="none"/>
        </w:rPr>
        <w:sectPr>
          <w:headerReference r:id="rId4" w:type="first"/>
          <w:footerReference r:id="rId6" w:type="first"/>
          <w:headerReference r:id="rId3" w:type="default"/>
          <w:footerReference r:id="rId5" w:type="default"/>
          <w:pgSz w:w="11905" w:h="16838"/>
          <w:pgMar w:top="1417" w:right="1417" w:bottom="1417" w:left="1417" w:header="850" w:footer="992" w:gutter="0"/>
          <w:cols w:space="0" w:num="1"/>
          <w:titlePg/>
          <w:rtlGutter w:val="0"/>
          <w:docGrid w:linePitch="312" w:charSpace="0"/>
        </w:sectPr>
      </w:pPr>
    </w:p>
    <w:bookmarkEnd w:id="20"/>
    <w:bookmarkEnd w:id="21"/>
    <w:p w14:paraId="6606FBAA">
      <w:pPr>
        <w:pStyle w:val="33"/>
        <w:spacing w:line="360" w:lineRule="auto"/>
        <w:ind w:firstLine="723" w:firstLineChars="200"/>
        <w:jc w:val="center"/>
        <w:outlineLvl w:val="0"/>
        <w:rPr>
          <w:rFonts w:hAnsi="宋体" w:cs="宋体"/>
          <w:b/>
          <w:snapToGrid/>
          <w:color w:val="auto"/>
          <w:sz w:val="36"/>
          <w:szCs w:val="20"/>
          <w:highlight w:val="none"/>
        </w:rPr>
      </w:pPr>
      <w:bookmarkStart w:id="49" w:name="_Toc561"/>
      <w:bookmarkStart w:id="50" w:name="第四部分"/>
      <w:r>
        <w:rPr>
          <w:rFonts w:hint="eastAsia" w:hAnsi="宋体" w:cs="宋体"/>
          <w:b/>
          <w:snapToGrid/>
          <w:color w:val="auto"/>
          <w:sz w:val="36"/>
          <w:szCs w:val="20"/>
          <w:highlight w:val="none"/>
        </w:rPr>
        <w:t>第三部分 采购需求</w:t>
      </w:r>
      <w:bookmarkEnd w:id="49"/>
    </w:p>
    <w:p w14:paraId="21C4718B">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一、重要商务条款一览表</w:t>
      </w:r>
    </w:p>
    <w:tbl>
      <w:tblPr>
        <w:tblStyle w:val="62"/>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7008"/>
      </w:tblGrid>
      <w:tr w14:paraId="5BE90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2107" w:type="dxa"/>
            <w:tcBorders>
              <w:top w:val="single" w:color="auto" w:sz="4" w:space="0"/>
              <w:left w:val="single" w:color="auto" w:sz="4" w:space="0"/>
              <w:bottom w:val="single" w:color="auto" w:sz="4" w:space="0"/>
              <w:right w:val="single" w:color="auto" w:sz="4" w:space="0"/>
            </w:tcBorders>
            <w:vAlign w:val="center"/>
          </w:tcPr>
          <w:p w14:paraId="4F1898EA">
            <w:pPr>
              <w:jc w:val="center"/>
              <w:rPr>
                <w:rFonts w:ascii="宋体" w:hAnsi="宋体" w:cs="宋体"/>
                <w:b/>
                <w:bCs/>
                <w:color w:val="auto"/>
                <w:sz w:val="24"/>
                <w:highlight w:val="none"/>
              </w:rPr>
            </w:pPr>
            <w:r>
              <w:rPr>
                <w:rFonts w:hint="eastAsia" w:ascii="宋体" w:hAnsi="宋体" w:cs="宋体"/>
                <w:b/>
                <w:bCs/>
                <w:color w:val="auto"/>
                <w:sz w:val="24"/>
                <w:highlight w:val="none"/>
              </w:rPr>
              <w:t>1、合同履约期限</w:t>
            </w:r>
          </w:p>
        </w:tc>
        <w:tc>
          <w:tcPr>
            <w:tcW w:w="7008" w:type="dxa"/>
            <w:tcBorders>
              <w:top w:val="single" w:color="auto" w:sz="4" w:space="0"/>
              <w:left w:val="single" w:color="auto" w:sz="4" w:space="0"/>
              <w:bottom w:val="single" w:color="auto" w:sz="4" w:space="0"/>
              <w:right w:val="single" w:color="auto" w:sz="4" w:space="0"/>
            </w:tcBorders>
            <w:vAlign w:val="center"/>
          </w:tcPr>
          <w:p w14:paraId="41915AE8">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详见“第一部分  竞争性磋商公告”。</w:t>
            </w:r>
          </w:p>
        </w:tc>
      </w:tr>
      <w:tr w14:paraId="39C22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atLeast"/>
          <w:jc w:val="center"/>
        </w:trPr>
        <w:tc>
          <w:tcPr>
            <w:tcW w:w="2107" w:type="dxa"/>
            <w:tcBorders>
              <w:top w:val="single" w:color="auto" w:sz="4" w:space="0"/>
              <w:left w:val="single" w:color="auto" w:sz="4" w:space="0"/>
              <w:right w:val="single" w:color="auto" w:sz="4" w:space="0"/>
            </w:tcBorders>
            <w:vAlign w:val="center"/>
          </w:tcPr>
          <w:p w14:paraId="4CBF84F8">
            <w:pPr>
              <w:jc w:val="center"/>
              <w:rPr>
                <w:rFonts w:ascii="宋体" w:hAnsi="宋体" w:cs="宋体"/>
                <w:b/>
                <w:bCs/>
                <w:color w:val="auto"/>
                <w:sz w:val="24"/>
                <w:highlight w:val="none"/>
              </w:rPr>
            </w:pPr>
            <w:r>
              <w:rPr>
                <w:rFonts w:hint="eastAsia" w:ascii="宋体" w:hAnsi="宋体" w:cs="宋体"/>
                <w:b/>
                <w:bCs/>
                <w:color w:val="auto"/>
                <w:sz w:val="24"/>
                <w:highlight w:val="none"/>
              </w:rPr>
              <w:t>2、服务地点</w:t>
            </w:r>
          </w:p>
        </w:tc>
        <w:tc>
          <w:tcPr>
            <w:tcW w:w="7008" w:type="dxa"/>
            <w:tcBorders>
              <w:top w:val="single" w:color="auto" w:sz="4" w:space="0"/>
              <w:left w:val="single" w:color="auto" w:sz="4" w:space="0"/>
              <w:bottom w:val="single" w:color="auto" w:sz="4" w:space="0"/>
              <w:right w:val="single" w:color="auto" w:sz="4" w:space="0"/>
            </w:tcBorders>
            <w:vAlign w:val="center"/>
          </w:tcPr>
          <w:p w14:paraId="1DC8A2B2">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采购人指定地点。</w:t>
            </w:r>
          </w:p>
        </w:tc>
      </w:tr>
      <w:tr w14:paraId="5BA12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7" w:type="dxa"/>
            <w:tcBorders>
              <w:top w:val="single" w:color="auto" w:sz="4" w:space="0"/>
              <w:left w:val="single" w:color="auto" w:sz="4" w:space="0"/>
              <w:right w:val="single" w:color="auto" w:sz="4" w:space="0"/>
            </w:tcBorders>
            <w:vAlign w:val="center"/>
          </w:tcPr>
          <w:p w14:paraId="54532F16">
            <w:pPr>
              <w:jc w:val="center"/>
              <w:rPr>
                <w:rFonts w:ascii="宋体" w:hAnsi="宋体" w:cs="宋体"/>
                <w:b/>
                <w:bCs/>
                <w:color w:val="auto"/>
                <w:sz w:val="24"/>
                <w:highlight w:val="none"/>
              </w:rPr>
            </w:pPr>
            <w:r>
              <w:rPr>
                <w:rFonts w:hint="eastAsia" w:ascii="宋体" w:hAnsi="宋体" w:cs="宋体"/>
                <w:b/>
                <w:bCs/>
                <w:color w:val="auto"/>
                <w:sz w:val="24"/>
                <w:highlight w:val="none"/>
              </w:rPr>
              <w:t>3、履约保证金</w:t>
            </w:r>
          </w:p>
        </w:tc>
        <w:tc>
          <w:tcPr>
            <w:tcW w:w="7008" w:type="dxa"/>
            <w:tcBorders>
              <w:top w:val="single" w:color="auto" w:sz="4" w:space="0"/>
              <w:left w:val="single" w:color="auto" w:sz="4" w:space="0"/>
              <w:bottom w:val="single" w:color="auto" w:sz="4" w:space="0"/>
              <w:right w:val="single" w:color="auto" w:sz="4" w:space="0"/>
            </w:tcBorders>
            <w:vAlign w:val="center"/>
          </w:tcPr>
          <w:p w14:paraId="33BFD3D4">
            <w:pPr>
              <w:adjustRightInd/>
              <w:spacing w:line="360" w:lineRule="auto"/>
              <w:jc w:val="left"/>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本项目不收取履约保证金</w:t>
            </w:r>
            <w:r>
              <w:rPr>
                <w:rFonts w:hint="eastAsia" w:ascii="宋体" w:hAnsi="宋体" w:cs="宋体"/>
                <w:color w:val="auto"/>
                <w:sz w:val="24"/>
                <w:highlight w:val="none"/>
                <w:lang w:eastAsia="zh-CN"/>
              </w:rPr>
              <w:t>。</w:t>
            </w:r>
          </w:p>
        </w:tc>
      </w:tr>
      <w:tr w14:paraId="42CCD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7" w:type="dxa"/>
            <w:tcBorders>
              <w:top w:val="single" w:color="auto" w:sz="4" w:space="0"/>
              <w:left w:val="single" w:color="auto" w:sz="4" w:space="0"/>
              <w:bottom w:val="single" w:color="auto" w:sz="4" w:space="0"/>
              <w:right w:val="single" w:color="auto" w:sz="4" w:space="0"/>
            </w:tcBorders>
            <w:vAlign w:val="center"/>
          </w:tcPr>
          <w:p w14:paraId="13B04C74">
            <w:pPr>
              <w:jc w:val="center"/>
              <w:rPr>
                <w:rFonts w:ascii="宋体" w:hAnsi="宋体" w:cs="宋体"/>
                <w:b/>
                <w:bCs/>
                <w:color w:val="auto"/>
                <w:sz w:val="24"/>
                <w:highlight w:val="none"/>
              </w:rPr>
            </w:pPr>
            <w:r>
              <w:rPr>
                <w:rFonts w:hint="eastAsia" w:ascii="宋体" w:hAnsi="宋体" w:cs="宋体"/>
                <w:b/>
                <w:bCs/>
                <w:color w:val="auto"/>
                <w:sz w:val="24"/>
                <w:highlight w:val="none"/>
              </w:rPr>
              <w:t>4、付款方式</w:t>
            </w:r>
          </w:p>
        </w:tc>
        <w:tc>
          <w:tcPr>
            <w:tcW w:w="7008" w:type="dxa"/>
            <w:tcBorders>
              <w:top w:val="single" w:color="auto" w:sz="4" w:space="0"/>
              <w:left w:val="single" w:color="auto" w:sz="4" w:space="0"/>
              <w:bottom w:val="single" w:color="auto" w:sz="4" w:space="0"/>
              <w:right w:val="single" w:color="auto" w:sz="4" w:space="0"/>
            </w:tcBorders>
            <w:vAlign w:val="center"/>
          </w:tcPr>
          <w:p w14:paraId="5C3047D4">
            <w:pPr>
              <w:widowControl w:val="0"/>
              <w:adjustRightInd w:val="0"/>
              <w:snapToGrid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合同签订且乙方向甲方提交同等金额的预付款保函、具备实施条件后7个工作日内，甲方向乙方支付合同总价的40%。（如在签订合同时，乙方表示无需预付款或主动要求降低预付款比例的，甲方可不适用前述规定）。</w:t>
            </w:r>
          </w:p>
          <w:p w14:paraId="45EF4481">
            <w:pPr>
              <w:widowControl w:val="0"/>
              <w:adjustRightInd w:val="0"/>
              <w:snapToGrid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待工程竣工验收合格（包含室内环境检测合格）</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提交完整的竣工资料、竣工图和结算资料后，甲方向乙方支付至（合同价款与实际完成工程量价款两者较小）85%。</w:t>
            </w:r>
          </w:p>
          <w:p w14:paraId="626DCC49">
            <w:pPr>
              <w:widowControl w:val="0"/>
              <w:adjustRightInd w:val="0"/>
              <w:snapToGrid w:val="0"/>
              <w:spacing w:line="360" w:lineRule="auto"/>
              <w:jc w:val="both"/>
              <w:rPr>
                <w:rFonts w:ascii="宋体" w:hAnsi="宋体" w:cs="宋体"/>
                <w:color w:val="auto"/>
                <w:sz w:val="24"/>
                <w:highlight w:val="none"/>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工程审计结算完成且乙方提供全额增值税发票后，甲方向乙方支付至工程结算价的100%。</w:t>
            </w:r>
          </w:p>
        </w:tc>
      </w:tr>
      <w:tr w14:paraId="4FFBE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7" w:type="dxa"/>
            <w:tcBorders>
              <w:top w:val="single" w:color="auto" w:sz="4" w:space="0"/>
              <w:left w:val="single" w:color="auto" w:sz="4" w:space="0"/>
              <w:bottom w:val="single" w:color="auto" w:sz="4" w:space="0"/>
              <w:right w:val="single" w:color="auto" w:sz="4" w:space="0"/>
            </w:tcBorders>
            <w:vAlign w:val="center"/>
          </w:tcPr>
          <w:p w14:paraId="4BEABD5D">
            <w:pPr>
              <w:jc w:val="center"/>
              <w:rPr>
                <w:rFonts w:ascii="宋体" w:hAnsi="宋体" w:cs="宋体"/>
                <w:b/>
                <w:bCs/>
                <w:color w:val="auto"/>
                <w:sz w:val="24"/>
                <w:highlight w:val="none"/>
              </w:rPr>
            </w:pPr>
            <w:r>
              <w:rPr>
                <w:rFonts w:hint="eastAsia" w:ascii="宋体" w:hAnsi="宋体" w:cs="宋体"/>
                <w:b/>
                <w:bCs/>
                <w:color w:val="auto"/>
                <w:sz w:val="24"/>
                <w:highlight w:val="none"/>
              </w:rPr>
              <w:t>5、质量保修期</w:t>
            </w:r>
          </w:p>
        </w:tc>
        <w:tc>
          <w:tcPr>
            <w:tcW w:w="7008" w:type="dxa"/>
            <w:tcBorders>
              <w:top w:val="single" w:color="auto" w:sz="4" w:space="0"/>
              <w:left w:val="single" w:color="auto" w:sz="4" w:space="0"/>
              <w:bottom w:val="single" w:color="auto" w:sz="4" w:space="0"/>
              <w:right w:val="single" w:color="auto" w:sz="4" w:space="0"/>
            </w:tcBorders>
            <w:vAlign w:val="center"/>
          </w:tcPr>
          <w:p w14:paraId="37C8F656">
            <w:pPr>
              <w:adjustRightInd/>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1、质量保修期不少于2年。质量保修期从采购人批准的竣工验收通过之日起计算。</w:t>
            </w:r>
          </w:p>
          <w:p w14:paraId="59DA94C2">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2、质量保修期内供应商须免费负责修理和替换任何由于改造、配件自身的质量问题造成的损坏。</w:t>
            </w:r>
          </w:p>
        </w:tc>
      </w:tr>
      <w:tr w14:paraId="12208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7" w:type="dxa"/>
            <w:tcBorders>
              <w:top w:val="single" w:color="auto" w:sz="4" w:space="0"/>
              <w:left w:val="single" w:color="auto" w:sz="4" w:space="0"/>
              <w:bottom w:val="single" w:color="auto" w:sz="4" w:space="0"/>
              <w:right w:val="single" w:color="auto" w:sz="4" w:space="0"/>
            </w:tcBorders>
            <w:vAlign w:val="center"/>
          </w:tcPr>
          <w:p w14:paraId="39F3761E">
            <w:pPr>
              <w:jc w:val="center"/>
              <w:rPr>
                <w:rFonts w:ascii="宋体" w:hAnsi="宋体" w:cs="宋体"/>
                <w:b/>
                <w:bCs/>
                <w:color w:val="auto"/>
                <w:sz w:val="24"/>
                <w:highlight w:val="none"/>
              </w:rPr>
            </w:pPr>
            <w:r>
              <w:rPr>
                <w:rFonts w:hint="eastAsia" w:ascii="宋体" w:hAnsi="宋体" w:cs="宋体"/>
                <w:b/>
                <w:bCs/>
                <w:color w:val="auto"/>
                <w:sz w:val="24"/>
                <w:highlight w:val="none"/>
              </w:rPr>
              <w:t>6、免费维修的响应期限</w:t>
            </w:r>
          </w:p>
        </w:tc>
        <w:tc>
          <w:tcPr>
            <w:tcW w:w="7008" w:type="dxa"/>
            <w:tcBorders>
              <w:top w:val="single" w:color="auto" w:sz="4" w:space="0"/>
              <w:left w:val="single" w:color="auto" w:sz="4" w:space="0"/>
              <w:bottom w:val="single" w:color="auto" w:sz="4" w:space="0"/>
              <w:right w:val="single" w:color="auto" w:sz="4" w:space="0"/>
            </w:tcBorders>
            <w:vAlign w:val="center"/>
          </w:tcPr>
          <w:p w14:paraId="15A5E6BC">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在质量保修期内，一旦发生质量问题，</w:t>
            </w:r>
            <w:r>
              <w:rPr>
                <w:rFonts w:hint="eastAsia" w:ascii="宋体" w:hAnsi="宋体" w:cs="宋体"/>
                <w:b/>
                <w:bCs/>
                <w:color w:val="auto"/>
                <w:sz w:val="24"/>
                <w:highlight w:val="none"/>
              </w:rPr>
              <w:t>供应商保证在接到通知后30分钟内作出响应，2小时内到现场进行维修、更换，费用由供应商负责。</w:t>
            </w:r>
            <w:r>
              <w:rPr>
                <w:rFonts w:hint="eastAsia" w:ascii="宋体" w:hAnsi="宋体" w:cs="宋体"/>
                <w:color w:val="auto"/>
                <w:sz w:val="24"/>
                <w:highlight w:val="none"/>
              </w:rPr>
              <w:t>如供应商在接到通知的2小时内没有答复或处理问题，则视为供应商承认质量问题并承担由此而发生的一切费用。</w:t>
            </w:r>
          </w:p>
        </w:tc>
      </w:tr>
      <w:tr w14:paraId="1172B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7" w:type="dxa"/>
            <w:tcBorders>
              <w:top w:val="single" w:color="auto" w:sz="4" w:space="0"/>
              <w:left w:val="single" w:color="auto" w:sz="4" w:space="0"/>
              <w:bottom w:val="single" w:color="auto" w:sz="4" w:space="0"/>
              <w:right w:val="single" w:color="auto" w:sz="4" w:space="0"/>
            </w:tcBorders>
            <w:vAlign w:val="center"/>
          </w:tcPr>
          <w:p w14:paraId="640B7FB0">
            <w:pPr>
              <w:jc w:val="center"/>
              <w:rPr>
                <w:rFonts w:ascii="宋体" w:hAnsi="宋体" w:cs="宋体"/>
                <w:b/>
                <w:bCs/>
                <w:color w:val="auto"/>
                <w:sz w:val="24"/>
                <w:highlight w:val="none"/>
              </w:rPr>
            </w:pPr>
            <w:r>
              <w:rPr>
                <w:rFonts w:hint="eastAsia" w:ascii="宋体" w:hAnsi="宋体" w:cs="宋体"/>
                <w:b/>
                <w:bCs/>
                <w:color w:val="auto"/>
                <w:sz w:val="24"/>
                <w:highlight w:val="none"/>
              </w:rPr>
              <w:t>7、其他说明</w:t>
            </w:r>
          </w:p>
        </w:tc>
        <w:tc>
          <w:tcPr>
            <w:tcW w:w="7008" w:type="dxa"/>
            <w:tcBorders>
              <w:top w:val="single" w:color="auto" w:sz="4" w:space="0"/>
              <w:left w:val="single" w:color="auto" w:sz="4" w:space="0"/>
              <w:bottom w:val="single" w:color="auto" w:sz="4" w:space="0"/>
              <w:right w:val="single" w:color="auto" w:sz="4" w:space="0"/>
            </w:tcBorders>
            <w:vAlign w:val="center"/>
          </w:tcPr>
          <w:p w14:paraId="3BD93704">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1、本招标所提的要求仅为主要要求，不应作为完整的详细的要求；</w:t>
            </w:r>
          </w:p>
          <w:p w14:paraId="2E2D5E6B">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2、供应商应负责保护采购人的利益不受损害；一切由于文字、商标和技术专利侵权引起的法律裁决、诉讼及其费用均与采购人无关。</w:t>
            </w:r>
          </w:p>
        </w:tc>
      </w:tr>
    </w:tbl>
    <w:p w14:paraId="45BD1053">
      <w:pPr>
        <w:rPr>
          <w:rFonts w:ascii="宋体" w:hAnsi="宋体" w:cs="宋体"/>
          <w:b/>
          <w:color w:val="auto"/>
          <w:sz w:val="24"/>
          <w:highlight w:val="none"/>
        </w:rPr>
      </w:pPr>
      <w:r>
        <w:rPr>
          <w:rFonts w:hint="eastAsia" w:ascii="宋体" w:hAnsi="宋体" w:cs="宋体"/>
          <w:b/>
          <w:color w:val="auto"/>
          <w:sz w:val="24"/>
          <w:highlight w:val="none"/>
        </w:rPr>
        <w:br w:type="page"/>
      </w:r>
    </w:p>
    <w:p w14:paraId="53B3CA49">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二、工程概况</w:t>
      </w:r>
    </w:p>
    <w:p w14:paraId="1FB63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1、服务地点：浙江万里学院回龙校区</w:t>
      </w:r>
      <w:r>
        <w:rPr>
          <w:rFonts w:hint="eastAsia" w:ascii="宋体" w:hAnsi="宋体" w:cs="宋体"/>
          <w:color w:val="auto"/>
          <w:sz w:val="24"/>
          <w:highlight w:val="none"/>
          <w:lang w:eastAsia="zh-CN"/>
        </w:rPr>
        <w:t>。</w:t>
      </w:r>
    </w:p>
    <w:p w14:paraId="55EB4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napToGrid w:val="0"/>
          <w:color w:val="auto"/>
          <w:kern w:val="28"/>
          <w:sz w:val="24"/>
          <w:szCs w:val="20"/>
          <w:highlight w:val="none"/>
          <w:lang w:eastAsia="zh-CN"/>
        </w:rPr>
      </w:pPr>
      <w:r>
        <w:rPr>
          <w:rFonts w:hint="eastAsia" w:ascii="宋体" w:hAnsi="宋体" w:cs="宋体"/>
          <w:color w:val="auto"/>
          <w:sz w:val="24"/>
          <w:highlight w:val="none"/>
        </w:rPr>
        <w:t>2、采购需求：</w:t>
      </w:r>
      <w:r>
        <w:rPr>
          <w:rFonts w:hint="eastAsia" w:hAnsi="宋体" w:cs="宋体"/>
          <w:bCs/>
          <w:snapToGrid w:val="0"/>
          <w:color w:val="auto"/>
          <w:kern w:val="28"/>
          <w:sz w:val="24"/>
          <w:szCs w:val="20"/>
          <w:highlight w:val="none"/>
          <w:lang w:eastAsia="zh-CN"/>
        </w:rPr>
        <w:t>浙江万里学院回龙校区8#宿舍楼修缮项目，主要包括8#宿舍楼室内墙面、地面、天棚的改造、阳台卫生间重做及走廊墙地面、天棚的改造、屋顶防水、门头维修等。</w:t>
      </w:r>
    </w:p>
    <w:p w14:paraId="400E30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三、技术要求</w:t>
      </w:r>
    </w:p>
    <w:p w14:paraId="7E1EAD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1、按照国家及地方颁发的现行相关建筑工程施工及验收规范、标准，组织实施本项目工程的施工。</w:t>
      </w:r>
    </w:p>
    <w:p w14:paraId="442DEF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rPr>
        <w:t>成交人必须在施工前对所有参加施工的人员和该项目的施工标的进行相关的人身和财产保险投保。</w:t>
      </w:r>
    </w:p>
    <w:p w14:paraId="3B254AAE">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2、其他技术要求详见附件工程量清单（控制价编制说明）及图纸（另册）。</w:t>
      </w:r>
    </w:p>
    <w:p w14:paraId="119FD5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四、其他要求</w:t>
      </w:r>
    </w:p>
    <w:p w14:paraId="24CE46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1、作业要求</w:t>
      </w:r>
    </w:p>
    <w:p w14:paraId="38CC8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安全生产要求：成交人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成交人全权负责。</w:t>
      </w:r>
    </w:p>
    <w:p w14:paraId="630BD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（2）文明施工要求：在施工过程中，必须做到文明施工。工序衔接交叉合理，交接责任明确，施工场地整洁、卫生、道路畅通，有必要的围护和遮挡措施等。</w:t>
      </w:r>
    </w:p>
    <w:p w14:paraId="23004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成交人必须为全体作业员工购买社会和人身意外保险、公众责任保险费等其他保险，必须重视安全生产工作，确保不出安全生产责任事故。如发生安全生产责任事故或公众安全事故（含交通事故），一切责任及损失由成交人承担。</w:t>
      </w:r>
    </w:p>
    <w:p w14:paraId="14368C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bookmarkStart w:id="51" w:name="_Toc31295"/>
      <w:r>
        <w:rPr>
          <w:rFonts w:hint="eastAsia" w:ascii="宋体" w:hAnsi="宋体" w:cs="宋体"/>
          <w:b/>
          <w:bCs/>
          <w:color w:val="auto"/>
          <w:sz w:val="24"/>
          <w:highlight w:val="none"/>
        </w:rPr>
        <w:t>2、施工要求</w:t>
      </w:r>
    </w:p>
    <w:p w14:paraId="0E937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在项目实施中须达到的施工要求国家标准如下：</w:t>
      </w:r>
    </w:p>
    <w:p w14:paraId="31BD2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《建筑工程施工质量验收统一标准》；</w:t>
      </w:r>
    </w:p>
    <w:p w14:paraId="50F5C4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rPr>
        <w:t>《建筑给水排水及采暖工程施工质量验收规范》；</w:t>
      </w:r>
    </w:p>
    <w:p w14:paraId="19B50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《建筑电气工程施工质量验收规范 ；</w:t>
      </w:r>
    </w:p>
    <w:p w14:paraId="3E9B28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（4）</w:t>
      </w:r>
      <w:r>
        <w:rPr>
          <w:rFonts w:hint="eastAsia" w:ascii="宋体" w:hAnsi="宋体" w:cs="宋体"/>
          <w:color w:val="auto"/>
          <w:sz w:val="24"/>
          <w:highlight w:val="none"/>
        </w:rPr>
        <w:t xml:space="preserve">《给水排水管道工程施工及验收规范》； </w:t>
      </w:r>
    </w:p>
    <w:p w14:paraId="7DED2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（5）</w:t>
      </w:r>
      <w:r>
        <w:rPr>
          <w:rFonts w:hint="eastAsia" w:ascii="宋体" w:hAnsi="宋体" w:cs="宋体"/>
          <w:color w:val="auto"/>
          <w:sz w:val="24"/>
          <w:highlight w:val="none"/>
        </w:rPr>
        <w:t>《建筑施工安全检查标准》。</w:t>
      </w:r>
    </w:p>
    <w:p w14:paraId="08912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注：</w:t>
      </w:r>
      <w:r>
        <w:rPr>
          <w:rFonts w:hint="eastAsia" w:ascii="宋体" w:hAnsi="宋体" w:cs="宋体"/>
          <w:color w:val="auto"/>
          <w:sz w:val="24"/>
          <w:highlight w:val="none"/>
        </w:rPr>
        <w:t>如标准有更新，以最新文件为准。本项目</w:t>
      </w:r>
      <w:r>
        <w:rPr>
          <w:rFonts w:hint="eastAsia" w:ascii="宋体" w:hAnsi="宋体" w:cs="宋体"/>
          <w:bCs/>
          <w:color w:val="auto"/>
          <w:sz w:val="24"/>
          <w:highlight w:val="none"/>
        </w:rPr>
        <w:t>按照国家及地方颁发的现行相关施工及验收规范、标准，组织实施本项目工程的施工。</w:t>
      </w:r>
    </w:p>
    <w:p w14:paraId="3E73B24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材料设备质量要求</w:t>
      </w:r>
    </w:p>
    <w:p w14:paraId="042F5D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3.1材料设备选择</w:t>
      </w:r>
    </w:p>
    <w:p w14:paraId="75DB5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涉及的主要材料设备，各供应商</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根据施工图要求及品牌选定情况按中高档的用材标准进行选材并报价，所有材料设备要求采用有一定生产规模和市场信誉好的制造商的合格产品，产品需经发包人和发包人委托的监理单位确认后方可采购，严禁选择不</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设计要求的低档材料</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rPr>
        <w:t>进行报价及组织施工实施。</w:t>
      </w:r>
    </w:p>
    <w:p w14:paraId="1BA5B4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3.2材料的质量保证</w:t>
      </w:r>
    </w:p>
    <w:p w14:paraId="13A8E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（1）在</w:t>
      </w:r>
      <w:r>
        <w:rPr>
          <w:rFonts w:hint="eastAsia" w:ascii="宋体" w:hAnsi="宋体" w:cs="宋体"/>
          <w:color w:val="auto"/>
          <w:sz w:val="24"/>
          <w:highlight w:val="none"/>
          <w:lang w:val="en-US" w:eastAsia="zh-CN"/>
        </w:rPr>
        <w:t>质量保修期</w:t>
      </w:r>
      <w:r>
        <w:rPr>
          <w:rFonts w:hint="eastAsia" w:ascii="宋体" w:hAnsi="宋体" w:cs="宋体"/>
          <w:color w:val="auto"/>
          <w:sz w:val="24"/>
          <w:highlight w:val="none"/>
        </w:rPr>
        <w:t>内，承包人对有缺陷的部位必须无偿地给予修理与更换，并承担一切由此引起的对发包人或使用单位的直接损失</w:t>
      </w:r>
      <w:r>
        <w:rPr>
          <w:rFonts w:hint="eastAsia" w:ascii="宋体" w:hAnsi="宋体" w:cs="宋体"/>
          <w:color w:val="auto"/>
          <w:sz w:val="24"/>
          <w:highlight w:val="none"/>
          <w:lang w:eastAsia="zh-CN"/>
        </w:rPr>
        <w:t>。</w:t>
      </w:r>
      <w:r>
        <w:rPr>
          <w:rFonts w:hint="eastAsia" w:ascii="宋体" w:hAnsi="宋体" w:cs="宋体"/>
          <w:color w:val="auto"/>
          <w:sz w:val="24"/>
          <w:highlight w:val="none"/>
        </w:rPr>
        <w:t>除非该缺陷是由于人为破坏或合同规定的不可抗因素造成的损坏。</w:t>
      </w:r>
    </w:p>
    <w:p w14:paraId="5EAFD0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（2）承包人必须对所承包的工程的质量负全部责任，其责任不因产品制造商提供的保证书而减轻或更改。</w:t>
      </w:r>
    </w:p>
    <w:p w14:paraId="67F3D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（3）材料</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rPr>
        <w:t>检验按政府部门相关规定的见证取样和送检规定的程序进行。凡检验结果证明其有害物质含量指标超标的产品不得在工程上使用。</w:t>
      </w:r>
    </w:p>
    <w:p w14:paraId="2743C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3.3供应要求</w:t>
      </w:r>
    </w:p>
    <w:p w14:paraId="2BC17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（1）本次采购范围内的建筑施工材料均由承包人根据采购文件、磋商响应文件、图纸和国家有关规定的具体要求进行采购、运输、检验、保管，但采购人保留变更和指定材料的权利</w:t>
      </w:r>
      <w:r>
        <w:rPr>
          <w:rFonts w:hint="eastAsia" w:ascii="宋体" w:hAnsi="宋体" w:cs="宋体"/>
          <w:color w:val="auto"/>
          <w:sz w:val="24"/>
          <w:highlight w:val="none"/>
          <w:lang w:eastAsia="zh-CN"/>
        </w:rPr>
        <w:t>。</w:t>
      </w:r>
      <w:r>
        <w:rPr>
          <w:rFonts w:hint="eastAsia" w:ascii="宋体" w:hAnsi="宋体" w:cs="宋体"/>
          <w:color w:val="auto"/>
          <w:sz w:val="24"/>
          <w:highlight w:val="none"/>
        </w:rPr>
        <w:t>所有建筑材料须有产品合格证，质量保证书、国家规定的认证证书、报告。</w:t>
      </w:r>
    </w:p>
    <w:p w14:paraId="478B6E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（2）由承包人采购的主要材料设备，当承包人选定的产品质量达不到设计要求和预期质量目标时，采购人保留更换的权利，且合同</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价不予调整。</w:t>
      </w:r>
    </w:p>
    <w:p w14:paraId="130A85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3.4供应商应保证提供的产品为合法企业生产的合法产品，符合中华人民共和国有关法律、法规、规章、文件、标准、规范规定。按国家规定应通过有关部门鉴定（批准）的产品，应保证已按国家规定通过了鉴定（批准）；实行产品许可证制度的产品须获得国家许可；实行强制性认证的产品须通过国家认可认证。</w:t>
      </w:r>
    </w:p>
    <w:p w14:paraId="6F655E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工程管理要求</w:t>
      </w:r>
    </w:p>
    <w:p w14:paraId="5190F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4.1采购范围内的工程项目，未经发包人同意一律不得分包。一经发现立即取消承包资格，作违约处理，并承担由此引起的一切经济损失。</w:t>
      </w:r>
    </w:p>
    <w:p w14:paraId="4D42A6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4.2承包人应严格按发包人要求和施工技术方案组织施工，并无条件地接受发包人委托的监理单位对施工质量的监督和管理。</w:t>
      </w:r>
    </w:p>
    <w:p w14:paraId="27561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4.3承包人在响应文件中承诺的管理人员未经发包人同意，承包人不得调换和撤离，并按工程进度及时到位。发包人有权要求施工单位撤换工作不负责任、管理不力、贻误工期和造成严重的安全事故和工程质量事故、违法乱纪的专业技术、管理人员直至直至发包人满意为止。如相应资质的专业技术人员未按要求到位，视作违约，发包人有权单方面终止合同。</w:t>
      </w:r>
    </w:p>
    <w:p w14:paraId="66880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4.4项目经理、技术负责人到位率应在80%</w:t>
      </w:r>
      <w:r>
        <w:rPr>
          <w:rFonts w:hint="eastAsia" w:ascii="宋体" w:hAnsi="宋体" w:cs="宋体"/>
          <w:b/>
          <w:bCs/>
          <w:color w:val="auto"/>
          <w:sz w:val="24"/>
          <w:highlight w:val="none"/>
          <w:lang w:val="en-US" w:eastAsia="zh-CN"/>
        </w:rPr>
        <w:t>及</w:t>
      </w:r>
      <w:r>
        <w:rPr>
          <w:rFonts w:hint="eastAsia" w:ascii="宋体" w:hAnsi="宋体" w:cs="宋体"/>
          <w:b/>
          <w:bCs/>
          <w:color w:val="auto"/>
          <w:sz w:val="24"/>
          <w:highlight w:val="none"/>
        </w:rPr>
        <w:t>以上，其它管理人员到位率应在100%。</w:t>
      </w:r>
    </w:p>
    <w:p w14:paraId="43FF0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4.5合同期间承包人</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做好安全防护工作</w:t>
      </w:r>
      <w:r>
        <w:rPr>
          <w:rFonts w:hint="eastAsia" w:ascii="宋体" w:hAnsi="宋体" w:cs="宋体"/>
          <w:color w:val="auto"/>
          <w:sz w:val="24"/>
          <w:highlight w:val="none"/>
          <w:lang w:eastAsia="zh-CN"/>
        </w:rPr>
        <w:t>。</w:t>
      </w:r>
      <w:r>
        <w:rPr>
          <w:rFonts w:hint="eastAsia" w:ascii="宋体" w:hAnsi="宋体" w:cs="宋体"/>
          <w:color w:val="auto"/>
          <w:sz w:val="24"/>
          <w:highlight w:val="none"/>
        </w:rPr>
        <w:t>如发生人员伤亡及财产损失，由承包人自行承担。</w:t>
      </w:r>
    </w:p>
    <w:p w14:paraId="413CBA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工程所在地为渣土严查区域，必须使用</w:t>
      </w:r>
      <w:r>
        <w:rPr>
          <w:rFonts w:hint="eastAsia" w:ascii="宋体" w:hAnsi="宋体" w:cs="宋体"/>
          <w:color w:val="auto"/>
          <w:sz w:val="24"/>
          <w:highlight w:val="none"/>
          <w:lang w:val="en-US" w:eastAsia="zh-CN"/>
        </w:rPr>
        <w:t>宁波</w:t>
      </w:r>
      <w:r>
        <w:rPr>
          <w:rFonts w:hint="eastAsia" w:ascii="宋体" w:hAnsi="宋体" w:cs="宋体"/>
          <w:color w:val="auto"/>
          <w:sz w:val="24"/>
          <w:highlight w:val="none"/>
        </w:rPr>
        <w:t>市核准的建筑垃圾、渣土等运输车辆，建筑垃圾、渣土等必须按照要求处置至合法场地，满足城管、交警等政府部门的规定，相关手续由施工单位负责办理，采购人协助提供相关材料。如发生违法行为，一切后果由施工单位承担</w:t>
      </w:r>
      <w:r>
        <w:rPr>
          <w:rFonts w:hint="eastAsia" w:ascii="宋体" w:hAnsi="宋体" w:cs="宋体"/>
          <w:color w:val="auto"/>
          <w:sz w:val="24"/>
          <w:highlight w:val="none"/>
          <w:lang w:eastAsia="zh-CN"/>
        </w:rPr>
        <w:t>。</w:t>
      </w:r>
      <w:r>
        <w:rPr>
          <w:rFonts w:hint="eastAsia" w:ascii="宋体" w:hAnsi="宋体" w:cs="宋体"/>
          <w:color w:val="auto"/>
          <w:sz w:val="24"/>
          <w:highlight w:val="none"/>
        </w:rPr>
        <w:t>如对学校产生不利影响，学校有权对施工单位进行经济处罚。</w:t>
      </w:r>
    </w:p>
    <w:p w14:paraId="3A5B5C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工程运输车辆和机械需经过校内主干道路，在校门口、道路转角或其他视角盲区，需施工单位派专人进行引导、指挥，确保校内师生出行安全。 </w:t>
      </w:r>
    </w:p>
    <w:p w14:paraId="0A179B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施工场地周边为商务楼、高校宿舍，必须按照规定施工，妥善处理噪音等投诉问题。</w:t>
      </w:r>
    </w:p>
    <w:p w14:paraId="7775C2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u w:val="single"/>
        </w:rPr>
      </w:pPr>
      <w:r>
        <w:rPr>
          <w:rFonts w:hint="eastAsia" w:ascii="宋体" w:hAnsi="宋体" w:cs="宋体"/>
          <w:b w:val="0"/>
          <w:bCs w:val="0"/>
          <w:color w:val="auto"/>
          <w:sz w:val="24"/>
          <w:highlight w:val="none"/>
          <w:u w:val="single"/>
        </w:rPr>
        <w:t>4.</w:t>
      </w:r>
      <w:r>
        <w:rPr>
          <w:rFonts w:hint="eastAsia" w:ascii="宋体" w:hAnsi="宋体" w:cs="宋体"/>
          <w:b w:val="0"/>
          <w:bCs w:val="0"/>
          <w:color w:val="auto"/>
          <w:sz w:val="24"/>
          <w:highlight w:val="none"/>
          <w:u w:val="single"/>
          <w:lang w:val="en-US" w:eastAsia="zh-CN"/>
        </w:rPr>
        <w:t>9</w:t>
      </w:r>
      <w:r>
        <w:rPr>
          <w:rFonts w:hint="eastAsia" w:ascii="宋体" w:hAnsi="宋体" w:cs="宋体"/>
          <w:b w:val="0"/>
          <w:bCs w:val="0"/>
          <w:color w:val="auto"/>
          <w:sz w:val="24"/>
          <w:highlight w:val="none"/>
          <w:u w:val="single"/>
        </w:rPr>
        <w:t>拟派项目经理具有建筑工程专业二级注册建造师执业及以上资格，同时具有“三类人员”B类证书且无在建工程</w:t>
      </w:r>
      <w:r>
        <w:rPr>
          <w:rFonts w:hint="eastAsia" w:ascii="宋体" w:hAnsi="宋体" w:cs="宋体"/>
          <w:b w:val="0"/>
          <w:bCs w:val="0"/>
          <w:color w:val="auto"/>
          <w:sz w:val="24"/>
          <w:highlight w:val="none"/>
          <w:u w:val="none"/>
        </w:rPr>
        <w:t>。</w:t>
      </w:r>
    </w:p>
    <w:p w14:paraId="2BE981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u w:val="single"/>
        </w:rPr>
      </w:pPr>
      <w:r>
        <w:rPr>
          <w:rFonts w:hint="eastAsia" w:ascii="宋体" w:hAnsi="宋体" w:cs="宋体"/>
          <w:b w:val="0"/>
          <w:bCs w:val="0"/>
          <w:color w:val="auto"/>
          <w:sz w:val="24"/>
          <w:highlight w:val="none"/>
          <w:u w:val="single"/>
        </w:rPr>
        <w:t>4.1</w:t>
      </w:r>
      <w:r>
        <w:rPr>
          <w:rFonts w:hint="eastAsia" w:ascii="宋体" w:hAnsi="宋体" w:cs="宋体"/>
          <w:b w:val="0"/>
          <w:bCs w:val="0"/>
          <w:color w:val="auto"/>
          <w:sz w:val="24"/>
          <w:highlight w:val="none"/>
          <w:u w:val="single"/>
          <w:lang w:val="en-US" w:eastAsia="zh-CN"/>
        </w:rPr>
        <w:t>0</w:t>
      </w:r>
      <w:r>
        <w:rPr>
          <w:rFonts w:hint="eastAsia" w:ascii="宋体" w:hAnsi="宋体" w:cs="宋体"/>
          <w:b w:val="0"/>
          <w:bCs w:val="0"/>
          <w:color w:val="auto"/>
          <w:sz w:val="24"/>
          <w:highlight w:val="none"/>
          <w:u w:val="single"/>
        </w:rPr>
        <w:t>拟派施工现场专职安全生产管理人员具有“三类人员”C类证书</w:t>
      </w:r>
      <w:r>
        <w:rPr>
          <w:rFonts w:hint="eastAsia" w:ascii="宋体" w:hAnsi="宋体" w:cs="宋体"/>
          <w:b w:val="0"/>
          <w:bCs w:val="0"/>
          <w:color w:val="auto"/>
          <w:sz w:val="24"/>
          <w:highlight w:val="none"/>
          <w:u w:val="none"/>
        </w:rPr>
        <w:t>。</w:t>
      </w:r>
    </w:p>
    <w:p w14:paraId="7EBD8D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编制说明</w:t>
      </w:r>
    </w:p>
    <w:p w14:paraId="6B415C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5.1</w:t>
      </w:r>
      <w:r>
        <w:rPr>
          <w:rFonts w:hint="eastAsia" w:ascii="宋体" w:hAnsi="宋体" w:eastAsia="宋体" w:cs="宋体"/>
          <w:b w:val="0"/>
          <w:bCs w:val="0"/>
          <w:color w:val="auto"/>
          <w:sz w:val="24"/>
          <w:szCs w:val="24"/>
          <w:highlight w:val="none"/>
        </w:rPr>
        <w:t>编制依据</w:t>
      </w:r>
    </w:p>
    <w:p w14:paraId="4E3BD71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5.1.1</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浙江伟邦建设科技有限公司</w:t>
      </w:r>
      <w:r>
        <w:rPr>
          <w:rFonts w:hint="eastAsia" w:ascii="宋体" w:hAnsi="宋体" w:eastAsia="宋体" w:cs="宋体"/>
          <w:color w:val="auto"/>
          <w:sz w:val="24"/>
          <w:szCs w:val="24"/>
          <w:highlight w:val="none"/>
        </w:rPr>
        <w:t>设计的《万里学院回龙校区</w:t>
      </w:r>
      <w:r>
        <w:rPr>
          <w:rFonts w:hint="eastAsia" w:ascii="宋体" w:hAnsi="宋体" w:eastAsia="宋体" w:cs="宋体"/>
          <w:color w:val="auto"/>
          <w:sz w:val="24"/>
          <w:szCs w:val="24"/>
          <w:highlight w:val="none"/>
          <w:lang w:val="en-US" w:eastAsia="zh-CN"/>
        </w:rPr>
        <w:t>8#宿舍楼</w:t>
      </w:r>
      <w:r>
        <w:rPr>
          <w:rFonts w:hint="eastAsia" w:ascii="宋体" w:hAnsi="宋体" w:eastAsia="宋体" w:cs="宋体"/>
          <w:color w:val="auto"/>
          <w:sz w:val="24"/>
          <w:szCs w:val="24"/>
          <w:highlight w:val="none"/>
        </w:rPr>
        <w:t>修缮工程》施工图纸（电子档）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样板间、现场踏勘情况及建设单位要求等；</w:t>
      </w:r>
    </w:p>
    <w:p w14:paraId="659A6F7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5.1.2</w:t>
      </w:r>
      <w:r>
        <w:rPr>
          <w:rFonts w:hint="eastAsia" w:ascii="宋体" w:hAnsi="宋体" w:eastAsia="宋体" w:cs="宋体"/>
          <w:color w:val="auto"/>
          <w:sz w:val="24"/>
          <w:szCs w:val="24"/>
          <w:highlight w:val="none"/>
        </w:rPr>
        <w:t>计算规则：《建设工程工程量清单计价规范》（GB50500-2013）、《房屋建筑与装饰工程工程量计算规范》（GB 50854-2013）、《通用安装工程工程量计算规范》(GB 50856-2013)、《浙江省建设工程工程量清单计价实用手册》、浙江省补充条款及浙江省有关13清单的补充规定、《建筑工程建筑面积计算规范》GB/T50353-2013等；</w:t>
      </w:r>
    </w:p>
    <w:p w14:paraId="314AD69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5.1.3</w:t>
      </w:r>
      <w:r>
        <w:rPr>
          <w:rFonts w:hint="eastAsia" w:ascii="宋体" w:hAnsi="宋体" w:eastAsia="宋体" w:cs="宋体"/>
          <w:color w:val="auto"/>
          <w:sz w:val="24"/>
          <w:szCs w:val="24"/>
          <w:highlight w:val="none"/>
        </w:rPr>
        <w:t>计价依据：《浙江省建设工程计价规则》（2018版）、《浙江省房屋建筑与装饰工程预算定额》（2018版）、</w:t>
      </w:r>
      <w:r>
        <w:rPr>
          <w:rFonts w:hint="eastAsia" w:ascii="宋体" w:hAnsi="宋体" w:eastAsia="宋体" w:cs="宋体"/>
          <w:color w:val="auto"/>
          <w:kern w:val="0"/>
          <w:sz w:val="24"/>
          <w:szCs w:val="24"/>
          <w:highlight w:val="none"/>
        </w:rPr>
        <w:t>《浙江省房屋建筑安装工程修缮预算定额》（2018版）、</w:t>
      </w:r>
      <w:r>
        <w:rPr>
          <w:rFonts w:hint="eastAsia" w:ascii="宋体" w:hAnsi="宋体" w:eastAsia="宋体" w:cs="宋体"/>
          <w:color w:val="auto"/>
          <w:sz w:val="24"/>
          <w:szCs w:val="24"/>
          <w:highlight w:val="none"/>
        </w:rPr>
        <w:t>《浙江省通用安装工程预算定额》（2018版）、《浙江省建设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"https://www.cbi360.net/hyjd/1zt1145.html" \t "https://gov.cbi360.net/a/20181127/_blank"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工程施工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机械台班费用定额》（2018版）。</w:t>
      </w:r>
    </w:p>
    <w:p w14:paraId="0E7EC4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5.2取费标准</w:t>
      </w:r>
    </w:p>
    <w:p w14:paraId="1CEB3C93">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5.2.1</w:t>
      </w:r>
      <w:r>
        <w:rPr>
          <w:rFonts w:hint="eastAsia" w:ascii="宋体" w:hAnsi="宋体" w:eastAsia="宋体" w:cs="宋体"/>
          <w:color w:val="auto"/>
          <w:sz w:val="24"/>
          <w:szCs w:val="24"/>
          <w:highlight w:val="none"/>
        </w:rPr>
        <w:t>企业管理费、利润：</w:t>
      </w:r>
      <w:r>
        <w:rPr>
          <w:rFonts w:hint="eastAsia" w:ascii="宋体" w:hAnsi="宋体" w:eastAsia="宋体" w:cs="宋体"/>
          <w:color w:val="auto"/>
          <w:sz w:val="24"/>
          <w:szCs w:val="24"/>
          <w:highlight w:val="none"/>
          <w:lang w:val="en-US" w:eastAsia="zh-CN"/>
        </w:rPr>
        <w:t>装修</w:t>
      </w:r>
      <w:r>
        <w:rPr>
          <w:rFonts w:hint="eastAsia" w:ascii="宋体" w:hAnsi="宋体" w:eastAsia="宋体" w:cs="宋体"/>
          <w:color w:val="auto"/>
          <w:sz w:val="24"/>
          <w:szCs w:val="24"/>
          <w:highlight w:val="none"/>
        </w:rPr>
        <w:t>工程按单独装饰工程中值计取；安装工程按水、电、暖通、消防、智能、自控及通信安装工程中值计取；</w:t>
      </w:r>
    </w:p>
    <w:p w14:paraId="4CB976C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5.2.2</w:t>
      </w:r>
      <w:r>
        <w:rPr>
          <w:rFonts w:hint="eastAsia" w:ascii="宋体" w:hAnsi="宋体" w:eastAsia="宋体" w:cs="宋体"/>
          <w:color w:val="auto"/>
          <w:sz w:val="24"/>
          <w:szCs w:val="24"/>
          <w:highlight w:val="none"/>
        </w:rPr>
        <w:t>施工组织措施费：按相应专业计取安全文明施工基本费（按市区工程中值计取）、冬雨季施工增加费、二次搬运费，费率按相应专业中值计取；不计取提前竣工增加费、行车、行人干扰增加费、标化工地增加费；根据浙建建发</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37号文《浙江省建设厅关于调整建筑工程安全文明施工费的通知》，安全文明施工基本费按照《浙江省建设工程计价规则 (2018 版)》的费率乘以1.15系数；</w:t>
      </w:r>
    </w:p>
    <w:p w14:paraId="60A4692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5.2.3</w:t>
      </w:r>
      <w:r>
        <w:rPr>
          <w:rFonts w:hint="eastAsia" w:ascii="宋体" w:hAnsi="宋体" w:eastAsia="宋体" w:cs="宋体"/>
          <w:color w:val="auto"/>
          <w:sz w:val="24"/>
          <w:szCs w:val="24"/>
          <w:highlight w:val="none"/>
        </w:rPr>
        <w:t>规费：按《浙江省建设工程计价规则》（2018版）规定的各专业费率乘以30%计取；</w:t>
      </w:r>
    </w:p>
    <w:p w14:paraId="06F6C1B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5.2.4</w:t>
      </w:r>
      <w:r>
        <w:rPr>
          <w:rFonts w:hint="eastAsia" w:ascii="宋体" w:hAnsi="宋体" w:eastAsia="宋体" w:cs="宋体"/>
          <w:color w:val="auto"/>
          <w:sz w:val="24"/>
          <w:szCs w:val="24"/>
          <w:highlight w:val="none"/>
        </w:rPr>
        <w:t>税金采用一般计税方法，税率按浙建建发</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2019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92号文件规定9%计取。</w:t>
      </w:r>
    </w:p>
    <w:p w14:paraId="0738DE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5.2.5</w:t>
      </w:r>
      <w:r>
        <w:rPr>
          <w:rFonts w:hint="eastAsia" w:ascii="宋体" w:hAnsi="宋体" w:eastAsia="宋体" w:cs="宋体"/>
          <w:color w:val="auto"/>
          <w:sz w:val="24"/>
          <w:szCs w:val="24"/>
          <w:highlight w:val="none"/>
          <w:lang w:val="zh-CN"/>
        </w:rPr>
        <w:t>安全生产责任保险费</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zh-CN"/>
        </w:rPr>
        <w:t>市建管〔2024〕12号</w:t>
      </w:r>
      <w:r>
        <w:rPr>
          <w:rFonts w:hint="eastAsia" w:ascii="宋体" w:hAnsi="宋体" w:eastAsia="宋体" w:cs="宋体"/>
          <w:color w:val="auto"/>
          <w:sz w:val="24"/>
          <w:szCs w:val="24"/>
          <w:highlight w:val="none"/>
        </w:rPr>
        <w:t>文《关于印发宁波市房屋建筑与市政基础设施工程安全生产责任保险费用计取的通知》规定的分档累进计取，归属企业管理费并单列。</w:t>
      </w:r>
    </w:p>
    <w:p w14:paraId="51D3A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5.3人工、材料市场信息价计取</w:t>
      </w:r>
    </w:p>
    <w:p w14:paraId="0204493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5.3.1</w:t>
      </w:r>
      <w:r>
        <w:rPr>
          <w:rFonts w:hint="eastAsia" w:ascii="宋体" w:hAnsi="宋体" w:eastAsia="宋体" w:cs="宋体"/>
          <w:color w:val="auto"/>
          <w:sz w:val="24"/>
          <w:szCs w:val="24"/>
          <w:highlight w:val="none"/>
        </w:rPr>
        <w:t>材料市场信息价：按照《宁波建设工程造价信息》综合版202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月刊（宁波市区）信息价，无宁波市信息价的按《浙江造价信息》（正刊）202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月刊信息价，无信息价材料按市场询价取定，上述材料价均为除税价。</w:t>
      </w:r>
    </w:p>
    <w:p w14:paraId="170282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5.3.2</w:t>
      </w:r>
      <w:r>
        <w:rPr>
          <w:rFonts w:hint="eastAsia" w:ascii="宋体" w:hAnsi="宋体" w:eastAsia="宋体" w:cs="宋体"/>
          <w:color w:val="auto"/>
          <w:sz w:val="24"/>
          <w:szCs w:val="24"/>
          <w:highlight w:val="none"/>
        </w:rPr>
        <w:t>人工市场信息价：人工市场信息价格按照《宁波建设工程造价信息》综合版202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月刊计取。</w:t>
      </w:r>
    </w:p>
    <w:p w14:paraId="30412D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5.4其它有关事项说明</w:t>
      </w:r>
    </w:p>
    <w:p w14:paraId="1F5AA20C">
      <w:pPr>
        <w:pStyle w:val="47"/>
        <w:keepNext w:val="0"/>
        <w:keepLines w:val="0"/>
        <w:pageBreakBefore w:val="0"/>
        <w:widowControl w:val="0"/>
        <w:numPr>
          <w:ilvl w:val="0"/>
          <w:numId w:val="0"/>
        </w:numPr>
        <w:kinsoku/>
        <w:wordWrap/>
        <w:overflowPunct/>
        <w:topLinePunct w:val="0"/>
        <w:autoSpaceDE/>
        <w:autoSpaceDN/>
        <w:bidi w:val="0"/>
        <w:spacing w:before="0" w:after="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5.4.1共性部分</w:t>
      </w:r>
    </w:p>
    <w:p w14:paraId="5C8E0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5.4.1.1本工程所采用砂浆均按预拌干混砂浆计取。</w:t>
      </w:r>
    </w:p>
    <w:p w14:paraId="79023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5.4.1.2 8#楼108样板房费用单独考虑，不计入本次范围。</w:t>
      </w:r>
    </w:p>
    <w:p w14:paraId="67079CC2">
      <w:pPr>
        <w:pStyle w:val="47"/>
        <w:keepNext w:val="0"/>
        <w:keepLines w:val="0"/>
        <w:pageBreakBefore w:val="0"/>
        <w:widowControl w:val="0"/>
        <w:numPr>
          <w:ilvl w:val="0"/>
          <w:numId w:val="0"/>
        </w:numPr>
        <w:kinsoku/>
        <w:wordWrap/>
        <w:overflowPunct/>
        <w:topLinePunct w:val="0"/>
        <w:autoSpaceDE/>
        <w:autoSpaceDN/>
        <w:bidi w:val="0"/>
        <w:spacing w:before="0" w:after="0" w:line="360" w:lineRule="auto"/>
        <w:ind w:lef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5.4.2装修工程</w:t>
      </w:r>
    </w:p>
    <w:p w14:paraId="7ED04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5.4.2.1本项目垂直运输费清单项放在8#外墙及零星工程中按一项30000元计入，结算不作调整。</w:t>
      </w:r>
    </w:p>
    <w:p w14:paraId="6FA535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5.4.2.2</w:t>
      </w:r>
      <w:r>
        <w:rPr>
          <w:rFonts w:hint="eastAsia" w:ascii="宋体" w:hAnsi="宋体" w:eastAsia="宋体" w:cs="宋体"/>
          <w:color w:val="auto"/>
          <w:sz w:val="24"/>
          <w:szCs w:val="24"/>
          <w:highlight w:val="none"/>
          <w:lang w:val="en-US" w:eastAsia="zh-CN"/>
        </w:rPr>
        <w:t>本项目外墙脚手架费清单项放在8#外墙及零星工程中按一项5000元计入，结算不作调整</w:t>
      </w:r>
      <w:r>
        <w:rPr>
          <w:rFonts w:hint="eastAsia" w:ascii="宋体" w:hAnsi="宋体" w:cs="宋体"/>
          <w:color w:val="auto"/>
          <w:sz w:val="24"/>
          <w:szCs w:val="24"/>
          <w:highlight w:val="none"/>
          <w:lang w:val="en-US" w:eastAsia="zh-CN"/>
        </w:rPr>
        <w:t>。</w:t>
      </w:r>
    </w:p>
    <w:p w14:paraId="743FEC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5.4.2.3</w:t>
      </w:r>
      <w:r>
        <w:rPr>
          <w:rFonts w:hint="eastAsia" w:ascii="宋体" w:hAnsi="宋体" w:eastAsia="宋体" w:cs="宋体"/>
          <w:color w:val="auto"/>
          <w:sz w:val="24"/>
          <w:szCs w:val="24"/>
          <w:highlight w:val="none"/>
          <w:lang w:val="en-US" w:eastAsia="zh-CN"/>
        </w:rPr>
        <w:t>原门头外墙处装饰造型拆除及维修等内容，按一项1000元计入，结算不作调整</w:t>
      </w:r>
      <w:r>
        <w:rPr>
          <w:rFonts w:hint="eastAsia" w:ascii="宋体" w:hAnsi="宋体" w:cs="宋体"/>
          <w:color w:val="auto"/>
          <w:sz w:val="24"/>
          <w:szCs w:val="24"/>
          <w:highlight w:val="none"/>
          <w:lang w:val="en-US" w:eastAsia="zh-CN"/>
        </w:rPr>
        <w:t>。</w:t>
      </w:r>
    </w:p>
    <w:p w14:paraId="7E2D3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5.4.2.4</w:t>
      </w:r>
      <w:r>
        <w:rPr>
          <w:rFonts w:hint="eastAsia" w:ascii="宋体" w:hAnsi="宋体" w:eastAsia="宋体" w:cs="宋体"/>
          <w:color w:val="auto"/>
          <w:sz w:val="24"/>
          <w:szCs w:val="24"/>
          <w:highlight w:val="none"/>
          <w:lang w:val="en-US" w:eastAsia="zh-CN"/>
        </w:rPr>
        <w:t>综合维修费用，含晾衣架移位安装、油漆翻新、室外钢、桌椅架维修刷漆、阳台护栏维修刷漆、室外地面砖维修、马桶移位等，满足各种维修要求，按一项20000元计入，结算不做调整</w:t>
      </w:r>
      <w:r>
        <w:rPr>
          <w:rFonts w:hint="eastAsia" w:ascii="宋体" w:hAnsi="宋体" w:cs="宋体"/>
          <w:color w:val="auto"/>
          <w:sz w:val="24"/>
          <w:szCs w:val="24"/>
          <w:highlight w:val="none"/>
          <w:lang w:val="en-US" w:eastAsia="zh-CN"/>
        </w:rPr>
        <w:t>。</w:t>
      </w:r>
    </w:p>
    <w:p w14:paraId="2AE07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5.4.2.5</w:t>
      </w:r>
      <w:r>
        <w:rPr>
          <w:rFonts w:hint="eastAsia" w:ascii="宋体" w:hAnsi="宋体" w:eastAsia="宋体" w:cs="宋体"/>
          <w:color w:val="auto"/>
          <w:sz w:val="24"/>
          <w:szCs w:val="24"/>
          <w:highlight w:val="none"/>
          <w:lang w:val="en-US" w:eastAsia="zh-CN"/>
        </w:rPr>
        <w:t>本工程防尘措施费包含雾炮机2台、外立面满挂防尘网、设置屋顶及围挡喷淋间距为一米、增压水泵及相应供水供电管线等费用，按一项12000元计入，需满足相关部门要求，结算不做调整</w:t>
      </w:r>
      <w:r>
        <w:rPr>
          <w:rFonts w:hint="eastAsia" w:ascii="宋体" w:hAnsi="宋体" w:cs="宋体"/>
          <w:color w:val="auto"/>
          <w:sz w:val="24"/>
          <w:szCs w:val="24"/>
          <w:highlight w:val="none"/>
          <w:lang w:val="en-US" w:eastAsia="zh-CN"/>
        </w:rPr>
        <w:t>。</w:t>
      </w:r>
    </w:p>
    <w:p w14:paraId="22392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5.4.2.6</w:t>
      </w:r>
      <w:r>
        <w:rPr>
          <w:rFonts w:hint="eastAsia" w:ascii="宋体" w:hAnsi="宋体" w:eastAsia="宋体" w:cs="宋体"/>
          <w:color w:val="auto"/>
          <w:sz w:val="24"/>
          <w:szCs w:val="24"/>
          <w:highlight w:val="none"/>
          <w:lang w:val="en-US" w:eastAsia="zh-CN"/>
        </w:rPr>
        <w:t>原宿舍内洗漱台、洁具及灯具等包含但不限于所有需要拆除的内容计入本次范围，按一套300元计入，结算不做调整。</w:t>
      </w:r>
    </w:p>
    <w:p w14:paraId="35B563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5.4.3安装工程</w:t>
      </w:r>
    </w:p>
    <w:p w14:paraId="526FC591">
      <w:pPr>
        <w:keepNext w:val="0"/>
        <w:keepLines w:val="0"/>
        <w:pageBreakBefore w:val="0"/>
        <w:widowControl w:val="0"/>
        <w:tabs>
          <w:tab w:val="left" w:pos="709"/>
          <w:tab w:val="left" w:pos="851"/>
        </w:tabs>
        <w:kinsoku/>
        <w:wordWrap/>
        <w:overflowPunct/>
        <w:topLinePunct w:val="0"/>
        <w:autoSpaceDE/>
        <w:autoSpaceDN/>
        <w:bidi w:val="0"/>
        <w:spacing w:line="360" w:lineRule="auto"/>
        <w:ind w:left="0" w:firstLine="42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电气工程</w:t>
      </w:r>
    </w:p>
    <w:p w14:paraId="7A06B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8#楼辅导员值班室和仓库按普通寝室改造</w:t>
      </w:r>
      <w:r>
        <w:rPr>
          <w:rFonts w:hint="eastAsia" w:ascii="宋体" w:hAnsi="宋体" w:cs="宋体"/>
          <w:color w:val="auto"/>
          <w:sz w:val="24"/>
          <w:szCs w:val="24"/>
          <w:highlight w:val="none"/>
          <w:lang w:val="en-US" w:eastAsia="zh-CN"/>
        </w:rPr>
        <w:t>。</w:t>
      </w:r>
    </w:p>
    <w:p w14:paraId="6B5FC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8#楼健身房无卫生间及阳台，灯具及管线利旧，插座面板换新考虑</w:t>
      </w:r>
      <w:r>
        <w:rPr>
          <w:rFonts w:hint="eastAsia" w:ascii="宋体" w:hAnsi="宋体" w:cs="宋体"/>
          <w:color w:val="auto"/>
          <w:sz w:val="24"/>
          <w:szCs w:val="24"/>
          <w:highlight w:val="none"/>
          <w:lang w:val="en-US" w:eastAsia="zh-CN"/>
        </w:rPr>
        <w:t>。</w:t>
      </w:r>
    </w:p>
    <w:p w14:paraId="04329A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公区照明设备及配管配线按新增考虑，工程量按图纸计入</w:t>
      </w:r>
      <w:r>
        <w:rPr>
          <w:rFonts w:hint="eastAsia" w:ascii="宋体" w:hAnsi="宋体" w:cs="宋体"/>
          <w:color w:val="auto"/>
          <w:sz w:val="24"/>
          <w:szCs w:val="24"/>
          <w:highlight w:val="none"/>
          <w:lang w:val="en-US" w:eastAsia="zh-CN"/>
        </w:rPr>
        <w:t>。</w:t>
      </w:r>
    </w:p>
    <w:p w14:paraId="7BC5F6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宿舍内除卫生间处新增插座管线外，室内电气管线沿用原有管线</w:t>
      </w:r>
      <w:r>
        <w:rPr>
          <w:rFonts w:hint="eastAsia" w:ascii="宋体" w:hAnsi="宋体" w:cs="宋体"/>
          <w:color w:val="auto"/>
          <w:sz w:val="24"/>
          <w:szCs w:val="24"/>
          <w:highlight w:val="none"/>
          <w:lang w:val="en-US" w:eastAsia="zh-CN"/>
        </w:rPr>
        <w:t>。</w:t>
      </w:r>
    </w:p>
    <w:p w14:paraId="02E06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所有寝室内有新增配管敷设方式有吊顶处考虑吊顶内明敷，地面、墙面开凿槽暗敷</w:t>
      </w:r>
      <w:r>
        <w:rPr>
          <w:rFonts w:hint="eastAsia" w:ascii="宋体" w:hAnsi="宋体" w:cs="宋体"/>
          <w:color w:val="auto"/>
          <w:sz w:val="24"/>
          <w:szCs w:val="24"/>
          <w:highlight w:val="none"/>
          <w:lang w:val="en-US" w:eastAsia="zh-CN"/>
        </w:rPr>
        <w:t>。</w:t>
      </w:r>
    </w:p>
    <w:p w14:paraId="3AD69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除健身房及宿管值班室外，其它宿舍内灯具、开关、插座、电风扇及换气扇全部换新考虑，除卫生间新增插座接线盒外其余设备接线盒利旧考虑</w:t>
      </w:r>
      <w:r>
        <w:rPr>
          <w:rFonts w:hint="eastAsia" w:ascii="宋体" w:hAnsi="宋体" w:cs="宋体"/>
          <w:color w:val="auto"/>
          <w:sz w:val="24"/>
          <w:szCs w:val="24"/>
          <w:highlight w:val="none"/>
          <w:lang w:val="en-US" w:eastAsia="zh-CN"/>
        </w:rPr>
        <w:t>。</w:t>
      </w:r>
    </w:p>
    <w:p w14:paraId="46DFA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8#有7间宿舍因布局不同，宿舍内多增加两个单联双控开关</w:t>
      </w:r>
      <w:r>
        <w:rPr>
          <w:rFonts w:hint="eastAsia" w:ascii="宋体" w:hAnsi="宋体" w:cs="宋体"/>
          <w:color w:val="auto"/>
          <w:sz w:val="24"/>
          <w:szCs w:val="24"/>
          <w:highlight w:val="none"/>
          <w:lang w:val="en-US" w:eastAsia="zh-CN"/>
        </w:rPr>
        <w:t>。</w:t>
      </w:r>
    </w:p>
    <w:p w14:paraId="537B1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按要求，8#楼原有配电箱需刷漆，按防锈漆二道，调和漆二道，工程量按50㎡计入</w:t>
      </w:r>
      <w:r>
        <w:rPr>
          <w:rFonts w:hint="eastAsia" w:ascii="宋体" w:hAnsi="宋体" w:cs="宋体"/>
          <w:color w:val="auto"/>
          <w:sz w:val="24"/>
          <w:szCs w:val="24"/>
          <w:highlight w:val="none"/>
          <w:lang w:val="en-US" w:eastAsia="zh-CN"/>
        </w:rPr>
        <w:t>。</w:t>
      </w:r>
    </w:p>
    <w:p w14:paraId="512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卫生间局部等电位端子箱利旧，不计入本次范围</w:t>
      </w:r>
      <w:r>
        <w:rPr>
          <w:rFonts w:hint="eastAsia" w:ascii="宋体" w:hAnsi="宋体" w:cs="宋体"/>
          <w:color w:val="auto"/>
          <w:sz w:val="24"/>
          <w:szCs w:val="24"/>
          <w:highlight w:val="none"/>
          <w:lang w:val="en-US" w:eastAsia="zh-CN"/>
        </w:rPr>
        <w:t>。</w:t>
      </w:r>
    </w:p>
    <w:p w14:paraId="1891FB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按要求，每个宿舍内4个单口信息面板（含模块）、空调处1个单口信息面板（不含模块）、4个水晶头、55m六类网线、双绞线调试计入本次范围</w:t>
      </w:r>
      <w:r>
        <w:rPr>
          <w:rFonts w:hint="eastAsia" w:ascii="宋体" w:hAnsi="宋体" w:cs="宋体"/>
          <w:color w:val="auto"/>
          <w:sz w:val="24"/>
          <w:szCs w:val="24"/>
          <w:highlight w:val="none"/>
          <w:lang w:val="en-US" w:eastAsia="zh-CN"/>
        </w:rPr>
        <w:t>。</w:t>
      </w:r>
    </w:p>
    <w:p w14:paraId="0F80AB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按要求，智能门锁拆装包括门锁拆卸后装袋保管、安装和一层扩展模块拆除保管和安装调试、B2锁配件、门磁、485P屏蔽线及其他附件等，门锁利旧。由专业单位进行智能门锁及模块拆除（按照房间号进行保管），待进户门安装完闭后进行智能门锁专项安装调试，并接入学校门锁管理平台，拆装费用计入本次范围</w:t>
      </w:r>
      <w:r>
        <w:rPr>
          <w:rFonts w:hint="eastAsia" w:ascii="宋体" w:hAnsi="宋体" w:cs="宋体"/>
          <w:color w:val="auto"/>
          <w:sz w:val="24"/>
          <w:szCs w:val="24"/>
          <w:highlight w:val="none"/>
          <w:lang w:val="en-US" w:eastAsia="zh-CN"/>
        </w:rPr>
        <w:t>。</w:t>
      </w:r>
    </w:p>
    <w:p w14:paraId="1A863F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公区内原先明配管改暗配，开槽修复费用及消防电设备、监控设备等拆除安装及调试费用，公区楼梯原有吸顶灯、壁灯拆除等，此项费用固定包干，按除税价3000元/项计入，结算时不作调整</w:t>
      </w:r>
      <w:r>
        <w:rPr>
          <w:rFonts w:hint="eastAsia" w:ascii="宋体" w:hAnsi="宋体" w:cs="宋体"/>
          <w:color w:val="auto"/>
          <w:sz w:val="24"/>
          <w:szCs w:val="24"/>
          <w:highlight w:val="none"/>
          <w:lang w:val="en-US" w:eastAsia="zh-CN"/>
        </w:rPr>
        <w:t>。</w:t>
      </w:r>
    </w:p>
    <w:p w14:paraId="37CBED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宿管值班室插座、开关，日光灯及马桶换新考虑，管线暗敷，宿管值班室线路整理费用计入本次清单，此项费用包干，按除税价300元/项计入，结算时不作调整</w:t>
      </w:r>
      <w:r>
        <w:rPr>
          <w:rFonts w:hint="eastAsia" w:ascii="宋体" w:hAnsi="宋体" w:cs="宋体"/>
          <w:color w:val="auto"/>
          <w:sz w:val="24"/>
          <w:szCs w:val="24"/>
          <w:highlight w:val="none"/>
          <w:lang w:val="en-US" w:eastAsia="zh-CN"/>
        </w:rPr>
        <w:t>。</w:t>
      </w:r>
    </w:p>
    <w:p w14:paraId="73858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给水热水水表信号线按每间宿舍RVV-2*1.5 12米、PVC15 12米暗敷接至热水表计入</w:t>
      </w:r>
      <w:r>
        <w:rPr>
          <w:rFonts w:hint="eastAsia" w:ascii="宋体" w:hAnsi="宋体" w:cs="宋体"/>
          <w:color w:val="auto"/>
          <w:sz w:val="24"/>
          <w:szCs w:val="24"/>
          <w:highlight w:val="none"/>
          <w:lang w:val="en-US" w:eastAsia="zh-CN"/>
        </w:rPr>
        <w:t>。</w:t>
      </w:r>
    </w:p>
    <w:p w14:paraId="604572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门头照明及发光字体配管利旧考虑</w:t>
      </w:r>
      <w:r>
        <w:rPr>
          <w:rFonts w:hint="eastAsia" w:ascii="宋体" w:hAnsi="宋体" w:cs="宋体"/>
          <w:color w:val="auto"/>
          <w:sz w:val="24"/>
          <w:szCs w:val="24"/>
          <w:highlight w:val="none"/>
          <w:lang w:val="en-US" w:eastAsia="zh-CN"/>
        </w:rPr>
        <w:t>。</w:t>
      </w:r>
    </w:p>
    <w:p w14:paraId="32F11A95">
      <w:pPr>
        <w:keepNext w:val="0"/>
        <w:keepLines w:val="0"/>
        <w:pageBreakBefore w:val="0"/>
        <w:widowControl w:val="0"/>
        <w:tabs>
          <w:tab w:val="left" w:pos="709"/>
          <w:tab w:val="left" w:pos="851"/>
        </w:tabs>
        <w:kinsoku/>
        <w:wordWrap/>
        <w:overflowPunct/>
        <w:topLinePunct w:val="0"/>
        <w:autoSpaceDE/>
        <w:autoSpaceDN/>
        <w:bidi w:val="0"/>
        <w:spacing w:line="360" w:lineRule="auto"/>
        <w:ind w:left="0" w:firstLine="42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应急照明：</w:t>
      </w:r>
    </w:p>
    <w:p w14:paraId="510E6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按要求，应急照明回路从原有配电箱备用回路引出考虑</w:t>
      </w:r>
      <w:r>
        <w:rPr>
          <w:rFonts w:hint="eastAsia" w:ascii="宋体" w:hAnsi="宋体" w:cs="宋体"/>
          <w:color w:val="auto"/>
          <w:sz w:val="24"/>
          <w:szCs w:val="24"/>
          <w:highlight w:val="none"/>
          <w:lang w:val="en-US" w:eastAsia="zh-CN"/>
        </w:rPr>
        <w:t>。</w:t>
      </w:r>
    </w:p>
    <w:p w14:paraId="2359B0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应急照明系统设备及管线为新增，工程量按图纸计入</w:t>
      </w:r>
      <w:r>
        <w:rPr>
          <w:rFonts w:hint="eastAsia" w:ascii="宋体" w:hAnsi="宋体" w:cs="宋体"/>
          <w:color w:val="auto"/>
          <w:sz w:val="24"/>
          <w:szCs w:val="24"/>
          <w:highlight w:val="none"/>
          <w:lang w:val="en-US" w:eastAsia="zh-CN"/>
        </w:rPr>
        <w:t>。</w:t>
      </w:r>
    </w:p>
    <w:p w14:paraId="0E3D4FC7">
      <w:pPr>
        <w:keepNext w:val="0"/>
        <w:keepLines w:val="0"/>
        <w:pageBreakBefore w:val="0"/>
        <w:widowControl w:val="0"/>
        <w:tabs>
          <w:tab w:val="left" w:pos="709"/>
          <w:tab w:val="left" w:pos="851"/>
        </w:tabs>
        <w:kinsoku/>
        <w:wordWrap/>
        <w:overflowPunct/>
        <w:topLinePunct w:val="0"/>
        <w:autoSpaceDE/>
        <w:autoSpaceDN/>
        <w:bidi w:val="0"/>
        <w:spacing w:line="360" w:lineRule="auto"/>
        <w:ind w:left="0" w:firstLine="42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给排水</w:t>
      </w:r>
    </w:p>
    <w:p w14:paraId="7D764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宿舍内冷热水管规格型号为PPR DN20，每间宿舍内按18m热水管、18m冷水管计入，8m冷水管和8m热水管保温计入，新增地漏DN50 2个计入，坐便器 1套、枪灰色台中式不锈钢304水槽（单槽、冷热水） 2套、淋浴器 1套、一体化卫浴 1间计入：</w:t>
      </w:r>
    </w:p>
    <w:p w14:paraId="38CDB3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卫浴单位负责厂家深化、生产并供应底盘、壁板、顶板（楼栋房间标示清晰）、其他配套材料到项目现场平层落地，对材料质量负责，并完成分货、安装，对安装质量负责，配合总包对外壁板等交接收口的防水安装</w:t>
      </w:r>
      <w:r>
        <w:rPr>
          <w:rFonts w:hint="eastAsia" w:ascii="宋体" w:hAnsi="宋体" w:cs="宋体"/>
          <w:color w:val="auto"/>
          <w:sz w:val="24"/>
          <w:szCs w:val="24"/>
          <w:highlight w:val="none"/>
          <w:lang w:val="en-US" w:eastAsia="zh-CN"/>
        </w:rPr>
        <w:t>。</w:t>
      </w:r>
    </w:p>
    <w:p w14:paraId="014FB8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整体卫浴品牌厂家需自主生产SMC材质底盘；SMC模压一体成型底盘；自带排水坡度含整体浴室专用地漏；SMC材质壁板，模压一体成型拼块；SMC顶板一体成型,含304不锈钢五金安装件及固定螺丝，防霉密封胶。</w:t>
      </w:r>
    </w:p>
    <w:p w14:paraId="1BFDE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每间宿舍排水管按UPVC排水管DN100 1米、UPVC排水管DN75 1.5米、UPVC排水管DN50 2.5米计入</w:t>
      </w:r>
      <w:r>
        <w:rPr>
          <w:rFonts w:hint="eastAsia" w:ascii="宋体" w:hAnsi="宋体" w:cs="宋体"/>
          <w:color w:val="auto"/>
          <w:sz w:val="24"/>
          <w:szCs w:val="24"/>
          <w:highlight w:val="none"/>
          <w:lang w:val="en-US" w:eastAsia="zh-CN"/>
        </w:rPr>
        <w:t>。</w:t>
      </w:r>
    </w:p>
    <w:p w14:paraId="5FB9F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冷水表按无线智能水表计入，热水表利旧移位至宿舍内洗手盆处</w:t>
      </w:r>
      <w:r>
        <w:rPr>
          <w:rFonts w:hint="eastAsia" w:ascii="宋体" w:hAnsi="宋体" w:cs="宋体"/>
          <w:color w:val="auto"/>
          <w:sz w:val="24"/>
          <w:szCs w:val="24"/>
          <w:highlight w:val="none"/>
          <w:lang w:val="en-US" w:eastAsia="zh-CN"/>
        </w:rPr>
        <w:t>。</w:t>
      </w:r>
    </w:p>
    <w:p w14:paraId="73ACA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经设计回复，每个宿舍按打洞（孔）DN50 2个、DN100 1个计入。</w:t>
      </w:r>
    </w:p>
    <w:p w14:paraId="5D5DBC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EC9A7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p>
    <w:p w14:paraId="080991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p>
    <w:p w14:paraId="4FA974F6">
      <w:pPr>
        <w:keepNext w:val="0"/>
        <w:keepLines w:val="0"/>
        <w:pageBreakBefore w:val="0"/>
        <w:widowControl w:val="0"/>
        <w:kinsoku/>
        <w:wordWrap/>
        <w:overflowPunct/>
        <w:topLinePunct w:val="0"/>
        <w:autoSpaceDE/>
        <w:autoSpaceDN/>
        <w:bidi w:val="0"/>
        <w:adjustRightInd/>
        <w:spacing w:line="360" w:lineRule="auto"/>
        <w:ind w:firstLine="723" w:firstLineChars="200"/>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52" w:name="_Toc184313269"/>
      <w:bookmarkEnd w:id="52"/>
      <w:bookmarkStart w:id="53" w:name="_Toc184312121"/>
      <w:bookmarkEnd w:id="53"/>
      <w:bookmarkStart w:id="54" w:name="_Toc184314423"/>
      <w:bookmarkEnd w:id="54"/>
      <w:bookmarkStart w:id="55" w:name="_Toc184314437"/>
      <w:bookmarkEnd w:id="55"/>
      <w:bookmarkStart w:id="56" w:name="_Toc184313296"/>
      <w:bookmarkEnd w:id="56"/>
      <w:bookmarkStart w:id="57" w:name="_Toc184312114"/>
      <w:bookmarkEnd w:id="57"/>
      <w:bookmarkStart w:id="58" w:name="_Toc184314467"/>
      <w:bookmarkEnd w:id="58"/>
      <w:bookmarkStart w:id="59" w:name="_Toc184312129"/>
      <w:bookmarkEnd w:id="59"/>
      <w:bookmarkStart w:id="60" w:name="_Toc184308078"/>
      <w:bookmarkEnd w:id="60"/>
      <w:bookmarkStart w:id="61" w:name="_Toc184308089"/>
      <w:bookmarkEnd w:id="61"/>
      <w:bookmarkStart w:id="62" w:name="_Toc184308050"/>
      <w:bookmarkEnd w:id="62"/>
      <w:bookmarkStart w:id="63" w:name="_Toc184313282"/>
      <w:bookmarkEnd w:id="63"/>
      <w:bookmarkStart w:id="64" w:name="_Toc184314477"/>
      <w:bookmarkEnd w:id="64"/>
      <w:bookmarkStart w:id="65" w:name="_Toc184308069"/>
      <w:bookmarkEnd w:id="65"/>
      <w:bookmarkStart w:id="66" w:name="_Toc184314446"/>
      <w:bookmarkEnd w:id="66"/>
      <w:bookmarkStart w:id="67" w:name="_Toc184310318"/>
      <w:bookmarkEnd w:id="67"/>
      <w:bookmarkStart w:id="68" w:name="_Toc184308077"/>
      <w:bookmarkEnd w:id="68"/>
      <w:bookmarkStart w:id="69" w:name="_Toc184310331"/>
      <w:bookmarkEnd w:id="69"/>
      <w:bookmarkStart w:id="70" w:name="_Toc184308044"/>
      <w:bookmarkEnd w:id="70"/>
      <w:bookmarkStart w:id="71" w:name="_Toc184308102"/>
      <w:bookmarkEnd w:id="71"/>
      <w:bookmarkStart w:id="72" w:name="_Toc184313306"/>
      <w:bookmarkEnd w:id="72"/>
      <w:bookmarkStart w:id="73" w:name="_Toc184313308"/>
      <w:bookmarkEnd w:id="73"/>
      <w:bookmarkStart w:id="74" w:name="_Toc184314419"/>
      <w:bookmarkEnd w:id="74"/>
      <w:bookmarkStart w:id="75" w:name="_Toc184312085"/>
      <w:bookmarkEnd w:id="75"/>
      <w:bookmarkStart w:id="76" w:name="_Toc184308040"/>
      <w:bookmarkEnd w:id="76"/>
      <w:bookmarkStart w:id="77" w:name="_Toc184314430"/>
      <w:bookmarkEnd w:id="77"/>
      <w:bookmarkStart w:id="78" w:name="_Toc184310296"/>
      <w:bookmarkEnd w:id="78"/>
      <w:bookmarkStart w:id="79" w:name="_Toc184313305"/>
      <w:bookmarkEnd w:id="79"/>
      <w:bookmarkStart w:id="80" w:name="_Toc184310309"/>
      <w:bookmarkEnd w:id="80"/>
      <w:bookmarkStart w:id="81" w:name="_Toc184313294"/>
      <w:bookmarkEnd w:id="81"/>
      <w:bookmarkStart w:id="82" w:name="_Toc184314448"/>
      <w:bookmarkEnd w:id="82"/>
      <w:bookmarkStart w:id="83" w:name="_Toc184308048"/>
      <w:bookmarkEnd w:id="83"/>
      <w:bookmarkStart w:id="84" w:name="_Toc184310284"/>
      <w:bookmarkEnd w:id="84"/>
      <w:bookmarkStart w:id="85" w:name="_Toc184313283"/>
      <w:bookmarkEnd w:id="85"/>
      <w:bookmarkStart w:id="86" w:name="_Toc184314447"/>
      <w:bookmarkEnd w:id="86"/>
      <w:bookmarkStart w:id="87" w:name="_Toc184312134"/>
      <w:bookmarkEnd w:id="87"/>
      <w:bookmarkStart w:id="88" w:name="_Toc184313243"/>
      <w:bookmarkEnd w:id="88"/>
      <w:bookmarkStart w:id="89" w:name="_Toc184310311"/>
      <w:bookmarkEnd w:id="89"/>
      <w:bookmarkStart w:id="90" w:name="_Toc184313259"/>
      <w:bookmarkEnd w:id="90"/>
      <w:bookmarkStart w:id="91" w:name="_Toc184314461"/>
      <w:bookmarkEnd w:id="91"/>
      <w:bookmarkStart w:id="92" w:name="_Toc184310328"/>
      <w:bookmarkEnd w:id="92"/>
      <w:bookmarkStart w:id="93" w:name="_Toc184313254"/>
      <w:bookmarkEnd w:id="93"/>
      <w:bookmarkStart w:id="94" w:name="_Toc184308083"/>
      <w:bookmarkEnd w:id="94"/>
      <w:bookmarkStart w:id="95" w:name="_Toc184308038"/>
      <w:bookmarkEnd w:id="95"/>
      <w:bookmarkStart w:id="96" w:name="_Toc184312093"/>
      <w:bookmarkEnd w:id="96"/>
      <w:bookmarkStart w:id="97" w:name="_Toc184313304"/>
      <w:bookmarkEnd w:id="97"/>
      <w:bookmarkStart w:id="98" w:name="_Toc184314415"/>
      <w:bookmarkEnd w:id="98"/>
      <w:bookmarkStart w:id="99" w:name="_Toc184314452"/>
      <w:bookmarkEnd w:id="99"/>
      <w:bookmarkStart w:id="100" w:name="_Toc184310286"/>
      <w:bookmarkEnd w:id="100"/>
      <w:bookmarkStart w:id="101" w:name="_Toc184308084"/>
      <w:bookmarkEnd w:id="101"/>
      <w:bookmarkStart w:id="102" w:name="_Toc184312079"/>
      <w:bookmarkEnd w:id="102"/>
      <w:bookmarkStart w:id="103" w:name="_Toc184313300"/>
      <w:bookmarkEnd w:id="103"/>
      <w:bookmarkStart w:id="104" w:name="_Toc184310337"/>
      <w:bookmarkEnd w:id="104"/>
      <w:bookmarkStart w:id="105" w:name="_Toc184312108"/>
      <w:bookmarkEnd w:id="105"/>
      <w:bookmarkStart w:id="106" w:name="_Toc184314433"/>
      <w:bookmarkEnd w:id="106"/>
      <w:bookmarkStart w:id="107" w:name="_Toc184313260"/>
      <w:bookmarkEnd w:id="107"/>
      <w:bookmarkStart w:id="108" w:name="_Toc184314463"/>
      <w:bookmarkEnd w:id="108"/>
      <w:bookmarkStart w:id="109" w:name="_Toc184308099"/>
      <w:bookmarkEnd w:id="109"/>
      <w:bookmarkStart w:id="110" w:name="_Toc184312106"/>
      <w:bookmarkEnd w:id="110"/>
      <w:bookmarkStart w:id="111" w:name="_Toc184310339"/>
      <w:bookmarkEnd w:id="111"/>
      <w:bookmarkStart w:id="112" w:name="_Toc184314454"/>
      <w:bookmarkEnd w:id="112"/>
      <w:bookmarkStart w:id="113" w:name="_Toc184314466"/>
      <w:bookmarkEnd w:id="113"/>
      <w:bookmarkStart w:id="114" w:name="_Toc184310325"/>
      <w:bookmarkEnd w:id="114"/>
      <w:bookmarkStart w:id="115" w:name="_Toc184314424"/>
      <w:bookmarkEnd w:id="115"/>
      <w:bookmarkStart w:id="116" w:name="_Toc184314442"/>
      <w:bookmarkEnd w:id="116"/>
      <w:bookmarkStart w:id="117" w:name="_Toc184313293"/>
      <w:bookmarkEnd w:id="117"/>
      <w:bookmarkStart w:id="118" w:name="_Toc184314478"/>
      <w:bookmarkEnd w:id="118"/>
      <w:bookmarkStart w:id="119" w:name="_Toc184312099"/>
      <w:bookmarkEnd w:id="119"/>
      <w:bookmarkStart w:id="120" w:name="_Toc184308052"/>
      <w:bookmarkEnd w:id="120"/>
      <w:bookmarkStart w:id="121" w:name="_Toc184314431"/>
      <w:bookmarkEnd w:id="121"/>
      <w:bookmarkStart w:id="122" w:name="_Toc184313307"/>
      <w:bookmarkEnd w:id="122"/>
      <w:bookmarkStart w:id="123" w:name="_Toc184312113"/>
      <w:bookmarkEnd w:id="123"/>
      <w:bookmarkStart w:id="124" w:name="_Toc184310282"/>
      <w:bookmarkEnd w:id="124"/>
      <w:bookmarkStart w:id="125" w:name="_Toc184312128"/>
      <w:bookmarkEnd w:id="125"/>
      <w:bookmarkStart w:id="126" w:name="_Toc184310342"/>
      <w:bookmarkEnd w:id="126"/>
      <w:bookmarkStart w:id="127" w:name="_Toc184308079"/>
      <w:bookmarkEnd w:id="127"/>
      <w:bookmarkStart w:id="128" w:name="_Toc184312123"/>
      <w:bookmarkEnd w:id="128"/>
      <w:bookmarkStart w:id="129" w:name="_Toc184314411"/>
      <w:bookmarkEnd w:id="129"/>
      <w:bookmarkStart w:id="130" w:name="_Toc184310315"/>
      <w:bookmarkEnd w:id="130"/>
      <w:bookmarkStart w:id="131" w:name="_Toc184310297"/>
      <w:bookmarkEnd w:id="131"/>
      <w:bookmarkStart w:id="132" w:name="_Toc184312067"/>
      <w:bookmarkEnd w:id="132"/>
      <w:bookmarkStart w:id="133" w:name="_Toc184308107"/>
      <w:bookmarkEnd w:id="133"/>
      <w:bookmarkStart w:id="134" w:name="_Toc184313266"/>
      <w:bookmarkEnd w:id="134"/>
      <w:bookmarkStart w:id="135" w:name="_Toc184312071"/>
      <w:bookmarkEnd w:id="135"/>
      <w:bookmarkStart w:id="136" w:name="_Toc184308095"/>
      <w:bookmarkEnd w:id="136"/>
      <w:bookmarkStart w:id="137" w:name="_Toc184314456"/>
      <w:bookmarkEnd w:id="137"/>
      <w:bookmarkStart w:id="138" w:name="_Toc184310312"/>
      <w:bookmarkEnd w:id="138"/>
      <w:bookmarkStart w:id="139" w:name="_Toc184310281"/>
      <w:bookmarkEnd w:id="139"/>
      <w:bookmarkStart w:id="140" w:name="_Toc184313255"/>
      <w:bookmarkEnd w:id="140"/>
      <w:bookmarkStart w:id="141" w:name="_Toc184312130"/>
      <w:bookmarkEnd w:id="141"/>
      <w:bookmarkStart w:id="142" w:name="_Toc184308087"/>
      <w:bookmarkEnd w:id="142"/>
      <w:bookmarkStart w:id="143" w:name="_Toc184313247"/>
      <w:bookmarkEnd w:id="143"/>
      <w:bookmarkStart w:id="144" w:name="_Toc184314440"/>
      <w:bookmarkEnd w:id="144"/>
      <w:bookmarkStart w:id="145" w:name="_Toc184314427"/>
      <w:bookmarkEnd w:id="145"/>
      <w:bookmarkStart w:id="146" w:name="_Toc184312094"/>
      <w:bookmarkEnd w:id="146"/>
      <w:bookmarkStart w:id="147" w:name="_Toc184310329"/>
      <w:bookmarkEnd w:id="147"/>
      <w:bookmarkStart w:id="148" w:name="_Toc184314428"/>
      <w:bookmarkEnd w:id="148"/>
      <w:bookmarkStart w:id="149" w:name="_Toc184313286"/>
      <w:bookmarkEnd w:id="149"/>
      <w:bookmarkStart w:id="150" w:name="_Toc184310299"/>
      <w:bookmarkEnd w:id="150"/>
      <w:bookmarkStart w:id="151" w:name="_Toc184313271"/>
      <w:bookmarkEnd w:id="151"/>
      <w:bookmarkStart w:id="152" w:name="_Toc184313265"/>
      <w:bookmarkEnd w:id="152"/>
      <w:bookmarkStart w:id="153" w:name="_Toc184312072"/>
      <w:bookmarkEnd w:id="153"/>
      <w:bookmarkStart w:id="154" w:name="_Toc184310279"/>
      <w:bookmarkEnd w:id="154"/>
      <w:bookmarkStart w:id="155" w:name="_Toc184314471"/>
      <w:bookmarkEnd w:id="155"/>
      <w:bookmarkStart w:id="156" w:name="_Toc184313310"/>
      <w:bookmarkEnd w:id="156"/>
      <w:bookmarkStart w:id="157" w:name="_Toc184313277"/>
      <w:bookmarkEnd w:id="157"/>
      <w:bookmarkStart w:id="158" w:name="_Toc184314482"/>
      <w:bookmarkEnd w:id="158"/>
      <w:bookmarkStart w:id="159" w:name="_Toc184314414"/>
      <w:bookmarkEnd w:id="159"/>
      <w:bookmarkStart w:id="160" w:name="_Toc184312118"/>
      <w:bookmarkEnd w:id="160"/>
      <w:bookmarkStart w:id="161" w:name="_Toc184310295"/>
      <w:bookmarkEnd w:id="161"/>
      <w:bookmarkStart w:id="162" w:name="_Toc184313244"/>
      <w:bookmarkEnd w:id="162"/>
      <w:bookmarkStart w:id="163" w:name="_Toc184313299"/>
      <w:bookmarkEnd w:id="163"/>
      <w:bookmarkStart w:id="164" w:name="_Toc184313272"/>
      <w:bookmarkEnd w:id="164"/>
      <w:bookmarkStart w:id="165" w:name="_Toc184312107"/>
      <w:bookmarkEnd w:id="165"/>
      <w:bookmarkStart w:id="166" w:name="_Toc184308106"/>
      <w:bookmarkEnd w:id="166"/>
      <w:bookmarkStart w:id="167" w:name="_Toc184313273"/>
      <w:bookmarkEnd w:id="167"/>
      <w:bookmarkStart w:id="168" w:name="_Toc184310272"/>
      <w:bookmarkEnd w:id="168"/>
      <w:bookmarkStart w:id="169" w:name="_Toc184310306"/>
      <w:bookmarkEnd w:id="169"/>
      <w:bookmarkStart w:id="170" w:name="_Toc184314459"/>
      <w:bookmarkEnd w:id="170"/>
      <w:bookmarkStart w:id="171" w:name="_Toc184312086"/>
      <w:bookmarkEnd w:id="171"/>
      <w:bookmarkStart w:id="172" w:name="_Toc184308053"/>
      <w:bookmarkEnd w:id="172"/>
      <w:bookmarkStart w:id="173" w:name="_Toc184314410"/>
      <w:bookmarkEnd w:id="173"/>
      <w:bookmarkStart w:id="174" w:name="_Toc184312069"/>
      <w:bookmarkEnd w:id="174"/>
      <w:bookmarkStart w:id="175" w:name="_Toc184313279"/>
      <w:bookmarkEnd w:id="175"/>
      <w:bookmarkStart w:id="176" w:name="_Toc184310323"/>
      <w:bookmarkEnd w:id="176"/>
      <w:bookmarkStart w:id="177" w:name="_Toc184312135"/>
      <w:bookmarkEnd w:id="177"/>
      <w:bookmarkStart w:id="178" w:name="_Toc184310310"/>
      <w:bookmarkEnd w:id="178"/>
      <w:bookmarkStart w:id="179" w:name="_Toc184310285"/>
      <w:bookmarkEnd w:id="179"/>
      <w:bookmarkStart w:id="180" w:name="_Toc184313290"/>
      <w:bookmarkEnd w:id="180"/>
      <w:bookmarkStart w:id="181" w:name="_Toc184308057"/>
      <w:bookmarkEnd w:id="181"/>
      <w:bookmarkStart w:id="182" w:name="_Toc184310326"/>
      <w:bookmarkEnd w:id="182"/>
      <w:bookmarkStart w:id="183" w:name="_Toc184308076"/>
      <w:bookmarkEnd w:id="183"/>
      <w:bookmarkStart w:id="184" w:name="_Toc184310314"/>
      <w:bookmarkEnd w:id="184"/>
      <w:bookmarkStart w:id="185" w:name="_Toc184314432"/>
      <w:bookmarkEnd w:id="185"/>
      <w:bookmarkStart w:id="186" w:name="_Toc184312081"/>
      <w:bookmarkEnd w:id="186"/>
      <w:bookmarkStart w:id="187" w:name="_Toc184308093"/>
      <w:bookmarkEnd w:id="187"/>
      <w:bookmarkStart w:id="188" w:name="_Toc184310319"/>
      <w:bookmarkEnd w:id="188"/>
      <w:bookmarkStart w:id="189" w:name="_Toc184312105"/>
      <w:bookmarkEnd w:id="189"/>
      <w:bookmarkStart w:id="190" w:name="_Toc184313297"/>
      <w:bookmarkEnd w:id="190"/>
      <w:bookmarkStart w:id="191" w:name="_Toc184314436"/>
      <w:bookmarkEnd w:id="191"/>
      <w:bookmarkStart w:id="192" w:name="_Toc184310298"/>
      <w:bookmarkEnd w:id="192"/>
      <w:bookmarkStart w:id="193" w:name="_Toc184308086"/>
      <w:bookmarkEnd w:id="193"/>
      <w:bookmarkStart w:id="194" w:name="_Toc184314457"/>
      <w:bookmarkEnd w:id="194"/>
      <w:bookmarkStart w:id="195" w:name="_Toc184310287"/>
      <w:bookmarkEnd w:id="195"/>
      <w:bookmarkStart w:id="196" w:name="_Toc184313248"/>
      <w:bookmarkEnd w:id="196"/>
      <w:bookmarkStart w:id="197" w:name="_Toc184310334"/>
      <w:bookmarkEnd w:id="197"/>
      <w:bookmarkStart w:id="198" w:name="_Toc184310335"/>
      <w:bookmarkEnd w:id="198"/>
      <w:bookmarkStart w:id="199" w:name="_Toc184313287"/>
      <w:bookmarkEnd w:id="199"/>
      <w:bookmarkStart w:id="200" w:name="_Toc184308092"/>
      <w:bookmarkEnd w:id="200"/>
      <w:bookmarkStart w:id="201" w:name="_Toc184308070"/>
      <w:bookmarkEnd w:id="201"/>
      <w:bookmarkStart w:id="202" w:name="_Toc184308065"/>
      <w:bookmarkEnd w:id="202"/>
      <w:bookmarkStart w:id="203" w:name="_Toc184314473"/>
      <w:bookmarkEnd w:id="203"/>
      <w:bookmarkStart w:id="204" w:name="_Toc184308096"/>
      <w:bookmarkEnd w:id="204"/>
      <w:bookmarkStart w:id="205" w:name="_Toc184312126"/>
      <w:bookmarkEnd w:id="205"/>
      <w:bookmarkStart w:id="206" w:name="_Toc184314469"/>
      <w:bookmarkEnd w:id="206"/>
      <w:bookmarkStart w:id="207" w:name="_Toc184314429"/>
      <w:bookmarkEnd w:id="207"/>
      <w:bookmarkStart w:id="208" w:name="_Toc184312115"/>
      <w:bookmarkEnd w:id="208"/>
      <w:bookmarkStart w:id="209" w:name="_Toc184312124"/>
      <w:bookmarkEnd w:id="209"/>
      <w:bookmarkStart w:id="210" w:name="_Toc184313301"/>
      <w:bookmarkEnd w:id="210"/>
      <w:bookmarkStart w:id="211" w:name="_Toc184310275"/>
      <w:bookmarkEnd w:id="211"/>
      <w:bookmarkStart w:id="212" w:name="_Toc184310321"/>
      <w:bookmarkEnd w:id="212"/>
      <w:bookmarkStart w:id="213" w:name="_Toc184313276"/>
      <w:bookmarkEnd w:id="213"/>
      <w:bookmarkStart w:id="214" w:name="_Toc184312078"/>
      <w:bookmarkEnd w:id="214"/>
      <w:bookmarkStart w:id="215" w:name="_Toc184314426"/>
      <w:bookmarkEnd w:id="215"/>
      <w:bookmarkStart w:id="216" w:name="_Toc184314481"/>
      <w:bookmarkEnd w:id="216"/>
      <w:bookmarkStart w:id="217" w:name="_Toc184310289"/>
      <w:bookmarkEnd w:id="217"/>
      <w:bookmarkStart w:id="218" w:name="_Toc184314474"/>
      <w:bookmarkEnd w:id="218"/>
      <w:bookmarkStart w:id="219" w:name="_Toc184312110"/>
      <w:bookmarkEnd w:id="219"/>
      <w:bookmarkStart w:id="220" w:name="_Toc184312136"/>
      <w:bookmarkEnd w:id="220"/>
      <w:bookmarkStart w:id="221" w:name="_Toc184308081"/>
      <w:bookmarkEnd w:id="221"/>
      <w:bookmarkStart w:id="222" w:name="_Toc184310307"/>
      <w:bookmarkEnd w:id="222"/>
      <w:bookmarkStart w:id="223" w:name="_Toc184312080"/>
      <w:bookmarkEnd w:id="223"/>
      <w:bookmarkStart w:id="224" w:name="_Toc184308074"/>
      <w:bookmarkEnd w:id="224"/>
      <w:bookmarkStart w:id="225" w:name="_Toc184310324"/>
      <w:bookmarkEnd w:id="225"/>
      <w:bookmarkStart w:id="226" w:name="_Toc184310316"/>
      <w:bookmarkEnd w:id="226"/>
      <w:bookmarkStart w:id="227" w:name="_Toc184310344"/>
      <w:bookmarkEnd w:id="227"/>
      <w:bookmarkStart w:id="228" w:name="_Toc184312095"/>
      <w:bookmarkEnd w:id="228"/>
      <w:bookmarkStart w:id="229" w:name="_Toc184310317"/>
      <w:bookmarkEnd w:id="229"/>
      <w:bookmarkStart w:id="230" w:name="_Toc184310302"/>
      <w:bookmarkEnd w:id="230"/>
      <w:bookmarkStart w:id="231" w:name="_Toc184314472"/>
      <w:bookmarkEnd w:id="231"/>
      <w:bookmarkStart w:id="232" w:name="_Toc184312131"/>
      <w:bookmarkEnd w:id="232"/>
      <w:bookmarkStart w:id="233" w:name="_Toc184314413"/>
      <w:bookmarkEnd w:id="233"/>
      <w:bookmarkStart w:id="234" w:name="_Toc184308064"/>
      <w:bookmarkEnd w:id="234"/>
      <w:bookmarkStart w:id="235" w:name="_Toc184308082"/>
      <w:bookmarkEnd w:id="235"/>
      <w:bookmarkStart w:id="236" w:name="_Toc184310290"/>
      <w:bookmarkEnd w:id="236"/>
      <w:bookmarkStart w:id="237" w:name="_Toc184312109"/>
      <w:bookmarkEnd w:id="237"/>
      <w:bookmarkStart w:id="238" w:name="_Toc184310327"/>
      <w:bookmarkEnd w:id="238"/>
      <w:bookmarkStart w:id="239" w:name="_Toc184313302"/>
      <w:bookmarkEnd w:id="239"/>
      <w:bookmarkStart w:id="240" w:name="_Toc184313257"/>
      <w:bookmarkEnd w:id="240"/>
      <w:bookmarkStart w:id="241" w:name="_Toc184313267"/>
      <w:bookmarkEnd w:id="241"/>
      <w:bookmarkStart w:id="242" w:name="_Toc184313238"/>
      <w:bookmarkEnd w:id="242"/>
      <w:bookmarkStart w:id="243" w:name="_Toc184310304"/>
      <w:bookmarkEnd w:id="243"/>
      <w:bookmarkStart w:id="244" w:name="_Toc184310292"/>
      <w:bookmarkEnd w:id="244"/>
      <w:bookmarkStart w:id="245" w:name="_Toc184314468"/>
      <w:bookmarkEnd w:id="245"/>
      <w:bookmarkStart w:id="246" w:name="_Toc184308046"/>
      <w:bookmarkEnd w:id="246"/>
      <w:bookmarkStart w:id="247" w:name="_Toc184310308"/>
      <w:bookmarkEnd w:id="247"/>
      <w:bookmarkStart w:id="248" w:name="_Toc184312132"/>
      <w:bookmarkEnd w:id="248"/>
      <w:bookmarkStart w:id="249" w:name="_Toc184312103"/>
      <w:bookmarkEnd w:id="249"/>
      <w:bookmarkStart w:id="250" w:name="_Toc184314462"/>
      <w:bookmarkEnd w:id="250"/>
      <w:bookmarkStart w:id="251" w:name="_Toc184313262"/>
      <w:bookmarkEnd w:id="251"/>
      <w:bookmarkStart w:id="252" w:name="_Toc184312137"/>
      <w:bookmarkEnd w:id="252"/>
      <w:bookmarkStart w:id="253" w:name="_Toc184313253"/>
      <w:bookmarkEnd w:id="253"/>
      <w:bookmarkStart w:id="254" w:name="_Toc184310293"/>
      <w:bookmarkEnd w:id="254"/>
      <w:bookmarkStart w:id="255" w:name="_Toc184308058"/>
      <w:bookmarkEnd w:id="255"/>
      <w:bookmarkStart w:id="256" w:name="_Toc184312068"/>
      <w:bookmarkEnd w:id="256"/>
      <w:bookmarkStart w:id="257" w:name="_Toc184313249"/>
      <w:bookmarkEnd w:id="257"/>
      <w:bookmarkStart w:id="258" w:name="_Toc184308080"/>
      <w:bookmarkEnd w:id="258"/>
      <w:bookmarkStart w:id="259" w:name="_Toc184313274"/>
      <w:bookmarkEnd w:id="259"/>
      <w:bookmarkStart w:id="260" w:name="_Toc184308043"/>
      <w:bookmarkEnd w:id="260"/>
      <w:bookmarkStart w:id="261" w:name="_Toc184312087"/>
      <w:bookmarkEnd w:id="261"/>
      <w:bookmarkStart w:id="262" w:name="_Toc184312116"/>
      <w:bookmarkEnd w:id="262"/>
      <w:bookmarkStart w:id="263" w:name="_Toc184308047"/>
      <w:bookmarkEnd w:id="263"/>
      <w:bookmarkStart w:id="264" w:name="_Toc184314416"/>
      <w:bookmarkEnd w:id="264"/>
      <w:bookmarkStart w:id="265" w:name="_Toc184308094"/>
      <w:bookmarkEnd w:id="265"/>
      <w:bookmarkStart w:id="266" w:name="_Toc184308062"/>
      <w:bookmarkEnd w:id="266"/>
      <w:bookmarkStart w:id="267" w:name="_Toc184308085"/>
      <w:bookmarkEnd w:id="267"/>
      <w:bookmarkStart w:id="268" w:name="_Toc184310305"/>
      <w:bookmarkEnd w:id="268"/>
      <w:bookmarkStart w:id="269" w:name="_Toc184310294"/>
      <w:bookmarkEnd w:id="269"/>
      <w:bookmarkStart w:id="270" w:name="_Toc184312083"/>
      <w:bookmarkEnd w:id="270"/>
      <w:bookmarkStart w:id="271" w:name="_Toc184308061"/>
      <w:bookmarkEnd w:id="271"/>
      <w:bookmarkStart w:id="272" w:name="_Toc184314438"/>
      <w:bookmarkEnd w:id="272"/>
      <w:bookmarkStart w:id="273" w:name="_Toc184313246"/>
      <w:bookmarkEnd w:id="273"/>
      <w:bookmarkStart w:id="274" w:name="_Toc184310274"/>
      <w:bookmarkEnd w:id="274"/>
      <w:bookmarkStart w:id="275" w:name="_Toc184308075"/>
      <w:bookmarkEnd w:id="275"/>
      <w:bookmarkStart w:id="276" w:name="_Toc184308039"/>
      <w:bookmarkEnd w:id="276"/>
      <w:bookmarkStart w:id="277" w:name="_Toc184308037"/>
      <w:bookmarkEnd w:id="277"/>
      <w:bookmarkStart w:id="278" w:name="_Toc184312076"/>
      <w:bookmarkEnd w:id="278"/>
      <w:bookmarkStart w:id="279" w:name="_Toc184312138"/>
      <w:bookmarkEnd w:id="279"/>
      <w:bookmarkStart w:id="280" w:name="_Toc184312084"/>
      <w:bookmarkEnd w:id="280"/>
      <w:bookmarkStart w:id="281" w:name="_Toc184312111"/>
      <w:bookmarkEnd w:id="281"/>
      <w:bookmarkStart w:id="282" w:name="_Toc184308049"/>
      <w:bookmarkEnd w:id="282"/>
      <w:bookmarkStart w:id="283" w:name="_Toc184308104"/>
      <w:bookmarkEnd w:id="283"/>
      <w:bookmarkStart w:id="284" w:name="_Toc184310330"/>
      <w:bookmarkEnd w:id="284"/>
      <w:bookmarkStart w:id="285" w:name="_Toc184308101"/>
      <w:bookmarkEnd w:id="285"/>
      <w:bookmarkStart w:id="286" w:name="_Toc184308103"/>
      <w:bookmarkEnd w:id="286"/>
      <w:bookmarkStart w:id="287" w:name="_Toc184314450"/>
      <w:bookmarkEnd w:id="287"/>
      <w:bookmarkStart w:id="288" w:name="_Toc184308073"/>
      <w:bookmarkEnd w:id="288"/>
      <w:bookmarkStart w:id="289" w:name="_Toc184310338"/>
      <w:bookmarkEnd w:id="289"/>
      <w:bookmarkStart w:id="290" w:name="_Toc184314421"/>
      <w:bookmarkEnd w:id="290"/>
      <w:bookmarkStart w:id="291" w:name="_Toc184313263"/>
      <w:bookmarkEnd w:id="291"/>
      <w:bookmarkStart w:id="292" w:name="_Toc184310322"/>
      <w:bookmarkEnd w:id="292"/>
      <w:bookmarkStart w:id="293" w:name="_Toc184310313"/>
      <w:bookmarkEnd w:id="293"/>
      <w:bookmarkStart w:id="294" w:name="_Toc184314451"/>
      <w:bookmarkEnd w:id="294"/>
      <w:bookmarkStart w:id="295" w:name="_Toc184312089"/>
      <w:bookmarkEnd w:id="295"/>
      <w:bookmarkStart w:id="296" w:name="_Toc184312101"/>
      <w:bookmarkEnd w:id="296"/>
      <w:bookmarkStart w:id="297" w:name="_Toc184314460"/>
      <w:bookmarkEnd w:id="297"/>
      <w:bookmarkStart w:id="298" w:name="_Toc184313280"/>
      <w:bookmarkEnd w:id="298"/>
      <w:bookmarkStart w:id="299" w:name="_Toc184314449"/>
      <w:bookmarkEnd w:id="299"/>
      <w:bookmarkStart w:id="300" w:name="_Toc184313261"/>
      <w:bookmarkEnd w:id="300"/>
      <w:bookmarkStart w:id="301" w:name="_Toc184308055"/>
      <w:bookmarkEnd w:id="301"/>
      <w:bookmarkStart w:id="302" w:name="_Toc184312102"/>
      <w:bookmarkEnd w:id="302"/>
      <w:bookmarkStart w:id="303" w:name="_Toc184312097"/>
      <w:bookmarkEnd w:id="303"/>
      <w:bookmarkStart w:id="304" w:name="_Toc184312125"/>
      <w:bookmarkEnd w:id="304"/>
      <w:bookmarkStart w:id="305" w:name="_Toc184313256"/>
      <w:bookmarkEnd w:id="305"/>
      <w:bookmarkStart w:id="306" w:name="_Toc184308060"/>
      <w:bookmarkEnd w:id="306"/>
      <w:bookmarkStart w:id="307" w:name="_Toc184313251"/>
      <w:bookmarkEnd w:id="307"/>
      <w:bookmarkStart w:id="308" w:name="_Toc184313303"/>
      <w:bookmarkEnd w:id="308"/>
      <w:bookmarkStart w:id="309" w:name="_Toc184312119"/>
      <w:bookmarkEnd w:id="309"/>
      <w:bookmarkStart w:id="310" w:name="_Toc184314425"/>
      <w:bookmarkEnd w:id="310"/>
      <w:bookmarkStart w:id="311" w:name="_Toc184313241"/>
      <w:bookmarkEnd w:id="311"/>
      <w:bookmarkStart w:id="312" w:name="_Toc184312120"/>
      <w:bookmarkEnd w:id="312"/>
      <w:bookmarkStart w:id="313" w:name="_Toc184308098"/>
      <w:bookmarkEnd w:id="313"/>
      <w:bookmarkStart w:id="314" w:name="_Toc184314434"/>
      <w:bookmarkEnd w:id="314"/>
      <w:bookmarkStart w:id="315" w:name="_Toc184308105"/>
      <w:bookmarkEnd w:id="315"/>
      <w:bookmarkStart w:id="316" w:name="_Toc184312098"/>
      <w:bookmarkEnd w:id="316"/>
      <w:bookmarkStart w:id="317" w:name="_Toc184314441"/>
      <w:bookmarkEnd w:id="317"/>
      <w:bookmarkStart w:id="318" w:name="_Toc184313288"/>
      <w:bookmarkEnd w:id="318"/>
      <w:bookmarkStart w:id="319" w:name="_Toc184308072"/>
      <w:bookmarkEnd w:id="319"/>
      <w:bookmarkStart w:id="320" w:name="_Toc184314417"/>
      <w:bookmarkEnd w:id="320"/>
      <w:bookmarkStart w:id="321" w:name="_Toc184313291"/>
      <w:bookmarkEnd w:id="321"/>
      <w:bookmarkStart w:id="322" w:name="_Toc184310273"/>
      <w:bookmarkEnd w:id="322"/>
      <w:bookmarkStart w:id="323" w:name="_Toc184308067"/>
      <w:bookmarkEnd w:id="323"/>
      <w:bookmarkStart w:id="324" w:name="_Toc184313281"/>
      <w:bookmarkEnd w:id="324"/>
      <w:bookmarkStart w:id="325" w:name="_Toc184314420"/>
      <w:bookmarkEnd w:id="325"/>
      <w:bookmarkStart w:id="326" w:name="_Toc184308036"/>
      <w:bookmarkEnd w:id="326"/>
      <w:bookmarkStart w:id="327" w:name="_Toc184313278"/>
      <w:bookmarkEnd w:id="327"/>
      <w:bookmarkStart w:id="328" w:name="_Toc184308071"/>
      <w:bookmarkEnd w:id="328"/>
      <w:bookmarkStart w:id="329" w:name="_Toc184314475"/>
      <w:bookmarkEnd w:id="329"/>
      <w:bookmarkStart w:id="330" w:name="_Toc184314455"/>
      <w:bookmarkEnd w:id="330"/>
      <w:bookmarkStart w:id="331" w:name="_Toc184308066"/>
      <w:bookmarkEnd w:id="331"/>
      <w:bookmarkStart w:id="332" w:name="_Toc184312075"/>
      <w:bookmarkEnd w:id="332"/>
      <w:bookmarkStart w:id="333" w:name="_Toc184314453"/>
      <w:bookmarkEnd w:id="333"/>
      <w:bookmarkStart w:id="334" w:name="_Toc184313240"/>
      <w:bookmarkEnd w:id="334"/>
      <w:bookmarkStart w:id="335" w:name="_Toc184313245"/>
      <w:bookmarkEnd w:id="335"/>
      <w:bookmarkStart w:id="336" w:name="_Toc184308045"/>
      <w:bookmarkEnd w:id="336"/>
      <w:bookmarkStart w:id="337" w:name="_Toc184312122"/>
      <w:bookmarkEnd w:id="337"/>
      <w:bookmarkStart w:id="338" w:name="_Toc184312104"/>
      <w:bookmarkEnd w:id="338"/>
      <w:bookmarkStart w:id="339" w:name="_Toc184312074"/>
      <w:bookmarkEnd w:id="339"/>
      <w:bookmarkStart w:id="340" w:name="_Toc184313239"/>
      <w:bookmarkEnd w:id="340"/>
      <w:bookmarkStart w:id="341" w:name="_Toc184314443"/>
      <w:bookmarkEnd w:id="341"/>
      <w:bookmarkStart w:id="342" w:name="_Toc184314422"/>
      <w:bookmarkEnd w:id="342"/>
      <w:bookmarkStart w:id="343" w:name="_Toc184308056"/>
      <w:bookmarkEnd w:id="343"/>
      <w:bookmarkStart w:id="344" w:name="_Toc184312112"/>
      <w:bookmarkEnd w:id="344"/>
      <w:bookmarkStart w:id="345" w:name="_Toc184308068"/>
      <w:bookmarkEnd w:id="345"/>
      <w:bookmarkStart w:id="346" w:name="_Toc184314465"/>
      <w:bookmarkEnd w:id="346"/>
      <w:bookmarkStart w:id="347" w:name="_Toc184310320"/>
      <w:bookmarkEnd w:id="347"/>
      <w:bookmarkStart w:id="348" w:name="_Toc184310300"/>
      <w:bookmarkEnd w:id="348"/>
      <w:bookmarkStart w:id="349" w:name="_Toc184310301"/>
      <w:bookmarkEnd w:id="349"/>
      <w:bookmarkStart w:id="350" w:name="_Toc184308041"/>
      <w:bookmarkEnd w:id="350"/>
      <w:bookmarkStart w:id="351" w:name="_Toc184310341"/>
      <w:bookmarkEnd w:id="351"/>
      <w:bookmarkStart w:id="352" w:name="_Toc184313289"/>
      <w:bookmarkEnd w:id="352"/>
      <w:bookmarkStart w:id="353" w:name="_Toc184314412"/>
      <w:bookmarkEnd w:id="353"/>
      <w:bookmarkStart w:id="354" w:name="_Toc184313295"/>
      <w:bookmarkEnd w:id="354"/>
      <w:bookmarkStart w:id="355" w:name="_Toc184313275"/>
      <w:bookmarkEnd w:id="355"/>
      <w:bookmarkStart w:id="356" w:name="_Toc184314464"/>
      <w:bookmarkEnd w:id="356"/>
      <w:bookmarkStart w:id="357" w:name="_Toc184313268"/>
      <w:bookmarkEnd w:id="357"/>
      <w:bookmarkStart w:id="358" w:name="_Toc184310288"/>
      <w:bookmarkEnd w:id="358"/>
      <w:bookmarkStart w:id="359" w:name="_Toc184313285"/>
      <w:bookmarkEnd w:id="359"/>
      <w:bookmarkStart w:id="360" w:name="_Toc184313292"/>
      <w:bookmarkEnd w:id="360"/>
      <w:bookmarkStart w:id="361" w:name="_Toc184313250"/>
      <w:bookmarkEnd w:id="361"/>
      <w:bookmarkStart w:id="362" w:name="_Toc184308091"/>
      <w:bookmarkEnd w:id="362"/>
      <w:bookmarkStart w:id="363" w:name="_Toc184310283"/>
      <w:bookmarkEnd w:id="363"/>
      <w:bookmarkStart w:id="364" w:name="_Toc184314470"/>
      <w:bookmarkEnd w:id="364"/>
      <w:bookmarkStart w:id="365" w:name="_Toc184310343"/>
      <w:bookmarkEnd w:id="365"/>
      <w:bookmarkStart w:id="366" w:name="_Toc184310303"/>
      <w:bookmarkEnd w:id="366"/>
      <w:bookmarkStart w:id="367" w:name="_Toc184312088"/>
      <w:bookmarkEnd w:id="367"/>
      <w:bookmarkStart w:id="368" w:name="_Toc184312117"/>
      <w:bookmarkEnd w:id="368"/>
      <w:bookmarkStart w:id="369" w:name="_Toc184308063"/>
      <w:bookmarkEnd w:id="369"/>
      <w:bookmarkStart w:id="370" w:name="_Toc184314435"/>
      <w:bookmarkEnd w:id="370"/>
      <w:bookmarkStart w:id="371" w:name="_Toc184310336"/>
      <w:bookmarkEnd w:id="371"/>
      <w:bookmarkStart w:id="372" w:name="_Toc184308059"/>
      <w:bookmarkEnd w:id="372"/>
      <w:bookmarkStart w:id="373" w:name="_Toc184312092"/>
      <w:bookmarkEnd w:id="373"/>
      <w:bookmarkStart w:id="374" w:name="_Toc184308054"/>
      <w:bookmarkEnd w:id="374"/>
      <w:bookmarkStart w:id="375" w:name="_Toc184313284"/>
      <w:bookmarkEnd w:id="375"/>
      <w:bookmarkStart w:id="376" w:name="_Toc184312090"/>
      <w:bookmarkEnd w:id="376"/>
      <w:bookmarkStart w:id="377" w:name="_Toc184310340"/>
      <w:bookmarkEnd w:id="377"/>
      <w:bookmarkStart w:id="378" w:name="_Toc184310333"/>
      <w:bookmarkEnd w:id="378"/>
      <w:bookmarkStart w:id="379" w:name="_Toc184310276"/>
      <w:bookmarkEnd w:id="379"/>
      <w:bookmarkStart w:id="380" w:name="_Toc184314445"/>
      <w:bookmarkEnd w:id="380"/>
      <w:bookmarkStart w:id="381" w:name="_Toc184312070"/>
      <w:bookmarkEnd w:id="381"/>
      <w:bookmarkStart w:id="382" w:name="_Toc184314476"/>
      <w:bookmarkEnd w:id="382"/>
      <w:bookmarkStart w:id="383" w:name="_Toc184310280"/>
      <w:bookmarkEnd w:id="383"/>
      <w:bookmarkStart w:id="384" w:name="_Toc184308051"/>
      <w:bookmarkEnd w:id="384"/>
      <w:bookmarkStart w:id="385" w:name="_Toc184313270"/>
      <w:bookmarkEnd w:id="385"/>
      <w:bookmarkStart w:id="386" w:name="_Toc184314444"/>
      <w:bookmarkEnd w:id="386"/>
      <w:bookmarkStart w:id="387" w:name="_Toc184308108"/>
      <w:bookmarkEnd w:id="387"/>
      <w:bookmarkStart w:id="388" w:name="_Toc184308042"/>
      <w:bookmarkEnd w:id="388"/>
      <w:bookmarkStart w:id="389" w:name="_Toc184312082"/>
      <w:bookmarkEnd w:id="389"/>
      <w:bookmarkStart w:id="390" w:name="_Toc184313264"/>
      <w:bookmarkEnd w:id="390"/>
      <w:bookmarkStart w:id="391" w:name="_Toc184312073"/>
      <w:bookmarkEnd w:id="391"/>
      <w:bookmarkStart w:id="392" w:name="_Toc184312096"/>
      <w:bookmarkEnd w:id="392"/>
      <w:bookmarkStart w:id="393" w:name="_Toc184313242"/>
      <w:bookmarkEnd w:id="393"/>
      <w:bookmarkStart w:id="394" w:name="_Toc184313298"/>
      <w:bookmarkEnd w:id="394"/>
      <w:bookmarkStart w:id="395" w:name="_Toc184308090"/>
      <w:bookmarkEnd w:id="395"/>
      <w:bookmarkStart w:id="396" w:name="_Toc184314418"/>
      <w:bookmarkEnd w:id="396"/>
      <w:bookmarkStart w:id="397" w:name="_Toc184313258"/>
      <w:bookmarkEnd w:id="397"/>
      <w:bookmarkStart w:id="398" w:name="_Toc184314458"/>
      <w:bookmarkEnd w:id="398"/>
      <w:bookmarkStart w:id="399" w:name="_Toc184310332"/>
      <w:bookmarkEnd w:id="399"/>
      <w:bookmarkStart w:id="400" w:name="_Toc184312077"/>
      <w:bookmarkEnd w:id="400"/>
      <w:bookmarkStart w:id="401" w:name="_Toc184312139"/>
      <w:bookmarkEnd w:id="401"/>
      <w:bookmarkStart w:id="402" w:name="_Toc184314480"/>
      <w:bookmarkEnd w:id="402"/>
      <w:bookmarkStart w:id="403" w:name="_Toc184310278"/>
      <w:bookmarkEnd w:id="403"/>
      <w:bookmarkStart w:id="404" w:name="_Toc184312133"/>
      <w:bookmarkEnd w:id="404"/>
      <w:bookmarkStart w:id="405" w:name="_Toc184310291"/>
      <w:bookmarkEnd w:id="405"/>
      <w:bookmarkStart w:id="406" w:name="_Toc184312100"/>
      <w:bookmarkEnd w:id="406"/>
      <w:bookmarkStart w:id="407" w:name="_Toc184308097"/>
      <w:bookmarkEnd w:id="407"/>
      <w:bookmarkStart w:id="408" w:name="_Toc184312091"/>
      <w:bookmarkEnd w:id="408"/>
      <w:bookmarkStart w:id="409" w:name="_Toc184313309"/>
      <w:bookmarkEnd w:id="409"/>
      <w:bookmarkStart w:id="410" w:name="_Toc184312127"/>
      <w:bookmarkEnd w:id="410"/>
      <w:bookmarkStart w:id="411" w:name="_Toc184308088"/>
      <w:bookmarkEnd w:id="411"/>
      <w:bookmarkStart w:id="412" w:name="_Toc184314439"/>
      <w:bookmarkEnd w:id="412"/>
      <w:bookmarkStart w:id="413" w:name="_Toc184313252"/>
      <w:bookmarkEnd w:id="413"/>
      <w:bookmarkStart w:id="414" w:name="_Toc184314479"/>
      <w:bookmarkEnd w:id="414"/>
      <w:bookmarkStart w:id="415" w:name="_Toc184310277"/>
      <w:bookmarkEnd w:id="415"/>
      <w:bookmarkStart w:id="416" w:name="_Toc184308100"/>
      <w:bookmarkEnd w:id="416"/>
      <w:r>
        <w:rPr>
          <w:rFonts w:hint="eastAsia" w:ascii="宋体" w:hAnsi="宋体" w:cs="宋体"/>
          <w:b/>
          <w:color w:val="auto"/>
          <w:sz w:val="36"/>
          <w:szCs w:val="20"/>
          <w:highlight w:val="none"/>
        </w:rPr>
        <w:t xml:space="preserve"> 评审办法</w:t>
      </w:r>
      <w:bookmarkEnd w:id="51"/>
    </w:p>
    <w:p w14:paraId="59240558">
      <w:pPr>
        <w:keepNext w:val="0"/>
        <w:keepLines w:val="0"/>
        <w:pageBreakBefore w:val="0"/>
        <w:widowControl w:val="0"/>
        <w:kinsoku/>
        <w:wordWrap/>
        <w:overflowPunct/>
        <w:topLinePunct w:val="0"/>
        <w:autoSpaceDE/>
        <w:autoSpaceDN/>
        <w:bidi w:val="0"/>
        <w:snapToGrid w:val="0"/>
        <w:spacing w:line="360" w:lineRule="auto"/>
        <w:ind w:firstLine="643" w:firstLineChars="200"/>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6755"/>
        <w:gridCol w:w="1277"/>
      </w:tblGrid>
      <w:tr w14:paraId="397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58" w:type="dxa"/>
            <w:gridSpan w:val="2"/>
            <w:tcBorders>
              <w:top w:val="single" w:color="auto" w:sz="4" w:space="0"/>
              <w:left w:val="single" w:color="auto" w:sz="4" w:space="0"/>
              <w:bottom w:val="single" w:color="auto" w:sz="4" w:space="0"/>
              <w:right w:val="single" w:color="auto" w:sz="4" w:space="0"/>
            </w:tcBorders>
            <w:noWrap w:val="0"/>
            <w:vAlign w:val="center"/>
          </w:tcPr>
          <w:p w14:paraId="039D8A4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评审细则和标准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DE23E5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14:paraId="7BB1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103" w:type="dxa"/>
            <w:vMerge w:val="restart"/>
            <w:tcBorders>
              <w:top w:val="single" w:color="auto" w:sz="4" w:space="0"/>
              <w:left w:val="single" w:color="auto" w:sz="4" w:space="0"/>
              <w:right w:val="single" w:color="auto" w:sz="4" w:space="0"/>
            </w:tcBorders>
            <w:noWrap w:val="0"/>
            <w:vAlign w:val="center"/>
          </w:tcPr>
          <w:p w14:paraId="1C65B3D4">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商务技术分</w:t>
            </w:r>
            <w:r>
              <w:rPr>
                <w:rFonts w:hint="eastAsia" w:asciiTheme="minorEastAsia" w:hAnsiTheme="minorEastAsia" w:eastAsiaTheme="minorEastAsia" w:cstheme="minorEastAsia"/>
                <w:color w:val="auto"/>
                <w:sz w:val="24"/>
                <w:szCs w:val="24"/>
                <w:highlight w:val="none"/>
                <w:lang w:val="en-US" w:eastAsia="zh-CN"/>
              </w:rPr>
              <w:t>70分</w:t>
            </w:r>
          </w:p>
        </w:tc>
        <w:tc>
          <w:tcPr>
            <w:tcW w:w="6755" w:type="dxa"/>
            <w:tcBorders>
              <w:top w:val="single" w:color="auto" w:sz="4" w:space="0"/>
              <w:left w:val="single" w:color="auto" w:sz="4" w:space="0"/>
              <w:bottom w:val="single" w:color="auto" w:sz="4" w:space="0"/>
              <w:right w:val="single" w:color="auto" w:sz="4" w:space="0"/>
            </w:tcBorders>
            <w:noWrap w:val="0"/>
            <w:vAlign w:val="center"/>
          </w:tcPr>
          <w:p w14:paraId="56146A90">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根据供应商提供的施工现场平面布置情况（包含施工现场临时设置布置情况；施工设备、原材料堆放情况；安全警示情况；</w:t>
            </w:r>
            <w:r>
              <w:rPr>
                <w:rFonts w:hint="eastAsia" w:asciiTheme="minorEastAsia" w:hAnsiTheme="minorEastAsia" w:eastAsiaTheme="minorEastAsia" w:cstheme="minorEastAsia"/>
                <w:b/>
                <w:bCs/>
                <w:color w:val="auto"/>
                <w:sz w:val="24"/>
                <w:szCs w:val="24"/>
                <w:highlight w:val="none"/>
                <w:lang w:eastAsia="zh-CN"/>
              </w:rPr>
              <w:t>工程施工范围内的加工设施、运输设施、存贮设施、供电设施</w:t>
            </w:r>
            <w:r>
              <w:rPr>
                <w:rFonts w:hint="eastAsia" w:asciiTheme="minorEastAsia" w:hAnsiTheme="minorEastAsia" w:eastAsiaTheme="minorEastAsia" w:cstheme="minorEastAsia"/>
                <w:b/>
                <w:bCs/>
                <w:color w:val="auto"/>
                <w:sz w:val="24"/>
                <w:szCs w:val="24"/>
                <w:highlight w:val="none"/>
              </w:rPr>
              <w:t>配备情况等）进行综合评议：</w:t>
            </w:r>
          </w:p>
          <w:p w14:paraId="7DF6FE88">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①施工现场临时设施布置齐全，施工设备、原材料堆放有序，安全警示醒目，</w:t>
            </w:r>
            <w:r>
              <w:rPr>
                <w:rFonts w:hint="eastAsia" w:asciiTheme="minorEastAsia" w:hAnsiTheme="minorEastAsia" w:eastAsiaTheme="minorEastAsia" w:cstheme="minorEastAsia"/>
                <w:color w:val="auto"/>
                <w:sz w:val="24"/>
                <w:szCs w:val="24"/>
                <w:highlight w:val="none"/>
                <w:lang w:eastAsia="zh-CN"/>
              </w:rPr>
              <w:t>加工设施、运输设施、存贮设施、供电设施</w:t>
            </w:r>
            <w:r>
              <w:rPr>
                <w:rFonts w:hint="eastAsia" w:asciiTheme="minorEastAsia" w:hAnsiTheme="minorEastAsia" w:eastAsiaTheme="minorEastAsia" w:cstheme="minorEastAsia"/>
                <w:color w:val="auto"/>
                <w:sz w:val="24"/>
                <w:szCs w:val="24"/>
                <w:highlight w:val="none"/>
              </w:rPr>
              <w:t>配备充足的得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6E499C37">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②施工现场临时设施布置较齐全，施工设备、原材料堆放较有序，安全警示较醒目，</w:t>
            </w:r>
            <w:r>
              <w:rPr>
                <w:rFonts w:hint="eastAsia" w:asciiTheme="minorEastAsia" w:hAnsiTheme="minorEastAsia" w:eastAsiaTheme="minorEastAsia" w:cstheme="minorEastAsia"/>
                <w:color w:val="auto"/>
                <w:sz w:val="24"/>
                <w:szCs w:val="24"/>
                <w:highlight w:val="none"/>
                <w:lang w:eastAsia="zh-CN"/>
              </w:rPr>
              <w:t>加工设施、运输设施、存贮设施、供电设施</w:t>
            </w:r>
            <w:r>
              <w:rPr>
                <w:rFonts w:hint="eastAsia" w:asciiTheme="minorEastAsia" w:hAnsiTheme="minorEastAsia" w:eastAsiaTheme="minorEastAsia" w:cstheme="minorEastAsia"/>
                <w:color w:val="auto"/>
                <w:sz w:val="24"/>
                <w:szCs w:val="24"/>
                <w:highlight w:val="none"/>
              </w:rPr>
              <w:t>配备较充足的得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27F66FF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③施工现场临时设施布置不够齐全，施工设备、原材料堆放较混乱，安全警示不够醒目，</w:t>
            </w:r>
            <w:r>
              <w:rPr>
                <w:rFonts w:hint="eastAsia" w:asciiTheme="minorEastAsia" w:hAnsiTheme="minorEastAsia" w:eastAsiaTheme="minorEastAsia" w:cstheme="minorEastAsia"/>
                <w:color w:val="auto"/>
                <w:sz w:val="24"/>
                <w:szCs w:val="24"/>
                <w:highlight w:val="none"/>
                <w:lang w:eastAsia="zh-CN"/>
              </w:rPr>
              <w:t>加工设施、运输设施、存贮设施、供电设施</w:t>
            </w:r>
            <w:r>
              <w:rPr>
                <w:rFonts w:hint="eastAsia" w:asciiTheme="minorEastAsia" w:hAnsiTheme="minorEastAsia" w:eastAsiaTheme="minorEastAsia" w:cstheme="minorEastAsia"/>
                <w:color w:val="auto"/>
                <w:sz w:val="24"/>
                <w:szCs w:val="24"/>
                <w:highlight w:val="none"/>
              </w:rPr>
              <w:t>配备不够充足的得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2909AB3">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④</w:t>
            </w:r>
            <w:r>
              <w:rPr>
                <w:rFonts w:hint="eastAsia" w:asciiTheme="minorEastAsia" w:hAnsiTheme="minorEastAsia" w:eastAsiaTheme="minorEastAsia" w:cstheme="minorEastAsia"/>
                <w:color w:val="auto"/>
                <w:sz w:val="24"/>
                <w:szCs w:val="24"/>
                <w:highlight w:val="none"/>
              </w:rPr>
              <w:t>施工现场临时设施布置缺失，施工设备、原材料堆放混乱，安全警示不醒目，</w:t>
            </w:r>
            <w:r>
              <w:rPr>
                <w:rFonts w:hint="eastAsia" w:asciiTheme="minorEastAsia" w:hAnsiTheme="minorEastAsia" w:eastAsiaTheme="minorEastAsia" w:cstheme="minorEastAsia"/>
                <w:color w:val="auto"/>
                <w:sz w:val="24"/>
                <w:szCs w:val="24"/>
                <w:highlight w:val="none"/>
                <w:lang w:eastAsia="zh-CN"/>
              </w:rPr>
              <w:t>加工设施、运输设施、存贮设施、供电设施</w:t>
            </w:r>
            <w:r>
              <w:rPr>
                <w:rFonts w:hint="eastAsia" w:asciiTheme="minorEastAsia" w:hAnsiTheme="minorEastAsia" w:eastAsiaTheme="minorEastAsia" w:cstheme="minorEastAsia"/>
                <w:color w:val="auto"/>
                <w:sz w:val="24"/>
                <w:szCs w:val="24"/>
                <w:highlight w:val="none"/>
              </w:rPr>
              <w:t>配备不充足的得</w:t>
            </w:r>
            <w:r>
              <w:rPr>
                <w:rFonts w:hint="eastAsia" w:asciiTheme="minorEastAsia" w:hAnsiTheme="minorEastAsia" w:eastAsiaTheme="minorEastAsia" w:cstheme="minorEastAsia"/>
                <w:color w:val="auto"/>
                <w:sz w:val="24"/>
                <w:szCs w:val="24"/>
                <w:highlight w:val="none"/>
                <w:lang w:val="en-US" w:eastAsia="zh-CN"/>
              </w:rPr>
              <w:t>1分；</w:t>
            </w:r>
          </w:p>
          <w:p w14:paraId="3C172349">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5DBDEAC">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4分</w:t>
            </w:r>
          </w:p>
        </w:tc>
      </w:tr>
      <w:tr w14:paraId="797C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03" w:type="dxa"/>
            <w:vMerge w:val="continue"/>
            <w:tcBorders>
              <w:left w:val="single" w:color="auto" w:sz="4" w:space="0"/>
              <w:right w:val="single" w:color="auto" w:sz="4" w:space="0"/>
            </w:tcBorders>
            <w:noWrap w:val="0"/>
            <w:vAlign w:val="center"/>
          </w:tcPr>
          <w:p w14:paraId="6536234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55E81916">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根据供应商提供的项目关键点、重难点分析进行综合评议：</w:t>
            </w:r>
          </w:p>
          <w:p w14:paraId="648C740F">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①项目关键点、重难点分析到位且具有可行的解决方案的得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67A36A95">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②项目关键点、重难点分析较到位，且有一定可行性的解决方案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有一定针对性的得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474203A">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③项目关键点、重难点分析不够到位，且没有可行的解决方案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针对性不强的得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0D3A5F9">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④项目关键点、重难点分析不准确，或未能提供有效的解决方案的得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p w14:paraId="623B3B82">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2580C6F">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26C7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3" w:type="dxa"/>
            <w:vMerge w:val="continue"/>
            <w:tcBorders>
              <w:left w:val="single" w:color="auto" w:sz="4" w:space="0"/>
              <w:right w:val="single" w:color="auto" w:sz="4" w:space="0"/>
            </w:tcBorders>
            <w:noWrap w:val="0"/>
            <w:vAlign w:val="center"/>
          </w:tcPr>
          <w:p w14:paraId="3B14CDB3">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22C617BA">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根据供应商提供的项目实施过程中管理协调办法</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包含</w:t>
            </w:r>
            <w:r>
              <w:rPr>
                <w:rFonts w:hint="eastAsia" w:asciiTheme="minorEastAsia" w:hAnsiTheme="minorEastAsia" w:eastAsiaTheme="minorEastAsia" w:cstheme="minorEastAsia"/>
                <w:b/>
                <w:bCs/>
                <w:color w:val="auto"/>
                <w:sz w:val="24"/>
                <w:szCs w:val="24"/>
                <w:highlight w:val="none"/>
                <w:lang w:eastAsia="zh-CN"/>
              </w:rPr>
              <w:t>项目管理内部协调、与建设单位及监理单位的配合、与</w:t>
            </w:r>
            <w:r>
              <w:rPr>
                <w:rFonts w:hint="eastAsia" w:asciiTheme="minorEastAsia" w:hAnsiTheme="minorEastAsia" w:eastAsiaTheme="minorEastAsia" w:cstheme="minorEastAsia"/>
                <w:b/>
                <w:bCs/>
                <w:color w:val="auto"/>
                <w:sz w:val="24"/>
                <w:szCs w:val="24"/>
                <w:highlight w:val="none"/>
                <w:lang w:val="en-US" w:eastAsia="zh-CN"/>
              </w:rPr>
              <w:t>其他</w:t>
            </w:r>
            <w:r>
              <w:rPr>
                <w:rFonts w:hint="eastAsia" w:asciiTheme="minorEastAsia" w:hAnsiTheme="minorEastAsia" w:eastAsiaTheme="minorEastAsia" w:cstheme="minorEastAsia"/>
                <w:b/>
                <w:bCs/>
                <w:color w:val="auto"/>
                <w:sz w:val="24"/>
                <w:szCs w:val="24"/>
                <w:highlight w:val="none"/>
                <w:lang w:eastAsia="zh-CN"/>
              </w:rPr>
              <w:t>有关单位的协调与配合</w:t>
            </w:r>
            <w:r>
              <w:rPr>
                <w:rFonts w:hint="eastAsia" w:asciiTheme="minorEastAsia" w:hAnsiTheme="minorEastAsia" w:eastAsiaTheme="minorEastAsia" w:cstheme="minorEastAsia"/>
                <w:b/>
                <w:bCs/>
                <w:color w:val="auto"/>
                <w:sz w:val="24"/>
                <w:szCs w:val="24"/>
                <w:highlight w:val="none"/>
              </w:rPr>
              <w:t>等</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进行综合评议：</w:t>
            </w:r>
          </w:p>
          <w:p w14:paraId="450DBB33">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项目管理内部协调、与建设单位及监理单位的配合、与</w:t>
            </w:r>
            <w:r>
              <w:rPr>
                <w:rFonts w:hint="eastAsia" w:asciiTheme="minorEastAsia" w:hAnsiTheme="minorEastAsia" w:eastAsiaTheme="minorEastAsia" w:cstheme="minorEastAsia"/>
                <w:color w:val="auto"/>
                <w:sz w:val="24"/>
                <w:szCs w:val="24"/>
                <w:highlight w:val="none"/>
                <w:lang w:val="en-US" w:eastAsia="zh-CN"/>
              </w:rPr>
              <w:t>其他</w:t>
            </w:r>
            <w:r>
              <w:rPr>
                <w:rFonts w:hint="eastAsia" w:asciiTheme="minorEastAsia" w:hAnsiTheme="minorEastAsia" w:eastAsiaTheme="minorEastAsia" w:cstheme="minorEastAsia"/>
                <w:color w:val="auto"/>
                <w:sz w:val="24"/>
                <w:szCs w:val="24"/>
                <w:highlight w:val="none"/>
                <w:lang w:eastAsia="zh-CN"/>
              </w:rPr>
              <w:t>有关单位的协调与配合内容齐全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53A5E40F">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eastAsia="zh-CN"/>
              </w:rPr>
              <w:t>项目管理内部协调、与建设单位及监理单位的配合、与</w:t>
            </w:r>
            <w:r>
              <w:rPr>
                <w:rFonts w:hint="eastAsia" w:asciiTheme="minorEastAsia" w:hAnsiTheme="minorEastAsia" w:eastAsiaTheme="minorEastAsia" w:cstheme="minorEastAsia"/>
                <w:color w:val="auto"/>
                <w:sz w:val="24"/>
                <w:szCs w:val="24"/>
                <w:highlight w:val="none"/>
                <w:lang w:val="en-US" w:eastAsia="zh-CN"/>
              </w:rPr>
              <w:t>其他</w:t>
            </w:r>
            <w:r>
              <w:rPr>
                <w:rFonts w:hint="eastAsia" w:asciiTheme="minorEastAsia" w:hAnsiTheme="minorEastAsia" w:eastAsiaTheme="minorEastAsia" w:cstheme="minorEastAsia"/>
                <w:color w:val="auto"/>
                <w:sz w:val="24"/>
                <w:szCs w:val="24"/>
                <w:highlight w:val="none"/>
                <w:lang w:eastAsia="zh-CN"/>
              </w:rPr>
              <w:t>有关单位的协调与配合内容较齐全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4E348F5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eastAsia="zh-CN"/>
              </w:rPr>
              <w:t>项目管理内部协调、与建设单位及监理单位的配合、与</w:t>
            </w:r>
            <w:r>
              <w:rPr>
                <w:rFonts w:hint="eastAsia" w:asciiTheme="minorEastAsia" w:hAnsiTheme="minorEastAsia" w:eastAsiaTheme="minorEastAsia" w:cstheme="minorEastAsia"/>
                <w:color w:val="auto"/>
                <w:sz w:val="24"/>
                <w:szCs w:val="24"/>
                <w:highlight w:val="none"/>
                <w:lang w:val="en-US" w:eastAsia="zh-CN"/>
              </w:rPr>
              <w:t>其他</w:t>
            </w:r>
            <w:r>
              <w:rPr>
                <w:rFonts w:hint="eastAsia" w:asciiTheme="minorEastAsia" w:hAnsiTheme="minorEastAsia" w:eastAsiaTheme="minorEastAsia" w:cstheme="minorEastAsia"/>
                <w:color w:val="auto"/>
                <w:sz w:val="24"/>
                <w:szCs w:val="24"/>
                <w:highlight w:val="none"/>
                <w:lang w:eastAsia="zh-CN"/>
              </w:rPr>
              <w:t>有关单位的协调与配合内容不够齐全的得</w:t>
            </w:r>
            <w:r>
              <w:rPr>
                <w:rFonts w:hint="eastAsia" w:asciiTheme="minorEastAsia" w:hAnsiTheme="minorEastAsia" w:eastAsiaTheme="minorEastAsia" w:cstheme="minorEastAsia"/>
                <w:color w:val="auto"/>
                <w:sz w:val="24"/>
                <w:szCs w:val="24"/>
                <w:highlight w:val="none"/>
                <w:lang w:val="en-US" w:eastAsia="zh-CN"/>
              </w:rPr>
              <w:t>2分</w:t>
            </w:r>
            <w:r>
              <w:rPr>
                <w:rFonts w:hint="eastAsia" w:asciiTheme="minorEastAsia" w:hAnsiTheme="minorEastAsia" w:eastAsiaTheme="minorEastAsia" w:cstheme="minorEastAsia"/>
                <w:color w:val="auto"/>
                <w:sz w:val="24"/>
                <w:szCs w:val="24"/>
                <w:highlight w:val="none"/>
                <w:lang w:eastAsia="zh-CN"/>
              </w:rPr>
              <w:t>；</w:t>
            </w:r>
          </w:p>
          <w:p w14:paraId="453235DA">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④项目管理内部协调、与建设单位及监理单位的配合、与</w:t>
            </w:r>
            <w:r>
              <w:rPr>
                <w:rFonts w:hint="eastAsia" w:asciiTheme="minorEastAsia" w:hAnsiTheme="minorEastAsia" w:eastAsiaTheme="minorEastAsia" w:cstheme="minorEastAsia"/>
                <w:color w:val="auto"/>
                <w:sz w:val="24"/>
                <w:szCs w:val="24"/>
                <w:highlight w:val="none"/>
                <w:lang w:val="en-US" w:eastAsia="zh-CN"/>
              </w:rPr>
              <w:t>其他</w:t>
            </w:r>
            <w:r>
              <w:rPr>
                <w:rFonts w:hint="eastAsia" w:asciiTheme="minorEastAsia" w:hAnsiTheme="minorEastAsia" w:eastAsiaTheme="minorEastAsia" w:cstheme="minorEastAsia"/>
                <w:color w:val="auto"/>
                <w:sz w:val="24"/>
                <w:szCs w:val="24"/>
                <w:highlight w:val="none"/>
                <w:lang w:eastAsia="zh-CN"/>
              </w:rPr>
              <w:t>有关单位的协调与配合内容不齐全</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93C881E">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316DC8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22B4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03" w:type="dxa"/>
            <w:vMerge w:val="continue"/>
            <w:tcBorders>
              <w:left w:val="single" w:color="auto" w:sz="4" w:space="0"/>
              <w:right w:val="single" w:color="auto" w:sz="4" w:space="0"/>
            </w:tcBorders>
            <w:noWrap w:val="0"/>
            <w:vAlign w:val="center"/>
          </w:tcPr>
          <w:p w14:paraId="1EC1B4A2">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4C6D63E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4、根据供应商提供的</w:t>
            </w:r>
            <w:r>
              <w:rPr>
                <w:rFonts w:hint="eastAsia" w:asciiTheme="minorEastAsia" w:hAnsiTheme="minorEastAsia" w:eastAsiaTheme="minorEastAsia" w:cstheme="minorEastAsia"/>
                <w:b/>
                <w:bCs/>
                <w:color w:val="auto"/>
                <w:sz w:val="24"/>
                <w:szCs w:val="24"/>
                <w:highlight w:val="none"/>
                <w:lang w:val="zh-CN"/>
              </w:rPr>
              <w:t>针对</w:t>
            </w: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工程实施的施工方案（包括施工工序及安装工艺、施工技术方案等）</w:t>
            </w:r>
            <w:r>
              <w:rPr>
                <w:rFonts w:hint="eastAsia" w:asciiTheme="minorEastAsia" w:hAnsiTheme="minorEastAsia" w:eastAsiaTheme="minorEastAsia" w:cstheme="minorEastAsia"/>
                <w:b/>
                <w:bCs/>
                <w:color w:val="auto"/>
                <w:sz w:val="24"/>
                <w:szCs w:val="24"/>
                <w:highlight w:val="none"/>
                <w:lang w:val="zh-CN"/>
              </w:rPr>
              <w:t>进行</w:t>
            </w:r>
            <w:r>
              <w:rPr>
                <w:rFonts w:hint="eastAsia" w:asciiTheme="minorEastAsia" w:hAnsiTheme="minorEastAsia" w:eastAsiaTheme="minorEastAsia" w:cstheme="minorEastAsia"/>
                <w:b/>
                <w:bCs/>
                <w:color w:val="auto"/>
                <w:sz w:val="24"/>
                <w:szCs w:val="24"/>
                <w:highlight w:val="none"/>
                <w:lang w:val="en-US" w:eastAsia="zh-CN"/>
              </w:rPr>
              <w:t>综合</w:t>
            </w:r>
            <w:r>
              <w:rPr>
                <w:rFonts w:hint="eastAsia" w:asciiTheme="minorEastAsia" w:hAnsiTheme="minorEastAsia" w:eastAsiaTheme="minorEastAsia" w:cstheme="minorEastAsia"/>
                <w:b/>
                <w:bCs/>
                <w:color w:val="auto"/>
                <w:sz w:val="24"/>
                <w:szCs w:val="24"/>
                <w:highlight w:val="none"/>
                <w:lang w:val="zh-CN"/>
              </w:rPr>
              <w:t>评议：</w:t>
            </w:r>
          </w:p>
          <w:p w14:paraId="733D7EC8">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①施工工序及安装工艺、施工技术方案完全符合相关规范，有针对性、切合本项目特点的得4分；</w:t>
            </w:r>
          </w:p>
          <w:p w14:paraId="2C3E9533">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②施工工序及安装工艺、施工技术方案基本符合相关规范，较有针对性、较切合本项目特点的得3分；</w:t>
            </w:r>
          </w:p>
          <w:p w14:paraId="20B07366">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③施工工序及安装工艺、施工技术方案不够符合相关规范，针对性不强、不够切合本项目特点的得2分；</w:t>
            </w:r>
          </w:p>
          <w:p w14:paraId="7BD371B6">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④施工工序及安装工艺、施工技术方案不符合相关规范，有缺陷的得1分；</w:t>
            </w:r>
          </w:p>
          <w:p w14:paraId="15508817">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B07FE7F">
            <w:pPr>
              <w:keepNext w:val="0"/>
              <w:keepLines w:val="0"/>
              <w:pageBreakBefore w:val="0"/>
              <w:widowControl/>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r>
      <w:tr w14:paraId="345F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03" w:type="dxa"/>
            <w:vMerge w:val="continue"/>
            <w:tcBorders>
              <w:left w:val="single" w:color="auto" w:sz="4" w:space="0"/>
              <w:right w:val="single" w:color="auto" w:sz="4" w:space="0"/>
            </w:tcBorders>
            <w:noWrap w:val="0"/>
            <w:vAlign w:val="center"/>
          </w:tcPr>
          <w:p w14:paraId="5566F58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60696DF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5、根据供应商</w:t>
            </w:r>
            <w:r>
              <w:rPr>
                <w:rFonts w:hint="eastAsia" w:asciiTheme="minorEastAsia" w:hAnsiTheme="minorEastAsia" w:eastAsiaTheme="minorEastAsia" w:cstheme="minorEastAsia"/>
                <w:b/>
                <w:bCs/>
                <w:color w:val="auto"/>
                <w:sz w:val="24"/>
                <w:szCs w:val="24"/>
                <w:highlight w:val="none"/>
              </w:rPr>
              <w:t>针</w:t>
            </w:r>
            <w:r>
              <w:rPr>
                <w:rFonts w:hint="eastAsia" w:asciiTheme="minorEastAsia" w:hAnsiTheme="minorEastAsia" w:eastAsiaTheme="minorEastAsia" w:cstheme="minorEastAsia"/>
                <w:b/>
                <w:bCs/>
                <w:color w:val="auto"/>
                <w:sz w:val="24"/>
                <w:szCs w:val="24"/>
                <w:highlight w:val="none"/>
                <w:lang w:val="zh-CN"/>
              </w:rPr>
              <w:t>对</w:t>
            </w: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工程</w:t>
            </w:r>
            <w:r>
              <w:rPr>
                <w:rFonts w:hint="eastAsia" w:asciiTheme="minorEastAsia" w:hAnsiTheme="minorEastAsia" w:eastAsiaTheme="minorEastAsia" w:cstheme="minorEastAsia"/>
                <w:b/>
                <w:bCs/>
                <w:color w:val="auto"/>
                <w:sz w:val="24"/>
                <w:szCs w:val="24"/>
                <w:highlight w:val="none"/>
                <w:lang w:val="zh-CN"/>
              </w:rPr>
              <w:t>提供的施工进度计划和保证措施进行综合评议：</w:t>
            </w:r>
          </w:p>
          <w:p w14:paraId="69A6B69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①施工</w:t>
            </w:r>
            <w:r>
              <w:rPr>
                <w:rFonts w:hint="eastAsia" w:asciiTheme="minorEastAsia" w:hAnsiTheme="minorEastAsia" w:eastAsiaTheme="minorEastAsia" w:cstheme="minorEastAsia"/>
                <w:b w:val="0"/>
                <w:bCs w:val="0"/>
                <w:color w:val="auto"/>
                <w:sz w:val="24"/>
                <w:szCs w:val="24"/>
                <w:highlight w:val="none"/>
                <w:lang w:val="zh-CN"/>
              </w:rPr>
              <w:t>进度</w:t>
            </w:r>
            <w:r>
              <w:rPr>
                <w:rFonts w:hint="eastAsia" w:asciiTheme="minorEastAsia" w:hAnsiTheme="minorEastAsia" w:eastAsiaTheme="minorEastAsia" w:cstheme="minorEastAsia"/>
                <w:b w:val="0"/>
                <w:bCs w:val="0"/>
                <w:color w:val="auto"/>
                <w:sz w:val="24"/>
                <w:szCs w:val="24"/>
                <w:highlight w:val="none"/>
                <w:lang w:val="en-US" w:eastAsia="zh-CN"/>
              </w:rPr>
              <w:t>计划安排合理且能满足采购需求、交叉施工安排合理、各时间节点明确、施工进度</w:t>
            </w:r>
            <w:r>
              <w:rPr>
                <w:rFonts w:hint="eastAsia" w:asciiTheme="minorEastAsia" w:hAnsiTheme="minorEastAsia" w:eastAsiaTheme="minorEastAsia" w:cstheme="minorEastAsia"/>
                <w:b w:val="0"/>
                <w:bCs w:val="0"/>
                <w:color w:val="auto"/>
                <w:sz w:val="24"/>
                <w:szCs w:val="24"/>
                <w:highlight w:val="none"/>
                <w:lang w:val="zh-CN"/>
              </w:rPr>
              <w:t>保障措施合理</w:t>
            </w:r>
            <w:r>
              <w:rPr>
                <w:rFonts w:hint="eastAsia" w:asciiTheme="minorEastAsia" w:hAnsiTheme="minorEastAsia" w:eastAsiaTheme="minorEastAsia" w:cstheme="minorEastAsia"/>
                <w:b w:val="0"/>
                <w:bCs w:val="0"/>
                <w:color w:val="auto"/>
                <w:sz w:val="24"/>
                <w:szCs w:val="24"/>
                <w:highlight w:val="none"/>
                <w:lang w:val="en-US" w:eastAsia="zh-CN"/>
              </w:rPr>
              <w:t>有效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3070908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②施工</w:t>
            </w:r>
            <w:r>
              <w:rPr>
                <w:rFonts w:hint="eastAsia" w:asciiTheme="minorEastAsia" w:hAnsiTheme="minorEastAsia" w:eastAsiaTheme="minorEastAsia" w:cstheme="minorEastAsia"/>
                <w:b w:val="0"/>
                <w:bCs w:val="0"/>
                <w:color w:val="auto"/>
                <w:sz w:val="24"/>
                <w:szCs w:val="24"/>
                <w:highlight w:val="none"/>
                <w:lang w:val="zh-CN"/>
              </w:rPr>
              <w:t>进度</w:t>
            </w:r>
            <w:r>
              <w:rPr>
                <w:rFonts w:hint="eastAsia" w:asciiTheme="minorEastAsia" w:hAnsiTheme="minorEastAsia" w:eastAsiaTheme="minorEastAsia" w:cstheme="minorEastAsia"/>
                <w:b w:val="0"/>
                <w:bCs w:val="0"/>
                <w:color w:val="auto"/>
                <w:sz w:val="24"/>
                <w:szCs w:val="24"/>
                <w:highlight w:val="none"/>
                <w:lang w:val="en-US" w:eastAsia="zh-CN"/>
              </w:rPr>
              <w:t>计划安排较合理，基本能满足采购需求、交叉施工安排较合理、各时间节点较明确、施工进度</w:t>
            </w:r>
            <w:r>
              <w:rPr>
                <w:rFonts w:hint="eastAsia" w:asciiTheme="minorEastAsia" w:hAnsiTheme="minorEastAsia" w:eastAsiaTheme="minorEastAsia" w:cstheme="minorEastAsia"/>
                <w:b w:val="0"/>
                <w:bCs w:val="0"/>
                <w:color w:val="auto"/>
                <w:sz w:val="24"/>
                <w:szCs w:val="24"/>
                <w:highlight w:val="none"/>
                <w:lang w:val="zh-CN"/>
              </w:rPr>
              <w:t>保障措施</w:t>
            </w:r>
            <w:r>
              <w:rPr>
                <w:rFonts w:hint="eastAsia" w:asciiTheme="minorEastAsia" w:hAnsiTheme="minorEastAsia" w:eastAsiaTheme="minorEastAsia" w:cstheme="minorEastAsia"/>
                <w:b w:val="0"/>
                <w:bCs w:val="0"/>
                <w:color w:val="auto"/>
                <w:sz w:val="24"/>
                <w:szCs w:val="24"/>
                <w:highlight w:val="none"/>
                <w:lang w:val="en-US" w:eastAsia="zh-CN"/>
              </w:rPr>
              <w:t>较</w:t>
            </w:r>
            <w:r>
              <w:rPr>
                <w:rFonts w:hint="eastAsia" w:asciiTheme="minorEastAsia" w:hAnsiTheme="minorEastAsia" w:eastAsiaTheme="minorEastAsia" w:cstheme="minorEastAsia"/>
                <w:b w:val="0"/>
                <w:bCs w:val="0"/>
                <w:color w:val="auto"/>
                <w:sz w:val="24"/>
                <w:szCs w:val="24"/>
                <w:highlight w:val="none"/>
                <w:lang w:val="zh-CN"/>
              </w:rPr>
              <w:t>合理</w:t>
            </w:r>
            <w:r>
              <w:rPr>
                <w:rFonts w:hint="eastAsia" w:asciiTheme="minorEastAsia" w:hAnsiTheme="minorEastAsia" w:eastAsiaTheme="minorEastAsia" w:cstheme="minorEastAsia"/>
                <w:b w:val="0"/>
                <w:bCs w:val="0"/>
                <w:color w:val="auto"/>
                <w:sz w:val="24"/>
                <w:szCs w:val="24"/>
                <w:highlight w:val="none"/>
                <w:lang w:val="en-US" w:eastAsia="zh-CN"/>
              </w:rPr>
              <w:t>有效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57F7CE6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③施工</w:t>
            </w:r>
            <w:r>
              <w:rPr>
                <w:rFonts w:hint="eastAsia" w:asciiTheme="minorEastAsia" w:hAnsiTheme="minorEastAsia" w:eastAsiaTheme="minorEastAsia" w:cstheme="minorEastAsia"/>
                <w:b w:val="0"/>
                <w:bCs w:val="0"/>
                <w:color w:val="auto"/>
                <w:sz w:val="24"/>
                <w:szCs w:val="24"/>
                <w:highlight w:val="none"/>
                <w:lang w:val="zh-CN"/>
              </w:rPr>
              <w:t>进度</w:t>
            </w:r>
            <w:r>
              <w:rPr>
                <w:rFonts w:hint="eastAsia" w:asciiTheme="minorEastAsia" w:hAnsiTheme="minorEastAsia" w:eastAsiaTheme="minorEastAsia" w:cstheme="minorEastAsia"/>
                <w:b w:val="0"/>
                <w:bCs w:val="0"/>
                <w:color w:val="auto"/>
                <w:sz w:val="24"/>
                <w:szCs w:val="24"/>
                <w:highlight w:val="none"/>
                <w:lang w:val="en-US" w:eastAsia="zh-CN"/>
              </w:rPr>
              <w:t>计划安排有部分不合理、交叉施工安排有部分不合理、各时间节点有部分不明确、施工进度</w:t>
            </w:r>
            <w:r>
              <w:rPr>
                <w:rFonts w:hint="eastAsia" w:asciiTheme="minorEastAsia" w:hAnsiTheme="minorEastAsia" w:eastAsiaTheme="minorEastAsia" w:cstheme="minorEastAsia"/>
                <w:b w:val="0"/>
                <w:bCs w:val="0"/>
                <w:color w:val="auto"/>
                <w:sz w:val="24"/>
                <w:szCs w:val="24"/>
                <w:highlight w:val="none"/>
                <w:lang w:val="zh-CN"/>
              </w:rPr>
              <w:t>保障措施</w:t>
            </w:r>
            <w:r>
              <w:rPr>
                <w:rFonts w:hint="eastAsia" w:asciiTheme="minorEastAsia" w:hAnsiTheme="minorEastAsia" w:eastAsiaTheme="minorEastAsia" w:cstheme="minorEastAsia"/>
                <w:b w:val="0"/>
                <w:bCs w:val="0"/>
                <w:color w:val="auto"/>
                <w:sz w:val="24"/>
                <w:szCs w:val="24"/>
                <w:highlight w:val="none"/>
                <w:lang w:val="en-US" w:eastAsia="zh-CN"/>
              </w:rPr>
              <w:t>有部分不</w:t>
            </w:r>
            <w:r>
              <w:rPr>
                <w:rFonts w:hint="eastAsia" w:asciiTheme="minorEastAsia" w:hAnsiTheme="minorEastAsia" w:eastAsiaTheme="minorEastAsia" w:cstheme="minorEastAsia"/>
                <w:b w:val="0"/>
                <w:bCs w:val="0"/>
                <w:color w:val="auto"/>
                <w:sz w:val="24"/>
                <w:szCs w:val="24"/>
                <w:highlight w:val="none"/>
                <w:lang w:val="zh-CN"/>
              </w:rPr>
              <w:t>合理</w:t>
            </w:r>
            <w:r>
              <w:rPr>
                <w:rFonts w:hint="eastAsia" w:asciiTheme="minorEastAsia" w:hAnsiTheme="minorEastAsia" w:eastAsiaTheme="minorEastAsia" w:cstheme="minorEastAsia"/>
                <w:b w:val="0"/>
                <w:bCs w:val="0"/>
                <w:color w:val="auto"/>
                <w:sz w:val="24"/>
                <w:szCs w:val="24"/>
                <w:highlight w:val="none"/>
                <w:lang w:val="en-US" w:eastAsia="zh-CN"/>
              </w:rPr>
              <w:t>或无效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5659ACF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④施工</w:t>
            </w:r>
            <w:r>
              <w:rPr>
                <w:rFonts w:hint="eastAsia" w:asciiTheme="minorEastAsia" w:hAnsiTheme="minorEastAsia" w:eastAsiaTheme="minorEastAsia" w:cstheme="minorEastAsia"/>
                <w:b w:val="0"/>
                <w:bCs w:val="0"/>
                <w:color w:val="auto"/>
                <w:sz w:val="24"/>
                <w:szCs w:val="24"/>
                <w:highlight w:val="none"/>
                <w:lang w:val="zh-CN"/>
              </w:rPr>
              <w:t>进度</w:t>
            </w:r>
            <w:r>
              <w:rPr>
                <w:rFonts w:hint="eastAsia" w:asciiTheme="minorEastAsia" w:hAnsiTheme="minorEastAsia" w:eastAsiaTheme="minorEastAsia" w:cstheme="minorEastAsia"/>
                <w:b w:val="0"/>
                <w:bCs w:val="0"/>
                <w:color w:val="auto"/>
                <w:sz w:val="24"/>
                <w:szCs w:val="24"/>
                <w:highlight w:val="none"/>
                <w:lang w:val="en-US" w:eastAsia="zh-CN"/>
              </w:rPr>
              <w:t>计划安排不能满足采购需求、交叉施工安排错乱且不符合相关规范、各时间节点不明确的、施工进度</w:t>
            </w:r>
            <w:r>
              <w:rPr>
                <w:rFonts w:hint="eastAsia" w:asciiTheme="minorEastAsia" w:hAnsiTheme="minorEastAsia" w:eastAsiaTheme="minorEastAsia" w:cstheme="minorEastAsia"/>
                <w:b w:val="0"/>
                <w:bCs w:val="0"/>
                <w:color w:val="auto"/>
                <w:sz w:val="24"/>
                <w:szCs w:val="24"/>
                <w:highlight w:val="none"/>
                <w:lang w:val="zh-CN"/>
              </w:rPr>
              <w:t>保障措施</w:t>
            </w:r>
            <w:r>
              <w:rPr>
                <w:rFonts w:hint="eastAsia" w:asciiTheme="minorEastAsia" w:hAnsiTheme="minorEastAsia" w:eastAsiaTheme="minorEastAsia" w:cstheme="minorEastAsia"/>
                <w:b w:val="0"/>
                <w:bCs w:val="0"/>
                <w:color w:val="auto"/>
                <w:sz w:val="24"/>
                <w:szCs w:val="24"/>
                <w:highlight w:val="none"/>
                <w:lang w:val="en-US" w:eastAsia="zh-CN"/>
              </w:rPr>
              <w:t>不</w:t>
            </w:r>
            <w:r>
              <w:rPr>
                <w:rFonts w:hint="eastAsia" w:asciiTheme="minorEastAsia" w:hAnsiTheme="minorEastAsia" w:eastAsiaTheme="minorEastAsia" w:cstheme="minorEastAsia"/>
                <w:b w:val="0"/>
                <w:bCs w:val="0"/>
                <w:color w:val="auto"/>
                <w:sz w:val="24"/>
                <w:szCs w:val="24"/>
                <w:highlight w:val="none"/>
                <w:lang w:val="zh-CN"/>
              </w:rPr>
              <w:t>合理</w:t>
            </w:r>
            <w:r>
              <w:rPr>
                <w:rFonts w:hint="eastAsia" w:asciiTheme="minorEastAsia" w:hAnsiTheme="minorEastAsia" w:eastAsiaTheme="minorEastAsia" w:cstheme="minorEastAsia"/>
                <w:b w:val="0"/>
                <w:bCs w:val="0"/>
                <w:color w:val="auto"/>
                <w:sz w:val="24"/>
                <w:szCs w:val="24"/>
                <w:highlight w:val="none"/>
                <w:lang w:val="en-US" w:eastAsia="zh-CN"/>
              </w:rPr>
              <w:t>或无效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val="zh-CN"/>
              </w:rPr>
              <w:t>分；</w:t>
            </w:r>
          </w:p>
          <w:p w14:paraId="350D95F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15ED520">
            <w:pPr>
              <w:keepNext w:val="0"/>
              <w:keepLines w:val="0"/>
              <w:pageBreakBefore w:val="0"/>
              <w:widowControl/>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4分</w:t>
            </w:r>
          </w:p>
        </w:tc>
      </w:tr>
      <w:tr w14:paraId="62F6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103" w:type="dxa"/>
            <w:vMerge w:val="continue"/>
            <w:tcBorders>
              <w:left w:val="single" w:color="auto" w:sz="4" w:space="0"/>
              <w:right w:val="single" w:color="auto" w:sz="4" w:space="0"/>
            </w:tcBorders>
            <w:noWrap w:val="0"/>
            <w:vAlign w:val="center"/>
          </w:tcPr>
          <w:p w14:paraId="2A58741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51FA6267">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根据供应商提供的材料设备进场计划情况</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包含</w:t>
            </w:r>
            <w:r>
              <w:rPr>
                <w:rFonts w:hint="eastAsia" w:asciiTheme="minorEastAsia" w:hAnsiTheme="minorEastAsia" w:eastAsiaTheme="minorEastAsia" w:cstheme="minorEastAsia"/>
                <w:b/>
                <w:bCs/>
                <w:color w:val="auto"/>
                <w:sz w:val="24"/>
                <w:szCs w:val="24"/>
                <w:highlight w:val="none"/>
                <w:lang w:eastAsia="zh-CN"/>
              </w:rPr>
              <w:t>主要材料设备供应计划、部署方案等）</w:t>
            </w:r>
            <w:r>
              <w:rPr>
                <w:rFonts w:hint="eastAsia" w:asciiTheme="minorEastAsia" w:hAnsiTheme="minorEastAsia" w:eastAsiaTheme="minorEastAsia" w:cstheme="minorEastAsia"/>
                <w:b/>
                <w:bCs/>
                <w:color w:val="auto"/>
                <w:sz w:val="24"/>
                <w:szCs w:val="24"/>
                <w:highlight w:val="none"/>
              </w:rPr>
              <w:t>进行综合评议：</w:t>
            </w:r>
          </w:p>
          <w:p w14:paraId="2F65218B">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主要材料设备供应计划明确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材料准备部署方案内容齐全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57A7E8E7">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eastAsia="zh-CN"/>
              </w:rPr>
              <w:t>主要材料设备供应计划较明确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材料准备部署方案内容较齐全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5718BD15">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eastAsia="zh-CN"/>
              </w:rPr>
              <w:t>主要材料设备供应计划不够明确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材料准备部署方案内容不够齐全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2C1FD58C">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④主要材料设备供应计划不明确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材料准备部署方案内容不齐全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65E15DB">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4137CFC">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1EDF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03" w:type="dxa"/>
            <w:vMerge w:val="continue"/>
            <w:tcBorders>
              <w:left w:val="single" w:color="auto" w:sz="4" w:space="0"/>
              <w:right w:val="single" w:color="auto" w:sz="4" w:space="0"/>
            </w:tcBorders>
            <w:noWrap w:val="0"/>
            <w:vAlign w:val="center"/>
          </w:tcPr>
          <w:p w14:paraId="51E2B43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348A193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根据供应商提供的主要施工机械设备的保障措施（包含</w:t>
            </w:r>
            <w:r>
              <w:rPr>
                <w:rFonts w:hint="eastAsia" w:asciiTheme="minorEastAsia" w:hAnsiTheme="minorEastAsia" w:eastAsiaTheme="minorEastAsia" w:cstheme="minorEastAsia"/>
                <w:b/>
                <w:bCs/>
                <w:color w:val="auto"/>
                <w:sz w:val="24"/>
                <w:szCs w:val="24"/>
                <w:highlight w:val="none"/>
                <w:lang w:eastAsia="zh-CN"/>
              </w:rPr>
              <w:t>施工机械的调配计划、机械设备供应设施情况、机械管理</w:t>
            </w:r>
            <w:r>
              <w:rPr>
                <w:rFonts w:hint="eastAsia" w:asciiTheme="minorEastAsia" w:hAnsiTheme="minorEastAsia" w:eastAsiaTheme="minorEastAsia" w:cstheme="minorEastAsia"/>
                <w:b/>
                <w:bCs/>
                <w:color w:val="auto"/>
                <w:sz w:val="24"/>
                <w:szCs w:val="24"/>
                <w:highlight w:val="none"/>
              </w:rPr>
              <w:t>等）进行综合评议：</w:t>
            </w:r>
          </w:p>
          <w:p w14:paraId="25BE4887">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施工机械的调配计划、机械设备供应设施情况明确，机械管理</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内容齐全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636FC1DB">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eastAsia="zh-CN"/>
              </w:rPr>
              <w:t>施工机械的调配计划、机械设备供应设施情况较明确，机械管理</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内容较齐全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7EB6778">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eastAsia="zh-CN"/>
              </w:rPr>
              <w:t>施工机械的调配计划、机械设备供应设施情况不够明确，机械管理</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内容不够齐全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5B1419C2">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④施工机械的调配计划、机械设备供应设施情况不明确，机械管理</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内容不齐全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758F7A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9C7519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5DDA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103" w:type="dxa"/>
            <w:vMerge w:val="continue"/>
            <w:tcBorders>
              <w:left w:val="single" w:color="auto" w:sz="4" w:space="0"/>
              <w:right w:val="single" w:color="auto" w:sz="4" w:space="0"/>
            </w:tcBorders>
            <w:noWrap w:val="0"/>
            <w:vAlign w:val="center"/>
          </w:tcPr>
          <w:p w14:paraId="32BF87E9">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0CFDD98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8、根据供应商</w:t>
            </w:r>
            <w:r>
              <w:rPr>
                <w:rFonts w:hint="eastAsia" w:asciiTheme="minorEastAsia" w:hAnsiTheme="minorEastAsia" w:eastAsiaTheme="minorEastAsia" w:cstheme="minorEastAsia"/>
                <w:b/>
                <w:bCs/>
                <w:color w:val="auto"/>
                <w:sz w:val="24"/>
                <w:szCs w:val="24"/>
                <w:highlight w:val="none"/>
              </w:rPr>
              <w:t>针</w:t>
            </w:r>
            <w:r>
              <w:rPr>
                <w:rFonts w:hint="eastAsia" w:asciiTheme="minorEastAsia" w:hAnsiTheme="minorEastAsia" w:eastAsiaTheme="minorEastAsia" w:cstheme="minorEastAsia"/>
                <w:b/>
                <w:bCs/>
                <w:color w:val="auto"/>
                <w:sz w:val="24"/>
                <w:szCs w:val="24"/>
                <w:highlight w:val="none"/>
                <w:lang w:val="zh-CN"/>
              </w:rPr>
              <w:t>对</w:t>
            </w: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工程</w:t>
            </w:r>
            <w:r>
              <w:rPr>
                <w:rFonts w:hint="eastAsia" w:asciiTheme="minorEastAsia" w:hAnsiTheme="minorEastAsia" w:eastAsiaTheme="minorEastAsia" w:cstheme="minorEastAsia"/>
                <w:b/>
                <w:bCs/>
                <w:color w:val="auto"/>
                <w:sz w:val="24"/>
                <w:szCs w:val="24"/>
                <w:highlight w:val="none"/>
                <w:lang w:val="zh-CN"/>
              </w:rPr>
              <w:t>提供的</w:t>
            </w:r>
            <w:r>
              <w:rPr>
                <w:rFonts w:hint="eastAsia" w:asciiTheme="minorEastAsia" w:hAnsiTheme="minorEastAsia" w:eastAsiaTheme="minorEastAsia" w:cstheme="minorEastAsia"/>
                <w:b/>
                <w:bCs/>
                <w:color w:val="auto"/>
                <w:sz w:val="24"/>
                <w:szCs w:val="24"/>
                <w:highlight w:val="none"/>
                <w:lang w:val="en-US" w:eastAsia="zh-CN"/>
              </w:rPr>
              <w:t>文明措施（包含作业现场围栏搭设，服务现场文明作业标语、标示，作业现场卫生情况，现场材料堆放情况，作业现场着装情况，作业现场文明作业的教育培训及管理等）</w:t>
            </w:r>
            <w:r>
              <w:rPr>
                <w:rFonts w:hint="eastAsia" w:asciiTheme="minorEastAsia" w:hAnsiTheme="minorEastAsia" w:eastAsiaTheme="minorEastAsia" w:cstheme="minorEastAsia"/>
                <w:b/>
                <w:bCs/>
                <w:color w:val="auto"/>
                <w:sz w:val="24"/>
                <w:szCs w:val="24"/>
                <w:highlight w:val="none"/>
                <w:lang w:val="zh-CN"/>
              </w:rPr>
              <w:t>进行综合评议：</w:t>
            </w:r>
          </w:p>
          <w:p w14:paraId="250AD68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①文明措施规范、全面、卫生整洁、堆放整齐、统一着装、培训及管理科学的得4分；</w:t>
            </w:r>
          </w:p>
          <w:p w14:paraId="7A569F8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②文明措施较规范、较全面、较卫生整洁、堆放较整齐、培训及管理较科学的得3分；</w:t>
            </w:r>
          </w:p>
          <w:p w14:paraId="67F0019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③文明措施不够规范、不够全面、卫生不够整洁、堆放不够整齐、培训及管理不够科学的得2分；</w:t>
            </w:r>
          </w:p>
          <w:p w14:paraId="5D80F85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④文明措施不规范、不全面、不卫生整洁、堆放不整齐、培训及管理不科学的得1分；</w:t>
            </w:r>
          </w:p>
          <w:p w14:paraId="72B44811">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8EBAD76">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4E39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03" w:type="dxa"/>
            <w:vMerge w:val="continue"/>
            <w:tcBorders>
              <w:left w:val="single" w:color="auto" w:sz="4" w:space="0"/>
              <w:right w:val="single" w:color="auto" w:sz="4" w:space="0"/>
            </w:tcBorders>
            <w:noWrap w:val="0"/>
            <w:vAlign w:val="center"/>
          </w:tcPr>
          <w:p w14:paraId="5A896D61">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265DCEC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9、根据供应商</w:t>
            </w:r>
            <w:r>
              <w:rPr>
                <w:rFonts w:hint="eastAsia" w:asciiTheme="minorEastAsia" w:hAnsiTheme="minorEastAsia" w:eastAsiaTheme="minorEastAsia" w:cstheme="minorEastAsia"/>
                <w:b/>
                <w:bCs/>
                <w:color w:val="auto"/>
                <w:sz w:val="24"/>
                <w:szCs w:val="24"/>
                <w:highlight w:val="none"/>
              </w:rPr>
              <w:t>针</w:t>
            </w:r>
            <w:r>
              <w:rPr>
                <w:rFonts w:hint="eastAsia" w:asciiTheme="minorEastAsia" w:hAnsiTheme="minorEastAsia" w:eastAsiaTheme="minorEastAsia" w:cstheme="minorEastAsia"/>
                <w:b/>
                <w:bCs/>
                <w:color w:val="auto"/>
                <w:sz w:val="24"/>
                <w:szCs w:val="24"/>
                <w:highlight w:val="none"/>
                <w:lang w:val="zh-CN"/>
              </w:rPr>
              <w:t>对</w:t>
            </w: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工程</w:t>
            </w:r>
            <w:r>
              <w:rPr>
                <w:rFonts w:hint="eastAsia" w:asciiTheme="minorEastAsia" w:hAnsiTheme="minorEastAsia" w:eastAsiaTheme="minorEastAsia" w:cstheme="minorEastAsia"/>
                <w:b/>
                <w:bCs/>
                <w:color w:val="auto"/>
                <w:sz w:val="24"/>
                <w:szCs w:val="24"/>
                <w:highlight w:val="none"/>
                <w:lang w:val="zh-CN"/>
              </w:rPr>
              <w:t>提供的环境保护</w:t>
            </w:r>
            <w:r>
              <w:rPr>
                <w:rFonts w:hint="eastAsia" w:asciiTheme="minorEastAsia" w:hAnsiTheme="minorEastAsia" w:eastAsiaTheme="minorEastAsia" w:cstheme="minorEastAsia"/>
                <w:b/>
                <w:bCs/>
                <w:color w:val="auto"/>
                <w:sz w:val="24"/>
                <w:szCs w:val="24"/>
                <w:highlight w:val="none"/>
                <w:lang w:val="en-US" w:eastAsia="zh-CN"/>
              </w:rPr>
              <w:t>措施（包含作业现场的扬尘采取洒水措施治理、机械作业噪音控制措施等）</w:t>
            </w:r>
            <w:r>
              <w:rPr>
                <w:rFonts w:hint="eastAsia" w:asciiTheme="minorEastAsia" w:hAnsiTheme="minorEastAsia" w:eastAsiaTheme="minorEastAsia" w:cstheme="minorEastAsia"/>
                <w:b/>
                <w:bCs/>
                <w:color w:val="auto"/>
                <w:sz w:val="24"/>
                <w:szCs w:val="24"/>
                <w:highlight w:val="none"/>
                <w:lang w:val="zh-CN"/>
              </w:rPr>
              <w:t>进行综合评议：</w:t>
            </w:r>
          </w:p>
          <w:p w14:paraId="38C6847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①环境保护措施规范、</w:t>
            </w:r>
            <w:r>
              <w:rPr>
                <w:rFonts w:hint="eastAsia" w:asciiTheme="minorEastAsia" w:hAnsiTheme="minorEastAsia" w:eastAsiaTheme="minorEastAsia" w:cstheme="minorEastAsia"/>
                <w:color w:val="auto"/>
                <w:sz w:val="24"/>
                <w:szCs w:val="24"/>
                <w:highlight w:val="none"/>
                <w:lang w:val="zh-CN"/>
              </w:rPr>
              <w:t>合理可行、</w:t>
            </w:r>
            <w:r>
              <w:rPr>
                <w:rFonts w:hint="eastAsia" w:asciiTheme="minorEastAsia" w:hAnsiTheme="minorEastAsia" w:eastAsiaTheme="minorEastAsia" w:cstheme="minorEastAsia"/>
                <w:color w:val="auto"/>
                <w:sz w:val="24"/>
                <w:szCs w:val="24"/>
                <w:highlight w:val="none"/>
                <w:lang w:val="en-US" w:eastAsia="zh-CN"/>
              </w:rPr>
              <w:t>有效</w:t>
            </w:r>
            <w:r>
              <w:rPr>
                <w:rFonts w:hint="eastAsia" w:asciiTheme="minorEastAsia" w:hAnsiTheme="minorEastAsia" w:eastAsiaTheme="minorEastAsia" w:cstheme="minorEastAsia"/>
                <w:color w:val="auto"/>
                <w:sz w:val="24"/>
                <w:szCs w:val="24"/>
                <w:highlight w:val="none"/>
                <w:lang w:val="zh-CN"/>
              </w:rPr>
              <w:t>的</w:t>
            </w:r>
            <w:r>
              <w:rPr>
                <w:rFonts w:hint="eastAsia" w:asciiTheme="minorEastAsia" w:hAnsiTheme="minorEastAsia" w:eastAsiaTheme="minorEastAsia" w:cstheme="minorEastAsia"/>
                <w:color w:val="auto"/>
                <w:sz w:val="24"/>
                <w:szCs w:val="24"/>
                <w:highlight w:val="none"/>
                <w:lang w:val="en-US" w:eastAsia="zh-CN"/>
              </w:rPr>
              <w:t>得4分；</w:t>
            </w:r>
          </w:p>
          <w:p w14:paraId="5A9C814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②环境保护措施较规范、较</w:t>
            </w:r>
            <w:r>
              <w:rPr>
                <w:rFonts w:hint="eastAsia" w:asciiTheme="minorEastAsia" w:hAnsiTheme="minorEastAsia" w:eastAsiaTheme="minorEastAsia" w:cstheme="minorEastAsia"/>
                <w:color w:val="auto"/>
                <w:sz w:val="24"/>
                <w:szCs w:val="24"/>
                <w:highlight w:val="none"/>
                <w:lang w:val="zh-CN"/>
              </w:rPr>
              <w:t>合理可行、</w:t>
            </w:r>
            <w:r>
              <w:rPr>
                <w:rFonts w:hint="eastAsia" w:asciiTheme="minorEastAsia" w:hAnsiTheme="minorEastAsia" w:eastAsiaTheme="minorEastAsia" w:cstheme="minorEastAsia"/>
                <w:color w:val="auto"/>
                <w:sz w:val="24"/>
                <w:szCs w:val="24"/>
                <w:highlight w:val="none"/>
                <w:lang w:val="en-US" w:eastAsia="zh-CN"/>
              </w:rPr>
              <w:t>基本有效</w:t>
            </w:r>
            <w:r>
              <w:rPr>
                <w:rFonts w:hint="eastAsia" w:asciiTheme="minorEastAsia" w:hAnsiTheme="minorEastAsia" w:eastAsiaTheme="minorEastAsia" w:cstheme="minorEastAsia"/>
                <w:color w:val="auto"/>
                <w:sz w:val="24"/>
                <w:szCs w:val="24"/>
                <w:highlight w:val="none"/>
                <w:lang w:val="zh-CN"/>
              </w:rPr>
              <w:t>的</w:t>
            </w:r>
            <w:r>
              <w:rPr>
                <w:rFonts w:hint="eastAsia" w:asciiTheme="minorEastAsia" w:hAnsiTheme="minorEastAsia" w:eastAsiaTheme="minorEastAsia" w:cstheme="minorEastAsia"/>
                <w:color w:val="auto"/>
                <w:sz w:val="24"/>
                <w:szCs w:val="24"/>
                <w:highlight w:val="none"/>
                <w:lang w:val="en-US" w:eastAsia="zh-CN"/>
              </w:rPr>
              <w:t>得3分；</w:t>
            </w:r>
          </w:p>
          <w:p w14:paraId="47F83B1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③环境保护措施不够规范、不够</w:t>
            </w:r>
            <w:r>
              <w:rPr>
                <w:rFonts w:hint="eastAsia" w:asciiTheme="minorEastAsia" w:hAnsiTheme="minorEastAsia" w:eastAsiaTheme="minorEastAsia" w:cstheme="minorEastAsia"/>
                <w:color w:val="auto"/>
                <w:sz w:val="24"/>
                <w:szCs w:val="24"/>
                <w:highlight w:val="none"/>
                <w:lang w:val="zh-CN"/>
              </w:rPr>
              <w:t>合理可行</w:t>
            </w:r>
            <w:r>
              <w:rPr>
                <w:rFonts w:hint="eastAsia" w:asciiTheme="minorEastAsia" w:hAnsiTheme="minorEastAsia" w:eastAsiaTheme="minorEastAsia" w:cstheme="minorEastAsia"/>
                <w:color w:val="auto"/>
                <w:sz w:val="24"/>
                <w:szCs w:val="24"/>
                <w:highlight w:val="none"/>
                <w:lang w:val="en-US" w:eastAsia="zh-CN"/>
              </w:rPr>
              <w:t>有效</w:t>
            </w:r>
            <w:r>
              <w:rPr>
                <w:rFonts w:hint="eastAsia" w:asciiTheme="minorEastAsia" w:hAnsiTheme="minorEastAsia" w:eastAsiaTheme="minorEastAsia" w:cstheme="minorEastAsia"/>
                <w:color w:val="auto"/>
                <w:sz w:val="24"/>
                <w:szCs w:val="24"/>
                <w:highlight w:val="none"/>
                <w:lang w:val="zh-CN"/>
              </w:rPr>
              <w:t>的</w:t>
            </w:r>
            <w:r>
              <w:rPr>
                <w:rFonts w:hint="eastAsia" w:asciiTheme="minorEastAsia" w:hAnsiTheme="minorEastAsia" w:eastAsiaTheme="minorEastAsia" w:cstheme="minorEastAsia"/>
                <w:color w:val="auto"/>
                <w:sz w:val="24"/>
                <w:szCs w:val="24"/>
                <w:highlight w:val="none"/>
                <w:lang w:val="en-US" w:eastAsia="zh-CN"/>
              </w:rPr>
              <w:t>得2分；</w:t>
            </w:r>
          </w:p>
          <w:p w14:paraId="482FB74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④环境保护措施不规范、不</w:t>
            </w:r>
            <w:r>
              <w:rPr>
                <w:rFonts w:hint="eastAsia" w:asciiTheme="minorEastAsia" w:hAnsiTheme="minorEastAsia" w:eastAsiaTheme="minorEastAsia" w:cstheme="minorEastAsia"/>
                <w:color w:val="auto"/>
                <w:sz w:val="24"/>
                <w:szCs w:val="24"/>
                <w:highlight w:val="none"/>
                <w:lang w:val="zh-CN"/>
              </w:rPr>
              <w:t>合理可行、</w:t>
            </w:r>
            <w:r>
              <w:rPr>
                <w:rFonts w:hint="eastAsia" w:asciiTheme="minorEastAsia" w:hAnsiTheme="minorEastAsia" w:eastAsiaTheme="minorEastAsia" w:cstheme="minorEastAsia"/>
                <w:color w:val="auto"/>
                <w:sz w:val="24"/>
                <w:szCs w:val="24"/>
                <w:highlight w:val="none"/>
                <w:lang w:val="en-US" w:eastAsia="zh-CN"/>
              </w:rPr>
              <w:t>无效</w:t>
            </w:r>
            <w:r>
              <w:rPr>
                <w:rFonts w:hint="eastAsia" w:asciiTheme="minorEastAsia" w:hAnsiTheme="minorEastAsia" w:eastAsiaTheme="minorEastAsia" w:cstheme="minorEastAsia"/>
                <w:color w:val="auto"/>
                <w:sz w:val="24"/>
                <w:szCs w:val="24"/>
                <w:highlight w:val="none"/>
                <w:lang w:val="zh-CN"/>
              </w:rPr>
              <w:t>的</w:t>
            </w:r>
            <w:r>
              <w:rPr>
                <w:rFonts w:hint="eastAsia" w:asciiTheme="minorEastAsia" w:hAnsiTheme="minorEastAsia" w:eastAsiaTheme="minorEastAsia" w:cstheme="minorEastAsia"/>
                <w:color w:val="auto"/>
                <w:sz w:val="24"/>
                <w:szCs w:val="24"/>
                <w:highlight w:val="none"/>
                <w:lang w:val="en-US" w:eastAsia="zh-CN"/>
              </w:rPr>
              <w:t>得1分；</w:t>
            </w:r>
          </w:p>
          <w:p w14:paraId="4A01E84E">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11B432B">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1B3D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03" w:type="dxa"/>
            <w:vMerge w:val="continue"/>
            <w:tcBorders>
              <w:left w:val="single" w:color="auto" w:sz="4" w:space="0"/>
              <w:right w:val="single" w:color="auto" w:sz="4" w:space="0"/>
            </w:tcBorders>
            <w:noWrap w:val="0"/>
            <w:vAlign w:val="center"/>
          </w:tcPr>
          <w:p w14:paraId="3DFDAC25">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3E429A6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针</w:t>
            </w:r>
            <w:r>
              <w:rPr>
                <w:rFonts w:hint="eastAsia" w:asciiTheme="minorEastAsia" w:hAnsiTheme="minorEastAsia" w:eastAsiaTheme="minorEastAsia" w:cstheme="minorEastAsia"/>
                <w:b/>
                <w:bCs/>
                <w:color w:val="auto"/>
                <w:sz w:val="24"/>
                <w:szCs w:val="24"/>
                <w:highlight w:val="none"/>
                <w:lang w:val="zh-CN"/>
              </w:rPr>
              <w:t>对</w:t>
            </w:r>
            <w:r>
              <w:rPr>
                <w:rFonts w:hint="eastAsia" w:asciiTheme="minorEastAsia" w:hAnsiTheme="minorEastAsia" w:eastAsiaTheme="minorEastAsia" w:cstheme="minorEastAsia"/>
                <w:b/>
                <w:bCs/>
                <w:color w:val="auto"/>
                <w:sz w:val="24"/>
                <w:szCs w:val="24"/>
                <w:highlight w:val="none"/>
              </w:rPr>
              <w:t>本项目</w:t>
            </w:r>
            <w:r>
              <w:rPr>
                <w:rFonts w:hint="eastAsia" w:asciiTheme="minorEastAsia" w:hAnsiTheme="minorEastAsia" w:eastAsiaTheme="minorEastAsia" w:cstheme="minorEastAsia"/>
                <w:b/>
                <w:bCs/>
                <w:color w:val="auto"/>
                <w:sz w:val="24"/>
                <w:szCs w:val="24"/>
                <w:highlight w:val="none"/>
                <w:lang w:val="zh-CN"/>
              </w:rPr>
              <w:t>提供的安全</w:t>
            </w:r>
            <w:r>
              <w:rPr>
                <w:rFonts w:hint="eastAsia" w:asciiTheme="minorEastAsia" w:hAnsiTheme="minorEastAsia" w:eastAsiaTheme="minorEastAsia" w:cstheme="minorEastAsia"/>
                <w:b/>
                <w:bCs/>
                <w:color w:val="auto"/>
                <w:sz w:val="24"/>
                <w:szCs w:val="24"/>
                <w:highlight w:val="none"/>
                <w:lang w:val="en-US" w:eastAsia="zh-CN"/>
              </w:rPr>
              <w:t>措施（包含安全教育培训、安全设施的配备等）</w:t>
            </w:r>
            <w:r>
              <w:rPr>
                <w:rFonts w:hint="eastAsia" w:asciiTheme="minorEastAsia" w:hAnsiTheme="minorEastAsia" w:eastAsiaTheme="minorEastAsia" w:cstheme="minorEastAsia"/>
                <w:b/>
                <w:bCs/>
                <w:color w:val="auto"/>
                <w:sz w:val="24"/>
                <w:szCs w:val="24"/>
                <w:highlight w:val="none"/>
                <w:lang w:val="zh-CN"/>
              </w:rPr>
              <w:t>进行综合评议：</w:t>
            </w:r>
          </w:p>
          <w:p w14:paraId="48BA6A55">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①安全教育培训内容规范、全面，安全设施配置充裕的得4分；</w:t>
            </w:r>
          </w:p>
          <w:p w14:paraId="40C577CA">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②安全教育培训内容较规范、较全面，安全设施配置基本符合本项目要求的得3分；</w:t>
            </w:r>
          </w:p>
          <w:p w14:paraId="408D5BDD">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③安全教育培训内容不够规范、不够全面，安全设施配置不够充足的得2分；</w:t>
            </w:r>
          </w:p>
          <w:p w14:paraId="7FB22EC3">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④安全教育培训内容不规范、不全面，安全设施配置不足，且达不到本项目安全性要求的得1分；</w:t>
            </w:r>
          </w:p>
          <w:p w14:paraId="7EA2E99C">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不得分。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2361FAC">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tc>
      </w:tr>
      <w:tr w14:paraId="1DCD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03" w:type="dxa"/>
            <w:vMerge w:val="continue"/>
            <w:tcBorders>
              <w:left w:val="single" w:color="auto" w:sz="4" w:space="0"/>
              <w:right w:val="single" w:color="auto" w:sz="4" w:space="0"/>
            </w:tcBorders>
            <w:noWrap w:val="0"/>
            <w:vAlign w:val="center"/>
          </w:tcPr>
          <w:p w14:paraId="19A3AC4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0C29D45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11、根据供应商提供的针对本工程的建筑垃圾收运、处置方案进行综合评议：</w:t>
            </w:r>
          </w:p>
          <w:p w14:paraId="7437ABD9">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①建筑垃圾收运、处置方案规范，</w:t>
            </w:r>
            <w:r>
              <w:rPr>
                <w:rFonts w:hint="eastAsia" w:asciiTheme="minorEastAsia" w:hAnsiTheme="minorEastAsia" w:eastAsiaTheme="minorEastAsia" w:cstheme="minorEastAsia"/>
                <w:b w:val="0"/>
                <w:bCs w:val="0"/>
                <w:color w:val="auto"/>
                <w:sz w:val="24"/>
                <w:szCs w:val="24"/>
                <w:highlight w:val="none"/>
                <w:lang w:val="en-US" w:eastAsia="zh-CN"/>
              </w:rPr>
              <w:t>符合项目所在地的相关规定的得4分；</w:t>
            </w:r>
          </w:p>
          <w:p w14:paraId="2741CD8F">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②建筑垃圾收运、处置方案较规范，基本</w:t>
            </w:r>
            <w:r>
              <w:rPr>
                <w:rFonts w:hint="eastAsia" w:asciiTheme="minorEastAsia" w:hAnsiTheme="minorEastAsia" w:eastAsiaTheme="minorEastAsia" w:cstheme="minorEastAsia"/>
                <w:color w:val="auto"/>
                <w:sz w:val="24"/>
                <w:szCs w:val="24"/>
                <w:highlight w:val="none"/>
                <w:lang w:val="en-US" w:eastAsia="zh-CN"/>
              </w:rPr>
              <w:t>符合项目所在地的相关规定的得3分；</w:t>
            </w:r>
          </w:p>
          <w:p w14:paraId="43195813">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③建筑垃圾收运、处置方案不够规范，不够符合项目所在地的相关规定的得2分；</w:t>
            </w:r>
          </w:p>
          <w:p w14:paraId="03252ACD">
            <w:pPr>
              <w:pStyle w:val="2"/>
              <w:keepNext w:val="0"/>
              <w:keepLines w:val="0"/>
              <w:pageBreakBefore w:val="0"/>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④建筑垃圾收运、处置方案不规范，不符合项目所在地的相关规定的得1分；</w:t>
            </w:r>
          </w:p>
          <w:p w14:paraId="1357978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05A1404">
            <w:pPr>
              <w:keepNext w:val="0"/>
              <w:keepLines w:val="0"/>
              <w:pageBreakBefore w:val="0"/>
              <w:widowControl/>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r>
      <w:tr w14:paraId="3957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103" w:type="dxa"/>
            <w:vMerge w:val="continue"/>
            <w:tcBorders>
              <w:left w:val="single" w:color="auto" w:sz="4" w:space="0"/>
              <w:right w:val="single" w:color="auto" w:sz="4" w:space="0"/>
            </w:tcBorders>
            <w:noWrap w:val="0"/>
            <w:vAlign w:val="center"/>
          </w:tcPr>
          <w:p w14:paraId="473A0122">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right w:val="single" w:color="auto" w:sz="4" w:space="0"/>
            </w:tcBorders>
            <w:noWrap w:val="0"/>
            <w:vAlign w:val="center"/>
          </w:tcPr>
          <w:p w14:paraId="7995B6F0">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rPr>
              <w:t>根据供应商提供的施工质量保证措施（包含材料及设备质量保证措施等）进行综合评议：</w:t>
            </w:r>
          </w:p>
          <w:p w14:paraId="45DF4D0C">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①材料及设备质量保证措施</w:t>
            </w:r>
            <w:r>
              <w:rPr>
                <w:rFonts w:hint="eastAsia" w:asciiTheme="minorEastAsia" w:hAnsiTheme="minorEastAsia" w:eastAsiaTheme="minorEastAsia" w:cstheme="minorEastAsia"/>
                <w:color w:val="auto"/>
                <w:sz w:val="24"/>
                <w:szCs w:val="24"/>
                <w:highlight w:val="none"/>
                <w:lang w:eastAsia="zh-CN"/>
              </w:rPr>
              <w:t>内容齐全</w:t>
            </w:r>
            <w:r>
              <w:rPr>
                <w:rFonts w:hint="eastAsia" w:asciiTheme="minorEastAsia" w:hAnsiTheme="minorEastAsia" w:eastAsiaTheme="minorEastAsia" w:cstheme="minorEastAsia"/>
                <w:color w:val="auto"/>
                <w:sz w:val="24"/>
                <w:szCs w:val="24"/>
                <w:highlight w:val="none"/>
              </w:rPr>
              <w:t>的得5分；</w:t>
            </w:r>
          </w:p>
          <w:p w14:paraId="0F464942">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②材料及设备质量保证措施</w:t>
            </w:r>
            <w:r>
              <w:rPr>
                <w:rFonts w:hint="eastAsia" w:asciiTheme="minorEastAsia" w:hAnsiTheme="minorEastAsia" w:eastAsiaTheme="minorEastAsia" w:cstheme="minorEastAsia"/>
                <w:color w:val="auto"/>
                <w:sz w:val="24"/>
                <w:szCs w:val="24"/>
                <w:highlight w:val="none"/>
                <w:lang w:eastAsia="zh-CN"/>
              </w:rPr>
              <w:t>内容较齐全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267999F0">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③材料及设备质量保证措施</w:t>
            </w:r>
            <w:r>
              <w:rPr>
                <w:rFonts w:hint="eastAsia" w:asciiTheme="minorEastAsia" w:hAnsiTheme="minorEastAsia" w:eastAsiaTheme="minorEastAsia" w:cstheme="minorEastAsia"/>
                <w:color w:val="auto"/>
                <w:sz w:val="24"/>
                <w:szCs w:val="24"/>
                <w:highlight w:val="none"/>
                <w:lang w:eastAsia="zh-CN"/>
              </w:rPr>
              <w:t>内容不够齐全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32A26C4C">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④</w:t>
            </w:r>
            <w:r>
              <w:rPr>
                <w:rFonts w:hint="eastAsia" w:asciiTheme="minorEastAsia" w:hAnsiTheme="minorEastAsia" w:eastAsiaTheme="minorEastAsia" w:cstheme="minorEastAsia"/>
                <w:color w:val="auto"/>
                <w:sz w:val="24"/>
                <w:szCs w:val="24"/>
                <w:highlight w:val="none"/>
              </w:rPr>
              <w:t>材料及设备质量保证措施</w:t>
            </w:r>
            <w:r>
              <w:rPr>
                <w:rFonts w:hint="eastAsia" w:asciiTheme="minorEastAsia" w:hAnsiTheme="minorEastAsia" w:eastAsiaTheme="minorEastAsia" w:cstheme="minorEastAsia"/>
                <w:color w:val="auto"/>
                <w:sz w:val="24"/>
                <w:szCs w:val="24"/>
                <w:highlight w:val="none"/>
                <w:lang w:eastAsia="zh-CN"/>
              </w:rPr>
              <w:t>内容不齐全</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8D0A0AE">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2839CD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分</w:t>
            </w:r>
          </w:p>
        </w:tc>
      </w:tr>
      <w:tr w14:paraId="68F1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103" w:type="dxa"/>
            <w:vMerge w:val="continue"/>
            <w:tcBorders>
              <w:left w:val="single" w:color="auto" w:sz="4" w:space="0"/>
              <w:right w:val="single" w:color="auto" w:sz="4" w:space="0"/>
            </w:tcBorders>
            <w:noWrap w:val="0"/>
            <w:vAlign w:val="center"/>
          </w:tcPr>
          <w:p w14:paraId="39F6B6C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7AC8C0FB">
            <w:pPr>
              <w:keepNext w:val="0"/>
              <w:keepLines w:val="0"/>
              <w:pageBreakBefore w:val="0"/>
              <w:widowControl/>
              <w:numPr>
                <w:ilvl w:val="0"/>
                <w:numId w:val="0"/>
              </w:numPr>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lang w:val="zh-CN"/>
              </w:rPr>
              <w:t>针对本项目制定的应急保障方案（</w:t>
            </w:r>
            <w:r>
              <w:rPr>
                <w:rFonts w:hint="eastAsia" w:asciiTheme="minorEastAsia" w:hAnsiTheme="minorEastAsia" w:eastAsiaTheme="minorEastAsia" w:cstheme="minorEastAsia"/>
                <w:b/>
                <w:bCs/>
                <w:color w:val="auto"/>
                <w:sz w:val="24"/>
                <w:szCs w:val="24"/>
                <w:highlight w:val="none"/>
              </w:rPr>
              <w:t>包含</w:t>
            </w:r>
            <w:r>
              <w:rPr>
                <w:rFonts w:hint="eastAsia" w:asciiTheme="minorEastAsia" w:hAnsiTheme="minorEastAsia" w:eastAsiaTheme="minorEastAsia" w:cstheme="minorEastAsia"/>
                <w:b/>
                <w:bCs/>
                <w:color w:val="auto"/>
                <w:sz w:val="24"/>
                <w:szCs w:val="24"/>
                <w:highlight w:val="none"/>
                <w:lang w:val="zh-CN"/>
              </w:rPr>
              <w:t>特殊天气</w:t>
            </w:r>
            <w:r>
              <w:rPr>
                <w:rFonts w:hint="eastAsia" w:asciiTheme="minorEastAsia" w:hAnsiTheme="minorEastAsia" w:eastAsiaTheme="minorEastAsia" w:cstheme="minorEastAsia"/>
                <w:b/>
                <w:bCs/>
                <w:color w:val="auto"/>
                <w:sz w:val="24"/>
                <w:szCs w:val="24"/>
                <w:highlight w:val="none"/>
                <w:lang w:val="en-US" w:eastAsia="zh-CN"/>
              </w:rPr>
              <w:t>应急保障</w:t>
            </w:r>
            <w:r>
              <w:rPr>
                <w:rFonts w:hint="eastAsia" w:asciiTheme="minorEastAsia" w:hAnsiTheme="minorEastAsia" w:eastAsiaTheme="minorEastAsia" w:cstheme="minorEastAsia"/>
                <w:b/>
                <w:bCs/>
                <w:color w:val="auto"/>
                <w:sz w:val="24"/>
                <w:szCs w:val="24"/>
                <w:highlight w:val="none"/>
                <w:lang w:val="zh-CN"/>
              </w:rPr>
              <w:t>）等进行</w:t>
            </w:r>
            <w:r>
              <w:rPr>
                <w:rFonts w:hint="eastAsia" w:asciiTheme="minorEastAsia" w:hAnsiTheme="minorEastAsia" w:eastAsiaTheme="minorEastAsia" w:cstheme="minorEastAsia"/>
                <w:b/>
                <w:bCs/>
                <w:color w:val="auto"/>
                <w:sz w:val="24"/>
                <w:szCs w:val="24"/>
                <w:highlight w:val="none"/>
              </w:rPr>
              <w:t>综合</w:t>
            </w:r>
            <w:r>
              <w:rPr>
                <w:rFonts w:hint="eastAsia" w:asciiTheme="minorEastAsia" w:hAnsiTheme="minorEastAsia" w:eastAsiaTheme="minorEastAsia" w:cstheme="minorEastAsia"/>
                <w:b/>
                <w:bCs/>
                <w:color w:val="auto"/>
                <w:sz w:val="24"/>
                <w:szCs w:val="24"/>
                <w:highlight w:val="none"/>
                <w:lang w:val="zh-CN"/>
              </w:rPr>
              <w:t>评议：</w:t>
            </w:r>
          </w:p>
          <w:p w14:paraId="21FD2942">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w:t>
            </w:r>
            <w:r>
              <w:rPr>
                <w:rFonts w:hint="eastAsia" w:asciiTheme="minorEastAsia" w:hAnsiTheme="minorEastAsia" w:eastAsiaTheme="minorEastAsia" w:cstheme="minorEastAsia"/>
                <w:b w:val="0"/>
                <w:bCs w:val="0"/>
                <w:color w:val="auto"/>
                <w:sz w:val="24"/>
                <w:szCs w:val="24"/>
                <w:highlight w:val="none"/>
                <w:lang w:val="zh-CN"/>
              </w:rPr>
              <w:t>应急保障</w:t>
            </w:r>
            <w:r>
              <w:rPr>
                <w:rFonts w:hint="eastAsia" w:asciiTheme="minorEastAsia" w:hAnsiTheme="minorEastAsia" w:eastAsiaTheme="minorEastAsia" w:cstheme="minorEastAsia"/>
                <w:b w:val="0"/>
                <w:bCs w:val="0"/>
                <w:color w:val="auto"/>
                <w:sz w:val="24"/>
                <w:szCs w:val="24"/>
                <w:highlight w:val="none"/>
                <w:lang w:val="en-US" w:eastAsia="zh-CN"/>
              </w:rPr>
              <w:t>方案内容全面、</w:t>
            </w:r>
            <w:r>
              <w:rPr>
                <w:rFonts w:hint="eastAsia" w:asciiTheme="minorEastAsia" w:hAnsiTheme="minorEastAsia" w:eastAsiaTheme="minorEastAsia" w:cstheme="minorEastAsia"/>
                <w:b w:val="0"/>
                <w:bCs w:val="0"/>
                <w:color w:val="auto"/>
                <w:sz w:val="24"/>
                <w:szCs w:val="24"/>
                <w:highlight w:val="none"/>
                <w:lang w:val="zh-CN"/>
              </w:rPr>
              <w:t>合理可行、</w:t>
            </w:r>
            <w:r>
              <w:rPr>
                <w:rFonts w:hint="eastAsia" w:asciiTheme="minorEastAsia" w:hAnsiTheme="minorEastAsia" w:eastAsiaTheme="minorEastAsia" w:cstheme="minorEastAsia"/>
                <w:b w:val="0"/>
                <w:bCs w:val="0"/>
                <w:color w:val="auto"/>
                <w:sz w:val="24"/>
                <w:szCs w:val="24"/>
                <w:highlight w:val="none"/>
                <w:lang w:val="en-US" w:eastAsia="zh-CN"/>
              </w:rPr>
              <w:t>有效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5CF5D40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w:t>
            </w:r>
            <w:r>
              <w:rPr>
                <w:rFonts w:hint="eastAsia" w:asciiTheme="minorEastAsia" w:hAnsiTheme="minorEastAsia" w:eastAsiaTheme="minorEastAsia" w:cstheme="minorEastAsia"/>
                <w:b w:val="0"/>
                <w:bCs w:val="0"/>
                <w:color w:val="auto"/>
                <w:sz w:val="24"/>
                <w:szCs w:val="24"/>
                <w:highlight w:val="none"/>
                <w:lang w:val="zh-CN"/>
              </w:rPr>
              <w:t>应急保障</w:t>
            </w:r>
            <w:r>
              <w:rPr>
                <w:rFonts w:hint="eastAsia" w:asciiTheme="minorEastAsia" w:hAnsiTheme="minorEastAsia" w:eastAsiaTheme="minorEastAsia" w:cstheme="minorEastAsia"/>
                <w:b w:val="0"/>
                <w:bCs w:val="0"/>
                <w:color w:val="auto"/>
                <w:sz w:val="24"/>
                <w:szCs w:val="24"/>
                <w:highlight w:val="none"/>
                <w:lang w:val="en-US" w:eastAsia="zh-CN"/>
              </w:rPr>
              <w:t>方案内容较、较</w:t>
            </w:r>
            <w:r>
              <w:rPr>
                <w:rFonts w:hint="eastAsia" w:asciiTheme="minorEastAsia" w:hAnsiTheme="minorEastAsia" w:eastAsiaTheme="minorEastAsia" w:cstheme="minorEastAsia"/>
                <w:b w:val="0"/>
                <w:bCs w:val="0"/>
                <w:color w:val="auto"/>
                <w:sz w:val="24"/>
                <w:szCs w:val="24"/>
                <w:highlight w:val="none"/>
                <w:lang w:val="zh-CN"/>
              </w:rPr>
              <w:t>合理、</w:t>
            </w:r>
            <w:r>
              <w:rPr>
                <w:rFonts w:hint="eastAsia" w:asciiTheme="minorEastAsia" w:hAnsiTheme="minorEastAsia" w:eastAsiaTheme="minorEastAsia" w:cstheme="minorEastAsia"/>
                <w:b w:val="0"/>
                <w:bCs w:val="0"/>
                <w:color w:val="auto"/>
                <w:sz w:val="24"/>
                <w:szCs w:val="24"/>
                <w:highlight w:val="none"/>
                <w:lang w:val="en-US" w:eastAsia="zh-CN"/>
              </w:rPr>
              <w:t>较有效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0911A222">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w:t>
            </w:r>
            <w:r>
              <w:rPr>
                <w:rFonts w:hint="eastAsia" w:asciiTheme="minorEastAsia" w:hAnsiTheme="minorEastAsia" w:eastAsiaTheme="minorEastAsia" w:cstheme="minorEastAsia"/>
                <w:b w:val="0"/>
                <w:bCs w:val="0"/>
                <w:color w:val="auto"/>
                <w:sz w:val="24"/>
                <w:szCs w:val="24"/>
                <w:highlight w:val="none"/>
                <w:lang w:val="zh-CN"/>
              </w:rPr>
              <w:t>应急保障</w:t>
            </w:r>
            <w:r>
              <w:rPr>
                <w:rFonts w:hint="eastAsia" w:asciiTheme="minorEastAsia" w:hAnsiTheme="minorEastAsia" w:eastAsiaTheme="minorEastAsia" w:cstheme="minorEastAsia"/>
                <w:b w:val="0"/>
                <w:bCs w:val="0"/>
                <w:color w:val="auto"/>
                <w:sz w:val="24"/>
                <w:szCs w:val="24"/>
                <w:highlight w:val="none"/>
                <w:lang w:val="en-US" w:eastAsia="zh-CN"/>
              </w:rPr>
              <w:t>方案内容有缺失、基本</w:t>
            </w:r>
            <w:r>
              <w:rPr>
                <w:rFonts w:hint="eastAsia" w:asciiTheme="minorEastAsia" w:hAnsiTheme="minorEastAsia" w:eastAsiaTheme="minorEastAsia" w:cstheme="minorEastAsia"/>
                <w:b w:val="0"/>
                <w:bCs w:val="0"/>
                <w:color w:val="auto"/>
                <w:sz w:val="24"/>
                <w:szCs w:val="24"/>
                <w:highlight w:val="none"/>
                <w:lang w:val="zh-CN"/>
              </w:rPr>
              <w:t>合理、</w:t>
            </w:r>
            <w:r>
              <w:rPr>
                <w:rFonts w:hint="eastAsia" w:asciiTheme="minorEastAsia" w:hAnsiTheme="minorEastAsia" w:eastAsiaTheme="minorEastAsia" w:cstheme="minorEastAsia"/>
                <w:b w:val="0"/>
                <w:bCs w:val="0"/>
                <w:color w:val="auto"/>
                <w:sz w:val="24"/>
                <w:szCs w:val="24"/>
                <w:highlight w:val="none"/>
                <w:lang w:val="en-US" w:eastAsia="zh-CN"/>
              </w:rPr>
              <w:t>基本有效</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0820968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④</w:t>
            </w:r>
            <w:r>
              <w:rPr>
                <w:rFonts w:hint="eastAsia" w:asciiTheme="minorEastAsia" w:hAnsiTheme="minorEastAsia" w:eastAsiaTheme="minorEastAsia" w:cstheme="minorEastAsia"/>
                <w:b w:val="0"/>
                <w:bCs w:val="0"/>
                <w:color w:val="auto"/>
                <w:sz w:val="24"/>
                <w:szCs w:val="24"/>
                <w:highlight w:val="none"/>
                <w:lang w:val="zh-CN"/>
              </w:rPr>
              <w:t>应急保障</w:t>
            </w:r>
            <w:r>
              <w:rPr>
                <w:rFonts w:hint="eastAsia" w:asciiTheme="minorEastAsia" w:hAnsiTheme="minorEastAsia" w:eastAsiaTheme="minorEastAsia" w:cstheme="minorEastAsia"/>
                <w:b w:val="0"/>
                <w:bCs w:val="0"/>
                <w:color w:val="auto"/>
                <w:sz w:val="24"/>
                <w:szCs w:val="24"/>
                <w:highlight w:val="none"/>
                <w:lang w:val="en-US" w:eastAsia="zh-CN"/>
              </w:rPr>
              <w:t>方案内容单一，存在不</w:t>
            </w:r>
            <w:r>
              <w:rPr>
                <w:rFonts w:hint="eastAsia" w:asciiTheme="minorEastAsia" w:hAnsiTheme="minorEastAsia" w:eastAsiaTheme="minorEastAsia" w:cstheme="minorEastAsia"/>
                <w:b w:val="0"/>
                <w:bCs w:val="0"/>
                <w:color w:val="auto"/>
                <w:sz w:val="24"/>
                <w:szCs w:val="24"/>
                <w:highlight w:val="none"/>
                <w:lang w:val="zh-CN"/>
              </w:rPr>
              <w:t>合理、</w:t>
            </w:r>
            <w:r>
              <w:rPr>
                <w:rFonts w:hint="eastAsia" w:asciiTheme="minorEastAsia" w:hAnsiTheme="minorEastAsia" w:eastAsiaTheme="minorEastAsia" w:cstheme="minorEastAsia"/>
                <w:b w:val="0"/>
                <w:bCs w:val="0"/>
                <w:color w:val="auto"/>
                <w:sz w:val="24"/>
                <w:szCs w:val="24"/>
                <w:highlight w:val="none"/>
                <w:lang w:val="en-US" w:eastAsia="zh-CN"/>
              </w:rPr>
              <w:t>不</w:t>
            </w:r>
            <w:r>
              <w:rPr>
                <w:rFonts w:hint="eastAsia" w:asciiTheme="minorEastAsia" w:hAnsiTheme="minorEastAsia" w:eastAsiaTheme="minorEastAsia" w:cstheme="minorEastAsia"/>
                <w:b w:val="0"/>
                <w:bCs w:val="0"/>
                <w:color w:val="auto"/>
                <w:sz w:val="24"/>
                <w:szCs w:val="24"/>
                <w:highlight w:val="none"/>
                <w:lang w:val="zh-CN"/>
              </w:rPr>
              <w:t>可行、</w:t>
            </w:r>
            <w:r>
              <w:rPr>
                <w:rFonts w:hint="eastAsia" w:asciiTheme="minorEastAsia" w:hAnsiTheme="minorEastAsia" w:eastAsiaTheme="minorEastAsia" w:cstheme="minorEastAsia"/>
                <w:b w:val="0"/>
                <w:bCs w:val="0"/>
                <w:color w:val="auto"/>
                <w:sz w:val="24"/>
                <w:szCs w:val="24"/>
                <w:highlight w:val="none"/>
                <w:lang w:val="en-US" w:eastAsia="zh-CN"/>
              </w:rPr>
              <w:t>无效内容</w:t>
            </w:r>
            <w:r>
              <w:rPr>
                <w:rFonts w:hint="eastAsia" w:asciiTheme="minorEastAsia" w:hAnsiTheme="minorEastAsia" w:eastAsiaTheme="minorEastAsia" w:cstheme="minorEastAsia"/>
                <w:b w:val="0"/>
                <w:bCs w:val="0"/>
                <w:color w:val="auto"/>
                <w:sz w:val="24"/>
                <w:szCs w:val="24"/>
                <w:highlight w:val="none"/>
                <w:lang w:val="zh-CN"/>
              </w:rPr>
              <w:t>的，得</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zh-CN"/>
              </w:rPr>
              <w:t>分</w:t>
            </w:r>
            <w:r>
              <w:rPr>
                <w:rFonts w:hint="eastAsia" w:asciiTheme="minorEastAsia" w:hAnsiTheme="minorEastAsia" w:eastAsiaTheme="minorEastAsia" w:cstheme="minorEastAsia"/>
                <w:b w:val="0"/>
                <w:bCs w:val="0"/>
                <w:color w:val="auto"/>
                <w:sz w:val="24"/>
                <w:szCs w:val="24"/>
                <w:highlight w:val="none"/>
                <w:lang w:val="en-US" w:eastAsia="zh-CN"/>
              </w:rPr>
              <w:t>；</w:t>
            </w:r>
          </w:p>
          <w:p w14:paraId="22432A8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⑤未提供相关内容的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E6D6D7C">
            <w:pPr>
              <w:keepNext w:val="0"/>
              <w:keepLines w:val="0"/>
              <w:pageBreakBefore w:val="0"/>
              <w:widowControl/>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5分</w:t>
            </w:r>
          </w:p>
        </w:tc>
      </w:tr>
      <w:tr w14:paraId="54FB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103" w:type="dxa"/>
            <w:vMerge w:val="continue"/>
            <w:tcBorders>
              <w:left w:val="single" w:color="auto" w:sz="4" w:space="0"/>
              <w:right w:val="single" w:color="auto" w:sz="4" w:space="0"/>
            </w:tcBorders>
            <w:noWrap w:val="0"/>
            <w:vAlign w:val="center"/>
          </w:tcPr>
          <w:p w14:paraId="326D119F">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608DE90D">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14、</w:t>
            </w:r>
            <w:r>
              <w:rPr>
                <w:rFonts w:hint="eastAsia" w:asciiTheme="minorEastAsia" w:hAnsiTheme="minorEastAsia" w:eastAsiaTheme="minorEastAsia" w:cstheme="minorEastAsia"/>
                <w:b/>
                <w:bCs/>
                <w:color w:val="auto"/>
                <w:sz w:val="24"/>
                <w:szCs w:val="24"/>
                <w:highlight w:val="none"/>
              </w:rPr>
              <w:t>对提供的项目管理组织结构及人员配备方案、拟派本项目的主要施工队伍的人员计划有利于项目实施的程度</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包括</w:t>
            </w:r>
            <w:r>
              <w:rPr>
                <w:rFonts w:hint="eastAsia" w:asciiTheme="minorEastAsia" w:hAnsiTheme="minorEastAsia" w:eastAsiaTheme="minorEastAsia" w:cstheme="minorEastAsia"/>
                <w:b/>
                <w:bCs/>
                <w:color w:val="auto"/>
                <w:sz w:val="24"/>
                <w:szCs w:val="24"/>
                <w:highlight w:val="none"/>
                <w:lang w:eastAsia="zh-CN"/>
              </w:rPr>
              <w:t>项目经理、</w:t>
            </w:r>
            <w:r>
              <w:rPr>
                <w:rFonts w:hint="eastAsia" w:asciiTheme="minorEastAsia" w:hAnsiTheme="minorEastAsia" w:eastAsiaTheme="minorEastAsia" w:cstheme="minorEastAsia"/>
                <w:b/>
                <w:bCs/>
                <w:color w:val="auto"/>
                <w:sz w:val="24"/>
                <w:szCs w:val="24"/>
                <w:highlight w:val="none"/>
                <w:lang w:val="en-US" w:eastAsia="zh-CN"/>
              </w:rPr>
              <w:t>技术负责人、</w:t>
            </w:r>
            <w:r>
              <w:rPr>
                <w:rFonts w:hint="eastAsia" w:asciiTheme="minorEastAsia" w:hAnsiTheme="minorEastAsia" w:eastAsiaTheme="minorEastAsia" w:cstheme="minorEastAsia"/>
                <w:b/>
                <w:bCs/>
                <w:color w:val="auto"/>
                <w:sz w:val="24"/>
                <w:szCs w:val="24"/>
                <w:highlight w:val="none"/>
              </w:rPr>
              <w:t>安全员、质检员、施工员、拟派人员从事本项目相关行业工作年限及经验等）进行综合评议：</w:t>
            </w:r>
          </w:p>
          <w:p w14:paraId="20680E3F">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①拟派本项目人员配备齐全，经验丰富的得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7215BF18">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②拟派本项目人员配备较齐全、经验较丰富的得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002EDDB7">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③拟派本项目人员配备</w:t>
            </w:r>
            <w:r>
              <w:rPr>
                <w:rFonts w:hint="eastAsia" w:asciiTheme="minorEastAsia" w:hAnsiTheme="minorEastAsia" w:eastAsiaTheme="minorEastAsia" w:cstheme="minorEastAsia"/>
                <w:color w:val="auto"/>
                <w:sz w:val="24"/>
                <w:szCs w:val="24"/>
                <w:highlight w:val="none"/>
                <w:lang w:eastAsia="zh-CN"/>
              </w:rPr>
              <w:t>基本</w:t>
            </w:r>
            <w:r>
              <w:rPr>
                <w:rFonts w:hint="eastAsia" w:asciiTheme="minorEastAsia" w:hAnsiTheme="minorEastAsia" w:eastAsiaTheme="minorEastAsia" w:cstheme="minorEastAsia"/>
                <w:color w:val="auto"/>
                <w:sz w:val="24"/>
                <w:szCs w:val="24"/>
                <w:highlight w:val="none"/>
              </w:rPr>
              <w:t>齐全、经验</w:t>
            </w:r>
            <w:r>
              <w:rPr>
                <w:rFonts w:hint="eastAsia" w:asciiTheme="minorEastAsia" w:hAnsiTheme="minorEastAsia" w:eastAsiaTheme="minorEastAsia" w:cstheme="minorEastAsia"/>
                <w:color w:val="auto"/>
                <w:sz w:val="24"/>
                <w:szCs w:val="24"/>
                <w:highlight w:val="none"/>
                <w:lang w:eastAsia="zh-CN"/>
              </w:rPr>
              <w:t>基本</w:t>
            </w:r>
            <w:r>
              <w:rPr>
                <w:rFonts w:hint="eastAsia" w:asciiTheme="minorEastAsia" w:hAnsiTheme="minorEastAsia" w:eastAsiaTheme="minorEastAsia" w:cstheme="minorEastAsia"/>
                <w:color w:val="auto"/>
                <w:sz w:val="24"/>
                <w:szCs w:val="24"/>
                <w:highlight w:val="none"/>
              </w:rPr>
              <w:t>丰富的得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7C531750">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④</w:t>
            </w:r>
            <w:r>
              <w:rPr>
                <w:rFonts w:hint="eastAsia" w:asciiTheme="minorEastAsia" w:hAnsiTheme="minorEastAsia" w:eastAsiaTheme="minorEastAsia" w:cstheme="minorEastAsia"/>
                <w:color w:val="auto"/>
                <w:sz w:val="24"/>
                <w:szCs w:val="24"/>
                <w:highlight w:val="none"/>
              </w:rPr>
              <w:t>拟派本项目人员配备不齐全，没有经验的得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C806EA5">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未</w:t>
            </w:r>
            <w:r>
              <w:rPr>
                <w:rFonts w:hint="eastAsia" w:asciiTheme="minorEastAsia" w:hAnsiTheme="minorEastAsia" w:eastAsiaTheme="minorEastAsia" w:cstheme="minorEastAsia"/>
                <w:b w:val="0"/>
                <w:bCs w:val="0"/>
                <w:color w:val="auto"/>
                <w:sz w:val="24"/>
                <w:szCs w:val="24"/>
                <w:highlight w:val="none"/>
                <w:lang w:val="en-US" w:eastAsia="zh-CN"/>
              </w:rPr>
              <w:t>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061A7EB">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5分</w:t>
            </w:r>
          </w:p>
        </w:tc>
      </w:tr>
      <w:tr w14:paraId="7688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103" w:type="dxa"/>
            <w:vMerge w:val="continue"/>
            <w:tcBorders>
              <w:left w:val="single" w:color="auto" w:sz="4" w:space="0"/>
              <w:right w:val="single" w:color="auto" w:sz="4" w:space="0"/>
            </w:tcBorders>
            <w:noWrap w:val="0"/>
            <w:vAlign w:val="center"/>
          </w:tcPr>
          <w:p w14:paraId="625AA77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53FD06CA">
            <w:pPr>
              <w:pStyle w:val="2"/>
              <w:keepNext w:val="0"/>
              <w:keepLines w:val="0"/>
              <w:pageBreakBefore w:val="0"/>
              <w:numPr>
                <w:ilvl w:val="0"/>
                <w:numId w:val="0"/>
              </w:numPr>
              <w:kinsoku/>
              <w:wordWrap/>
              <w:overflowPunct/>
              <w:topLinePunct w:val="0"/>
              <w:bidi w:val="0"/>
              <w:adjustRightInd/>
              <w:snapToGrid/>
              <w:spacing w:after="0" w:line="240" w:lineRule="auto"/>
              <w:ind w:left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color w:val="auto"/>
                <w:spacing w:val="0"/>
                <w:kern w:val="2"/>
                <w:sz w:val="24"/>
                <w:szCs w:val="24"/>
                <w:highlight w:val="none"/>
                <w:lang w:val="en-US" w:eastAsia="zh-CN" w:bidi="ar"/>
              </w:rPr>
              <w:t>15、</w:t>
            </w:r>
            <w:r>
              <w:rPr>
                <w:rFonts w:hint="eastAsia" w:asciiTheme="minorEastAsia" w:hAnsiTheme="minorEastAsia" w:eastAsiaTheme="minorEastAsia" w:cstheme="minorEastAsia"/>
                <w:b/>
                <w:bCs/>
                <w:color w:val="auto"/>
                <w:sz w:val="24"/>
                <w:szCs w:val="24"/>
                <w:highlight w:val="none"/>
                <w:lang w:val="en-US" w:eastAsia="zh-CN"/>
              </w:rPr>
              <w:t>根据供应商提供的</w:t>
            </w:r>
            <w:r>
              <w:rPr>
                <w:rFonts w:hint="eastAsia" w:asciiTheme="minorEastAsia" w:hAnsiTheme="minorEastAsia" w:eastAsiaTheme="minorEastAsia" w:cstheme="minorEastAsia"/>
                <w:b/>
                <w:color w:val="auto"/>
                <w:spacing w:val="0"/>
                <w:kern w:val="2"/>
                <w:sz w:val="24"/>
                <w:szCs w:val="24"/>
                <w:highlight w:val="none"/>
                <w:lang w:val="en-US" w:eastAsia="zh-CN" w:bidi="ar"/>
              </w:rPr>
              <w:t>质量保修期方案、售后服务保障</w:t>
            </w:r>
            <w:r>
              <w:rPr>
                <w:rFonts w:hint="eastAsia" w:asciiTheme="minorEastAsia" w:hAnsiTheme="minorEastAsia" w:eastAsiaTheme="minorEastAsia" w:cstheme="minorEastAsia"/>
                <w:b/>
                <w:bCs/>
                <w:color w:val="auto"/>
                <w:sz w:val="24"/>
                <w:szCs w:val="24"/>
                <w:highlight w:val="none"/>
              </w:rPr>
              <w:t>进行综合评议</w:t>
            </w:r>
            <w:r>
              <w:rPr>
                <w:rFonts w:hint="eastAsia" w:asciiTheme="minorEastAsia" w:hAnsiTheme="minorEastAsia" w:eastAsiaTheme="minorEastAsia" w:cstheme="minorEastAsia"/>
                <w:b/>
                <w:bCs/>
                <w:color w:val="auto"/>
                <w:sz w:val="24"/>
                <w:szCs w:val="24"/>
                <w:highlight w:val="none"/>
                <w:lang w:val="en-US" w:eastAsia="zh-CN"/>
              </w:rPr>
              <w:t>：</w:t>
            </w:r>
          </w:p>
          <w:p w14:paraId="23D2223E">
            <w:pPr>
              <w:pStyle w:val="2"/>
              <w:keepNext w:val="0"/>
              <w:keepLines w:val="0"/>
              <w:pageBreakBefore w:val="0"/>
              <w:numPr>
                <w:ilvl w:val="0"/>
                <w:numId w:val="0"/>
              </w:numPr>
              <w:kinsoku/>
              <w:wordWrap/>
              <w:overflowPunct/>
              <w:topLinePunct w:val="0"/>
              <w:bidi w:val="0"/>
              <w:adjustRightInd/>
              <w:snapToGrid/>
              <w:spacing w:after="0" w:line="240" w:lineRule="auto"/>
              <w:ind w:left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①方案完整、计划完善，响应时间与到达时间迅速、合理，满足采购人需求的得5分；</w:t>
            </w:r>
          </w:p>
          <w:p w14:paraId="1F7C474C">
            <w:pPr>
              <w:pStyle w:val="2"/>
              <w:keepNext w:val="0"/>
              <w:keepLines w:val="0"/>
              <w:pageBreakBefore w:val="0"/>
              <w:numPr>
                <w:ilvl w:val="0"/>
                <w:numId w:val="0"/>
              </w:numPr>
              <w:kinsoku/>
              <w:wordWrap/>
              <w:overflowPunct/>
              <w:topLinePunct w:val="0"/>
              <w:bidi w:val="0"/>
              <w:adjustRightInd/>
              <w:snapToGrid/>
              <w:spacing w:after="0" w:line="240" w:lineRule="auto"/>
              <w:ind w:left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②方案较完整、计划较完善，响应时间与到达时间较迅速、较合理，基本采购人需求的得4分；</w:t>
            </w:r>
          </w:p>
          <w:p w14:paraId="07C68EBE">
            <w:pPr>
              <w:pStyle w:val="2"/>
              <w:keepNext w:val="0"/>
              <w:keepLines w:val="0"/>
              <w:pageBreakBefore w:val="0"/>
              <w:numPr>
                <w:ilvl w:val="0"/>
                <w:numId w:val="0"/>
              </w:numPr>
              <w:kinsoku/>
              <w:wordWrap/>
              <w:overflowPunct/>
              <w:topLinePunct w:val="0"/>
              <w:bidi w:val="0"/>
              <w:adjustRightInd/>
              <w:snapToGrid/>
              <w:spacing w:after="0" w:line="240" w:lineRule="auto"/>
              <w:ind w:left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③方案较完整、计划不够完善，响应时间与到达时间不够迅速、不够合理的得3分；</w:t>
            </w:r>
          </w:p>
          <w:p w14:paraId="67AC4D00">
            <w:pPr>
              <w:pStyle w:val="2"/>
              <w:keepNext w:val="0"/>
              <w:keepLines w:val="0"/>
              <w:pageBreakBefore w:val="0"/>
              <w:numPr>
                <w:ilvl w:val="0"/>
                <w:numId w:val="0"/>
              </w:numPr>
              <w:kinsoku/>
              <w:wordWrap/>
              <w:overflowPunct/>
              <w:topLinePunct w:val="0"/>
              <w:bidi w:val="0"/>
              <w:adjustRightInd/>
              <w:snapToGrid/>
              <w:spacing w:after="0" w:line="240" w:lineRule="auto"/>
              <w:ind w:leftChars="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④方案不完整、计划不完善，响应时间与到达时间不迅速、不合理，不满足采购人需求的得2分；</w:t>
            </w:r>
          </w:p>
          <w:p w14:paraId="26DE11EA">
            <w:pPr>
              <w:pStyle w:val="2"/>
              <w:keepNext w:val="0"/>
              <w:keepLines w:val="0"/>
              <w:pageBreakBefore w:val="0"/>
              <w:numPr>
                <w:ilvl w:val="0"/>
                <w:numId w:val="0"/>
              </w:numPr>
              <w:kinsoku/>
              <w:wordWrap/>
              <w:overflowPunct/>
              <w:topLinePunct w:val="0"/>
              <w:bidi w:val="0"/>
              <w:adjustRightInd/>
              <w:snapToGrid/>
              <w:spacing w:after="0" w:line="24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未</w:t>
            </w:r>
            <w:r>
              <w:rPr>
                <w:rFonts w:hint="eastAsia" w:asciiTheme="minorEastAsia" w:hAnsiTheme="minorEastAsia" w:eastAsiaTheme="minorEastAsia" w:cstheme="minorEastAsia"/>
                <w:b w:val="0"/>
                <w:bCs w:val="0"/>
                <w:color w:val="auto"/>
                <w:sz w:val="24"/>
                <w:szCs w:val="24"/>
                <w:highlight w:val="none"/>
                <w:lang w:val="en-US" w:eastAsia="zh-CN"/>
              </w:rPr>
              <w:t>提供相关内容的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1CFE019">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5分</w:t>
            </w:r>
          </w:p>
        </w:tc>
      </w:tr>
      <w:tr w14:paraId="2884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3" w:type="dxa"/>
            <w:vMerge w:val="continue"/>
            <w:tcBorders>
              <w:left w:val="single" w:color="auto" w:sz="4" w:space="0"/>
              <w:bottom w:val="single" w:color="auto" w:sz="4" w:space="0"/>
              <w:right w:val="single" w:color="auto" w:sz="4" w:space="0"/>
            </w:tcBorders>
            <w:noWrap w:val="0"/>
            <w:vAlign w:val="center"/>
          </w:tcPr>
          <w:p w14:paraId="2CA251C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0FA96684">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16、企业综合实力</w:t>
            </w:r>
          </w:p>
          <w:p w14:paraId="53BF51BB">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供应商具有有效期内的ISO9001质量管理体系认证证书、ISO14001环境管理体系认证证书、ISO45001职业健康安全管理体系认证证书</w:t>
            </w:r>
            <w:r>
              <w:rPr>
                <w:rFonts w:hint="eastAsia" w:asciiTheme="minorEastAsia" w:hAnsiTheme="minorEastAsia" w:eastAsiaTheme="minorEastAsia" w:cstheme="minorEastAsia"/>
                <w:b w:val="0"/>
                <w:bCs w:val="0"/>
                <w:color w:val="auto"/>
                <w:sz w:val="24"/>
                <w:szCs w:val="24"/>
                <w:highlight w:val="none"/>
                <w:rtl w:val="0"/>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每提供一个认证证书得1分，本项最高得3分。</w:t>
            </w:r>
            <w:r>
              <w:rPr>
                <w:rFonts w:hint="eastAsia" w:asciiTheme="minorEastAsia" w:hAnsiTheme="minorEastAsia" w:eastAsiaTheme="minorEastAsia" w:cstheme="minorEastAsia"/>
                <w:b/>
                <w:bCs/>
                <w:color w:val="auto"/>
                <w:sz w:val="24"/>
                <w:szCs w:val="24"/>
                <w:highlight w:val="none"/>
                <w:lang w:val="en-US" w:eastAsia="zh-CN"/>
              </w:rPr>
              <w:t>说明：响应文件中</w:t>
            </w:r>
            <w:r>
              <w:rPr>
                <w:rFonts w:hint="eastAsia" w:asciiTheme="minorEastAsia" w:hAnsiTheme="minorEastAsia" w:eastAsiaTheme="minorEastAsia" w:cstheme="minorEastAsia"/>
                <w:b/>
                <w:bCs/>
                <w:color w:val="auto"/>
                <w:sz w:val="24"/>
                <w:szCs w:val="24"/>
                <w:highlight w:val="none"/>
                <w:rtl w:val="0"/>
                <w:lang w:val="en-US" w:eastAsia="zh-CN"/>
              </w:rPr>
              <w:t>提供有效的认证证书复印件加盖公章，</w:t>
            </w:r>
            <w:r>
              <w:rPr>
                <w:rFonts w:hint="eastAsia" w:asciiTheme="minorEastAsia" w:hAnsiTheme="minorEastAsia" w:eastAsiaTheme="minorEastAsia" w:cstheme="minorEastAsia"/>
                <w:b/>
                <w:bCs/>
                <w:color w:val="auto"/>
                <w:sz w:val="24"/>
                <w:szCs w:val="24"/>
                <w:highlight w:val="none"/>
                <w:lang w:val="en-US" w:eastAsia="zh-CN"/>
              </w:rPr>
              <w:t>未提供或不符合上述要求的不得分。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617D8E3">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3分</w:t>
            </w:r>
          </w:p>
        </w:tc>
      </w:tr>
      <w:tr w14:paraId="7CA7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3" w:type="dxa"/>
            <w:vMerge w:val="continue"/>
            <w:tcBorders>
              <w:left w:val="single" w:color="auto" w:sz="4" w:space="0"/>
              <w:bottom w:val="single" w:color="auto" w:sz="4" w:space="0"/>
              <w:right w:val="single" w:color="auto" w:sz="4" w:space="0"/>
            </w:tcBorders>
            <w:noWrap w:val="0"/>
            <w:vAlign w:val="center"/>
          </w:tcPr>
          <w:p w14:paraId="4C18EE2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3532F97B">
            <w:pPr>
              <w:keepNext w:val="0"/>
              <w:keepLines w:val="0"/>
              <w:pageBreakBefore w:val="0"/>
              <w:kinsoku/>
              <w:wordWrap/>
              <w:overflowPunct/>
              <w:topLinePunct w:val="0"/>
              <w:bidi w:val="0"/>
              <w:adjustRightInd/>
              <w:snapToGrid/>
              <w:spacing w:line="24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17、项目经理到位率</w:t>
            </w:r>
          </w:p>
          <w:p w14:paraId="04C6EAED">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拟派项目经理到位率承诺达到90%及以上得2分；达到80%及以上得0.5分；低于80%得0分。</w:t>
            </w:r>
          </w:p>
          <w:p w14:paraId="543A3550">
            <w:pPr>
              <w:keepNext w:val="0"/>
              <w:keepLines w:val="0"/>
              <w:pageBreakBefore w:val="0"/>
              <w:kinsoku/>
              <w:wordWrap/>
              <w:overflowPunct/>
              <w:topLinePunct w:val="0"/>
              <w:bidi w:val="0"/>
              <w:adjustRightInd/>
              <w:snapToGrid/>
              <w:spacing w:line="240" w:lineRule="auto"/>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说明：响应文件中</w:t>
            </w:r>
            <w:r>
              <w:rPr>
                <w:rFonts w:hint="eastAsia" w:asciiTheme="minorEastAsia" w:hAnsiTheme="minorEastAsia" w:eastAsiaTheme="minorEastAsia" w:cstheme="minorEastAsia"/>
                <w:b/>
                <w:bCs/>
                <w:color w:val="auto"/>
                <w:sz w:val="24"/>
                <w:szCs w:val="24"/>
                <w:highlight w:val="none"/>
                <w:rtl w:val="0"/>
                <w:lang w:val="en-US" w:eastAsia="zh-CN"/>
              </w:rPr>
              <w:t>提供相关承诺，</w:t>
            </w:r>
            <w:r>
              <w:rPr>
                <w:rFonts w:hint="eastAsia" w:asciiTheme="minorEastAsia" w:hAnsiTheme="minorEastAsia" w:eastAsiaTheme="minorEastAsia" w:cstheme="minorEastAsia"/>
                <w:b/>
                <w:bCs/>
                <w:color w:val="auto"/>
                <w:sz w:val="24"/>
                <w:szCs w:val="24"/>
                <w:highlight w:val="none"/>
                <w:lang w:val="en-US" w:eastAsia="zh-CN"/>
              </w:rPr>
              <w:t>未提供或不符合上述要求的不得分。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67E1609">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2分</w:t>
            </w:r>
          </w:p>
        </w:tc>
      </w:tr>
      <w:tr w14:paraId="27CB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3" w:type="dxa"/>
            <w:vMerge w:val="continue"/>
            <w:tcBorders>
              <w:left w:val="single" w:color="auto" w:sz="4" w:space="0"/>
              <w:right w:val="single" w:color="auto" w:sz="4" w:space="0"/>
            </w:tcBorders>
            <w:noWrap w:val="0"/>
            <w:vAlign w:val="center"/>
          </w:tcPr>
          <w:p w14:paraId="2FD7873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6755" w:type="dxa"/>
            <w:tcBorders>
              <w:top w:val="single" w:color="auto" w:sz="4" w:space="0"/>
              <w:left w:val="single" w:color="auto" w:sz="4" w:space="0"/>
              <w:bottom w:val="single" w:color="auto" w:sz="4" w:space="0"/>
              <w:right w:val="single" w:color="auto" w:sz="4" w:space="0"/>
            </w:tcBorders>
            <w:noWrap w:val="0"/>
            <w:vAlign w:val="center"/>
          </w:tcPr>
          <w:p w14:paraId="644F84A9">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18、类似业绩</w:t>
            </w:r>
          </w:p>
          <w:p w14:paraId="3F37BF3B">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年1月1日以来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日期以合同签订时间为准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，承担过的类似项目业绩</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3FCE00BF">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说明：响应文件中</w:t>
            </w:r>
            <w:r>
              <w:rPr>
                <w:rFonts w:hint="eastAsia" w:asciiTheme="minorEastAsia" w:hAnsiTheme="minorEastAsia" w:eastAsiaTheme="minorEastAsia" w:cstheme="minorEastAsia"/>
                <w:b/>
                <w:bCs/>
                <w:color w:val="auto"/>
                <w:sz w:val="24"/>
                <w:szCs w:val="24"/>
                <w:highlight w:val="none"/>
                <w:rtl w:val="0"/>
                <w:lang w:val="en-US" w:eastAsia="zh-CN"/>
              </w:rPr>
              <w:t>提供有效的业绩合同复印件加盖公章，</w:t>
            </w:r>
            <w:r>
              <w:rPr>
                <w:rFonts w:hint="eastAsia" w:asciiTheme="minorEastAsia" w:hAnsiTheme="minorEastAsia" w:eastAsiaTheme="minorEastAsia" w:cstheme="minorEastAsia"/>
                <w:b/>
                <w:bCs/>
                <w:color w:val="auto"/>
                <w:sz w:val="24"/>
                <w:szCs w:val="24"/>
                <w:highlight w:val="none"/>
                <w:lang w:val="en-US" w:eastAsia="zh-CN"/>
              </w:rPr>
              <w:t>未提供或不符合上述要求的不得分。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6ADEC67">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1分</w:t>
            </w:r>
          </w:p>
        </w:tc>
      </w:tr>
      <w:tr w14:paraId="4982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3" w:type="dxa"/>
            <w:tcBorders>
              <w:left w:val="single" w:color="auto" w:sz="4" w:space="0"/>
              <w:right w:val="single" w:color="auto" w:sz="4" w:space="0"/>
            </w:tcBorders>
            <w:noWrap w:val="0"/>
            <w:vAlign w:val="center"/>
          </w:tcPr>
          <w:p w14:paraId="0BE24054">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价格分30分</w:t>
            </w:r>
          </w:p>
        </w:tc>
        <w:tc>
          <w:tcPr>
            <w:tcW w:w="6755" w:type="dxa"/>
            <w:tcBorders>
              <w:top w:val="single" w:color="auto" w:sz="4" w:space="0"/>
              <w:left w:val="single" w:color="auto" w:sz="4" w:space="0"/>
              <w:bottom w:val="single" w:color="auto" w:sz="4" w:space="0"/>
              <w:right w:val="single" w:color="auto" w:sz="4" w:space="0"/>
            </w:tcBorders>
            <w:noWrap w:val="0"/>
            <w:vAlign w:val="center"/>
          </w:tcPr>
          <w:p w14:paraId="1CF477BF">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基准价=所有有效投标中的参与评审的价格最低的报价</w:t>
            </w:r>
          </w:p>
          <w:p w14:paraId="2A78C0D9">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参与评审的价格=投标报价</w:t>
            </w:r>
          </w:p>
          <w:p w14:paraId="37F92815">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基准价得30分</w:t>
            </w:r>
            <w:r>
              <w:rPr>
                <w:rFonts w:hint="eastAsia" w:asciiTheme="minorEastAsia" w:hAnsiTheme="minorEastAsia" w:eastAsiaTheme="minorEastAsia" w:cstheme="minorEastAsia"/>
                <w:b/>
                <w:bCs/>
                <w:color w:val="auto"/>
                <w:sz w:val="24"/>
                <w:szCs w:val="24"/>
                <w:highlight w:val="none"/>
                <w:lang w:eastAsia="zh-CN"/>
              </w:rPr>
              <w:t>；</w:t>
            </w:r>
          </w:p>
          <w:p w14:paraId="1EB9680D">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参与评审的价格最低的供应商得满分30分，其余供应商得分为：</w:t>
            </w:r>
          </w:p>
          <w:p w14:paraId="451236CB">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报价得分=（基准价/参与评审的价格）×30%×100</w:t>
            </w:r>
          </w:p>
          <w:p w14:paraId="08AF377C">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供应商的价格分</w:t>
            </w:r>
            <w:r>
              <w:rPr>
                <w:rFonts w:hint="eastAsia" w:ascii="宋体" w:hAnsi="宋体" w:eastAsia="宋体" w:cs="宋体"/>
                <w:b/>
                <w:bCs/>
                <w:color w:val="auto"/>
                <w:sz w:val="24"/>
                <w:highlight w:val="none"/>
              </w:rPr>
              <w:t>小数点后保留</w:t>
            </w:r>
            <w:r>
              <w:rPr>
                <w:rFonts w:hint="eastAsia" w:ascii="宋体" w:hAnsi="宋体" w:eastAsia="宋体" w:cs="宋体"/>
                <w:b/>
                <w:bCs/>
                <w:color w:val="auto"/>
                <w:sz w:val="24"/>
                <w:highlight w:val="none"/>
                <w:lang w:val="en-US" w:eastAsia="zh-CN"/>
              </w:rPr>
              <w:t>两</w:t>
            </w:r>
            <w:r>
              <w:rPr>
                <w:rFonts w:hint="eastAsia" w:ascii="宋体" w:hAnsi="宋体" w:eastAsia="宋体" w:cs="宋体"/>
                <w:b/>
                <w:bCs/>
                <w:color w:val="auto"/>
                <w:sz w:val="24"/>
                <w:highlight w:val="none"/>
              </w:rPr>
              <w:t>位小数，第三位四舍五入）</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7A73ACF">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30分</w:t>
            </w:r>
          </w:p>
        </w:tc>
      </w:tr>
      <w:tr w14:paraId="66FE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858" w:type="dxa"/>
            <w:gridSpan w:val="2"/>
            <w:tcBorders>
              <w:left w:val="single" w:color="auto" w:sz="4" w:space="0"/>
              <w:bottom w:val="single" w:color="auto" w:sz="4" w:space="0"/>
              <w:right w:val="single" w:color="auto" w:sz="4" w:space="0"/>
            </w:tcBorders>
            <w:noWrap w:val="0"/>
            <w:vAlign w:val="center"/>
          </w:tcPr>
          <w:p w14:paraId="680FCAC9">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满分</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27F039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100分</w:t>
            </w:r>
          </w:p>
        </w:tc>
      </w:tr>
    </w:tbl>
    <w:p w14:paraId="10422A61">
      <w:pPr>
        <w:snapToGrid w:val="0"/>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、各磋商小组成员自</w:t>
      </w:r>
      <w:r>
        <w:rPr>
          <w:rFonts w:hint="eastAsia" w:ascii="宋体" w:hAnsi="宋体" w:eastAsia="宋体" w:cs="宋体"/>
          <w:b w:val="0"/>
          <w:bCs/>
          <w:color w:val="auto"/>
          <w:sz w:val="24"/>
          <w:highlight w:val="none"/>
        </w:rPr>
        <w:t>行按以上参考分值评分</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各自独立记名打分，小数点后最多保留一位小数。</w:t>
      </w:r>
      <w:r>
        <w:rPr>
          <w:rFonts w:hint="eastAsia" w:ascii="宋体" w:hAnsi="宋体" w:eastAsia="宋体" w:cs="宋体"/>
          <w:b w:val="0"/>
          <w:bCs/>
          <w:color w:val="auto"/>
          <w:sz w:val="24"/>
          <w:highlight w:val="none"/>
          <w:lang w:val="en-US" w:eastAsia="zh-CN"/>
        </w:rPr>
        <w:t>供应商的商务技术分</w:t>
      </w:r>
      <w:r>
        <w:rPr>
          <w:rFonts w:hint="eastAsia" w:ascii="宋体" w:hAnsi="宋体" w:eastAsia="宋体" w:cs="宋体"/>
          <w:b w:val="0"/>
          <w:bCs/>
          <w:color w:val="auto"/>
          <w:sz w:val="24"/>
          <w:highlight w:val="none"/>
        </w:rPr>
        <w:t>小数点后保留</w:t>
      </w:r>
      <w:r>
        <w:rPr>
          <w:rFonts w:hint="eastAsia" w:ascii="宋体" w:hAnsi="宋体" w:eastAsia="宋体" w:cs="宋体"/>
          <w:b w:val="0"/>
          <w:bCs/>
          <w:color w:val="auto"/>
          <w:sz w:val="24"/>
          <w:highlight w:val="none"/>
          <w:lang w:val="en-US" w:eastAsia="zh-CN"/>
        </w:rPr>
        <w:t>两</w:t>
      </w:r>
      <w:r>
        <w:rPr>
          <w:rFonts w:hint="eastAsia" w:ascii="宋体" w:hAnsi="宋体" w:eastAsia="宋体" w:cs="宋体"/>
          <w:b w:val="0"/>
          <w:bCs/>
          <w:color w:val="auto"/>
          <w:sz w:val="24"/>
          <w:highlight w:val="none"/>
        </w:rPr>
        <w:t>位小数，第三位四舍五入</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、重大事件由磋商小组集体讨论，应当按照少数服从多数的原则作出结论。</w:t>
      </w:r>
    </w:p>
    <w:p w14:paraId="1DC34CD7">
      <w:pPr>
        <w:spacing w:line="360" w:lineRule="auto"/>
        <w:ind w:firstLine="643" w:firstLineChars="200"/>
        <w:jc w:val="left"/>
        <w:rPr>
          <w:rFonts w:ascii="宋体" w:hAnsi="宋体" w:cs="宋体"/>
          <w:b/>
          <w:color w:val="auto"/>
          <w:sz w:val="32"/>
          <w:highlight w:val="none"/>
        </w:rPr>
      </w:pPr>
      <w:r>
        <w:rPr>
          <w:rFonts w:hint="eastAsia" w:ascii="宋体" w:hAnsi="宋体" w:cs="宋体"/>
          <w:b/>
          <w:color w:val="auto"/>
          <w:sz w:val="32"/>
          <w:highlight w:val="none"/>
        </w:rPr>
        <w:br w:type="page"/>
      </w:r>
    </w:p>
    <w:p w14:paraId="1E3CE204">
      <w:pPr>
        <w:snapToGrid w:val="0"/>
        <w:spacing w:line="360" w:lineRule="auto"/>
        <w:ind w:firstLine="643" w:firstLineChars="200"/>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D3781BD">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1A33C3D1">
      <w:pPr>
        <w:snapToGrid w:val="0"/>
        <w:spacing w:line="360" w:lineRule="auto"/>
        <w:ind w:firstLine="643" w:firstLineChars="200"/>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02D9A88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8C3CDF1">
      <w:pPr>
        <w:snapToGrid w:val="0"/>
        <w:spacing w:line="360" w:lineRule="auto"/>
        <w:ind w:firstLine="643" w:firstLineChars="200"/>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DDD732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的实质性要求的，响应文件无效。</w:t>
      </w:r>
    </w:p>
    <w:p w14:paraId="6FA51901">
      <w:pPr>
        <w:spacing w:line="360" w:lineRule="auto"/>
        <w:ind w:firstLine="482" w:firstLineChars="200"/>
        <w:rPr>
          <w:rFonts w:ascii="宋体" w:hAnsi="宋体" w:cs="宋体"/>
          <w:b w:val="0"/>
          <w:bCs w:val="0"/>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r>
        <w:rPr>
          <w:rFonts w:hint="eastAsia" w:ascii="宋体" w:hAnsi="宋体" w:cs="宋体"/>
          <w:b w:val="0"/>
          <w:bCs w:val="0"/>
          <w:color w:val="auto"/>
          <w:sz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51853630">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71540D37">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D0AEA5F">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1FC552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97EB3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029A1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已提交响应文件的供应商，在提交最后报价之前，可以根据磋商情况退出磋商。如供应商未按磋商小组的要求在规定的时间内提交最后报价的，视为退出磋商。</w:t>
      </w:r>
    </w:p>
    <w:p w14:paraId="42C0C9A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中规定的评审标准，对符合性审查合格的响应文件进行综合评分。磋商文件中没有规定的评审标准不得作为评审依据。</w:t>
      </w:r>
    </w:p>
    <w:p w14:paraId="75C5F90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7E9DE90">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2134471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3.6.1响应文件报价出现前后不一致的，按照下列规定修正（修正原则）：</w:t>
      </w:r>
    </w:p>
    <w:p w14:paraId="68DBF74C">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6BC9183B">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14:paraId="4425560C">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14:paraId="57D7564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0919E58D">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8914F8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04C5D4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中规定的预算金额或者最高投标限价的，响应文件无效。</w:t>
      </w:r>
    </w:p>
    <w:p w14:paraId="28134C1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包企业之间存在直接控股、管理关系的，不享受价格扣除优惠政策。</w:t>
      </w:r>
    </w:p>
    <w:p w14:paraId="63F06013">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p>
    <w:p w14:paraId="7884734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3E0CFCE">
      <w:pPr>
        <w:snapToGrid w:val="0"/>
        <w:spacing w:line="360" w:lineRule="auto"/>
        <w:ind w:firstLine="643" w:firstLineChars="200"/>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A229C38">
      <w:pPr>
        <w:pStyle w:val="129"/>
        <w:spacing w:before="0"/>
        <w:ind w:firstLine="482"/>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AFA3DF5">
      <w:pPr>
        <w:pStyle w:val="3"/>
        <w:spacing w:line="360" w:lineRule="auto"/>
        <w:rPr>
          <w:rFonts w:cs="宋体"/>
          <w:color w:val="auto"/>
          <w:highlight w:val="none"/>
        </w:rPr>
      </w:pPr>
      <w:r>
        <w:rPr>
          <w:rFonts w:hint="eastAsia" w:cs="宋体"/>
          <w:b/>
          <w:color w:val="auto"/>
          <w:kern w:val="0"/>
          <w:highlight w:val="none"/>
        </w:rPr>
        <w:t>4.2响应文件无效。</w:t>
      </w:r>
      <w:r>
        <w:rPr>
          <w:rFonts w:hint="eastAsia" w:cs="宋体"/>
          <w:color w:val="auto"/>
          <w:highlight w:val="none"/>
        </w:rPr>
        <w:t>有下列情形之一的，响应文件无效：</w:t>
      </w:r>
    </w:p>
    <w:p w14:paraId="380630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中规定的资格要求的（供应商未提供有效的资格文件的，视为供应商不具备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中规定的资格要求）；</w:t>
      </w:r>
    </w:p>
    <w:p w14:paraId="3ABB6B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要求签署、盖章的；</w:t>
      </w:r>
    </w:p>
    <w:p w14:paraId="0E436F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要求提供国家确定的认证机构出具的、处于有效期之内的节能产品认证证书的；</w:t>
      </w:r>
    </w:p>
    <w:p w14:paraId="2D9E9D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E5513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中载明的响应文件有效期的；</w:t>
      </w:r>
    </w:p>
    <w:p w14:paraId="111FC6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180CB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中规定的预算金额或者最高投标限价的；</w:t>
      </w:r>
    </w:p>
    <w:p w14:paraId="22D536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95C96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50EB09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37554E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4C9351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61E8D7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的其他实质性要求的；</w:t>
      </w:r>
    </w:p>
    <w:p w14:paraId="69CED2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D864626">
      <w:pPr>
        <w:pStyle w:val="3"/>
        <w:snapToGrid w:val="0"/>
        <w:spacing w:line="360" w:lineRule="auto"/>
        <w:ind w:firstLine="482"/>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6BABF2">
      <w:pPr>
        <w:pStyle w:val="3"/>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80CA271">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42B20459">
      <w:pPr>
        <w:pStyle w:val="3"/>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60CF94CC">
      <w:pPr>
        <w:pStyle w:val="3"/>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DA490AE">
      <w:pPr>
        <w:pStyle w:val="3"/>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1146EDF1">
      <w:pPr>
        <w:pStyle w:val="3"/>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88216E6">
      <w:pPr>
        <w:pStyle w:val="3"/>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72CA0776">
      <w:pPr>
        <w:pStyle w:val="3"/>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7D5BD363">
      <w:pPr>
        <w:pStyle w:val="3"/>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5C2D62F3">
      <w:pPr>
        <w:pStyle w:val="3"/>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509426A">
      <w:pPr>
        <w:snapToGrid w:val="0"/>
        <w:spacing w:line="360" w:lineRule="auto"/>
        <w:ind w:firstLine="643" w:firstLineChars="200"/>
        <w:jc w:val="center"/>
        <w:rPr>
          <w:rFonts w:ascii="宋体" w:hAnsi="宋体" w:cs="宋体"/>
          <w:b/>
          <w:color w:val="auto"/>
          <w:sz w:val="32"/>
          <w:highlight w:val="none"/>
        </w:rPr>
      </w:pPr>
      <w:r>
        <w:rPr>
          <w:rFonts w:hint="eastAsia" w:ascii="宋体" w:hAnsi="宋体" w:cs="宋体"/>
          <w:b/>
          <w:color w:val="auto"/>
          <w:sz w:val="32"/>
          <w:highlight w:val="none"/>
        </w:rPr>
        <w:t>五、磋商小组的组成</w:t>
      </w:r>
    </w:p>
    <w:p w14:paraId="59171CA3">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1.磋商小组的组成。</w:t>
      </w:r>
    </w:p>
    <w:p w14:paraId="006F72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42FF2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F72A87">
      <w:pPr>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2.磋商小组的组成人员的回避。</w:t>
      </w:r>
    </w:p>
    <w:p w14:paraId="36C4E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在政府采购活动中，磋商小组的组成人员与供应商有下列利害关系之一的，应当回避：</w:t>
      </w:r>
    </w:p>
    <w:p w14:paraId="61CE0A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2.1参加采购活动前三年内，与供应商存在劳动关系，或者担任过供应商的董事、监事，或者是供应商的控股股东或实际控制人；</w:t>
      </w:r>
    </w:p>
    <w:p w14:paraId="78AC13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2.2与供应商的法定代表人或者负责人有夫妻、直系血亲、三代以内旁系血亲或者近姻亲关系；</w:t>
      </w:r>
    </w:p>
    <w:p w14:paraId="10825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2.3与供应商有其他可能影响政府采购活动公平、公正进行的关系。</w:t>
      </w:r>
    </w:p>
    <w:p w14:paraId="008537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2.4参与过采购项目进口产品论证。</w:t>
      </w:r>
    </w:p>
    <w:p w14:paraId="523E4F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2.5通过随机抽到本单位的评审专家，采购人已经指定了采购人代表，该评审专家应当回避，采购人自行选定相应专业领域评审专家情形除外。</w:t>
      </w:r>
    </w:p>
    <w:p w14:paraId="57FBA6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2.6法律、法规、规章规定应当回避以及其他可能影响公正评审的。</w:t>
      </w:r>
    </w:p>
    <w:p w14:paraId="54F54F30">
      <w:pPr>
        <w:snapToGrid w:val="0"/>
        <w:spacing w:line="360" w:lineRule="auto"/>
        <w:ind w:firstLine="643" w:firstLineChars="200"/>
        <w:jc w:val="center"/>
        <w:rPr>
          <w:rFonts w:ascii="宋体" w:hAnsi="宋体" w:cs="宋体"/>
          <w:b/>
          <w:color w:val="auto"/>
          <w:sz w:val="32"/>
          <w:highlight w:val="none"/>
        </w:rPr>
      </w:pPr>
      <w:r>
        <w:rPr>
          <w:rFonts w:hint="eastAsia" w:ascii="宋体" w:hAnsi="宋体" w:cs="宋体"/>
          <w:b/>
          <w:color w:val="auto"/>
          <w:sz w:val="32"/>
          <w:highlight w:val="none"/>
        </w:rPr>
        <w:t>六、磋商小组的职责</w:t>
      </w:r>
    </w:p>
    <w:p w14:paraId="051B0780">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1.磋商小组负责具体评审事务，并独立履行下列职责：</w:t>
      </w:r>
    </w:p>
    <w:p w14:paraId="7C413C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1.1对供应商的响应文件的有效性、完整性和响应程度进行审查；</w:t>
      </w:r>
    </w:p>
    <w:p w14:paraId="3DF244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1.2审查、评价响应文件是否符合磋商文件的商务、技术等实质性要求；</w:t>
      </w:r>
    </w:p>
    <w:p w14:paraId="1E0A9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1.3要求供应商对响应文件有关事项作出澄清、说明或者更正；</w:t>
      </w:r>
    </w:p>
    <w:p w14:paraId="341F5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1.4磋商小组集中与单一供应商分别进行磋商；</w:t>
      </w:r>
    </w:p>
    <w:p w14:paraId="63B9AB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1.5确定磋商文件的变动情况，并确定提交最后报价的供应商；</w:t>
      </w:r>
    </w:p>
    <w:p w14:paraId="461E8F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1.6根据磋商文件确定的评审办法及评审标准对提交最后报价的供应商的响应文件和最后报价采用综合评分法进行综合评分；</w:t>
      </w:r>
    </w:p>
    <w:p w14:paraId="24F92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1.7编制评审报告，确定成交候选人名单，以及根据采购人委托直接确定成交人；</w:t>
      </w:r>
    </w:p>
    <w:p w14:paraId="65DF3A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1.8向采购人、采购代理机构或者有关部门报告评审中发现的违法行为；</w:t>
      </w:r>
    </w:p>
    <w:p w14:paraId="706E3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1.9法律、法规、规章、磋商文件等规定的其他事项。</w:t>
      </w:r>
    </w:p>
    <w:p w14:paraId="35B6DBC2">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2.磋商小组及其成员不得有下列行为：</w:t>
      </w:r>
    </w:p>
    <w:p w14:paraId="1783D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2.1确定参与本项目至评审结束前私自接触供应商；</w:t>
      </w:r>
    </w:p>
    <w:p w14:paraId="3E52F3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2.2接受供应商提出的“超出响应文件的范围或者改变响应文件的实质性内容”的澄清、说明或者更正； </w:t>
      </w:r>
    </w:p>
    <w:p w14:paraId="03B48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2.3违反评审纪律发表  倾向性意见或者征询采购人的倾向性意见；</w:t>
      </w:r>
    </w:p>
    <w:p w14:paraId="1BB24A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2.4对需要专业判断的主观评审因素协商评分；</w:t>
      </w:r>
    </w:p>
    <w:p w14:paraId="3D950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2.5在评审过程中擅离职守，影响评审程序正常进行的；</w:t>
      </w:r>
    </w:p>
    <w:p w14:paraId="336C1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2.6记录、复制或者带走任何评审资料；</w:t>
      </w:r>
    </w:p>
    <w:p w14:paraId="18B0B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2.7其他不遵守评审纪律的行为。</w:t>
      </w:r>
    </w:p>
    <w:p w14:paraId="124B9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磋商小组成员有2.1-2.5行为之一的，其评审意见无效，并不得获取评审劳务报酬和报销异地评审差旅费。</w:t>
      </w:r>
    </w:p>
    <w:p w14:paraId="58FCDD9D">
      <w:pPr>
        <w:spacing w:line="360" w:lineRule="auto"/>
        <w:ind w:firstLine="480" w:firstLineChars="200"/>
        <w:rPr>
          <w:rFonts w:ascii="宋体" w:hAnsi="宋体" w:cs="宋体"/>
          <w:color w:val="auto"/>
          <w:sz w:val="24"/>
          <w:highlight w:val="none"/>
        </w:rPr>
      </w:pPr>
    </w:p>
    <w:p w14:paraId="146B3D2C">
      <w:pPr>
        <w:pStyle w:val="7"/>
        <w:spacing w:line="360" w:lineRule="auto"/>
        <w:ind w:firstLine="480" w:firstLineChars="200"/>
        <w:rPr>
          <w:rFonts w:hAnsi="宋体" w:cs="宋体"/>
          <w:color w:val="auto"/>
          <w:sz w:val="24"/>
          <w:szCs w:val="24"/>
          <w:highlight w:val="none"/>
        </w:rPr>
      </w:pPr>
    </w:p>
    <w:bookmarkEnd w:id="50"/>
    <w:p w14:paraId="53E8E929">
      <w:pPr>
        <w:rPr>
          <w:rFonts w:hint="eastAsia" w:ascii="宋体" w:hAnsi="宋体" w:cs="宋体"/>
          <w:b/>
          <w:color w:val="auto"/>
          <w:sz w:val="32"/>
          <w:highlight w:val="none"/>
        </w:rPr>
      </w:pPr>
      <w:bookmarkStart w:id="417" w:name="_Toc27383"/>
      <w:bookmarkStart w:id="418" w:name="第五部分"/>
      <w:bookmarkStart w:id="419" w:name="_Toc86217003"/>
      <w:r>
        <w:rPr>
          <w:rFonts w:hint="eastAsia" w:ascii="宋体" w:hAnsi="宋体" w:cs="宋体"/>
          <w:b/>
          <w:color w:val="auto"/>
          <w:sz w:val="32"/>
          <w:highlight w:val="none"/>
        </w:rPr>
        <w:br w:type="page"/>
      </w:r>
    </w:p>
    <w:p w14:paraId="04FDA6A7">
      <w:pPr>
        <w:snapToGrid w:val="0"/>
        <w:spacing w:line="360" w:lineRule="auto"/>
        <w:ind w:firstLine="643" w:firstLineChars="200"/>
        <w:jc w:val="center"/>
        <w:rPr>
          <w:rFonts w:ascii="宋体" w:hAnsi="宋体" w:cs="宋体"/>
          <w:b/>
          <w:color w:val="auto"/>
          <w:sz w:val="32"/>
          <w:highlight w:val="none"/>
        </w:rPr>
      </w:pPr>
      <w:r>
        <w:rPr>
          <w:rFonts w:hint="eastAsia" w:ascii="宋体" w:hAnsi="宋体" w:cs="宋体"/>
          <w:b/>
          <w:color w:val="auto"/>
          <w:sz w:val="32"/>
          <w:highlight w:val="none"/>
        </w:rPr>
        <w:t>第五部分 拟签订的合同文本</w:t>
      </w:r>
      <w:bookmarkEnd w:id="417"/>
    </w:p>
    <w:p w14:paraId="23304771">
      <w:pPr>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第一部分 合同协议书</w:t>
      </w:r>
    </w:p>
    <w:p w14:paraId="04AD0632">
      <w:pPr>
        <w:spacing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发包人（全称）：</w:t>
      </w:r>
      <w:r>
        <w:rPr>
          <w:rFonts w:hint="eastAsia" w:ascii="宋体" w:hAnsi="宋体" w:cs="宋体"/>
          <w:bCs/>
          <w:color w:val="auto"/>
          <w:sz w:val="24"/>
          <w:highlight w:val="none"/>
          <w:u w:val="single"/>
        </w:rPr>
        <w:t>浙江万里学院</w:t>
      </w:r>
    </w:p>
    <w:p w14:paraId="5A23EFAB">
      <w:pPr>
        <w:spacing w:line="360" w:lineRule="auto"/>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承包人（全称）：</w:t>
      </w:r>
      <w:r>
        <w:rPr>
          <w:rFonts w:hint="eastAsia" w:ascii="宋体" w:hAnsi="宋体" w:cs="宋体"/>
          <w:bCs/>
          <w:color w:val="auto"/>
          <w:sz w:val="24"/>
          <w:highlight w:val="none"/>
          <w:u w:val="single"/>
        </w:rPr>
        <w:t xml:space="preserve">            </w:t>
      </w:r>
    </w:p>
    <w:p w14:paraId="23393D88">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根据《中华人民共和国民法典》、《中华人民共和国建筑法》及有关法律规定，遵循平等、自愿、公平和诚实信用的原则，双方就</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施工及有关事项协商一致，共同达成如下协议：</w:t>
      </w:r>
    </w:p>
    <w:p w14:paraId="213EF712">
      <w:pPr>
        <w:keepNext/>
        <w:keepLines/>
        <w:spacing w:line="360" w:lineRule="auto"/>
        <w:ind w:firstLine="480" w:firstLineChars="200"/>
        <w:outlineLvl w:val="1"/>
        <w:rPr>
          <w:rFonts w:ascii="宋体" w:hAnsi="宋体" w:cs="宋体"/>
          <w:color w:val="auto"/>
          <w:sz w:val="24"/>
          <w:highlight w:val="none"/>
        </w:rPr>
      </w:pPr>
      <w:bookmarkStart w:id="420" w:name="_Toc1433341455"/>
      <w:bookmarkStart w:id="421" w:name="_Toc445784615"/>
      <w:r>
        <w:rPr>
          <w:rFonts w:hint="eastAsia" w:ascii="宋体" w:hAnsi="宋体" w:cs="宋体"/>
          <w:color w:val="auto"/>
          <w:sz w:val="24"/>
          <w:highlight w:val="none"/>
        </w:rPr>
        <w:t>一、工程概况</w:t>
      </w:r>
      <w:bookmarkEnd w:id="420"/>
      <w:bookmarkEnd w:id="421"/>
    </w:p>
    <w:p w14:paraId="7E0231A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1.工程名称：</w:t>
      </w:r>
      <w:r>
        <w:rPr>
          <w:rFonts w:hint="eastAsia" w:ascii="宋体" w:hAnsi="宋体" w:cs="宋体"/>
          <w:bCs/>
          <w:color w:val="auto"/>
          <w:sz w:val="24"/>
          <w:highlight w:val="none"/>
          <w:u w:val="single"/>
        </w:rPr>
        <w:t xml:space="preserve">                                   </w:t>
      </w:r>
    </w:p>
    <w:p w14:paraId="40DC193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2.工程地点：</w:t>
      </w:r>
      <w:r>
        <w:rPr>
          <w:rFonts w:hint="eastAsia" w:ascii="宋体" w:hAnsi="宋体" w:cs="宋体"/>
          <w:bCs/>
          <w:color w:val="auto"/>
          <w:sz w:val="24"/>
          <w:highlight w:val="none"/>
          <w:u w:val="single"/>
        </w:rPr>
        <w:t xml:space="preserve">                                   </w:t>
      </w:r>
    </w:p>
    <w:p w14:paraId="0B77E95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3.工程立项批准文号：</w:t>
      </w:r>
      <w:r>
        <w:rPr>
          <w:rFonts w:hint="eastAsia" w:ascii="宋体" w:hAnsi="宋体" w:cs="宋体"/>
          <w:bCs/>
          <w:color w:val="auto"/>
          <w:sz w:val="24"/>
          <w:highlight w:val="none"/>
          <w:u w:val="single"/>
        </w:rPr>
        <w:t xml:space="preserve">                           </w:t>
      </w:r>
    </w:p>
    <w:p w14:paraId="3617BFA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4.资金来源：</w:t>
      </w:r>
      <w:r>
        <w:rPr>
          <w:rFonts w:hint="eastAsia" w:ascii="宋体" w:hAnsi="宋体" w:cs="宋体"/>
          <w:bCs/>
          <w:color w:val="auto"/>
          <w:sz w:val="24"/>
          <w:highlight w:val="none"/>
          <w:u w:val="single"/>
        </w:rPr>
        <w:t xml:space="preserve">                                   </w:t>
      </w:r>
    </w:p>
    <w:p w14:paraId="579096E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5.工程内容：</w:t>
      </w:r>
      <w:r>
        <w:rPr>
          <w:rFonts w:hint="eastAsia" w:ascii="宋体" w:hAnsi="宋体" w:cs="宋体"/>
          <w:bCs/>
          <w:color w:val="auto"/>
          <w:sz w:val="24"/>
          <w:highlight w:val="none"/>
          <w:u w:val="single"/>
        </w:rPr>
        <w:t xml:space="preserve">                                   </w:t>
      </w:r>
    </w:p>
    <w:p w14:paraId="2886FC1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6.工程承包范围：</w:t>
      </w:r>
      <w:r>
        <w:rPr>
          <w:rFonts w:hint="eastAsia" w:ascii="宋体" w:hAnsi="宋体" w:cs="宋体"/>
          <w:bCs/>
          <w:color w:val="auto"/>
          <w:sz w:val="24"/>
          <w:highlight w:val="none"/>
          <w:u w:val="single"/>
        </w:rPr>
        <w:t xml:space="preserve">                               </w:t>
      </w:r>
    </w:p>
    <w:p w14:paraId="4A319A82">
      <w:pPr>
        <w:keepNext/>
        <w:keepLines/>
        <w:spacing w:line="360" w:lineRule="auto"/>
        <w:ind w:firstLine="480" w:firstLineChars="200"/>
        <w:outlineLvl w:val="1"/>
        <w:rPr>
          <w:rFonts w:ascii="宋体" w:hAnsi="宋体" w:cs="宋体"/>
          <w:color w:val="auto"/>
          <w:sz w:val="24"/>
          <w:highlight w:val="none"/>
        </w:rPr>
      </w:pPr>
      <w:bookmarkStart w:id="422" w:name="_Toc712002224"/>
      <w:bookmarkStart w:id="423" w:name="_Toc1515347488"/>
      <w:r>
        <w:rPr>
          <w:rFonts w:hint="eastAsia" w:ascii="宋体" w:hAnsi="宋体" w:cs="宋体"/>
          <w:color w:val="auto"/>
          <w:sz w:val="24"/>
          <w:highlight w:val="none"/>
        </w:rPr>
        <w:t>二、合同工期</w:t>
      </w:r>
      <w:bookmarkEnd w:id="422"/>
      <w:bookmarkEnd w:id="423"/>
    </w:p>
    <w:p w14:paraId="4B21ACF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工期</w:t>
      </w:r>
      <w:r>
        <w:rPr>
          <w:rFonts w:hint="eastAsia" w:ascii="宋体" w:hAnsi="宋体" w:cs="宋体"/>
          <w:bCs/>
          <w:color w:val="auto"/>
          <w:sz w:val="24"/>
          <w:highlight w:val="none"/>
          <w:lang w:val="en-US" w:eastAsia="zh-CN"/>
        </w:rPr>
        <w:t>目标</w:t>
      </w:r>
      <w:r>
        <w:rPr>
          <w:rFonts w:hint="eastAsia" w:ascii="宋体" w:hAnsi="宋体" w:cs="宋体"/>
          <w:bCs/>
          <w:color w:val="auto"/>
          <w:sz w:val="24"/>
          <w:highlight w:val="none"/>
        </w:rPr>
        <w:t>：合同签订生效后于50日历天完成工程施工，并一次性验收通过，具体时间满足采购人要求</w:t>
      </w:r>
      <w:r>
        <w:rPr>
          <w:rFonts w:hint="eastAsia" w:ascii="宋体" w:hAnsi="宋体" w:cs="宋体"/>
          <w:color w:val="auto"/>
          <w:sz w:val="24"/>
          <w:highlight w:val="none"/>
        </w:rPr>
        <w:t>。</w:t>
      </w:r>
    </w:p>
    <w:p w14:paraId="0D895EA0">
      <w:pPr>
        <w:keepNext/>
        <w:keepLines/>
        <w:spacing w:line="360" w:lineRule="auto"/>
        <w:ind w:firstLine="480" w:firstLineChars="200"/>
        <w:outlineLvl w:val="1"/>
        <w:rPr>
          <w:rFonts w:ascii="宋体" w:hAnsi="宋体" w:cs="宋体"/>
          <w:color w:val="auto"/>
          <w:sz w:val="24"/>
          <w:highlight w:val="none"/>
        </w:rPr>
      </w:pPr>
      <w:bookmarkStart w:id="424" w:name="_Toc1520902222"/>
      <w:bookmarkStart w:id="425" w:name="_Toc385210886"/>
      <w:r>
        <w:rPr>
          <w:rFonts w:hint="eastAsia" w:ascii="宋体" w:hAnsi="宋体" w:cs="宋体"/>
          <w:color w:val="auto"/>
          <w:sz w:val="24"/>
          <w:highlight w:val="none"/>
        </w:rPr>
        <w:t>三、质量标准</w:t>
      </w:r>
      <w:bookmarkEnd w:id="424"/>
      <w:bookmarkEnd w:id="425"/>
    </w:p>
    <w:p w14:paraId="6B0C3C4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质量目标：</w:t>
      </w:r>
      <w:r>
        <w:rPr>
          <w:rFonts w:hint="eastAsia" w:ascii="宋体" w:hAnsi="宋体" w:cs="宋体"/>
          <w:color w:val="auto"/>
          <w:sz w:val="24"/>
          <w:highlight w:val="none"/>
        </w:rPr>
        <w:t>按国家施工验收规范一次性验收合格标准。</w:t>
      </w:r>
    </w:p>
    <w:p w14:paraId="1731A76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本工程关于工程奖项的约定：</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14:paraId="43EDAE2F">
      <w:pPr>
        <w:keepNext/>
        <w:keepLines/>
        <w:spacing w:line="360" w:lineRule="auto"/>
        <w:ind w:firstLine="482" w:firstLineChars="200"/>
        <w:outlineLvl w:val="1"/>
        <w:rPr>
          <w:rFonts w:ascii="宋体" w:hAnsi="宋体" w:cs="宋体"/>
          <w:b/>
          <w:bCs/>
          <w:color w:val="auto"/>
          <w:sz w:val="24"/>
          <w:highlight w:val="none"/>
        </w:rPr>
      </w:pPr>
      <w:bookmarkStart w:id="426" w:name="_Toc204832942"/>
      <w:bookmarkStart w:id="427" w:name="_Toc1032760150"/>
      <w:r>
        <w:rPr>
          <w:rFonts w:hint="eastAsia" w:ascii="宋体" w:hAnsi="宋体" w:cs="宋体"/>
          <w:b/>
          <w:bCs/>
          <w:color w:val="auto"/>
          <w:sz w:val="24"/>
          <w:highlight w:val="none"/>
        </w:rPr>
        <w:t>四、签约合同价与合同价格形式</w:t>
      </w:r>
      <w:bookmarkEnd w:id="426"/>
      <w:bookmarkEnd w:id="427"/>
      <w:r>
        <w:rPr>
          <w:rFonts w:hint="eastAsia" w:ascii="宋体" w:hAnsi="宋体" w:cs="宋体"/>
          <w:b/>
          <w:bCs/>
          <w:color w:val="auto"/>
          <w:sz w:val="24"/>
          <w:highlight w:val="none"/>
        </w:rPr>
        <w:tab/>
      </w:r>
    </w:p>
    <w:p w14:paraId="1416E85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1.签约合同价为：</w:t>
      </w:r>
    </w:p>
    <w:p w14:paraId="31661AE2">
      <w:pPr>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人民币（大写）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元)；中标</w:t>
      </w:r>
      <w:r>
        <w:rPr>
          <w:rFonts w:hint="eastAsia" w:ascii="宋体" w:hAnsi="宋体" w:cs="宋体"/>
          <w:bCs/>
          <w:color w:val="auto"/>
          <w:sz w:val="24"/>
          <w:highlight w:val="none"/>
          <w:lang w:val="en-US" w:eastAsia="zh-CN"/>
        </w:rPr>
        <w:t>折扣率</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（中标</w:t>
      </w:r>
      <w:r>
        <w:rPr>
          <w:rFonts w:hint="eastAsia" w:ascii="宋体" w:hAnsi="宋体" w:cs="宋体"/>
          <w:color w:val="auto"/>
          <w:kern w:val="0"/>
          <w:sz w:val="24"/>
          <w:highlight w:val="none"/>
          <w:lang w:val="en-US" w:eastAsia="zh-CN"/>
        </w:rPr>
        <w:t>折扣率</w:t>
      </w:r>
      <w:r>
        <w:rPr>
          <w:rFonts w:hint="eastAsia" w:ascii="宋体" w:hAnsi="宋体" w:cs="宋体"/>
          <w:color w:val="auto"/>
          <w:kern w:val="0"/>
          <w:sz w:val="24"/>
          <w:highlight w:val="none"/>
        </w:rPr>
        <w:t>=中标价/招标控制价*100%，中标价及招标控制价均指剔除了招标文件约定的暂估价、暂列金额及其他不可竞争费后的价格</w:t>
      </w:r>
      <w:r>
        <w:rPr>
          <w:rFonts w:hint="eastAsia" w:ascii="宋体" w:hAnsi="宋体" w:cs="宋体"/>
          <w:bCs/>
          <w:color w:val="auto"/>
          <w:sz w:val="24"/>
          <w:highlight w:val="none"/>
        </w:rPr>
        <w:t>）。</w:t>
      </w:r>
    </w:p>
    <w:p w14:paraId="3D251D5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其中：暂估价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元、暂列金额</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p>
    <w:p w14:paraId="387772C7">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2.合同价格形式：</w:t>
      </w:r>
      <w:r>
        <w:rPr>
          <w:rFonts w:hint="eastAsia" w:ascii="宋体" w:hAnsi="宋体" w:cs="宋体"/>
          <w:b/>
          <w:color w:val="auto"/>
          <w:sz w:val="24"/>
          <w:highlight w:val="none"/>
          <w:u w:val="single"/>
        </w:rPr>
        <w:t>综合单价固定</w:t>
      </w:r>
      <w:r>
        <w:rPr>
          <w:rFonts w:hint="eastAsia" w:ascii="宋体" w:hAnsi="宋体" w:cs="宋体"/>
          <w:b/>
          <w:color w:val="auto"/>
          <w:sz w:val="24"/>
          <w:highlight w:val="none"/>
        </w:rPr>
        <w:t>。</w:t>
      </w:r>
    </w:p>
    <w:p w14:paraId="1EF1DAF3">
      <w:pPr>
        <w:spacing w:line="360" w:lineRule="auto"/>
        <w:ind w:firstLine="480" w:firstLineChars="200"/>
        <w:outlineLvl w:val="1"/>
        <w:rPr>
          <w:rFonts w:ascii="宋体" w:hAnsi="宋体" w:cs="宋体"/>
          <w:bCs/>
          <w:color w:val="auto"/>
          <w:sz w:val="24"/>
          <w:highlight w:val="none"/>
        </w:rPr>
      </w:pPr>
      <w:bookmarkStart w:id="428" w:name="_Toc578358000"/>
      <w:bookmarkStart w:id="429" w:name="_Toc1266145827"/>
      <w:r>
        <w:rPr>
          <w:rFonts w:hint="eastAsia" w:ascii="宋体" w:hAnsi="宋体" w:cs="宋体"/>
          <w:bCs/>
          <w:color w:val="auto"/>
          <w:sz w:val="24"/>
          <w:highlight w:val="none"/>
        </w:rPr>
        <w:t>五、项目</w:t>
      </w:r>
      <w:bookmarkEnd w:id="428"/>
      <w:bookmarkEnd w:id="429"/>
      <w:r>
        <w:rPr>
          <w:rFonts w:hint="eastAsia" w:ascii="宋体" w:hAnsi="宋体" w:cs="宋体"/>
          <w:bCs/>
          <w:color w:val="auto"/>
          <w:sz w:val="24"/>
          <w:highlight w:val="none"/>
        </w:rPr>
        <w:t>负责人</w:t>
      </w:r>
    </w:p>
    <w:p w14:paraId="66BDAAF1">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承包人项目负责人</w:t>
      </w:r>
      <w:r>
        <w:rPr>
          <w:rFonts w:hint="eastAsia"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638CBE10">
      <w:pPr>
        <w:keepNext/>
        <w:keepLines/>
        <w:snapToGrid w:val="0"/>
        <w:spacing w:line="360" w:lineRule="auto"/>
        <w:ind w:firstLine="480" w:firstLineChars="200"/>
        <w:outlineLvl w:val="3"/>
        <w:rPr>
          <w:rFonts w:ascii="宋体" w:hAnsi="宋体" w:cs="宋体"/>
          <w:b/>
          <w:bCs/>
          <w:color w:val="auto"/>
          <w:kern w:val="0"/>
          <w:sz w:val="24"/>
          <w:highlight w:val="none"/>
        </w:rPr>
      </w:pPr>
      <w:bookmarkStart w:id="430" w:name="_Toc351203486"/>
      <w:r>
        <w:rPr>
          <w:rFonts w:hint="eastAsia" w:ascii="宋体" w:hAnsi="宋体" w:cs="宋体"/>
          <w:color w:val="auto"/>
          <w:kern w:val="0"/>
          <w:sz w:val="24"/>
          <w:highlight w:val="none"/>
        </w:rPr>
        <w:t>六、合同文件构成</w:t>
      </w:r>
      <w:bookmarkEnd w:id="430"/>
    </w:p>
    <w:p w14:paraId="34B65D89">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14:paraId="1D33407D">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（1）中标通知书（如果有）；</w:t>
      </w:r>
    </w:p>
    <w:p w14:paraId="448FC8A6">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（2）投标函及其附录（如果有）； </w:t>
      </w:r>
    </w:p>
    <w:p w14:paraId="013D3B07">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（3）专用合同条款及其附件；</w:t>
      </w:r>
    </w:p>
    <w:p w14:paraId="6B637153">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（4）通用合同条款；</w:t>
      </w:r>
    </w:p>
    <w:p w14:paraId="5346207A">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（5）技术标准和要求；</w:t>
      </w:r>
    </w:p>
    <w:p w14:paraId="7F297D0F">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（6）图纸；</w:t>
      </w:r>
    </w:p>
    <w:p w14:paraId="6B9E0092">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（7）已标价工程量清单或预算书；</w:t>
      </w:r>
    </w:p>
    <w:p w14:paraId="045B72D2">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（8）其他合同文件。</w:t>
      </w:r>
    </w:p>
    <w:p w14:paraId="79080815">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14:paraId="36FA7A72">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4F13344E">
      <w:pPr>
        <w:keepNext/>
        <w:keepLines/>
        <w:snapToGrid w:val="0"/>
        <w:spacing w:line="360" w:lineRule="auto"/>
        <w:ind w:firstLine="480" w:firstLineChars="200"/>
        <w:outlineLvl w:val="3"/>
        <w:rPr>
          <w:rFonts w:ascii="宋体" w:hAnsi="宋体" w:cs="宋体"/>
          <w:bCs/>
          <w:color w:val="auto"/>
          <w:kern w:val="0"/>
          <w:sz w:val="24"/>
          <w:highlight w:val="none"/>
        </w:rPr>
      </w:pPr>
      <w:bookmarkStart w:id="431" w:name="_Toc351203487"/>
      <w:r>
        <w:rPr>
          <w:rFonts w:hint="eastAsia" w:ascii="宋体" w:hAnsi="宋体" w:cs="宋体"/>
          <w:color w:val="auto"/>
          <w:kern w:val="0"/>
          <w:sz w:val="24"/>
          <w:highlight w:val="none"/>
        </w:rPr>
        <w:t>七、承诺</w:t>
      </w:r>
      <w:bookmarkEnd w:id="431"/>
    </w:p>
    <w:p w14:paraId="62375E6C">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1.发包人承诺按照法律规定履行项目审批手续、筹集工程建设资金并按照合同约定的期限和方式支付合同价款。</w:t>
      </w:r>
    </w:p>
    <w:p w14:paraId="41D0C68C">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4A4D291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3.发包人和承包人通过招投标形式签订合同的，双方理解并承诺不再就同一工程另行签订与合同实质性内容相背离的协议。</w:t>
      </w:r>
    </w:p>
    <w:p w14:paraId="358ABA05">
      <w:pPr>
        <w:keepNext/>
        <w:keepLines/>
        <w:snapToGrid w:val="0"/>
        <w:spacing w:line="360" w:lineRule="auto"/>
        <w:ind w:firstLine="480" w:firstLineChars="200"/>
        <w:outlineLvl w:val="3"/>
        <w:rPr>
          <w:rFonts w:ascii="宋体" w:hAnsi="宋体" w:cs="宋体"/>
          <w:bCs/>
          <w:color w:val="auto"/>
          <w:kern w:val="0"/>
          <w:sz w:val="24"/>
          <w:highlight w:val="none"/>
        </w:rPr>
      </w:pPr>
      <w:bookmarkStart w:id="432" w:name="_Toc351203488"/>
      <w:r>
        <w:rPr>
          <w:rFonts w:hint="eastAsia" w:ascii="宋体" w:hAnsi="宋体" w:cs="宋体"/>
          <w:bCs/>
          <w:color w:val="auto"/>
          <w:kern w:val="0"/>
          <w:sz w:val="24"/>
          <w:highlight w:val="none"/>
        </w:rPr>
        <w:t>八、词语含义</w:t>
      </w:r>
      <w:bookmarkEnd w:id="432"/>
    </w:p>
    <w:p w14:paraId="143D457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本协议书中词语含义与第二部分通用合同条款中赋予的含义相同。</w:t>
      </w:r>
    </w:p>
    <w:p w14:paraId="778E094F">
      <w:pPr>
        <w:keepNext/>
        <w:keepLines/>
        <w:spacing w:line="360" w:lineRule="auto"/>
        <w:ind w:firstLine="480" w:firstLineChars="200"/>
        <w:outlineLvl w:val="1"/>
        <w:rPr>
          <w:rFonts w:ascii="宋体" w:hAnsi="宋体" w:cs="宋体"/>
          <w:color w:val="auto"/>
          <w:sz w:val="24"/>
          <w:highlight w:val="none"/>
        </w:rPr>
      </w:pPr>
      <w:bookmarkStart w:id="433" w:name="_Toc1302915076"/>
      <w:bookmarkStart w:id="434" w:name="_Toc1843922025"/>
      <w:r>
        <w:rPr>
          <w:rFonts w:hint="eastAsia" w:ascii="宋体" w:hAnsi="宋体" w:cs="宋体"/>
          <w:color w:val="auto"/>
          <w:sz w:val="24"/>
          <w:highlight w:val="none"/>
        </w:rPr>
        <w:t>九、签订时间</w:t>
      </w:r>
      <w:bookmarkEnd w:id="433"/>
      <w:bookmarkEnd w:id="434"/>
    </w:p>
    <w:p w14:paraId="74E29B28">
      <w:pPr>
        <w:keepLine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日签订。</w:t>
      </w:r>
    </w:p>
    <w:p w14:paraId="39AF645C">
      <w:pPr>
        <w:keepNext/>
        <w:keepLines/>
        <w:spacing w:line="360" w:lineRule="auto"/>
        <w:ind w:firstLine="480" w:firstLineChars="200"/>
        <w:outlineLvl w:val="1"/>
        <w:rPr>
          <w:rFonts w:ascii="宋体" w:hAnsi="宋体" w:cs="宋体"/>
          <w:color w:val="auto"/>
          <w:sz w:val="24"/>
          <w:highlight w:val="none"/>
        </w:rPr>
      </w:pPr>
      <w:bookmarkStart w:id="435" w:name="_Toc251726425"/>
      <w:bookmarkStart w:id="436" w:name="_Toc441671965"/>
      <w:r>
        <w:rPr>
          <w:rFonts w:hint="eastAsia" w:ascii="宋体" w:hAnsi="宋体" w:cs="宋体"/>
          <w:color w:val="auto"/>
          <w:sz w:val="24"/>
          <w:highlight w:val="none"/>
        </w:rPr>
        <w:t>十、签订地点</w:t>
      </w:r>
      <w:bookmarkEnd w:id="435"/>
      <w:bookmarkEnd w:id="436"/>
    </w:p>
    <w:p w14:paraId="634BB85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本项目合同在</w:t>
      </w:r>
      <w:r>
        <w:rPr>
          <w:rFonts w:hint="eastAsia" w:ascii="宋体" w:hAnsi="宋体" w:cs="宋体"/>
          <w:bCs/>
          <w:color w:val="auto"/>
          <w:sz w:val="24"/>
          <w:highlight w:val="none"/>
          <w:u w:val="single"/>
        </w:rPr>
        <w:t>浙江万里学院</w:t>
      </w:r>
      <w:r>
        <w:rPr>
          <w:rFonts w:hint="eastAsia" w:ascii="宋体" w:hAnsi="宋体" w:cs="宋体"/>
          <w:bCs/>
          <w:color w:val="auto"/>
          <w:sz w:val="24"/>
          <w:highlight w:val="none"/>
        </w:rPr>
        <w:t>签订。</w:t>
      </w:r>
    </w:p>
    <w:p w14:paraId="5298B947">
      <w:pPr>
        <w:keepNext/>
        <w:keepLines/>
        <w:spacing w:line="360" w:lineRule="auto"/>
        <w:ind w:firstLine="480" w:firstLineChars="200"/>
        <w:outlineLvl w:val="1"/>
        <w:rPr>
          <w:rFonts w:ascii="宋体" w:hAnsi="宋体" w:cs="宋体"/>
          <w:color w:val="auto"/>
          <w:sz w:val="24"/>
          <w:highlight w:val="none"/>
        </w:rPr>
      </w:pPr>
      <w:bookmarkStart w:id="437" w:name="_Toc1799890158"/>
      <w:bookmarkStart w:id="438" w:name="_Toc1858176615"/>
      <w:r>
        <w:rPr>
          <w:rFonts w:hint="eastAsia" w:ascii="宋体" w:hAnsi="宋体" w:cs="宋体"/>
          <w:color w:val="auto"/>
          <w:sz w:val="24"/>
          <w:highlight w:val="none"/>
        </w:rPr>
        <w:t>十一、补充协议</w:t>
      </w:r>
      <w:bookmarkEnd w:id="437"/>
      <w:bookmarkEnd w:id="438"/>
    </w:p>
    <w:p w14:paraId="24802A1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合同未尽事宜，合同当事人另行签订补充协议，补充协议是合同的组成部分。</w:t>
      </w:r>
    </w:p>
    <w:p w14:paraId="5E4E5F96">
      <w:pPr>
        <w:keepNext/>
        <w:keepLines/>
        <w:spacing w:line="360" w:lineRule="auto"/>
        <w:ind w:firstLine="480" w:firstLineChars="200"/>
        <w:outlineLvl w:val="1"/>
        <w:rPr>
          <w:rFonts w:ascii="宋体" w:hAnsi="宋体" w:cs="宋体"/>
          <w:color w:val="auto"/>
          <w:sz w:val="24"/>
          <w:highlight w:val="none"/>
        </w:rPr>
      </w:pPr>
      <w:bookmarkStart w:id="439" w:name="_Toc1600665821"/>
      <w:bookmarkStart w:id="440" w:name="_Toc111240637"/>
      <w:r>
        <w:rPr>
          <w:rFonts w:hint="eastAsia" w:ascii="宋体" w:hAnsi="宋体" w:cs="宋体"/>
          <w:color w:val="auto"/>
          <w:sz w:val="24"/>
          <w:highlight w:val="none"/>
        </w:rPr>
        <w:t>十二、合同生效</w:t>
      </w:r>
      <w:bookmarkEnd w:id="439"/>
      <w:bookmarkEnd w:id="440"/>
    </w:p>
    <w:p w14:paraId="7B51EE3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Cs/>
          <w:color w:val="auto"/>
          <w:sz w:val="24"/>
          <w:highlight w:val="none"/>
          <w:u w:val="single"/>
        </w:rPr>
        <w:t>双方签字盖章后</w:t>
      </w:r>
      <w:r>
        <w:rPr>
          <w:rFonts w:hint="eastAsia" w:ascii="宋体" w:hAnsi="宋体" w:cs="宋体"/>
          <w:bCs/>
          <w:color w:val="auto"/>
          <w:sz w:val="24"/>
          <w:highlight w:val="none"/>
        </w:rPr>
        <w:t>生效。</w:t>
      </w:r>
    </w:p>
    <w:p w14:paraId="35CF513F">
      <w:pPr>
        <w:keepNext/>
        <w:keepLines/>
        <w:spacing w:line="360" w:lineRule="auto"/>
        <w:ind w:firstLine="480" w:firstLineChars="200"/>
        <w:outlineLvl w:val="1"/>
        <w:rPr>
          <w:rFonts w:ascii="宋体" w:hAnsi="宋体" w:cs="宋体"/>
          <w:color w:val="auto"/>
          <w:sz w:val="24"/>
          <w:highlight w:val="none"/>
        </w:rPr>
      </w:pPr>
      <w:bookmarkStart w:id="441" w:name="_Toc118154563"/>
      <w:bookmarkStart w:id="442" w:name="_Toc273056816"/>
      <w:r>
        <w:rPr>
          <w:rFonts w:hint="eastAsia" w:ascii="宋体" w:hAnsi="宋体" w:cs="宋体"/>
          <w:color w:val="auto"/>
          <w:sz w:val="24"/>
          <w:highlight w:val="none"/>
        </w:rPr>
        <w:t>十三、合同份数</w:t>
      </w:r>
      <w:bookmarkEnd w:id="441"/>
      <w:bookmarkEnd w:id="442"/>
    </w:p>
    <w:p w14:paraId="6246A40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本合同一式</w:t>
      </w:r>
      <w:r>
        <w:rPr>
          <w:rFonts w:hint="eastAsia" w:ascii="宋体" w:hAnsi="宋体" w:cs="宋体"/>
          <w:bCs/>
          <w:color w:val="auto"/>
          <w:sz w:val="24"/>
          <w:highlight w:val="none"/>
          <w:u w:val="single"/>
        </w:rPr>
        <w:t xml:space="preserve"> 6 </w:t>
      </w:r>
      <w:r>
        <w:rPr>
          <w:rFonts w:hint="eastAsia" w:ascii="宋体" w:hAnsi="宋体" w:cs="宋体"/>
          <w:bCs/>
          <w:color w:val="auto"/>
          <w:sz w:val="24"/>
          <w:highlight w:val="none"/>
        </w:rPr>
        <w:t>份，均具有同等法律效力，发包人执</w:t>
      </w:r>
      <w:r>
        <w:rPr>
          <w:rFonts w:hint="eastAsia" w:ascii="宋体" w:hAnsi="宋体" w:cs="宋体"/>
          <w:bCs/>
          <w:color w:val="auto"/>
          <w:sz w:val="24"/>
          <w:highlight w:val="none"/>
          <w:u w:val="single"/>
        </w:rPr>
        <w:t xml:space="preserve"> 3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3 </w:t>
      </w:r>
      <w:r>
        <w:rPr>
          <w:rFonts w:hint="eastAsia" w:ascii="宋体" w:hAnsi="宋体" w:cs="宋体"/>
          <w:bCs/>
          <w:color w:val="auto"/>
          <w:sz w:val="24"/>
          <w:highlight w:val="none"/>
        </w:rPr>
        <w:t>份。</w:t>
      </w:r>
    </w:p>
    <w:p w14:paraId="70500317">
      <w:pPr>
        <w:widowControl/>
        <w:spacing w:line="360" w:lineRule="auto"/>
        <w:ind w:firstLine="480" w:firstLineChars="200"/>
        <w:jc w:val="left"/>
        <w:rPr>
          <w:rFonts w:ascii="宋体" w:hAnsi="宋体" w:cs="宋体"/>
          <w:bCs/>
          <w:color w:val="auto"/>
          <w:sz w:val="24"/>
          <w:highlight w:val="none"/>
        </w:rPr>
      </w:pPr>
    </w:p>
    <w:p w14:paraId="15A64538">
      <w:pPr>
        <w:widowControl/>
        <w:adjustRightInd/>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发包单位：（公章）                 承包单位：（公章）</w:t>
      </w:r>
    </w:p>
    <w:p w14:paraId="4A086F38">
      <w:pPr>
        <w:widowControl/>
        <w:adjustRightInd/>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法定代表人或其委托代理人：         法定代表人或其委托代理人：                                     </w:t>
      </w:r>
    </w:p>
    <w:p w14:paraId="4083D0C1">
      <w:pPr>
        <w:tabs>
          <w:tab w:val="left" w:pos="4410"/>
        </w:tabs>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组织机构代码：</w:t>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组织机构代码：</w:t>
      </w:r>
      <w:r>
        <w:rPr>
          <w:rFonts w:hint="eastAsia" w:ascii="宋体" w:hAnsi="宋体" w:cs="宋体"/>
          <w:color w:val="auto"/>
          <w:sz w:val="24"/>
          <w:highlight w:val="none"/>
          <w:u w:val="single"/>
        </w:rPr>
        <w:t xml:space="preserve">                  </w:t>
      </w:r>
    </w:p>
    <w:p w14:paraId="4DDF34F3">
      <w:pPr>
        <w:adjustRightInd/>
        <w:spacing w:line="360" w:lineRule="auto"/>
        <w:ind w:firstLine="480" w:firstLineChars="200"/>
        <w:rPr>
          <w:rFonts w:ascii="宋体" w:hAnsi="宋体" w:cs="宋体"/>
          <w:color w:val="auto"/>
          <w:sz w:val="24"/>
          <w:highlight w:val="none"/>
          <w:u w:val="single"/>
          <w:lang w:eastAsia="zh-TW" w:bidi="zh-TW"/>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地址：</w:t>
      </w:r>
      <w:r>
        <w:rPr>
          <w:rFonts w:hint="eastAsia" w:ascii="宋体" w:hAnsi="宋体" w:cs="宋体"/>
          <w:color w:val="auto"/>
          <w:sz w:val="24"/>
          <w:highlight w:val="none"/>
          <w:u w:val="single"/>
          <w:lang w:val="zh-TW" w:bidi="zh-TW"/>
        </w:rPr>
        <w:t xml:space="preserve"> </w:t>
      </w:r>
      <w:r>
        <w:rPr>
          <w:rFonts w:hint="eastAsia" w:ascii="宋体" w:hAnsi="宋体" w:cs="宋体"/>
          <w:color w:val="auto"/>
          <w:sz w:val="24"/>
          <w:highlight w:val="none"/>
          <w:u w:val="single"/>
          <w:lang w:val="zh-TW" w:eastAsia="zh-TW" w:bidi="zh-TW"/>
        </w:rPr>
        <w:t xml:space="preserve">            </w:t>
      </w:r>
      <w:r>
        <w:rPr>
          <w:rFonts w:hint="eastAsia" w:ascii="宋体" w:hAnsi="宋体" w:cs="宋体"/>
          <w:color w:val="auto"/>
          <w:sz w:val="24"/>
          <w:highlight w:val="none"/>
          <w:u w:val="single"/>
          <w:lang w:bidi="zh-TW"/>
        </w:rPr>
        <w:t xml:space="preserve">     </w:t>
      </w:r>
      <w:r>
        <w:rPr>
          <w:rFonts w:hint="eastAsia" w:ascii="宋体" w:hAnsi="宋体" w:cs="宋体"/>
          <w:color w:val="auto"/>
          <w:sz w:val="24"/>
          <w:highlight w:val="none"/>
          <w:u w:val="single"/>
          <w:lang w:val="zh-TW" w:eastAsia="zh-TW" w:bidi="zh-TW"/>
        </w:rPr>
        <w:t xml:space="preserve">        </w:t>
      </w:r>
    </w:p>
    <w:p w14:paraId="45392F73">
      <w:pPr>
        <w:pStyle w:val="967"/>
        <w:tabs>
          <w:tab w:val="left" w:pos="4038"/>
          <w:tab w:val="left" w:pos="8020"/>
        </w:tabs>
        <w:adjustRightInd/>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联系人</w:t>
      </w:r>
      <w:r>
        <w:rPr>
          <w:rFonts w:hint="eastAsia"/>
          <w:color w:val="auto"/>
          <w:sz w:val="24"/>
          <w:szCs w:val="24"/>
          <w:highlight w:val="none"/>
        </w:rPr>
        <w:t>：</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 xml:space="preserve"> </w:t>
      </w:r>
      <w:r>
        <w:rPr>
          <w:rFonts w:hint="eastAsia"/>
          <w:color w:val="auto"/>
          <w:sz w:val="24"/>
          <w:szCs w:val="24"/>
          <w:highlight w:val="none"/>
          <w:lang w:val="en-US" w:eastAsia="zh-CN"/>
        </w:rPr>
        <w:t>联系人</w:t>
      </w:r>
      <w:r>
        <w:rPr>
          <w:rFonts w:hint="eastAsia"/>
          <w:color w:val="auto"/>
          <w:sz w:val="24"/>
          <w:szCs w:val="24"/>
          <w:highlight w:val="none"/>
        </w:rPr>
        <w:t>：</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p>
    <w:p w14:paraId="0F0BF454">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 xml:space="preserve">                          </w:t>
      </w:r>
    </w:p>
    <w:p w14:paraId="1FB4A77E">
      <w:pPr>
        <w:pStyle w:val="967"/>
        <w:tabs>
          <w:tab w:val="left" w:pos="4255"/>
          <w:tab w:val="left" w:pos="7202"/>
        </w:tabs>
        <w:adjustRightInd/>
        <w:spacing w:line="360" w:lineRule="auto"/>
        <w:ind w:firstLine="480" w:firstLineChars="200"/>
        <w:rPr>
          <w:color w:val="auto"/>
          <w:sz w:val="24"/>
          <w:szCs w:val="24"/>
          <w:highlight w:val="none"/>
          <w:lang w:val="en-US" w:eastAsia="zh-CN"/>
        </w:rPr>
      </w:pPr>
      <w:r>
        <w:rPr>
          <w:rFonts w:hint="eastAsia"/>
          <w:color w:val="auto"/>
          <w:sz w:val="24"/>
          <w:szCs w:val="24"/>
          <w:highlight w:val="none"/>
        </w:rPr>
        <w:t>传真：</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传真：</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p>
    <w:p w14:paraId="2BD4A2F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158C249">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账 号：</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TW" w:eastAsia="zh-TW" w:bidi="zh-TW"/>
        </w:rPr>
        <w:t>账号：</w:t>
      </w:r>
      <w:r>
        <w:rPr>
          <w:rFonts w:hint="eastAsia" w:ascii="宋体" w:hAnsi="宋体" w:cs="宋体"/>
          <w:color w:val="auto"/>
          <w:sz w:val="24"/>
          <w:highlight w:val="none"/>
          <w:u w:val="single"/>
        </w:rPr>
        <w:t xml:space="preserve">                           </w:t>
      </w:r>
    </w:p>
    <w:p w14:paraId="3BD43D8A">
      <w:pPr>
        <w:rPr>
          <w:rFonts w:ascii="宋体" w:hAnsi="宋体" w:cs="宋体"/>
          <w:color w:val="auto"/>
          <w:sz w:val="24"/>
          <w:highlight w:val="none"/>
          <w:u w:val="single"/>
        </w:rPr>
      </w:pPr>
      <w:r>
        <w:rPr>
          <w:rFonts w:hint="eastAsia" w:ascii="宋体" w:hAnsi="宋体" w:cs="宋体"/>
          <w:color w:val="auto"/>
          <w:sz w:val="24"/>
          <w:highlight w:val="none"/>
          <w:u w:val="single"/>
        </w:rPr>
        <w:br w:type="page"/>
      </w:r>
    </w:p>
    <w:p w14:paraId="24C10845">
      <w:pPr>
        <w:adjustRightInd/>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第二部分 通用合同条款</w:t>
      </w:r>
    </w:p>
    <w:p w14:paraId="10726FA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通用合同条款直接引用建市[2017]214 号“住房城乡建设部、工商总局关于印发建设工程施工合同（示范文本）的通知”附件《建设工程施工合同（示范文本）（GF-2017-0201）第二部分“通用合同条款”内容。</w:t>
      </w:r>
    </w:p>
    <w:p w14:paraId="557356A8">
      <w:pPr>
        <w:adjustRightInd/>
        <w:spacing w:line="360" w:lineRule="auto"/>
        <w:ind w:firstLine="482" w:firstLineChars="200"/>
        <w:jc w:val="center"/>
        <w:rPr>
          <w:rFonts w:ascii="宋体" w:hAnsi="宋体" w:cs="宋体"/>
          <w:b/>
          <w:color w:val="auto"/>
          <w:sz w:val="24"/>
          <w:highlight w:val="none"/>
        </w:rPr>
      </w:pPr>
      <w:bookmarkStart w:id="443" w:name="_Toc500941713"/>
      <w:r>
        <w:rPr>
          <w:rFonts w:hint="eastAsia" w:ascii="宋体" w:hAnsi="宋体" w:cs="宋体"/>
          <w:b/>
          <w:color w:val="auto"/>
          <w:sz w:val="24"/>
          <w:highlight w:val="none"/>
        </w:rPr>
        <w:t>第三部分 专用合同条款</w:t>
      </w:r>
      <w:bookmarkEnd w:id="443"/>
    </w:p>
    <w:p w14:paraId="6FDC9BB4">
      <w:pPr>
        <w:adjustRightInd/>
        <w:spacing w:line="360" w:lineRule="auto"/>
        <w:ind w:firstLine="480" w:firstLineChars="200"/>
        <w:jc w:val="left"/>
        <w:rPr>
          <w:rFonts w:ascii="宋体" w:hAnsi="宋体" w:cs="宋体"/>
          <w:color w:val="auto"/>
          <w:kern w:val="0"/>
          <w:sz w:val="24"/>
          <w:highlight w:val="none"/>
        </w:rPr>
      </w:pPr>
      <w:bookmarkStart w:id="444" w:name="_Hlk59723191"/>
      <w:r>
        <w:rPr>
          <w:rFonts w:hint="eastAsia" w:ascii="宋体" w:hAnsi="宋体" w:cs="宋体"/>
          <w:color w:val="auto"/>
          <w:kern w:val="0"/>
          <w:sz w:val="24"/>
          <w:highlight w:val="none"/>
        </w:rPr>
        <w:t>以下主要专用合同条款根据《建设工程施工合同（示范文本）》（GF-2017-0201）第三部分“专用合同条款”的格式与内容确定，除招标人和中标人在合同谈判期间有补充约定外，本合同的专用合同条款按以下条款执行。</w:t>
      </w:r>
    </w:p>
    <w:bookmarkEnd w:id="444"/>
    <w:p w14:paraId="7BF6F6E5">
      <w:pPr>
        <w:keepNext/>
        <w:keepLines/>
        <w:adjustRightInd/>
        <w:spacing w:line="360" w:lineRule="auto"/>
        <w:ind w:firstLine="482" w:firstLineChars="200"/>
        <w:outlineLvl w:val="1"/>
        <w:rPr>
          <w:rFonts w:ascii="宋体" w:hAnsi="宋体" w:cs="宋体"/>
          <w:b/>
          <w:bCs/>
          <w:color w:val="auto"/>
          <w:sz w:val="24"/>
          <w:highlight w:val="none"/>
        </w:rPr>
      </w:pPr>
      <w:bookmarkStart w:id="445" w:name="_Toc1742251250"/>
      <w:bookmarkStart w:id="446" w:name="_Toc1281606529"/>
      <w:r>
        <w:rPr>
          <w:rFonts w:hint="eastAsia" w:ascii="宋体" w:hAnsi="宋体" w:cs="宋体"/>
          <w:b/>
          <w:bCs/>
          <w:color w:val="auto"/>
          <w:sz w:val="24"/>
          <w:highlight w:val="none"/>
        </w:rPr>
        <w:t>1</w:t>
      </w:r>
      <w:bookmarkStart w:id="447" w:name="_Toc296944495"/>
      <w:bookmarkStart w:id="448" w:name="_Toc296503156"/>
      <w:bookmarkStart w:id="449" w:name="_Toc292559866"/>
      <w:bookmarkStart w:id="450" w:name="_Toc296890984"/>
      <w:bookmarkStart w:id="451" w:name="_Toc296346657"/>
      <w:bookmarkStart w:id="452" w:name="_Toc292559361"/>
      <w:bookmarkStart w:id="453" w:name="_Toc296891196"/>
      <w:bookmarkStart w:id="454" w:name="_Toc297048342"/>
      <w:bookmarkStart w:id="455" w:name="_Toc297120456"/>
      <w:bookmarkStart w:id="456" w:name="_Toc296347155"/>
      <w:r>
        <w:rPr>
          <w:rFonts w:hint="eastAsia" w:ascii="宋体" w:hAnsi="宋体" w:cs="宋体"/>
          <w:b/>
          <w:bCs/>
          <w:color w:val="auto"/>
          <w:sz w:val="24"/>
          <w:highlight w:val="none"/>
        </w:rPr>
        <w:t>.一般约定</w:t>
      </w:r>
      <w:bookmarkEnd w:id="445"/>
      <w:bookmarkEnd w:id="446"/>
    </w:p>
    <w:bookmarkEnd w:id="447"/>
    <w:bookmarkEnd w:id="448"/>
    <w:bookmarkEnd w:id="449"/>
    <w:bookmarkEnd w:id="450"/>
    <w:bookmarkEnd w:id="451"/>
    <w:bookmarkEnd w:id="452"/>
    <w:bookmarkEnd w:id="453"/>
    <w:bookmarkEnd w:id="454"/>
    <w:bookmarkEnd w:id="455"/>
    <w:bookmarkEnd w:id="456"/>
    <w:p w14:paraId="21CBEFB4">
      <w:pPr>
        <w:adjustRightInd/>
        <w:spacing w:line="360" w:lineRule="auto"/>
        <w:ind w:firstLine="482" w:firstLineChars="200"/>
        <w:rPr>
          <w:rFonts w:ascii="宋体" w:hAnsi="宋体" w:cs="宋体"/>
          <w:b/>
          <w:bCs/>
          <w:color w:val="auto"/>
          <w:sz w:val="24"/>
          <w:highlight w:val="none"/>
        </w:rPr>
      </w:pPr>
      <w:bookmarkStart w:id="457" w:name="_Toc28755"/>
      <w:bookmarkStart w:id="458" w:name="_Toc276302670"/>
      <w:bookmarkStart w:id="459" w:name="_Toc1772939203"/>
      <w:r>
        <w:rPr>
          <w:rFonts w:hint="eastAsia" w:ascii="宋体" w:hAnsi="宋体" w:cs="宋体"/>
          <w:b/>
          <w:bCs/>
          <w:color w:val="auto"/>
          <w:sz w:val="24"/>
          <w:highlight w:val="none"/>
        </w:rPr>
        <w:t>1.1词语定义</w:t>
      </w:r>
      <w:bookmarkEnd w:id="457"/>
      <w:bookmarkEnd w:id="458"/>
      <w:bookmarkEnd w:id="459"/>
    </w:p>
    <w:p w14:paraId="3D9F29B2">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1.1.1合同</w:t>
      </w:r>
    </w:p>
    <w:p w14:paraId="4D931435">
      <w:pPr>
        <w:adjustRightInd/>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1.1.1.1其他合同文件包括：</w:t>
      </w:r>
    </w:p>
    <w:p w14:paraId="655E969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1）招标文件及其附件；</w:t>
      </w:r>
    </w:p>
    <w:p w14:paraId="281C497A">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2）投标文件及附件（除投标函及其附录，已标价的工程量清单）；</w:t>
      </w:r>
    </w:p>
    <w:p w14:paraId="6CDEA222">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3）工程的洽商、变更等工程联系单；</w:t>
      </w:r>
    </w:p>
    <w:p w14:paraId="1E829D1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4）工程相关的会议纪要、文件备忘录或工作联系函；</w:t>
      </w:r>
    </w:p>
    <w:p w14:paraId="19FD5ADA">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5）经审批同意的施工组织设计（施工方案）等能够体现工程施工中双方权利义务及责任的书面文件；</w:t>
      </w:r>
    </w:p>
    <w:p w14:paraId="7FD2741B">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6）承包人按规定投保的保险合同。</w:t>
      </w:r>
    </w:p>
    <w:p w14:paraId="48875BA1">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1.1.2合同当事人及其他相关方</w:t>
      </w:r>
    </w:p>
    <w:p w14:paraId="2BD0637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1.1.2.1监理人：</w:t>
      </w:r>
    </w:p>
    <w:p w14:paraId="54EBC9A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3A33A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76EEFD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07C3B9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180099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701038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1.1.2.2设计人：</w:t>
      </w:r>
    </w:p>
    <w:p w14:paraId="7BAD5C4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61990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A9011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694587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03F748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26B787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1.1.3工程和设备</w:t>
      </w:r>
    </w:p>
    <w:p w14:paraId="21ED315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1.1.3.1作为施工现场组成部分的其他场所包括：</w:t>
      </w:r>
      <w:r>
        <w:rPr>
          <w:rFonts w:hint="eastAsia" w:ascii="宋体" w:hAnsi="宋体" w:cs="宋体"/>
          <w:color w:val="auto"/>
          <w:sz w:val="24"/>
          <w:highlight w:val="none"/>
          <w:u w:val="single"/>
        </w:rPr>
        <w:t>详见图纸</w:t>
      </w:r>
      <w:r>
        <w:rPr>
          <w:rFonts w:hint="eastAsia" w:ascii="宋体" w:hAnsi="宋体" w:cs="宋体"/>
          <w:color w:val="auto"/>
          <w:sz w:val="24"/>
          <w:highlight w:val="none"/>
        </w:rPr>
        <w:t>。</w:t>
      </w:r>
    </w:p>
    <w:p w14:paraId="0F49ADC4">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1.1.3.2永久占地包括：</w:t>
      </w:r>
      <w:r>
        <w:rPr>
          <w:rFonts w:hint="eastAsia" w:ascii="宋体" w:hAnsi="宋体" w:cs="宋体"/>
          <w:color w:val="auto"/>
          <w:sz w:val="24"/>
          <w:highlight w:val="none"/>
          <w:u w:val="single"/>
        </w:rPr>
        <w:t>详见图纸</w:t>
      </w:r>
      <w:r>
        <w:rPr>
          <w:rFonts w:hint="eastAsia" w:ascii="宋体" w:hAnsi="宋体" w:cs="宋体"/>
          <w:color w:val="auto"/>
          <w:kern w:val="0"/>
          <w:sz w:val="24"/>
          <w:highlight w:val="none"/>
        </w:rPr>
        <w:t>。</w:t>
      </w:r>
    </w:p>
    <w:p w14:paraId="4ECA3AAD">
      <w:pPr>
        <w:adjustRightInd/>
        <w:spacing w:line="360" w:lineRule="auto"/>
        <w:ind w:firstLine="480" w:firstLineChars="200"/>
        <w:rPr>
          <w:rFonts w:ascii="宋体" w:hAnsi="宋体" w:cs="宋体"/>
          <w:bCs/>
          <w:color w:val="auto"/>
          <w:kern w:val="0"/>
          <w:sz w:val="24"/>
          <w:highlight w:val="none"/>
        </w:rPr>
      </w:pPr>
      <w:r>
        <w:rPr>
          <w:rFonts w:hint="eastAsia" w:ascii="宋体" w:hAnsi="宋体" w:cs="宋体"/>
          <w:color w:val="auto"/>
          <w:kern w:val="0"/>
          <w:sz w:val="24"/>
          <w:highlight w:val="none"/>
        </w:rPr>
        <w:t>1.1.3.3临时占地包括：</w:t>
      </w:r>
      <w:r>
        <w:rPr>
          <w:rFonts w:hint="eastAsia" w:ascii="宋体" w:hAnsi="宋体" w:cs="宋体"/>
          <w:color w:val="auto"/>
          <w:sz w:val="24"/>
          <w:highlight w:val="none"/>
          <w:u w:val="single"/>
        </w:rPr>
        <w:t>详见图纸。如有必要，经发包人确认后可以调整</w:t>
      </w:r>
      <w:r>
        <w:rPr>
          <w:rFonts w:hint="eastAsia" w:ascii="宋体" w:hAnsi="宋体" w:cs="宋体"/>
          <w:color w:val="auto"/>
          <w:sz w:val="24"/>
          <w:highlight w:val="none"/>
        </w:rPr>
        <w:t xml:space="preserve">。  </w:t>
      </w:r>
    </w:p>
    <w:p w14:paraId="551E993F">
      <w:pPr>
        <w:adjustRightInd/>
        <w:spacing w:line="360" w:lineRule="auto"/>
        <w:ind w:firstLine="482" w:firstLineChars="200"/>
        <w:outlineLvl w:val="2"/>
        <w:rPr>
          <w:rFonts w:ascii="宋体" w:hAnsi="宋体" w:cs="宋体"/>
          <w:b/>
          <w:bCs/>
          <w:color w:val="auto"/>
          <w:sz w:val="24"/>
          <w:highlight w:val="none"/>
        </w:rPr>
      </w:pPr>
      <w:bookmarkStart w:id="460" w:name="_Toc857078921"/>
      <w:bookmarkStart w:id="461" w:name="_Toc28173"/>
      <w:bookmarkStart w:id="462" w:name="_Toc859792571"/>
      <w:r>
        <w:rPr>
          <w:rFonts w:hint="eastAsia" w:ascii="宋体" w:hAnsi="宋体" w:cs="宋体"/>
          <w:b/>
          <w:bCs/>
          <w:color w:val="auto"/>
          <w:sz w:val="24"/>
          <w:highlight w:val="none"/>
        </w:rPr>
        <w:t>1.2法律</w:t>
      </w:r>
      <w:bookmarkEnd w:id="460"/>
      <w:bookmarkEnd w:id="461"/>
      <w:bookmarkEnd w:id="462"/>
    </w:p>
    <w:p w14:paraId="09BCF104">
      <w:pPr>
        <w:autoSpaceDE w:val="0"/>
        <w:autoSpaceDN w:val="0"/>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浙江省、宁波市有关工程建设的法规、规章及规范性文件</w:t>
      </w:r>
      <w:r>
        <w:rPr>
          <w:rFonts w:hint="eastAsia" w:ascii="宋体" w:hAnsi="宋体" w:cs="宋体"/>
          <w:color w:val="auto"/>
          <w:sz w:val="24"/>
          <w:highlight w:val="none"/>
        </w:rPr>
        <w:t>。</w:t>
      </w:r>
    </w:p>
    <w:p w14:paraId="407DDA3D">
      <w:pPr>
        <w:adjustRightInd/>
        <w:spacing w:line="360" w:lineRule="auto"/>
        <w:ind w:firstLine="482" w:firstLineChars="200"/>
        <w:outlineLvl w:val="2"/>
        <w:rPr>
          <w:rFonts w:ascii="宋体" w:hAnsi="宋体" w:cs="宋体"/>
          <w:b/>
          <w:bCs/>
          <w:color w:val="auto"/>
          <w:sz w:val="24"/>
          <w:highlight w:val="none"/>
        </w:rPr>
      </w:pPr>
      <w:bookmarkStart w:id="463" w:name="_Toc20831"/>
      <w:bookmarkStart w:id="464" w:name="_Toc1984547573"/>
      <w:bookmarkStart w:id="465" w:name="_Toc1028117936"/>
      <w:r>
        <w:rPr>
          <w:rFonts w:hint="eastAsia" w:ascii="宋体" w:hAnsi="宋体" w:cs="宋体"/>
          <w:b/>
          <w:bCs/>
          <w:color w:val="auto"/>
          <w:sz w:val="24"/>
          <w:highlight w:val="none"/>
        </w:rPr>
        <w:t>1.3标准和规范</w:t>
      </w:r>
      <w:bookmarkEnd w:id="463"/>
      <w:bookmarkEnd w:id="464"/>
      <w:bookmarkEnd w:id="465"/>
    </w:p>
    <w:p w14:paraId="5977F1A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1.3.1适用于工程的标准规范包括：</w:t>
      </w:r>
      <w:r>
        <w:rPr>
          <w:rFonts w:hint="eastAsia" w:ascii="宋体" w:hAnsi="宋体" w:cs="宋体"/>
          <w:color w:val="auto"/>
          <w:kern w:val="0"/>
          <w:sz w:val="24"/>
          <w:highlight w:val="none"/>
          <w:u w:val="single"/>
        </w:rPr>
        <w:t>浙江省、宁波市工程建设相关的施工及验收规范和标准</w:t>
      </w:r>
      <w:r>
        <w:rPr>
          <w:rFonts w:hint="eastAsia" w:ascii="宋体" w:hAnsi="宋体" w:cs="宋体"/>
          <w:color w:val="auto"/>
          <w:kern w:val="0"/>
          <w:sz w:val="24"/>
          <w:highlight w:val="none"/>
        </w:rPr>
        <w:t>。</w:t>
      </w:r>
    </w:p>
    <w:p w14:paraId="419B183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1.3.2发包人提供国外标准、规范的份数：</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w:t>
      </w:r>
    </w:p>
    <w:p w14:paraId="68C0820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w:t>
      </w:r>
    </w:p>
    <w:p w14:paraId="61133FD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1.3.3发包人对工程的技术标准和功能要求的特殊要求：</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w:t>
      </w:r>
    </w:p>
    <w:p w14:paraId="2ABED31C">
      <w:pPr>
        <w:adjustRightInd/>
        <w:spacing w:line="360" w:lineRule="auto"/>
        <w:ind w:firstLine="482" w:firstLineChars="200"/>
        <w:outlineLvl w:val="2"/>
        <w:rPr>
          <w:rFonts w:ascii="宋体" w:hAnsi="宋体" w:cs="宋体"/>
          <w:b/>
          <w:bCs/>
          <w:color w:val="auto"/>
          <w:sz w:val="24"/>
          <w:highlight w:val="none"/>
        </w:rPr>
      </w:pPr>
      <w:bookmarkStart w:id="466" w:name="_Toc498019564"/>
      <w:bookmarkStart w:id="467" w:name="_Toc659781100"/>
      <w:bookmarkStart w:id="468" w:name="_Toc21978"/>
      <w:r>
        <w:rPr>
          <w:rFonts w:hint="eastAsia" w:ascii="宋体" w:hAnsi="宋体" w:cs="宋体"/>
          <w:b/>
          <w:bCs/>
          <w:color w:val="auto"/>
          <w:sz w:val="24"/>
          <w:highlight w:val="none"/>
        </w:rPr>
        <w:t>1.4合同文件的优先顺序</w:t>
      </w:r>
      <w:bookmarkEnd w:id="466"/>
      <w:bookmarkEnd w:id="467"/>
      <w:bookmarkEnd w:id="468"/>
    </w:p>
    <w:p w14:paraId="53AE0FC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（1）合同协议书；</w:t>
      </w:r>
    </w:p>
    <w:p w14:paraId="70502C4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（2）补充协议（如有）；</w:t>
      </w:r>
    </w:p>
    <w:p w14:paraId="77C8D6B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（3）中标通知书；</w:t>
      </w:r>
    </w:p>
    <w:p w14:paraId="58C7A6B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（4）本合同专用合同条款及其附件；</w:t>
      </w:r>
    </w:p>
    <w:p w14:paraId="55A8B85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（5）招标文件；</w:t>
      </w:r>
    </w:p>
    <w:p w14:paraId="624DE41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（6）投标函及其附录；</w:t>
      </w:r>
    </w:p>
    <w:p w14:paraId="0E78B3D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（7）已标价工程量清单（含电子文档）；</w:t>
      </w:r>
    </w:p>
    <w:p w14:paraId="01B9966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（8）本合同通用合同条款；</w:t>
      </w:r>
    </w:p>
    <w:p w14:paraId="3A795E6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（9）技术标准和要求；</w:t>
      </w:r>
    </w:p>
    <w:p w14:paraId="3035103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（10）图纸；</w:t>
      </w:r>
    </w:p>
    <w:p w14:paraId="2C92AEB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（11）其他合同文件。</w:t>
      </w:r>
    </w:p>
    <w:p w14:paraId="73F908B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23E6DCD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667E4E27">
      <w:pPr>
        <w:adjustRightInd/>
        <w:spacing w:line="360" w:lineRule="auto"/>
        <w:ind w:firstLine="482" w:firstLineChars="200"/>
        <w:outlineLvl w:val="2"/>
        <w:rPr>
          <w:rFonts w:ascii="宋体" w:hAnsi="宋体" w:cs="宋体"/>
          <w:b/>
          <w:bCs/>
          <w:color w:val="auto"/>
          <w:sz w:val="24"/>
          <w:highlight w:val="none"/>
        </w:rPr>
      </w:pPr>
      <w:bookmarkStart w:id="469" w:name="_Toc1984271900"/>
      <w:bookmarkStart w:id="470" w:name="_Toc12618"/>
      <w:bookmarkStart w:id="471" w:name="_Toc1088158122"/>
      <w:r>
        <w:rPr>
          <w:rFonts w:hint="eastAsia" w:ascii="宋体" w:hAnsi="宋体" w:cs="宋体"/>
          <w:b/>
          <w:bCs/>
          <w:color w:val="auto"/>
          <w:sz w:val="24"/>
          <w:highlight w:val="none"/>
        </w:rPr>
        <w:t>1.5图纸和承包人文件</w:t>
      </w:r>
      <w:bookmarkEnd w:id="469"/>
      <w:bookmarkEnd w:id="470"/>
      <w:bookmarkEnd w:id="471"/>
      <w:r>
        <w:rPr>
          <w:rFonts w:hint="eastAsia" w:ascii="宋体" w:hAnsi="宋体" w:cs="宋体"/>
          <w:b/>
          <w:bCs/>
          <w:color w:val="auto"/>
          <w:sz w:val="24"/>
          <w:highlight w:val="none"/>
        </w:rPr>
        <w:tab/>
      </w:r>
    </w:p>
    <w:p w14:paraId="0771A1A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1.5.1图纸的提供</w:t>
      </w:r>
    </w:p>
    <w:p w14:paraId="62F3638C">
      <w:pPr>
        <w:pStyle w:val="969"/>
        <w:adjustRightInd/>
        <w:spacing w:line="360" w:lineRule="auto"/>
        <w:ind w:firstLine="480" w:firstLineChars="200"/>
        <w:rPr>
          <w:rFonts w:hAnsi="宋体" w:cs="宋体"/>
          <w:b w:val="0"/>
          <w:bCs/>
          <w:color w:val="auto"/>
          <w:szCs w:val="24"/>
          <w:highlight w:val="none"/>
        </w:rPr>
      </w:pPr>
      <w:r>
        <w:rPr>
          <w:rFonts w:hint="eastAsia" w:hAnsi="宋体" w:cs="宋体"/>
          <w:b w:val="0"/>
          <w:bCs/>
          <w:color w:val="auto"/>
          <w:szCs w:val="24"/>
          <w:highlight w:val="none"/>
        </w:rPr>
        <w:t>发包人向承包人提供图纸的期限：</w:t>
      </w:r>
      <w:r>
        <w:rPr>
          <w:rFonts w:hint="eastAsia" w:hAnsi="宋体" w:cs="宋体"/>
          <w:b w:val="0"/>
          <w:bCs/>
          <w:color w:val="auto"/>
          <w:kern w:val="0"/>
          <w:szCs w:val="24"/>
          <w:highlight w:val="none"/>
          <w:u w:val="single"/>
        </w:rPr>
        <w:t>工程实际开工前7天内</w:t>
      </w:r>
      <w:r>
        <w:rPr>
          <w:rFonts w:hint="eastAsia" w:hAnsi="宋体" w:cs="宋体"/>
          <w:b w:val="0"/>
          <w:bCs/>
          <w:color w:val="auto"/>
          <w:szCs w:val="24"/>
          <w:highlight w:val="none"/>
        </w:rPr>
        <w:t>；</w:t>
      </w:r>
    </w:p>
    <w:p w14:paraId="18FEF484">
      <w:pPr>
        <w:pStyle w:val="969"/>
        <w:adjustRightInd/>
        <w:spacing w:line="360" w:lineRule="auto"/>
        <w:ind w:firstLine="480" w:firstLineChars="200"/>
        <w:rPr>
          <w:rFonts w:hAnsi="宋体" w:cs="宋体"/>
          <w:b w:val="0"/>
          <w:bCs/>
          <w:color w:val="auto"/>
          <w:szCs w:val="24"/>
          <w:highlight w:val="none"/>
        </w:rPr>
      </w:pPr>
      <w:r>
        <w:rPr>
          <w:rFonts w:hint="eastAsia" w:hAnsi="宋体" w:cs="宋体"/>
          <w:b w:val="0"/>
          <w:bCs/>
          <w:color w:val="auto"/>
          <w:szCs w:val="24"/>
          <w:highlight w:val="none"/>
        </w:rPr>
        <w:t>发包人向承包人提供图纸的数量：</w:t>
      </w:r>
      <w:r>
        <w:rPr>
          <w:rFonts w:hint="eastAsia" w:hAnsi="宋体" w:cs="宋体"/>
          <w:b w:val="0"/>
          <w:bCs/>
          <w:color w:val="auto"/>
          <w:kern w:val="0"/>
          <w:szCs w:val="24"/>
          <w:highlight w:val="none"/>
          <w:u w:val="single"/>
        </w:rPr>
        <w:t>一式</w:t>
      </w:r>
      <w:r>
        <w:rPr>
          <w:rFonts w:hint="eastAsia" w:hAnsi="宋体" w:cs="宋体"/>
          <w:b w:val="0"/>
          <w:bCs/>
          <w:color w:val="auto"/>
          <w:kern w:val="0"/>
          <w:szCs w:val="24"/>
          <w:highlight w:val="none"/>
          <w:u w:val="single"/>
          <w:lang w:val="en-US" w:eastAsia="zh-CN"/>
        </w:rPr>
        <w:t>2</w:t>
      </w:r>
      <w:r>
        <w:rPr>
          <w:rFonts w:hint="eastAsia" w:hAnsi="宋体" w:cs="宋体"/>
          <w:b w:val="0"/>
          <w:bCs/>
          <w:color w:val="auto"/>
          <w:kern w:val="0"/>
          <w:szCs w:val="24"/>
          <w:highlight w:val="none"/>
          <w:u w:val="single"/>
        </w:rPr>
        <w:t>套，发包人提供的图纸已包括承包人制作竣工图资料的图纸，不足部分由承包人自行解决，费用由承包人承担</w:t>
      </w:r>
      <w:r>
        <w:rPr>
          <w:rFonts w:hint="eastAsia" w:hAnsi="宋体" w:cs="宋体"/>
          <w:b w:val="0"/>
          <w:bCs/>
          <w:color w:val="auto"/>
          <w:szCs w:val="24"/>
          <w:highlight w:val="none"/>
        </w:rPr>
        <w:t>；</w:t>
      </w:r>
    </w:p>
    <w:p w14:paraId="4523A80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发包人向承包人提供图纸的内容：工程承包范围内的各专业工程。</w:t>
      </w:r>
      <w:r>
        <w:rPr>
          <w:rFonts w:hint="eastAsia" w:ascii="宋体" w:hAnsi="宋体" w:cs="宋体"/>
          <w:color w:val="auto"/>
          <w:sz w:val="24"/>
          <w:highlight w:val="none"/>
        </w:rPr>
        <w:tab/>
      </w:r>
    </w:p>
    <w:p w14:paraId="267E0DE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1.5.2承包人文件</w:t>
      </w:r>
    </w:p>
    <w:p w14:paraId="06DCA2F5">
      <w:pPr>
        <w:adjustRightInd/>
        <w:spacing w:line="360" w:lineRule="auto"/>
        <w:ind w:firstLine="480" w:firstLineChars="200"/>
        <w:rPr>
          <w:rFonts w:ascii="宋体" w:hAnsi="宋体" w:cs="宋体"/>
          <w:color w:val="auto"/>
          <w:sz w:val="24"/>
          <w:highlight w:val="none"/>
          <w:u w:val="single"/>
        </w:rPr>
      </w:pPr>
      <w:bookmarkStart w:id="472" w:name="_Toc13200089"/>
      <w:bookmarkStart w:id="473" w:name="_Toc280711937"/>
      <w:bookmarkStart w:id="474" w:name="_Toc18371"/>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施工组织设计、工程进度计划、专项施工方案、协调配合图、加工图（深化图）、年度及月度资金计划等</w:t>
      </w:r>
      <w:r>
        <w:rPr>
          <w:rFonts w:hint="eastAsia" w:ascii="宋体" w:hAnsi="宋体" w:cs="宋体"/>
          <w:color w:val="auto"/>
          <w:sz w:val="24"/>
          <w:highlight w:val="none"/>
        </w:rPr>
        <w:t>；</w:t>
      </w:r>
    </w:p>
    <w:p w14:paraId="40DA7F23">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（1）施工组织设计、（2）工程总进度计划、（3）专项（方案）进度计划在相应专项工程开工前5天；其他文件在相应专项工程或部位施工前7天，每月25日之前提交本月进度表、下月进度计划及资金使用计划</w:t>
      </w:r>
      <w:r>
        <w:rPr>
          <w:rFonts w:hint="eastAsia" w:ascii="宋体" w:hAnsi="宋体" w:cs="宋体"/>
          <w:color w:val="auto"/>
          <w:sz w:val="24"/>
          <w:highlight w:val="none"/>
        </w:rPr>
        <w:t>；</w:t>
      </w:r>
    </w:p>
    <w:p w14:paraId="16ADA73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书面稿（8份）和电子稿</w:t>
      </w:r>
      <w:r>
        <w:rPr>
          <w:rFonts w:hint="eastAsia" w:ascii="宋体" w:hAnsi="宋体" w:cs="宋体"/>
          <w:color w:val="auto"/>
          <w:sz w:val="24"/>
          <w:highlight w:val="none"/>
        </w:rPr>
        <w:t>；</w:t>
      </w:r>
    </w:p>
    <w:p w14:paraId="556548B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监理人审批承包文件的期限：</w:t>
      </w:r>
      <w:r>
        <w:rPr>
          <w:rFonts w:hint="eastAsia" w:ascii="宋体" w:hAnsi="宋体" w:cs="宋体"/>
          <w:color w:val="auto"/>
          <w:sz w:val="24"/>
          <w:highlight w:val="none"/>
          <w:u w:val="single"/>
        </w:rPr>
        <w:t>7天内</w:t>
      </w:r>
      <w:r>
        <w:rPr>
          <w:rFonts w:hint="eastAsia" w:ascii="宋体" w:hAnsi="宋体" w:cs="宋体"/>
          <w:color w:val="auto"/>
          <w:sz w:val="24"/>
          <w:highlight w:val="none"/>
        </w:rPr>
        <w:t>。</w:t>
      </w:r>
    </w:p>
    <w:p w14:paraId="233FB2F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1.5.3现场图纸准备</w:t>
      </w:r>
    </w:p>
    <w:p w14:paraId="7E1A37DA">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承包人在施工现场保存至少1套完整的图纸和承包人文件（包括投标文件）</w:t>
      </w:r>
      <w:r>
        <w:rPr>
          <w:rFonts w:hint="eastAsia" w:ascii="宋体" w:hAnsi="宋体" w:cs="宋体"/>
          <w:color w:val="auto"/>
          <w:sz w:val="24"/>
          <w:highlight w:val="none"/>
        </w:rPr>
        <w:t>。</w:t>
      </w:r>
    </w:p>
    <w:p w14:paraId="5FEC7F14">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1.6联络</w:t>
      </w:r>
      <w:bookmarkEnd w:id="472"/>
      <w:bookmarkEnd w:id="473"/>
      <w:bookmarkEnd w:id="474"/>
    </w:p>
    <w:p w14:paraId="3AE160AD">
      <w:pPr>
        <w:adjustRightInd/>
        <w:spacing w:line="360" w:lineRule="auto"/>
        <w:ind w:firstLine="480" w:firstLineChars="200"/>
        <w:rPr>
          <w:rFonts w:ascii="宋体" w:hAnsi="宋体" w:cs="宋体"/>
          <w:color w:val="auto"/>
          <w:sz w:val="24"/>
          <w:highlight w:val="none"/>
        </w:rPr>
      </w:pPr>
      <w:bookmarkStart w:id="475" w:name="_Toc8108"/>
      <w:bookmarkStart w:id="476" w:name="_Toc1023515055"/>
      <w:bookmarkStart w:id="477" w:name="_Toc1289155066"/>
      <w:r>
        <w:rPr>
          <w:rFonts w:hint="eastAsia" w:ascii="宋体" w:hAnsi="宋体" w:cs="宋体"/>
          <w:color w:val="auto"/>
          <w:sz w:val="24"/>
          <w:highlight w:val="none"/>
        </w:rPr>
        <w:t>1.6.1发包人和承包人应当在通用条款规定的时间内将与合同有关的通知、批准、证明、证书、指示、指令、要求、请求、同意、意见、确定和决定等书面函件送达对方当事人。</w:t>
      </w:r>
    </w:p>
    <w:p w14:paraId="4916FB3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1.6.2发包人接收文件的地点：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226E9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发包人指定的接收人为：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F9071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承包人接收文件的地点：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8152F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承包人指定的接收人为：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9C3EF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监理人接收文件的地点：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EE0AB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监理人指定的接收人为：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7D5171">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1.7交通运输</w:t>
      </w:r>
      <w:bookmarkEnd w:id="475"/>
      <w:bookmarkEnd w:id="476"/>
      <w:bookmarkEnd w:id="477"/>
    </w:p>
    <w:p w14:paraId="0A1323DE">
      <w:pPr>
        <w:adjustRightInd/>
        <w:spacing w:line="360" w:lineRule="auto"/>
        <w:ind w:firstLine="480" w:firstLineChars="200"/>
        <w:jc w:val="left"/>
        <w:rPr>
          <w:rFonts w:ascii="宋体" w:hAnsi="宋体" w:cs="宋体"/>
          <w:color w:val="auto"/>
          <w:sz w:val="24"/>
          <w:highlight w:val="none"/>
        </w:rPr>
      </w:pPr>
      <w:bookmarkStart w:id="478" w:name="_Toc869890155"/>
      <w:bookmarkStart w:id="479" w:name="_Toc1760605217"/>
      <w:bookmarkStart w:id="480" w:name="_Toc17638"/>
      <w:r>
        <w:rPr>
          <w:rFonts w:hint="eastAsia" w:ascii="宋体" w:hAnsi="宋体" w:cs="宋体"/>
          <w:color w:val="auto"/>
          <w:sz w:val="24"/>
          <w:highlight w:val="none"/>
        </w:rPr>
        <w:t>1.7.1出入现场的权利</w:t>
      </w:r>
    </w:p>
    <w:p w14:paraId="16481D25">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关于出入现场的权利的约定：执行通用条款。</w:t>
      </w:r>
    </w:p>
    <w:p w14:paraId="043160B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1.7.2场内交通</w:t>
      </w:r>
    </w:p>
    <w:p w14:paraId="7D74085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关于场外交通和场内交通边界的约定：</w:t>
      </w:r>
      <w:r>
        <w:rPr>
          <w:rFonts w:hint="eastAsia" w:ascii="宋体" w:hAnsi="宋体" w:cs="宋体"/>
          <w:color w:val="auto"/>
          <w:sz w:val="24"/>
          <w:highlight w:val="none"/>
          <w:u w:val="single"/>
        </w:rPr>
        <w:t>工程规划红线范围内为场内交通，其余范围为场外交通</w:t>
      </w:r>
      <w:r>
        <w:rPr>
          <w:rFonts w:hint="eastAsia" w:ascii="宋体" w:hAnsi="宋体" w:cs="宋体"/>
          <w:color w:val="auto"/>
          <w:sz w:val="24"/>
          <w:highlight w:val="none"/>
        </w:rPr>
        <w:t>。</w:t>
      </w:r>
    </w:p>
    <w:p w14:paraId="0626B4F7">
      <w:pPr>
        <w:adjustRightInd/>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b/>
          <w:bCs/>
          <w:color w:val="auto"/>
          <w:sz w:val="24"/>
          <w:highlight w:val="none"/>
          <w:u w:val="single"/>
        </w:rPr>
        <w:t>发包人仅提供通往指定区域通道。场地内临时及出入通道的修建与养护由承包人负责(施工图纸或工程量清单另有约定除外）。工程完工前承包人应对因施工造成的原有道路、排水等设施和农田的损坏进行修缮，恢复原有使用功能，并包括到养护、道路部门办理所有相关手续</w:t>
      </w:r>
      <w:r>
        <w:rPr>
          <w:rFonts w:hint="eastAsia" w:ascii="宋体" w:hAnsi="宋体" w:cs="宋体"/>
          <w:b/>
          <w:bCs/>
          <w:color w:val="auto"/>
          <w:sz w:val="24"/>
          <w:highlight w:val="none"/>
        </w:rPr>
        <w:t>。</w:t>
      </w:r>
    </w:p>
    <w:p w14:paraId="528A26F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1.7.3超大件和超重件的运输</w:t>
      </w:r>
    </w:p>
    <w:p w14:paraId="04833FA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运输超大件或超重件所需的场内外道路和桥梁临时加固改造费用和其他有关费用（不含因施工方案所必须对本项目结构的加固）由</w:t>
      </w:r>
      <w:r>
        <w:rPr>
          <w:rFonts w:hint="eastAsia" w:ascii="宋体" w:hAnsi="宋体" w:cs="宋体"/>
          <w:color w:val="auto"/>
          <w:sz w:val="24"/>
          <w:highlight w:val="none"/>
          <w:u w:val="single"/>
        </w:rPr>
        <w:t>承包人</w:t>
      </w:r>
      <w:r>
        <w:rPr>
          <w:rFonts w:hint="eastAsia" w:ascii="宋体" w:hAnsi="宋体" w:cs="宋体"/>
          <w:color w:val="auto"/>
          <w:sz w:val="24"/>
          <w:highlight w:val="none"/>
        </w:rPr>
        <w:t>承担。</w:t>
      </w:r>
    </w:p>
    <w:p w14:paraId="20D8B58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1.7.4道路和桥梁的损坏责任</w:t>
      </w:r>
    </w:p>
    <w:p w14:paraId="2765AD5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因承包人运输造成施工场地内外公共道路和桥梁损坏的，由承包人承担修复损坏的全部费用和可能引起的赔偿。</w:t>
      </w:r>
    </w:p>
    <w:p w14:paraId="4417D0BA">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1.8知识产权</w:t>
      </w:r>
      <w:bookmarkEnd w:id="478"/>
      <w:bookmarkEnd w:id="479"/>
      <w:bookmarkEnd w:id="480"/>
    </w:p>
    <w:p w14:paraId="14B0FABA">
      <w:pPr>
        <w:adjustRightInd/>
        <w:spacing w:line="360" w:lineRule="auto"/>
        <w:ind w:firstLine="480" w:firstLineChars="200"/>
        <w:rPr>
          <w:rFonts w:ascii="宋体" w:hAnsi="宋体" w:cs="宋体"/>
          <w:color w:val="auto"/>
          <w:sz w:val="24"/>
          <w:highlight w:val="none"/>
        </w:rPr>
      </w:pPr>
      <w:bookmarkStart w:id="481" w:name="_Toc4484"/>
      <w:r>
        <w:rPr>
          <w:rFonts w:hint="eastAsia" w:ascii="宋体" w:hAnsi="宋体" w:cs="宋体"/>
          <w:color w:val="auto"/>
          <w:sz w:val="24"/>
          <w:highlight w:val="none"/>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执行通用条款</w:t>
      </w:r>
      <w:r>
        <w:rPr>
          <w:rFonts w:hint="eastAsia" w:ascii="宋体" w:hAnsi="宋体" w:cs="宋体"/>
          <w:color w:val="auto"/>
          <w:sz w:val="24"/>
          <w:highlight w:val="none"/>
        </w:rPr>
        <w:t>。</w:t>
      </w:r>
    </w:p>
    <w:p w14:paraId="186D3EB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执行通用条款</w:t>
      </w:r>
      <w:r>
        <w:rPr>
          <w:rFonts w:hint="eastAsia" w:ascii="宋体" w:hAnsi="宋体" w:cs="宋体"/>
          <w:color w:val="auto"/>
          <w:sz w:val="24"/>
          <w:highlight w:val="none"/>
        </w:rPr>
        <w:t>。</w:t>
      </w:r>
    </w:p>
    <w:p w14:paraId="61F064A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1.8.2关于承包人为实施工程所编制文件的著作权的归属：</w:t>
      </w:r>
      <w:r>
        <w:rPr>
          <w:rFonts w:hint="eastAsia" w:ascii="宋体" w:hAnsi="宋体" w:cs="宋体"/>
          <w:color w:val="auto"/>
          <w:sz w:val="24"/>
          <w:highlight w:val="none"/>
          <w:u w:val="single"/>
        </w:rPr>
        <w:t>执行通用条款</w:t>
      </w:r>
      <w:r>
        <w:rPr>
          <w:rFonts w:hint="eastAsia" w:ascii="宋体" w:hAnsi="宋体" w:cs="宋体"/>
          <w:color w:val="auto"/>
          <w:sz w:val="24"/>
          <w:highlight w:val="none"/>
        </w:rPr>
        <w:t>。</w:t>
      </w:r>
    </w:p>
    <w:p w14:paraId="5DF9E14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执行通用条款</w:t>
      </w:r>
      <w:r>
        <w:rPr>
          <w:rFonts w:hint="eastAsia" w:ascii="宋体" w:hAnsi="宋体" w:cs="宋体"/>
          <w:color w:val="auto"/>
          <w:sz w:val="24"/>
          <w:highlight w:val="none"/>
        </w:rPr>
        <w:t>。</w:t>
      </w:r>
    </w:p>
    <w:p w14:paraId="130616C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1.8.3承包人在施工过程中所采用的专利、专有技术、技术秘密的使用费的承担方式：</w:t>
      </w:r>
      <w:r>
        <w:rPr>
          <w:rFonts w:hint="eastAsia" w:ascii="宋体" w:hAnsi="宋体" w:cs="宋体"/>
          <w:color w:val="auto"/>
          <w:sz w:val="24"/>
          <w:highlight w:val="none"/>
          <w:u w:val="single"/>
        </w:rPr>
        <w:t>承包人自行承担，该费用已包含在签约合同价中</w:t>
      </w:r>
      <w:r>
        <w:rPr>
          <w:rFonts w:hint="eastAsia" w:ascii="宋体" w:hAnsi="宋体" w:cs="宋体"/>
          <w:color w:val="auto"/>
          <w:sz w:val="24"/>
          <w:highlight w:val="none"/>
        </w:rPr>
        <w:t>。</w:t>
      </w:r>
    </w:p>
    <w:p w14:paraId="369FE379">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1.9工程量清单错误的修正</w:t>
      </w:r>
      <w:bookmarkEnd w:id="481"/>
    </w:p>
    <w:p w14:paraId="081B77B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出现工程量清单错误时，调整合同价格：</w:t>
      </w:r>
      <w:bookmarkStart w:id="482" w:name="_Toc2049858434"/>
      <w:bookmarkStart w:id="483" w:name="_Toc125523837"/>
      <w:r>
        <w:rPr>
          <w:rFonts w:hint="eastAsia" w:ascii="宋体" w:hAnsi="宋体" w:cs="宋体"/>
          <w:color w:val="auto"/>
          <w:sz w:val="24"/>
          <w:highlight w:val="none"/>
          <w:u w:val="single"/>
        </w:rPr>
        <w:t>（1）工程量清单存在缺项、漏项；（2）招标工程量清单项目的工程量有偏差；（3）未按照国家现行计量规范强制性规定计量（除工程量清单编制说明另有说明外）</w:t>
      </w:r>
      <w:r>
        <w:rPr>
          <w:rFonts w:hint="eastAsia" w:ascii="宋体" w:hAnsi="宋体" w:cs="宋体"/>
          <w:color w:val="auto"/>
          <w:sz w:val="24"/>
          <w:highlight w:val="none"/>
        </w:rPr>
        <w:t>。</w:t>
      </w:r>
    </w:p>
    <w:p w14:paraId="70C4C6E6">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w:t>
      </w:r>
      <w:bookmarkStart w:id="484" w:name="_Toc296891197"/>
      <w:bookmarkStart w:id="485" w:name="_Toc292559362"/>
      <w:bookmarkStart w:id="486" w:name="_Toc296944496"/>
      <w:bookmarkStart w:id="487" w:name="_Toc292559867"/>
      <w:bookmarkStart w:id="488" w:name="_Toc296890985"/>
      <w:bookmarkStart w:id="489" w:name="_Toc296503157"/>
      <w:bookmarkStart w:id="490" w:name="_Toc296347156"/>
      <w:bookmarkStart w:id="491" w:name="_Toc296346658"/>
      <w:bookmarkStart w:id="492" w:name="_Toc297048343"/>
      <w:bookmarkStart w:id="493" w:name="_Toc297120457"/>
      <w:r>
        <w:rPr>
          <w:rFonts w:hint="eastAsia" w:ascii="宋体" w:hAnsi="宋体" w:cs="宋体"/>
          <w:b/>
          <w:bCs/>
          <w:color w:val="auto"/>
          <w:sz w:val="24"/>
          <w:highlight w:val="none"/>
        </w:rPr>
        <w:t>.发包人</w:t>
      </w:r>
      <w:bookmarkEnd w:id="482"/>
      <w:bookmarkEnd w:id="483"/>
    </w:p>
    <w:bookmarkEnd w:id="484"/>
    <w:bookmarkEnd w:id="485"/>
    <w:bookmarkEnd w:id="486"/>
    <w:bookmarkEnd w:id="487"/>
    <w:bookmarkEnd w:id="488"/>
    <w:bookmarkEnd w:id="489"/>
    <w:bookmarkEnd w:id="490"/>
    <w:bookmarkEnd w:id="491"/>
    <w:bookmarkEnd w:id="492"/>
    <w:bookmarkEnd w:id="493"/>
    <w:p w14:paraId="393DBAAB">
      <w:pPr>
        <w:adjustRightInd/>
        <w:spacing w:line="360" w:lineRule="auto"/>
        <w:ind w:firstLine="482" w:firstLineChars="200"/>
        <w:rPr>
          <w:rFonts w:ascii="宋体" w:hAnsi="宋体" w:cs="宋体"/>
          <w:b/>
          <w:bCs/>
          <w:color w:val="auto"/>
          <w:sz w:val="24"/>
          <w:highlight w:val="none"/>
        </w:rPr>
      </w:pPr>
      <w:bookmarkStart w:id="494" w:name="_Toc17753"/>
      <w:r>
        <w:rPr>
          <w:rFonts w:hint="eastAsia" w:ascii="宋体" w:hAnsi="宋体" w:cs="宋体"/>
          <w:b/>
          <w:bCs/>
          <w:color w:val="auto"/>
          <w:sz w:val="24"/>
          <w:highlight w:val="none"/>
        </w:rPr>
        <w:t>2.2发包人代表</w:t>
      </w:r>
      <w:bookmarkEnd w:id="494"/>
    </w:p>
    <w:p w14:paraId="4E77CDC3">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发包人代表：</w:t>
      </w:r>
    </w:p>
    <w:p w14:paraId="6854B78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72738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DA8853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9D29EA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226DE9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4FE49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D643B28">
      <w:pPr>
        <w:adjustRightInd/>
        <w:spacing w:line="360" w:lineRule="auto"/>
        <w:ind w:firstLine="480" w:firstLineChars="200"/>
        <w:rPr>
          <w:rFonts w:ascii="宋体" w:hAnsi="宋体" w:cs="宋体"/>
          <w:color w:val="auto"/>
          <w:sz w:val="24"/>
          <w:highlight w:val="none"/>
        </w:rPr>
      </w:pPr>
      <w:bookmarkStart w:id="495" w:name="_Toc1335716241"/>
      <w:bookmarkStart w:id="496" w:name="_Toc571308452"/>
      <w:bookmarkStart w:id="497" w:name="_Toc26646"/>
      <w:r>
        <w:rPr>
          <w:rFonts w:hint="eastAsia" w:ascii="宋体" w:hAnsi="宋体" w:cs="宋体"/>
          <w:color w:val="auto"/>
          <w:sz w:val="24"/>
          <w:highlight w:val="none"/>
        </w:rPr>
        <w:t>发包人对发包人代表的授权范围如下：</w:t>
      </w:r>
      <w:r>
        <w:rPr>
          <w:rFonts w:hint="eastAsia" w:ascii="宋体" w:hAnsi="宋体" w:cs="宋体"/>
          <w:color w:val="auto"/>
          <w:kern w:val="0"/>
          <w:sz w:val="24"/>
          <w:highlight w:val="none"/>
          <w:u w:val="single"/>
        </w:rPr>
        <w:t>代表发包人履行发包人对工程建设管理的权利和义务，签发（或会签）各项工程联系单，对承包人、监理人有监督、协调的权利。涉及到工程价款洽商、索赔事项的处理、合同的变更等事项、联系单的签证等需发包人确认的，需根据全过程跟踪咨询单位审核造价并经发包人内部管理审批流程审批后生效</w:t>
      </w:r>
      <w:r>
        <w:rPr>
          <w:rFonts w:hint="eastAsia" w:ascii="宋体" w:hAnsi="宋体" w:cs="宋体"/>
          <w:color w:val="auto"/>
          <w:sz w:val="24"/>
          <w:highlight w:val="none"/>
        </w:rPr>
        <w:t>。</w:t>
      </w:r>
    </w:p>
    <w:p w14:paraId="419930CE">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2.3施工现场、施工条件和基础资料的提供</w:t>
      </w:r>
      <w:bookmarkEnd w:id="495"/>
      <w:bookmarkEnd w:id="496"/>
      <w:bookmarkEnd w:id="497"/>
    </w:p>
    <w:p w14:paraId="27A203C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2.3.1提供施工现场</w:t>
      </w:r>
    </w:p>
    <w:p w14:paraId="21AF08B0">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按通用条款执行</w:t>
      </w:r>
      <w:r>
        <w:rPr>
          <w:rFonts w:hint="eastAsia" w:ascii="宋体" w:hAnsi="宋体" w:cs="宋体"/>
          <w:color w:val="auto"/>
          <w:sz w:val="24"/>
          <w:highlight w:val="none"/>
        </w:rPr>
        <w:t>。</w:t>
      </w:r>
    </w:p>
    <w:p w14:paraId="232E2A8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2.3.2提供施工条件</w:t>
      </w:r>
    </w:p>
    <w:p w14:paraId="292B7EF3">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p>
    <w:p w14:paraId="6E666D23">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（1）施工场地具备施工条件的要求及完成的时间：项目为暑假改造工程，在已投入使用的校园内，现场土地合法，施工场地具备施工条件；工期紧，整体施工进度须满足招标要求。</w:t>
      </w:r>
    </w:p>
    <w:p w14:paraId="065F7050">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（2）将施工所需的水、电、电讯线路接至施工场地的时间、地点和供应要求：</w:t>
      </w:r>
    </w:p>
    <w:p w14:paraId="6B90E4D3">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A、施工所需的水，利用校园内现有水，采取就近自行借用原则；建议自行安装水表，若不安装水表须在开工前，与使用校方双方明确具体水费计取方式和支付时间。</w:t>
      </w:r>
    </w:p>
    <w:p w14:paraId="194AC8EE">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B、施工所需电，利用校园内现有电，采取就近自行借用原则；施工进场组织现场踏勘后，根据使用校方统一安排提供施工所需接电位置，临时电所需电线电缆施工方自行考虑（临时电须满足用电安全相关要求）；建议施工方自行安装电表，若不安装电表须在开工前，与使用校方双方明确具体电费计取方式和支付时间。</w:t>
      </w:r>
    </w:p>
    <w:p w14:paraId="557DFF87">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C、电讯设施由承包人自行解决，费用自理。</w:t>
      </w:r>
    </w:p>
    <w:p w14:paraId="0D013D56">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注：因为改造工程项目进场后施工所用水、电均为使用校方原有水、电；开工前施工方就关于施工所用水、电费用须提前向使用校方缴纳5万元用水、电押金。项目竣工验收后存档备案前，施工所用水、电费用与使用校方必须结清且现场相关电线电缆、水管收整完毕，做好相关结清说明；押金及时退回。上述费用施工方不及时支付，将从押金直接扣回；若仍不够，将从工程款里直接扣回。</w:t>
      </w:r>
    </w:p>
    <w:p w14:paraId="78205E6D">
      <w:pPr>
        <w:pStyle w:val="58"/>
        <w:widowControl w:val="0"/>
        <w:numPr>
          <w:ilvl w:val="0"/>
          <w:numId w:val="4"/>
        </w:numPr>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施工场地与公共道路的通道开通时间和要求：</w:t>
      </w:r>
    </w:p>
    <w:p w14:paraId="1E77B4FF">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rPr>
      </w:pPr>
      <w:r>
        <w:rPr>
          <w:rFonts w:hint="eastAsia" w:cs="宋体"/>
          <w:color w:val="auto"/>
          <w:kern w:val="2"/>
          <w:highlight w:val="none"/>
        </w:rPr>
        <w:t>开工后，施工方所有车辆进出校园须根据使用校方要求办理相关入校手续；同时，在校园内驾驶车辆确保安全，道路整洁，若因施工原因造成破损须及时恢复确保原有施工功能。以上相关费用除路基板根据现场实际情况签证外，其他已包含在合同报价中。</w:t>
      </w:r>
    </w:p>
    <w:p w14:paraId="059C9700">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u w:val="single"/>
        </w:rPr>
        <w:t>承包人如需在建设用地红线范围外搭建临时设施及道路的，均由承包人自行负责租用场地并实施，在工程竣工后恢复原状并做好移交手续。相关手续及建设费用已含在承包人的投标报价中。</w:t>
      </w:r>
    </w:p>
    <w:p w14:paraId="573ABC38">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rPr>
        <w:t>（4）工程地质和地下管线资料的提供时间：</w:t>
      </w:r>
      <w:r>
        <w:rPr>
          <w:rFonts w:hint="eastAsia" w:cs="宋体"/>
          <w:color w:val="auto"/>
          <w:highlight w:val="none"/>
          <w:u w:val="single"/>
        </w:rPr>
        <w:t>开工前提供上述资料。</w:t>
      </w:r>
    </w:p>
    <w:p w14:paraId="76BB8D99">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rPr>
        <w:t>（5）由发包人办理的施工所需证件、批件的名称和完成时间：</w:t>
      </w:r>
      <w:r>
        <w:rPr>
          <w:rFonts w:hint="eastAsia" w:cs="宋体"/>
          <w:color w:val="auto"/>
          <w:highlight w:val="none"/>
          <w:u w:val="single"/>
        </w:rPr>
        <w:t>在开工前负责办妥相关手续，在开工后继续负责解决以上事项遗留问题。</w:t>
      </w:r>
    </w:p>
    <w:p w14:paraId="1DAE1C27">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kern w:val="2"/>
          <w:highlight w:val="none"/>
          <w:u w:val="single"/>
        </w:rPr>
      </w:pPr>
      <w:r>
        <w:rPr>
          <w:rFonts w:hint="eastAsia" w:cs="宋体"/>
          <w:color w:val="auto"/>
          <w:highlight w:val="none"/>
        </w:rPr>
        <w:t>（6）水准点与坐标控制点交验要求：</w:t>
      </w:r>
      <w:r>
        <w:rPr>
          <w:rFonts w:hint="eastAsia" w:cs="宋体"/>
          <w:color w:val="auto"/>
          <w:kern w:val="2"/>
          <w:highlight w:val="none"/>
          <w:u w:val="single"/>
        </w:rPr>
        <w:t>项目为暑假改造工程，相关点位按施工蓝图进行。</w:t>
      </w:r>
    </w:p>
    <w:p w14:paraId="7631C7D5">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rPr>
        <w:t>（7）图纸会审和设计交底时间：</w:t>
      </w:r>
      <w:r>
        <w:rPr>
          <w:rFonts w:hint="eastAsia" w:cs="宋体"/>
          <w:color w:val="auto"/>
          <w:highlight w:val="none"/>
          <w:u w:val="single"/>
        </w:rPr>
        <w:t>开工前组织有关单位进行。</w:t>
      </w:r>
    </w:p>
    <w:p w14:paraId="0B71AC02">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u w:val="single"/>
        </w:rPr>
        <w:t>（8）协调处理施工场地周围地下管线和邻近构筑物、构筑物（含文物保护建筑）、古树名木、雕塑等的保护工作：实际发生时，承包人须根据经发包人批准的专项施工工艺技术方案或工法实施保护，费用已包含在施工投标报价中；因承包人未事前上报或未按发包人要求做好保护工作而引起的一切损失均由承包人承担。</w:t>
      </w:r>
    </w:p>
    <w:p w14:paraId="213976BE">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rPr>
        <w:t>（9）双方约定发包人应做的其他事情：</w:t>
      </w:r>
      <w:r>
        <w:rPr>
          <w:rFonts w:hint="eastAsia" w:cs="宋体"/>
          <w:color w:val="auto"/>
          <w:highlight w:val="none"/>
          <w:u w:val="single"/>
        </w:rPr>
        <w:t xml:space="preserve">   /  </w:t>
      </w:r>
      <w:r>
        <w:rPr>
          <w:rFonts w:hint="eastAsia" w:cs="宋体"/>
          <w:color w:val="auto"/>
          <w:highlight w:val="none"/>
        </w:rPr>
        <w:t>。</w:t>
      </w:r>
    </w:p>
    <w:p w14:paraId="225FE03F">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2.3.3</w:t>
      </w:r>
      <w:r>
        <w:rPr>
          <w:rFonts w:hint="eastAsia" w:ascii="宋体" w:hAnsi="宋体" w:cs="宋体"/>
          <w:color w:val="auto"/>
          <w:kern w:val="0"/>
          <w:sz w:val="24"/>
          <w:highlight w:val="none"/>
        </w:rPr>
        <w:t>逾期提供的责任</w:t>
      </w:r>
    </w:p>
    <w:p w14:paraId="138D731E">
      <w:pPr>
        <w:adjustRightInd/>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因发包人原因未能按合同约定及时向承包人提供施工现场、施工条件、基础资料的，工期按现场实际情况签证，承包人不得以此为由进行费用及利润的索赔。</w:t>
      </w:r>
    </w:p>
    <w:p w14:paraId="6B1F5B6F">
      <w:pPr>
        <w:keepNext/>
        <w:keepLines/>
        <w:adjustRightInd/>
        <w:spacing w:line="360" w:lineRule="auto"/>
        <w:ind w:firstLine="482" w:firstLineChars="200"/>
        <w:outlineLvl w:val="1"/>
        <w:rPr>
          <w:rFonts w:ascii="宋体" w:hAnsi="宋体" w:cs="宋体"/>
          <w:b/>
          <w:bCs/>
          <w:color w:val="auto"/>
          <w:sz w:val="24"/>
          <w:highlight w:val="none"/>
        </w:rPr>
      </w:pPr>
      <w:bookmarkStart w:id="498" w:name="_Toc507831889"/>
      <w:bookmarkStart w:id="499" w:name="_Toc224169773"/>
      <w:r>
        <w:rPr>
          <w:rFonts w:hint="eastAsia" w:ascii="宋体" w:hAnsi="宋体" w:cs="宋体"/>
          <w:b/>
          <w:bCs/>
          <w:color w:val="auto"/>
          <w:sz w:val="24"/>
          <w:highlight w:val="none"/>
        </w:rPr>
        <w:t>3</w:t>
      </w:r>
      <w:bookmarkStart w:id="500" w:name="_Toc292559868"/>
      <w:bookmarkStart w:id="501" w:name="_Toc297120458"/>
      <w:bookmarkStart w:id="502" w:name="_Toc296890986"/>
      <w:bookmarkStart w:id="503" w:name="_Toc296891198"/>
      <w:bookmarkStart w:id="504" w:name="_Toc292559363"/>
      <w:bookmarkStart w:id="505" w:name="_Toc296503158"/>
      <w:bookmarkStart w:id="506" w:name="_Toc297048344"/>
      <w:bookmarkStart w:id="507" w:name="_Toc296346659"/>
      <w:bookmarkStart w:id="508" w:name="_Toc296944497"/>
      <w:bookmarkStart w:id="509" w:name="_Toc296347157"/>
      <w:r>
        <w:rPr>
          <w:rFonts w:hint="eastAsia" w:ascii="宋体" w:hAnsi="宋体" w:cs="宋体"/>
          <w:b/>
          <w:bCs/>
          <w:color w:val="auto"/>
          <w:sz w:val="24"/>
          <w:highlight w:val="none"/>
        </w:rPr>
        <w:t>.承包人</w:t>
      </w:r>
      <w:bookmarkEnd w:id="498"/>
      <w:bookmarkEnd w:id="499"/>
    </w:p>
    <w:bookmarkEnd w:id="500"/>
    <w:bookmarkEnd w:id="501"/>
    <w:bookmarkEnd w:id="502"/>
    <w:bookmarkEnd w:id="503"/>
    <w:bookmarkEnd w:id="504"/>
    <w:bookmarkEnd w:id="505"/>
    <w:bookmarkEnd w:id="506"/>
    <w:bookmarkEnd w:id="507"/>
    <w:bookmarkEnd w:id="508"/>
    <w:bookmarkEnd w:id="509"/>
    <w:p w14:paraId="0D1F3857">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3.1承包人的一般义务</w:t>
      </w:r>
    </w:p>
    <w:p w14:paraId="0CB3EB26">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u w:val="single"/>
        </w:rPr>
      </w:pPr>
      <w:r>
        <w:rPr>
          <w:rFonts w:hint="eastAsia" w:cs="宋体"/>
          <w:color w:val="auto"/>
          <w:highlight w:val="none"/>
        </w:rPr>
        <w:t>（1）承包人提交的竣工资料的内容：</w:t>
      </w:r>
      <w:r>
        <w:rPr>
          <w:rFonts w:hint="eastAsia" w:cs="宋体"/>
          <w:color w:val="auto"/>
          <w:highlight w:val="none"/>
          <w:u w:val="single"/>
        </w:rPr>
        <w:t>承包人所有竣工资料要求做到真实、完整，符合当地建筑工程质量监督部门备案审查及宁波市城建档案归档要求，并配合发包人取得建设工程竣工验收备案证明，办妥工程资料归档手续。一切竣工资料必须报监理人全面核对，并签章后交发包人确认</w:t>
      </w:r>
      <w:r>
        <w:rPr>
          <w:rFonts w:hint="eastAsia" w:cs="宋体"/>
          <w:color w:val="auto"/>
          <w:highlight w:val="none"/>
        </w:rPr>
        <w:t>。</w:t>
      </w:r>
    </w:p>
    <w:p w14:paraId="1922F185">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应提供完整的符合归档要求的8份竣工资料</w:t>
      </w:r>
      <w:r>
        <w:rPr>
          <w:rFonts w:hint="eastAsia" w:ascii="宋体" w:hAnsi="宋体" w:cs="宋体"/>
          <w:color w:val="auto"/>
          <w:sz w:val="24"/>
          <w:highlight w:val="none"/>
        </w:rPr>
        <w:t>。</w:t>
      </w:r>
    </w:p>
    <w:p w14:paraId="5858499A">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费用已包含在合同价中</w:t>
      </w:r>
      <w:r>
        <w:rPr>
          <w:rFonts w:hint="eastAsia" w:ascii="宋体" w:hAnsi="宋体" w:cs="宋体"/>
          <w:color w:val="auto"/>
          <w:sz w:val="24"/>
          <w:highlight w:val="none"/>
        </w:rPr>
        <w:t>。</w:t>
      </w:r>
    </w:p>
    <w:p w14:paraId="2836220D">
      <w:pPr>
        <w:adjustRightInd/>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承包人提交的竣工资料（不含决算资料）移交时间：</w:t>
      </w:r>
      <w:r>
        <w:rPr>
          <w:rFonts w:hint="eastAsia" w:ascii="宋体" w:hAnsi="宋体" w:cs="宋体"/>
          <w:color w:val="auto"/>
          <w:sz w:val="24"/>
          <w:highlight w:val="none"/>
          <w:u w:val="single"/>
        </w:rPr>
        <w:t>本工程竣工验收前</w:t>
      </w:r>
      <w:r>
        <w:rPr>
          <w:rFonts w:hint="eastAsia" w:ascii="宋体" w:hAnsi="宋体" w:cs="宋体"/>
          <w:color w:val="auto"/>
          <w:sz w:val="24"/>
          <w:highlight w:val="none"/>
        </w:rPr>
        <w:t>。</w:t>
      </w:r>
    </w:p>
    <w:p w14:paraId="300A3CE6">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书面8套，电子2份，并满足城建档案馆及发包人归档要求（如需增加数量，承包人按要求增加，费用不计）</w:t>
      </w:r>
      <w:r>
        <w:rPr>
          <w:rFonts w:hint="eastAsia" w:ascii="宋体" w:hAnsi="宋体" w:cs="宋体"/>
          <w:color w:val="auto"/>
          <w:sz w:val="24"/>
          <w:highlight w:val="none"/>
        </w:rPr>
        <w:t>。</w:t>
      </w:r>
    </w:p>
    <w:p w14:paraId="0EC21B89">
      <w:pPr>
        <w:pStyle w:val="953"/>
        <w:adjustRightInd/>
        <w:spacing w:before="0" w:after="0" w:line="360" w:lineRule="auto"/>
        <w:ind w:left="0" w:right="0" w:firstLine="480" w:firstLineChars="200"/>
        <w:rPr>
          <w:rFonts w:ascii="宋体" w:hAnsi="宋体" w:cs="宋体"/>
          <w:color w:val="auto"/>
          <w:szCs w:val="24"/>
          <w:highlight w:val="none"/>
        </w:rPr>
      </w:pPr>
      <w:r>
        <w:rPr>
          <w:rFonts w:hint="eastAsia" w:ascii="宋体" w:hAnsi="宋体" w:cs="宋体"/>
          <w:color w:val="auto"/>
          <w:szCs w:val="24"/>
          <w:highlight w:val="none"/>
        </w:rPr>
        <w:t>（2）应履行的其他义务：</w:t>
      </w:r>
    </w:p>
    <w:p w14:paraId="1C32CA37">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自行解决因采取施工措施须借用的红线外临时用地，承包人在退还使用过的临时用地前应恢复该临时用地原有的使用功能，如因承包人撤离前未按要求进行恢复或未达到使用标准，将由发包人委托第三方对其进行恢复，所产生的费用将从应付给承包人的任何款项中扣除</w:t>
      </w:r>
      <w:r>
        <w:rPr>
          <w:rFonts w:hint="eastAsia" w:ascii="宋体" w:hAnsi="宋体" w:cs="宋体"/>
          <w:color w:val="auto"/>
          <w:szCs w:val="24"/>
          <w:highlight w:val="none"/>
        </w:rPr>
        <w:t>。</w:t>
      </w:r>
    </w:p>
    <w:p w14:paraId="2EC971FC">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承包人在投标前已自行详细踏勘现场，充分了解情况，对施工人员生活场地、搭设施工用房、生活用房、材料加工制作及堆场等所需场地由承包人自行解决，所产生的费用承包人已在投标报价中综合考虑，不得以此为由提出任何工期顺延或费用补偿等要求</w:t>
      </w:r>
      <w:r>
        <w:rPr>
          <w:rFonts w:hint="eastAsia" w:ascii="宋体" w:hAnsi="宋体" w:cs="宋体"/>
          <w:color w:val="auto"/>
          <w:szCs w:val="24"/>
          <w:highlight w:val="none"/>
        </w:rPr>
        <w:t>。</w:t>
      </w:r>
    </w:p>
    <w:p w14:paraId="37C00045">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3、承包人在施工期间应承担对邻近建筑物、道路、古树名木的沉降、垂直度和平面位置观测等保护工作。因承包人在施工中未尽监测、保护工作而造成施工场地周围地下管线和邻近建筑物、构筑物、古树名木破坏损失的，由承包人承担由此发生的所有费用</w:t>
      </w:r>
      <w:r>
        <w:rPr>
          <w:rFonts w:hint="eastAsia" w:ascii="宋体" w:hAnsi="宋体" w:cs="宋体"/>
          <w:color w:val="auto"/>
          <w:szCs w:val="24"/>
          <w:highlight w:val="none"/>
        </w:rPr>
        <w:t>。</w:t>
      </w:r>
    </w:p>
    <w:p w14:paraId="33262848">
      <w:pPr>
        <w:pStyle w:val="953"/>
        <w:adjustRightInd/>
        <w:spacing w:before="0" w:after="0" w:line="360" w:lineRule="auto"/>
        <w:ind w:left="0" w:right="0" w:firstLine="480" w:firstLineChars="200"/>
        <w:rPr>
          <w:rFonts w:ascii="宋体" w:hAnsi="宋体" w:cs="宋体"/>
          <w:color w:val="auto"/>
          <w:szCs w:val="24"/>
          <w:highlight w:val="none"/>
        </w:rPr>
      </w:pPr>
      <w:r>
        <w:rPr>
          <w:rFonts w:hint="eastAsia" w:ascii="宋体" w:hAnsi="宋体" w:cs="宋体"/>
          <w:color w:val="auto"/>
          <w:szCs w:val="24"/>
          <w:highlight w:val="none"/>
          <w:u w:val="single"/>
        </w:rPr>
        <w:t>承包人须结合项目特点，制定合理的安全措施，确保施工安全和周边环境安全，如因施工带来安全问题，由承包人承担所有责任，并须赔偿相关损失</w:t>
      </w:r>
      <w:r>
        <w:rPr>
          <w:rFonts w:hint="eastAsia" w:ascii="宋体" w:hAnsi="宋体" w:cs="宋体"/>
          <w:color w:val="auto"/>
          <w:szCs w:val="24"/>
          <w:highlight w:val="none"/>
        </w:rPr>
        <w:t>。</w:t>
      </w:r>
    </w:p>
    <w:p w14:paraId="2A621C33">
      <w:pPr>
        <w:pStyle w:val="953"/>
        <w:adjustRightInd/>
        <w:spacing w:before="0" w:after="0" w:line="360" w:lineRule="auto"/>
        <w:ind w:left="0" w:right="0"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u w:val="single"/>
        </w:rPr>
        <w:t>承包人应协调好与周边群众的关系，承担因承包人责任引发的民事纠纷的损失和处理工作，包括因承包人违反有关规定而导致政府相关部门的处罚。承包人应采取措施减少因施工而引起周边群众生活工作的影响，具体如下：①对施工现场的设备、场地、物品勤加维护和打扫，保持现场环境卫生整洁，施工现场的所有场地都是清扫对象，防止出现尘土及异味扩散现象。②现场设立封闭式的垃圾箱，施工垃圾及时进行清运。③禁止在施工现场焚烧油毡、橡胶、塑料、皮革、树叶、枯草、各种包装皮等以及其他会产生有毒、有害烟尘和恶臭气体的物质。④减少扬尘，防止施工现场泥土污染场外的道路，施工现场全部采用硬化处理，并配备洒水设备进行洒水，降低现场的扬尘。⑤要选用噪音较低的施工设备，对施工中产生较大噪音的施工项目要求安排在白天施工，最晚一般不超过晚上22点。⑥在施工现场和生活区建立和执行安全防火管理制度，设置符合消防要求的消防设施，保持完好的备用状态。⑦施工中产生的废油、废渣、废弃物不随意排弃，按有关规定收集、清理，做统一处理，施工完后及时清理现场，做到工完料尽、场地清。⑧施工现场及生活区施工人员遵纪守法，加强宣传教育工作，严格禁止赌博，打架斗殴等违法乱纪事件发生。负责做好施工期间社会治安管理及维护社会稳定工作</w:t>
      </w:r>
      <w:r>
        <w:rPr>
          <w:rFonts w:hint="eastAsia" w:ascii="宋体" w:hAnsi="宋体" w:cs="宋体"/>
          <w:color w:val="auto"/>
          <w:szCs w:val="24"/>
          <w:highlight w:val="none"/>
        </w:rPr>
        <w:t>。</w:t>
      </w:r>
      <w:r>
        <w:rPr>
          <w:rFonts w:ascii="宋体" w:hAnsi="宋体" w:cs="宋体"/>
          <w:color w:val="auto"/>
          <w:szCs w:val="24"/>
          <w:highlight w:val="none"/>
          <w:u w:val="single"/>
        </w:rPr>
        <w:fldChar w:fldCharType="begin"/>
      </w:r>
      <w:r>
        <w:rPr>
          <w:rFonts w:ascii="宋体" w:hAnsi="宋体" w:cs="宋体"/>
          <w:color w:val="auto"/>
          <w:szCs w:val="24"/>
          <w:highlight w:val="none"/>
          <w:u w:val="single"/>
        </w:rPr>
        <w:instrText xml:space="preserve"> </w:instrText>
      </w:r>
      <w:r>
        <w:rPr>
          <w:rFonts w:hint="eastAsia" w:ascii="宋体" w:hAnsi="宋体" w:cs="宋体"/>
          <w:color w:val="auto"/>
          <w:szCs w:val="24"/>
          <w:highlight w:val="none"/>
          <w:u w:val="single"/>
        </w:rPr>
        <w:instrText xml:space="preserve">= 9 \* GB3</w:instrText>
      </w:r>
      <w:r>
        <w:rPr>
          <w:rFonts w:ascii="宋体" w:hAnsi="宋体" w:cs="宋体"/>
          <w:color w:val="auto"/>
          <w:szCs w:val="24"/>
          <w:highlight w:val="none"/>
          <w:u w:val="single"/>
        </w:rPr>
        <w:instrText xml:space="preserve"> </w:instrText>
      </w:r>
      <w:r>
        <w:rPr>
          <w:rFonts w:ascii="宋体" w:hAnsi="宋体" w:cs="宋体"/>
          <w:color w:val="auto"/>
          <w:szCs w:val="24"/>
          <w:highlight w:val="none"/>
          <w:u w:val="single"/>
        </w:rPr>
        <w:fldChar w:fldCharType="separate"/>
      </w:r>
      <w:r>
        <w:rPr>
          <w:rFonts w:hint="eastAsia" w:ascii="宋体" w:hAnsi="宋体" w:cs="宋体"/>
          <w:color w:val="auto"/>
          <w:szCs w:val="24"/>
          <w:highlight w:val="none"/>
          <w:u w:val="single"/>
        </w:rPr>
        <w:t>⑨</w:t>
      </w:r>
      <w:r>
        <w:rPr>
          <w:rFonts w:ascii="宋体" w:hAnsi="宋体" w:cs="宋体"/>
          <w:color w:val="auto"/>
          <w:szCs w:val="24"/>
          <w:highlight w:val="none"/>
          <w:u w:val="single"/>
        </w:rPr>
        <w:fldChar w:fldCharType="end"/>
      </w:r>
      <w:r>
        <w:rPr>
          <w:rFonts w:hint="eastAsia" w:ascii="宋体" w:hAnsi="宋体" w:cs="宋体"/>
          <w:color w:val="auto"/>
          <w:szCs w:val="24"/>
          <w:highlight w:val="none"/>
          <w:u w:val="single"/>
        </w:rPr>
        <w:t>施工期间应做好安全文明施工，车辆主入口</w:t>
      </w:r>
      <w:r>
        <w:rPr>
          <w:rFonts w:hint="eastAsia" w:ascii="宋体" w:hAnsi="宋体" w:cs="宋体"/>
          <w:color w:val="auto"/>
          <w:szCs w:val="24"/>
          <w:highlight w:val="none"/>
          <w:u w:val="single"/>
          <w:lang w:eastAsia="zh-CN"/>
        </w:rPr>
        <w:t>、</w:t>
      </w:r>
      <w:r>
        <w:rPr>
          <w:rFonts w:hint="eastAsia" w:ascii="宋体" w:hAnsi="宋体" w:cs="宋体"/>
          <w:color w:val="auto"/>
          <w:szCs w:val="24"/>
          <w:highlight w:val="none"/>
          <w:u w:val="single"/>
        </w:rPr>
        <w:t>施工围挡布置及围挡高度，安全文明施工指示牌</w:t>
      </w:r>
      <w:r>
        <w:rPr>
          <w:rFonts w:hint="eastAsia" w:ascii="宋体" w:hAnsi="宋体" w:cs="宋体"/>
          <w:color w:val="auto"/>
          <w:szCs w:val="24"/>
          <w:highlight w:val="none"/>
          <w:u w:val="single"/>
          <w:lang w:val="en-US" w:eastAsia="zh-CN"/>
        </w:rPr>
        <w:t>应</w:t>
      </w:r>
      <w:r>
        <w:rPr>
          <w:rFonts w:hint="eastAsia" w:ascii="宋体" w:hAnsi="宋体" w:cs="宋体"/>
          <w:color w:val="auto"/>
          <w:szCs w:val="24"/>
          <w:highlight w:val="none"/>
          <w:u w:val="single"/>
        </w:rPr>
        <w:t>满足省市相关规定，施工现场</w:t>
      </w:r>
      <w:r>
        <w:rPr>
          <w:rFonts w:hint="eastAsia" w:ascii="宋体" w:hAnsi="宋体" w:cs="宋体"/>
          <w:color w:val="auto"/>
          <w:szCs w:val="24"/>
          <w:highlight w:val="none"/>
          <w:u w:val="single"/>
          <w:lang w:val="en-US" w:eastAsia="zh-CN"/>
        </w:rPr>
        <w:t>应</w:t>
      </w:r>
      <w:r>
        <w:rPr>
          <w:rFonts w:hint="eastAsia" w:ascii="宋体" w:hAnsi="宋体" w:cs="宋体"/>
          <w:color w:val="auto"/>
          <w:szCs w:val="24"/>
          <w:highlight w:val="none"/>
          <w:u w:val="single"/>
        </w:rPr>
        <w:t>做好扬尘控制，施工区域内必须安装防尘网</w:t>
      </w:r>
      <w:r>
        <w:rPr>
          <w:rFonts w:hint="eastAsia" w:ascii="宋体" w:hAnsi="宋体" w:cs="宋体"/>
          <w:color w:val="auto"/>
          <w:szCs w:val="24"/>
          <w:highlight w:val="none"/>
          <w:u w:val="single"/>
          <w:lang w:eastAsia="zh-CN"/>
        </w:rPr>
        <w:t>，</w:t>
      </w:r>
      <w:r>
        <w:rPr>
          <w:rFonts w:hint="eastAsia" w:ascii="宋体" w:hAnsi="宋体" w:cs="宋体"/>
          <w:color w:val="auto"/>
          <w:szCs w:val="24"/>
          <w:highlight w:val="none"/>
          <w:u w:val="single"/>
        </w:rPr>
        <w:t>垃圾</w:t>
      </w:r>
      <w:r>
        <w:rPr>
          <w:rFonts w:hint="eastAsia" w:ascii="宋体" w:hAnsi="宋体" w:cs="宋体"/>
          <w:color w:val="auto"/>
          <w:szCs w:val="24"/>
          <w:highlight w:val="none"/>
          <w:u w:val="single"/>
          <w:lang w:val="en-US" w:eastAsia="zh-CN"/>
        </w:rPr>
        <w:t>应及时</w:t>
      </w:r>
      <w:r>
        <w:rPr>
          <w:rFonts w:hint="eastAsia" w:ascii="宋体" w:hAnsi="宋体" w:cs="宋体"/>
          <w:color w:val="auto"/>
          <w:szCs w:val="24"/>
          <w:highlight w:val="none"/>
          <w:u w:val="single"/>
        </w:rPr>
        <w:t>做好覆盖，并配备</w:t>
      </w:r>
      <w:r>
        <w:rPr>
          <w:rFonts w:hint="eastAsia" w:ascii="宋体" w:hAnsi="宋体" w:cs="宋体"/>
          <w:color w:val="auto"/>
          <w:szCs w:val="24"/>
          <w:highlight w:val="none"/>
          <w:u w:val="single"/>
          <w:lang w:val="en-US" w:eastAsia="zh-CN"/>
        </w:rPr>
        <w:t>足够的</w:t>
      </w:r>
      <w:r>
        <w:rPr>
          <w:rFonts w:hint="eastAsia" w:ascii="宋体" w:hAnsi="宋体" w:cs="宋体"/>
          <w:color w:val="auto"/>
          <w:szCs w:val="24"/>
          <w:highlight w:val="none"/>
          <w:u w:val="single"/>
        </w:rPr>
        <w:t>喷雾降尘装置</w:t>
      </w:r>
      <w:r>
        <w:rPr>
          <w:rFonts w:hint="eastAsia" w:ascii="宋体" w:hAnsi="宋体" w:cs="宋体"/>
          <w:color w:val="auto"/>
          <w:szCs w:val="24"/>
          <w:highlight w:val="none"/>
          <w:u w:val="none"/>
          <w:lang w:eastAsia="zh-CN"/>
        </w:rPr>
        <w:t>。</w:t>
      </w:r>
    </w:p>
    <w:p w14:paraId="3DA85034">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4、承包人应充分考虑工程进度，施工进场前及时办理施工用水、用电等相关手续，采购相关材料设备，不得影响工程推进，施工过程中，注意维护相关设备，不得因停水、停电影响施工。承包人应根据工程实际情况配备发电设备，不得因停电影响施工</w:t>
      </w:r>
      <w:r>
        <w:rPr>
          <w:rFonts w:hint="eastAsia" w:ascii="宋体" w:hAnsi="宋体" w:cs="宋体"/>
          <w:color w:val="auto"/>
          <w:szCs w:val="24"/>
          <w:highlight w:val="none"/>
        </w:rPr>
        <w:t>。</w:t>
      </w:r>
    </w:p>
    <w:p w14:paraId="6DE4F84F">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5、承包人在实际施工过程中应科学安排施工工序及进度计划，进度计划要符合总工期要求。综合考虑各种施工影响因素，对各施工分项进行合理安排，切忌前松后紧。要加强对计划执行情况核查，对关键线路上工程连续出现滞后，应及时采取有效的措施进行纠正</w:t>
      </w:r>
      <w:r>
        <w:rPr>
          <w:rFonts w:hint="eastAsia" w:ascii="宋体" w:hAnsi="宋体" w:cs="宋体"/>
          <w:color w:val="auto"/>
          <w:szCs w:val="24"/>
          <w:highlight w:val="none"/>
        </w:rPr>
        <w:t>。</w:t>
      </w:r>
    </w:p>
    <w:p w14:paraId="00B4667B">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6、承包人在实际开工前向监理方提供有关人员的上岗证及有关设备的年检合格证，按要求办妥外来人员的居住证、务工证、健康证等证件并承担相应费用，配合发包人办理施工许可证等各类证件</w:t>
      </w:r>
      <w:r>
        <w:rPr>
          <w:rFonts w:hint="eastAsia" w:ascii="宋体" w:hAnsi="宋体" w:cs="宋体"/>
          <w:color w:val="auto"/>
          <w:szCs w:val="24"/>
          <w:highlight w:val="none"/>
        </w:rPr>
        <w:t>。</w:t>
      </w:r>
    </w:p>
    <w:p w14:paraId="32D14063">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7、施工期间安全保卫工作及施工照明、现场用水用电的责任均由承包人负责承担。如施工期间发生人身伤亡事故或其他安全责任事故，由承包人承担全部责任和费用，与发包人无涉。在施工期间，承包人按需满足当地派出所工地治安要求提供规定数量的专职保安人员供派出所统一调度并承担相应费用</w:t>
      </w:r>
      <w:r>
        <w:rPr>
          <w:rFonts w:hint="eastAsia" w:ascii="宋体" w:hAnsi="宋体" w:cs="宋体"/>
          <w:color w:val="auto"/>
          <w:szCs w:val="24"/>
          <w:highlight w:val="none"/>
        </w:rPr>
        <w:t>。</w:t>
      </w:r>
    </w:p>
    <w:p w14:paraId="0DE1797B">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8、施工场地清洁卫生的要求: 承包人负责保通道路的养护，施工场地严格按照规定的文明施工要求执行，禁止向河道及市政污水管网排放杂物、污水(施工场地内的排水须经澄清后有组织的排出)，遵守宁波市卫生城市规范条例及相关规定要求，违者后果自负。在工程的分部分项工程完工验收前、工程竣工验收和交工前应达到场地整洁、工程材料设备能见到本色且表面无污染的要求；工程竣工验收和交工前多余的工程材料、施工周转材料、建筑垃圾及设备等已退出场地；未达到要求视作不具备验收条件，由此产生的费用已包含在承包人的投标报价中</w:t>
      </w:r>
      <w:r>
        <w:rPr>
          <w:rFonts w:hint="eastAsia" w:ascii="宋体" w:hAnsi="宋体" w:cs="宋体"/>
          <w:color w:val="auto"/>
          <w:szCs w:val="24"/>
          <w:highlight w:val="none"/>
        </w:rPr>
        <w:t>。</w:t>
      </w:r>
    </w:p>
    <w:p w14:paraId="481A5EB9">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9、建筑垃圾处置不当（包括乱倒、偷排、偷倒）等原因而产生的一切责任及后果由承包人负责，与发包人无关，如被处罚由承包人自行承担责任</w:t>
      </w:r>
      <w:r>
        <w:rPr>
          <w:rFonts w:hint="eastAsia" w:ascii="宋体" w:hAnsi="宋体" w:cs="宋体"/>
          <w:color w:val="auto"/>
          <w:szCs w:val="24"/>
          <w:highlight w:val="none"/>
        </w:rPr>
        <w:t>。</w:t>
      </w:r>
    </w:p>
    <w:p w14:paraId="0985E852">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10、在组织施工过程中，承包人必须仔细审核施工图纸，对施工图纸尺寸、标高的错误，对建筑、结构、安装等各专业图纸中的互相矛盾，对节点详图与平立面图纸之间的矛盾，及时向监理、设计、发包人提出，禁止擅自变更或按其中某种做法擅自施工，否则由承包人自行承担相应损失</w:t>
      </w:r>
      <w:r>
        <w:rPr>
          <w:rFonts w:hint="eastAsia" w:ascii="宋体" w:hAnsi="宋体" w:cs="宋体"/>
          <w:color w:val="auto"/>
          <w:szCs w:val="24"/>
          <w:highlight w:val="none"/>
        </w:rPr>
        <w:t>。</w:t>
      </w:r>
    </w:p>
    <w:p w14:paraId="5BA20C7D">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11、承包人需做好工程专业管线（给水、电力等）统一管理（包括统一测量放样、复核等）及配合工作</w:t>
      </w:r>
      <w:r>
        <w:rPr>
          <w:rFonts w:hint="eastAsia" w:ascii="宋体" w:hAnsi="宋体" w:cs="宋体"/>
          <w:color w:val="auto"/>
          <w:szCs w:val="24"/>
          <w:highlight w:val="none"/>
        </w:rPr>
        <w:t>。</w:t>
      </w:r>
    </w:p>
    <w:p w14:paraId="30D5BC5D">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12、已竣工工程未正式交付发包人之前，承包人负责己完工程的保护工作，保护期间发生损坏、偷盗等，承包人自费予以修复</w:t>
      </w:r>
      <w:r>
        <w:rPr>
          <w:rFonts w:hint="eastAsia" w:ascii="宋体" w:hAnsi="宋体" w:cs="宋体"/>
          <w:color w:val="auto"/>
          <w:szCs w:val="24"/>
          <w:highlight w:val="none"/>
        </w:rPr>
        <w:t>。</w:t>
      </w:r>
    </w:p>
    <w:p w14:paraId="77019024">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13、承包人须无条件配合发包人和上级部门对本项目的各项检查落实工作；配合发包人通过消防验收、节能验收等各项单体验收和综合验收相关的专项验收</w:t>
      </w:r>
      <w:r>
        <w:rPr>
          <w:rFonts w:hint="eastAsia" w:ascii="宋体" w:hAnsi="宋体" w:cs="宋体"/>
          <w:color w:val="auto"/>
          <w:szCs w:val="24"/>
          <w:highlight w:val="none"/>
        </w:rPr>
        <w:t>。</w:t>
      </w:r>
    </w:p>
    <w:p w14:paraId="3D3C9AB3">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14、承包人需无条件配合原材料见证取样检测、抽样检测、实体检测等</w:t>
      </w:r>
      <w:r>
        <w:rPr>
          <w:rFonts w:hint="eastAsia" w:ascii="宋体" w:hAnsi="宋体" w:cs="宋体"/>
          <w:color w:val="auto"/>
          <w:szCs w:val="24"/>
          <w:highlight w:val="none"/>
        </w:rPr>
        <w:t>。</w:t>
      </w:r>
    </w:p>
    <w:p w14:paraId="32E5095B">
      <w:pPr>
        <w:pStyle w:val="953"/>
        <w:adjustRightInd/>
        <w:spacing w:before="0" w:after="0" w:line="360" w:lineRule="auto"/>
        <w:ind w:left="0" w:right="0" w:firstLine="480" w:firstLineChars="200"/>
        <w:rPr>
          <w:rFonts w:ascii="宋体" w:hAnsi="宋体" w:cs="宋体"/>
          <w:color w:val="auto"/>
          <w:szCs w:val="24"/>
          <w:highlight w:val="none"/>
        </w:rPr>
      </w:pPr>
      <w:r>
        <w:rPr>
          <w:rFonts w:hint="eastAsia" w:ascii="宋体" w:hAnsi="宋体" w:cs="宋体"/>
          <w:color w:val="auto"/>
          <w:szCs w:val="24"/>
          <w:highlight w:val="none"/>
          <w:u w:val="single"/>
        </w:rPr>
        <w:t>15、本工程由发包人委托跟踪审计咨询单位进行跟踪咨询，同时如有相关主管部门检查、审核的，承包人必须积极配合相关工作</w:t>
      </w:r>
      <w:r>
        <w:rPr>
          <w:rFonts w:hint="eastAsia" w:ascii="宋体" w:hAnsi="宋体" w:cs="宋体"/>
          <w:color w:val="auto"/>
          <w:szCs w:val="24"/>
          <w:highlight w:val="none"/>
        </w:rPr>
        <w:t>。</w:t>
      </w:r>
    </w:p>
    <w:p w14:paraId="13587E67">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16、承包人需积极配合发包人做好上级主管部门或相关行政部门的监督检查接待工作</w:t>
      </w:r>
      <w:r>
        <w:rPr>
          <w:rFonts w:hint="eastAsia" w:ascii="宋体" w:hAnsi="宋体" w:cs="宋体"/>
          <w:color w:val="auto"/>
          <w:szCs w:val="24"/>
          <w:highlight w:val="none"/>
        </w:rPr>
        <w:t>。</w:t>
      </w:r>
    </w:p>
    <w:p w14:paraId="56A15F10">
      <w:pPr>
        <w:pStyle w:val="953"/>
        <w:adjustRightInd/>
        <w:spacing w:before="0" w:after="0" w:line="360" w:lineRule="auto"/>
        <w:ind w:left="0" w:right="0" w:firstLine="48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17、承包人应遵守工程建设安全生产有关管理规定，严格按安全标准组织施工，并随时接受行业安全检查人员依法实施的监督检查，采取必要的安全防护措施，消除事故隐患。施工期间，须保障施工周边环境、财产及人身安全，由于承包人安全措施不力造成事故的责任和因此发生的费用，由承包人承担</w:t>
      </w:r>
      <w:r>
        <w:rPr>
          <w:rFonts w:hint="eastAsia" w:ascii="宋体" w:hAnsi="宋体" w:cs="宋体"/>
          <w:color w:val="auto"/>
          <w:szCs w:val="24"/>
          <w:highlight w:val="none"/>
        </w:rPr>
        <w:t>。</w:t>
      </w:r>
    </w:p>
    <w:p w14:paraId="4A2E3F89">
      <w:pPr>
        <w:pStyle w:val="953"/>
        <w:adjustRightInd/>
        <w:spacing w:before="0" w:after="0" w:line="360" w:lineRule="auto"/>
        <w:ind w:left="0" w:right="0" w:firstLine="480" w:firstLineChars="200"/>
        <w:rPr>
          <w:rFonts w:ascii="宋体" w:hAnsi="宋体" w:cs="宋体"/>
          <w:color w:val="auto"/>
          <w:szCs w:val="24"/>
          <w:highlight w:val="none"/>
        </w:rPr>
      </w:pPr>
      <w:r>
        <w:rPr>
          <w:rFonts w:hint="eastAsia" w:ascii="宋体" w:hAnsi="宋体" w:cs="宋体"/>
          <w:color w:val="auto"/>
          <w:szCs w:val="24"/>
          <w:highlight w:val="none"/>
          <w:u w:val="single"/>
        </w:rPr>
        <w:t>18、工程造价审核：承包人应遵循实事求是的原则编制工程结算，保证工程结算的准确性，承包人积极配合发包人指定的咨询单位相关工作，认可其咨询结论。结算审核基本费由发包人支付，追加审核咨询费由承包人承担，具体为：结算审核时核减造价超出送审造价5%时，追加审核咨询费按超过5%以外的核减额的5%计算[追加费=(核减造价-送审造价×5%）×5%]，核增按全部核增额的5%收取审核追加费。追加审核咨询费经委托人同意后由施工单位支付</w:t>
      </w:r>
      <w:r>
        <w:rPr>
          <w:rFonts w:hint="eastAsia" w:ascii="宋体" w:hAnsi="宋体" w:cs="宋体"/>
          <w:color w:val="auto"/>
          <w:szCs w:val="24"/>
          <w:highlight w:val="none"/>
        </w:rPr>
        <w:t>。</w:t>
      </w:r>
    </w:p>
    <w:p w14:paraId="24C2D008">
      <w:pPr>
        <w:adjustRightInd/>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u w:val="single"/>
        </w:rPr>
        <w:t>19、</w:t>
      </w:r>
      <w:r>
        <w:rPr>
          <w:rFonts w:hint="eastAsia" w:ascii="宋体" w:hAnsi="宋体" w:cs="宋体"/>
          <w:color w:val="auto"/>
          <w:kern w:val="0"/>
          <w:sz w:val="24"/>
          <w:highlight w:val="none"/>
          <w:u w:val="single"/>
        </w:rPr>
        <w:t>承包人不得因尚未签证的涉及费用的变更联系单或洽商记录影响正常施工，否则由此而引起的损失均由承包人承担</w:t>
      </w:r>
      <w:r>
        <w:rPr>
          <w:rFonts w:hint="eastAsia" w:ascii="宋体" w:hAnsi="宋体" w:cs="宋体"/>
          <w:color w:val="auto"/>
          <w:kern w:val="0"/>
          <w:sz w:val="24"/>
          <w:highlight w:val="none"/>
        </w:rPr>
        <w:t xml:space="preserve">。 </w:t>
      </w:r>
    </w:p>
    <w:p w14:paraId="0AD8C4F8">
      <w:pPr>
        <w:pStyle w:val="969"/>
        <w:adjustRightInd/>
        <w:spacing w:line="360" w:lineRule="auto"/>
        <w:ind w:firstLine="482" w:firstLineChars="200"/>
        <w:rPr>
          <w:rFonts w:hAnsi="宋体" w:cs="宋体"/>
          <w:bCs/>
          <w:color w:val="auto"/>
          <w:szCs w:val="24"/>
          <w:highlight w:val="none"/>
        </w:rPr>
      </w:pPr>
      <w:r>
        <w:rPr>
          <w:rFonts w:hint="eastAsia" w:hAnsi="宋体" w:cs="宋体"/>
          <w:color w:val="auto"/>
          <w:szCs w:val="24"/>
          <w:highlight w:val="none"/>
        </w:rPr>
        <w:t>3.2 项目经理</w:t>
      </w:r>
    </w:p>
    <w:p w14:paraId="4EC1A26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3.2.1项目经理：</w:t>
      </w:r>
    </w:p>
    <w:p w14:paraId="7BE25A7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B6078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rPr>
        <w:t>；</w:t>
      </w:r>
    </w:p>
    <w:p w14:paraId="7CC1DD3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BDAEF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B5E7E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C3AA9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05F83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5030BB">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在承包人授权范围内履行承包人的职权，对工程建设的质量、安全、进度、文明施工以及工程造价控制负责，所有上报给发包人的文件均需项目经理签字</w:t>
      </w:r>
      <w:r>
        <w:rPr>
          <w:rFonts w:hint="eastAsia" w:ascii="宋体" w:hAnsi="宋体" w:cs="宋体"/>
          <w:color w:val="auto"/>
          <w:sz w:val="24"/>
          <w:highlight w:val="none"/>
        </w:rPr>
        <w:t>。</w:t>
      </w:r>
    </w:p>
    <w:p w14:paraId="3BD9E1F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kern w:val="0"/>
          <w:sz w:val="24"/>
          <w:highlight w:val="none"/>
          <w:u w:val="single"/>
        </w:rPr>
        <w:t>每月在施工现场时间不得少于25天，每天工作时间不得少于8小时</w:t>
      </w:r>
      <w:r>
        <w:rPr>
          <w:rFonts w:hint="eastAsia" w:ascii="宋体" w:hAnsi="宋体" w:cs="宋体"/>
          <w:color w:val="auto"/>
          <w:sz w:val="24"/>
          <w:highlight w:val="none"/>
          <w:u w:val="single"/>
        </w:rPr>
        <w:t>，且重要工程例会及验收环节等必须由项目经理参加。有特殊情况少于上述时间的，批准要求按通用条款执行</w:t>
      </w:r>
      <w:r>
        <w:rPr>
          <w:rFonts w:hint="eastAsia" w:ascii="宋体" w:hAnsi="宋体" w:cs="宋体"/>
          <w:color w:val="auto"/>
          <w:sz w:val="24"/>
          <w:highlight w:val="none"/>
        </w:rPr>
        <w:t>。</w:t>
      </w:r>
    </w:p>
    <w:p w14:paraId="60E7BA9F">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kern w:val="0"/>
          <w:sz w:val="24"/>
          <w:highlight w:val="none"/>
          <w:u w:val="single"/>
        </w:rPr>
        <w:t>发包人有权解除合同，由此造成的费用增加和工期延误损失均由承包人承担</w:t>
      </w:r>
      <w:r>
        <w:rPr>
          <w:rFonts w:hint="eastAsia" w:ascii="宋体" w:hAnsi="宋体" w:cs="宋体"/>
          <w:color w:val="auto"/>
          <w:kern w:val="0"/>
          <w:sz w:val="24"/>
          <w:highlight w:val="none"/>
        </w:rPr>
        <w:t>。</w:t>
      </w:r>
    </w:p>
    <w:p w14:paraId="3048CE3C">
      <w:pPr>
        <w:adjustRightInd/>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kern w:val="0"/>
          <w:sz w:val="24"/>
          <w:highlight w:val="none"/>
          <w:u w:val="single"/>
        </w:rPr>
        <w:t>支付违约金2000元/次，违约金从当期或下期进度款中扣除</w:t>
      </w:r>
      <w:r>
        <w:rPr>
          <w:rFonts w:hint="eastAsia" w:ascii="宋体" w:hAnsi="宋体" w:cs="宋体"/>
          <w:color w:val="auto"/>
          <w:kern w:val="0"/>
          <w:sz w:val="24"/>
          <w:highlight w:val="none"/>
        </w:rPr>
        <w:t>。</w:t>
      </w:r>
    </w:p>
    <w:p w14:paraId="67F72024">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3.2.3承包人擅自更换项目经理的违约责任：</w:t>
      </w:r>
      <w:r>
        <w:rPr>
          <w:rFonts w:hint="eastAsia" w:ascii="宋体" w:hAnsi="宋体" w:cs="宋体"/>
          <w:color w:val="auto"/>
          <w:kern w:val="0"/>
          <w:sz w:val="24"/>
          <w:highlight w:val="none"/>
          <w:u w:val="single"/>
        </w:rPr>
        <w:t>已确定的项目经理，除特殊情况（指重大疾病、死亡等）外，承包人不得要求更换，否则均视为擅自更换。如确实需要更换的，在满足甬建发[2016]200号文件和招标文件规定的前提下，且更换的人员满足更换条件（即曾参建过同类工程项目，有工作经验，职称等于或高于被更换人员等）方可办理。项目经理更换需经发包人同意，并符合甬建发[2016]200号文件要求。除特殊情况（指重大疾病、死亡等）外，无论发包人同意与否，承包人均应承担人员更换的违约责任，即每更换项目经理一次，需承担1万元作为违约金，违约金从当期或下期进度款中扣除，进度款不足时延至下期，直至扣足违约金</w:t>
      </w:r>
      <w:r>
        <w:rPr>
          <w:rFonts w:hint="eastAsia" w:ascii="宋体" w:hAnsi="宋体" w:cs="宋体"/>
          <w:color w:val="auto"/>
          <w:sz w:val="24"/>
          <w:highlight w:val="none"/>
          <w:u w:val="single"/>
        </w:rPr>
        <w:t>，且有权拒绝接受其擅自更换的项目经理。承包人指派的本项目实际负责人与本合同约定的项目经理不一致的，经发包人通知纠正后仍不纠正的，发包人有权解除合同。实际负责人管理项目的责任由承包人最终承担</w:t>
      </w:r>
      <w:r>
        <w:rPr>
          <w:rFonts w:hint="eastAsia" w:ascii="宋体" w:hAnsi="宋体" w:cs="宋体"/>
          <w:color w:val="auto"/>
          <w:sz w:val="24"/>
          <w:highlight w:val="none"/>
        </w:rPr>
        <w:t>。</w:t>
      </w:r>
    </w:p>
    <w:p w14:paraId="46AAD1F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3.2.4承包人无正当理由拒绝更换项目经理的违约责任：</w:t>
      </w:r>
      <w:r>
        <w:rPr>
          <w:rFonts w:hint="eastAsia" w:ascii="宋体" w:hAnsi="宋体" w:cs="宋体"/>
          <w:color w:val="auto"/>
          <w:sz w:val="24"/>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r>
        <w:rPr>
          <w:rFonts w:hint="eastAsia" w:ascii="宋体" w:hAnsi="宋体" w:cs="宋体"/>
          <w:color w:val="auto"/>
          <w:sz w:val="24"/>
          <w:highlight w:val="none"/>
        </w:rPr>
        <w:t>。</w:t>
      </w:r>
    </w:p>
    <w:p w14:paraId="331BEE98">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3.3 承包人人员</w:t>
      </w:r>
    </w:p>
    <w:p w14:paraId="22E20642">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3.3.1承包人提交项目管理机构及施工现场管理人员安排报告的期限：</w:t>
      </w:r>
      <w:r>
        <w:rPr>
          <w:rFonts w:hint="eastAsia" w:ascii="宋体" w:hAnsi="宋体" w:cs="宋体"/>
          <w:color w:val="auto"/>
          <w:sz w:val="24"/>
          <w:highlight w:val="none"/>
          <w:u w:val="single"/>
        </w:rPr>
        <w:t>承包人应接到开工通知后7天内提交与投标时所承诺的人员一致的项目管理机构\施工现场管理人员安排报告，并同时提交施工管理人员与承包人之间的劳动关系证明和缴纳社会保险的有效证明</w:t>
      </w:r>
      <w:r>
        <w:rPr>
          <w:rFonts w:hint="eastAsia" w:ascii="宋体" w:hAnsi="宋体" w:cs="宋体"/>
          <w:color w:val="auto"/>
          <w:sz w:val="24"/>
          <w:highlight w:val="none"/>
        </w:rPr>
        <w:t>。</w:t>
      </w:r>
    </w:p>
    <w:p w14:paraId="6984561B">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承包人未提交劳动合同，以及没有为主要施工管理人员缴纳社会保险证明的违约责任：</w:t>
      </w:r>
      <w:r>
        <w:rPr>
          <w:rFonts w:hint="eastAsia" w:ascii="宋体" w:hAnsi="宋体" w:cs="宋体"/>
          <w:color w:val="auto"/>
          <w:kern w:val="0"/>
          <w:sz w:val="24"/>
          <w:highlight w:val="none"/>
          <w:u w:val="single"/>
        </w:rPr>
        <w:t>发包人有权解除合同，由此造成的费用增加和工期延误损失均由承包人承担</w:t>
      </w:r>
      <w:r>
        <w:rPr>
          <w:rFonts w:hint="eastAsia" w:ascii="宋体" w:hAnsi="宋体" w:cs="宋体"/>
          <w:color w:val="auto"/>
          <w:kern w:val="0"/>
          <w:sz w:val="24"/>
          <w:highlight w:val="none"/>
        </w:rPr>
        <w:t>。</w:t>
      </w:r>
    </w:p>
    <w:p w14:paraId="32BA79CC">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3.3.3承包人无正当理由拒绝撤换主要施工管理人员的违约责任：</w:t>
      </w:r>
      <w:r>
        <w:rPr>
          <w:rFonts w:hint="eastAsia" w:ascii="宋体" w:hAnsi="宋体" w:cs="宋体"/>
          <w:color w:val="auto"/>
          <w:kern w:val="0"/>
          <w:sz w:val="24"/>
          <w:highlight w:val="none"/>
          <w:u w:val="single"/>
        </w:rPr>
        <w:t>发</w:t>
      </w:r>
      <w:r>
        <w:rPr>
          <w:rFonts w:hint="eastAsia" w:ascii="宋体" w:hAnsi="宋体" w:cs="宋体"/>
          <w:color w:val="auto"/>
          <w:sz w:val="24"/>
          <w:highlight w:val="none"/>
          <w:u w:val="single"/>
        </w:rPr>
        <w:t>包人认为主要施工管理人员（指技术负责人、安全员、施工员、质量员、资料员）无法履行职责的，应提供相关证明材料，并签发《整改通知书》。承包人在收到《整改通知书》后仍无改善的，发包人有权要求承包人更换管理人员。承包人无正当理由拒绝更换的，发包人可以一次性</w:t>
      </w:r>
      <w:r>
        <w:rPr>
          <w:rFonts w:hint="eastAsia" w:ascii="宋体" w:hAnsi="宋体" w:cs="宋体"/>
          <w:color w:val="auto"/>
          <w:kern w:val="0"/>
          <w:sz w:val="24"/>
          <w:highlight w:val="none"/>
          <w:u w:val="single"/>
        </w:rPr>
        <w:t>从当期或下期进度款中</w:t>
      </w:r>
      <w:r>
        <w:rPr>
          <w:rFonts w:hint="eastAsia" w:ascii="宋体" w:hAnsi="宋体" w:cs="宋体"/>
          <w:color w:val="auto"/>
          <w:sz w:val="24"/>
          <w:highlight w:val="none"/>
          <w:u w:val="single"/>
        </w:rPr>
        <w:t>扣除承包人投标函附录中承诺中的“未履行项目经理及主要施工管理人员到场承诺违约金”限额。对工程影响严重的，发包人有权解除合同，由此造成的一切损失由承包人承担</w:t>
      </w:r>
      <w:r>
        <w:rPr>
          <w:rFonts w:hint="eastAsia" w:ascii="宋体" w:hAnsi="宋体" w:cs="宋体"/>
          <w:color w:val="auto"/>
          <w:sz w:val="24"/>
          <w:highlight w:val="none"/>
        </w:rPr>
        <w:t>。</w:t>
      </w:r>
    </w:p>
    <w:p w14:paraId="022BBFD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3.3.4承包人主要施工管理人员离开施工现场的批准要求：</w:t>
      </w:r>
      <w:r>
        <w:rPr>
          <w:rFonts w:hint="eastAsia" w:ascii="宋体" w:hAnsi="宋体" w:cs="宋体"/>
          <w:color w:val="auto"/>
          <w:sz w:val="24"/>
          <w:highlight w:val="none"/>
          <w:u w:val="single"/>
        </w:rPr>
        <w:t>主要施工管理人员（指安全员、施工员、质量员、资料员）月到位率</w:t>
      </w:r>
      <w:r>
        <w:rPr>
          <w:rFonts w:hint="eastAsia" w:ascii="宋体" w:hAnsi="宋体" w:cs="宋体"/>
          <w:color w:val="auto"/>
          <w:sz w:val="24"/>
          <w:highlight w:val="none"/>
          <w:u w:val="single"/>
          <w:lang w:val="en-US" w:eastAsia="zh-CN"/>
        </w:rPr>
        <w:t>100</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6CA1CF0">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已确定的主要施工管理人员，</w:t>
      </w:r>
      <w:r>
        <w:rPr>
          <w:rFonts w:hint="eastAsia" w:ascii="宋体" w:hAnsi="宋体" w:cs="宋体"/>
          <w:color w:val="auto"/>
          <w:kern w:val="0"/>
          <w:sz w:val="24"/>
          <w:highlight w:val="none"/>
          <w:u w:val="single"/>
        </w:rPr>
        <w:t>除特殊情况（指重大疾病、死亡等）外，承包人不得要求更换，否则均视为擅自更换。如确实需要更换的，在满足甬建发[2016]200号文件和招标文件规定的前提下，且更换的人员满足更换条件（即曾参建过同类工程项目，有工作经验，职称等于或高于被更换人员等）方可办理。主要施工管理人员更换需经发包人同意，并符合甬建发[2016]200号文件要求。除特殊情况（指重大疾病、死亡等）外，无论发包人同意与否，承包人均应承担人员更换的违约责任，即每更换技术负责人一次需承担1万元作为违约金，其它主要施工管理人员（除技术负责人外）一次需承担5000元作为违约金，违约金从当期或下期进度款中扣除，</w:t>
      </w:r>
      <w:r>
        <w:rPr>
          <w:rFonts w:hint="eastAsia" w:ascii="宋体" w:hAnsi="宋体" w:cs="宋体"/>
          <w:color w:val="auto"/>
          <w:sz w:val="24"/>
          <w:highlight w:val="none"/>
          <w:u w:val="single"/>
        </w:rPr>
        <w:t>且有权拒绝接受其擅自更换的主要施工管理人员</w:t>
      </w:r>
      <w:r>
        <w:rPr>
          <w:rFonts w:hint="eastAsia" w:ascii="宋体" w:hAnsi="宋体" w:cs="宋体"/>
          <w:color w:val="auto"/>
          <w:sz w:val="24"/>
          <w:highlight w:val="none"/>
        </w:rPr>
        <w:t>。</w:t>
      </w:r>
    </w:p>
    <w:p w14:paraId="63EDE3B0">
      <w:pPr>
        <w:adjustRightInd/>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主要施工管理人员未经批准，擅自离开施工现场的违约责任：</w:t>
      </w:r>
      <w:r>
        <w:rPr>
          <w:rFonts w:hint="eastAsia" w:ascii="宋体" w:hAnsi="宋体" w:cs="宋体"/>
          <w:color w:val="auto"/>
          <w:kern w:val="0"/>
          <w:sz w:val="24"/>
          <w:highlight w:val="none"/>
          <w:u w:val="single"/>
        </w:rPr>
        <w:t>处违约金500元/次，违约金从当期或下期进度款中扣除</w:t>
      </w:r>
      <w:r>
        <w:rPr>
          <w:rFonts w:hint="eastAsia" w:ascii="宋体" w:hAnsi="宋体" w:cs="宋体"/>
          <w:color w:val="auto"/>
          <w:kern w:val="0"/>
          <w:sz w:val="24"/>
          <w:highlight w:val="none"/>
        </w:rPr>
        <w:t>。</w:t>
      </w:r>
    </w:p>
    <w:p w14:paraId="307734D9">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中标公示结束后，承包人投标时确定的项目经理和主要施工管理人员因承包人原因造成无法按时到位的，该人员必须进行更换，更换的人员必须符合备案要求并办妥相关手续，且按3.2.3、3.3.5条款处罚违约金。</w:t>
      </w:r>
      <w:r>
        <w:rPr>
          <w:rFonts w:hint="eastAsia" w:ascii="宋体" w:hAnsi="宋体" w:cs="宋体"/>
          <w:color w:val="auto"/>
          <w:kern w:val="0"/>
          <w:sz w:val="24"/>
          <w:highlight w:val="none"/>
          <w:u w:val="single"/>
        </w:rPr>
        <w:t>违约金从当期或下期进度款中扣除，当期进度款不足时延至下期，直至扣足违约金</w:t>
      </w:r>
      <w:r>
        <w:rPr>
          <w:rFonts w:hint="eastAsia" w:ascii="宋体" w:hAnsi="宋体" w:cs="宋体"/>
          <w:color w:val="auto"/>
          <w:sz w:val="24"/>
          <w:highlight w:val="none"/>
          <w:u w:val="single"/>
        </w:rPr>
        <w:t>。项目经理和主要施工管理人员如不按合同认真履行职责，发包人可要求承包人无条件更换，且更换的项目经理和主要施工管理人员必须满足甬建发[2016]200号文件和招标文件规定，并按以上原则扣除违约金</w:t>
      </w:r>
      <w:r>
        <w:rPr>
          <w:rFonts w:hint="eastAsia" w:ascii="宋体" w:hAnsi="宋体" w:cs="宋体"/>
          <w:color w:val="auto"/>
          <w:sz w:val="24"/>
          <w:highlight w:val="none"/>
        </w:rPr>
        <w:t>。</w:t>
      </w:r>
    </w:p>
    <w:p w14:paraId="7D25D7A6">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3.4分包</w:t>
      </w:r>
    </w:p>
    <w:p w14:paraId="761C403F">
      <w:pPr>
        <w:adjustRightInd/>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3.4.1分包的一般约定</w:t>
      </w:r>
    </w:p>
    <w:p w14:paraId="6AE5B5CB">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3.5工程照管与成品、半成品保护</w:t>
      </w:r>
    </w:p>
    <w:p w14:paraId="06E603F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工程照管与成品、半成品保护有关约定：</w:t>
      </w:r>
    </w:p>
    <w:p w14:paraId="5019F68B">
      <w:pPr>
        <w:widowControl/>
        <w:adjustRightInd/>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承包人负责对已完工的分包工程（包括发包人另行招标的分包工程）及</w:t>
      </w:r>
      <w:r>
        <w:rPr>
          <w:rFonts w:hint="eastAsia" w:ascii="宋体" w:hAnsi="宋体" w:cs="宋体"/>
          <w:color w:val="auto"/>
          <w:sz w:val="24"/>
          <w:highlight w:val="none"/>
          <w:u w:val="single"/>
        </w:rPr>
        <w:t>邻近建筑物、构筑物（含文物保护建筑）、古树名木、雕塑等的</w:t>
      </w:r>
      <w:r>
        <w:rPr>
          <w:rFonts w:hint="eastAsia" w:ascii="宋体" w:hAnsi="宋体" w:cs="宋体"/>
          <w:color w:val="auto"/>
          <w:kern w:val="0"/>
          <w:sz w:val="24"/>
          <w:highlight w:val="none"/>
          <w:u w:val="single"/>
        </w:rPr>
        <w:t>保护，以防损失，并采取防火、防水、防风、防雨、防盗等措施，承担管理责任，相应损失及修复自行承担，不得以此影响工期。费用已包含在承包人的投标报价中</w:t>
      </w:r>
      <w:r>
        <w:rPr>
          <w:rFonts w:hint="eastAsia" w:ascii="宋体" w:hAnsi="宋体" w:cs="宋体"/>
          <w:color w:val="auto"/>
          <w:kern w:val="0"/>
          <w:sz w:val="24"/>
          <w:highlight w:val="none"/>
        </w:rPr>
        <w:t>。</w:t>
      </w:r>
    </w:p>
    <w:p w14:paraId="3234A18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color w:val="auto"/>
          <w:kern w:val="0"/>
          <w:sz w:val="24"/>
          <w:highlight w:val="none"/>
          <w:u w:val="single"/>
        </w:rPr>
        <w:t>接发包人书面进场通知起</w:t>
      </w:r>
      <w:r>
        <w:rPr>
          <w:rFonts w:hint="eastAsia" w:ascii="宋体" w:hAnsi="宋体" w:cs="宋体"/>
          <w:color w:val="auto"/>
          <w:kern w:val="0"/>
          <w:sz w:val="24"/>
          <w:highlight w:val="none"/>
        </w:rPr>
        <w:t>。</w:t>
      </w:r>
    </w:p>
    <w:p w14:paraId="4C70E51B">
      <w:pPr>
        <w:keepNext/>
        <w:keepLines/>
        <w:adjustRightInd/>
        <w:spacing w:line="360" w:lineRule="auto"/>
        <w:ind w:firstLine="482" w:firstLineChars="200"/>
        <w:outlineLvl w:val="1"/>
        <w:rPr>
          <w:rFonts w:ascii="宋体" w:hAnsi="宋体" w:cs="宋体"/>
          <w:b/>
          <w:bCs/>
          <w:color w:val="auto"/>
          <w:sz w:val="24"/>
          <w:highlight w:val="none"/>
        </w:rPr>
      </w:pPr>
      <w:bookmarkStart w:id="510" w:name="_Toc267251418"/>
      <w:bookmarkStart w:id="511" w:name="_Toc1767461773"/>
      <w:bookmarkStart w:id="512" w:name="_Toc441549874"/>
      <w:r>
        <w:rPr>
          <w:rFonts w:hint="eastAsia" w:ascii="宋体" w:hAnsi="宋体" w:cs="宋体"/>
          <w:b/>
          <w:bCs/>
          <w:color w:val="auto"/>
          <w:sz w:val="24"/>
          <w:highlight w:val="none"/>
        </w:rPr>
        <w:t>5</w:t>
      </w:r>
      <w:bookmarkEnd w:id="510"/>
      <w:bookmarkStart w:id="513" w:name="_Toc296944502"/>
      <w:bookmarkStart w:id="514" w:name="_Toc296503163"/>
      <w:bookmarkStart w:id="515" w:name="_Toc296891203"/>
      <w:bookmarkStart w:id="516" w:name="_Toc292559872"/>
      <w:bookmarkStart w:id="517" w:name="_Toc296346664"/>
      <w:bookmarkStart w:id="518" w:name="_Toc296890991"/>
      <w:bookmarkStart w:id="519" w:name="_Toc297120463"/>
      <w:bookmarkStart w:id="520" w:name="_Toc297048349"/>
      <w:bookmarkStart w:id="521" w:name="_Toc296347162"/>
      <w:bookmarkStart w:id="522" w:name="_Toc292559367"/>
      <w:r>
        <w:rPr>
          <w:rFonts w:hint="eastAsia" w:ascii="宋体" w:hAnsi="宋体" w:cs="宋体"/>
          <w:b/>
          <w:bCs/>
          <w:color w:val="auto"/>
          <w:sz w:val="24"/>
          <w:highlight w:val="none"/>
        </w:rPr>
        <w:t>.工程质量</w:t>
      </w:r>
      <w:bookmarkEnd w:id="511"/>
      <w:bookmarkEnd w:id="512"/>
    </w:p>
    <w:p w14:paraId="236793CE">
      <w:pPr>
        <w:adjustRightInd/>
        <w:spacing w:line="360" w:lineRule="auto"/>
        <w:ind w:firstLine="482" w:firstLineChars="200"/>
        <w:outlineLvl w:val="2"/>
        <w:rPr>
          <w:rFonts w:ascii="宋体" w:hAnsi="宋体" w:cs="宋体"/>
          <w:b/>
          <w:bCs/>
          <w:color w:val="auto"/>
          <w:sz w:val="24"/>
          <w:highlight w:val="none"/>
        </w:rPr>
      </w:pPr>
      <w:bookmarkStart w:id="523" w:name="_Toc1592482993"/>
      <w:bookmarkStart w:id="524" w:name="_Toc928117446"/>
      <w:bookmarkStart w:id="525" w:name="_Toc18820"/>
      <w:r>
        <w:rPr>
          <w:rFonts w:hint="eastAsia" w:ascii="宋体" w:hAnsi="宋体" w:cs="宋体"/>
          <w:b/>
          <w:bCs/>
          <w:color w:val="auto"/>
          <w:sz w:val="24"/>
          <w:highlight w:val="none"/>
        </w:rPr>
        <w:t>5.1质量要求</w:t>
      </w:r>
      <w:bookmarkEnd w:id="523"/>
      <w:bookmarkEnd w:id="524"/>
      <w:bookmarkEnd w:id="525"/>
    </w:p>
    <w:p w14:paraId="65A6F380">
      <w:pPr>
        <w:adjustRightInd/>
        <w:spacing w:line="360" w:lineRule="auto"/>
        <w:ind w:firstLine="480" w:firstLineChars="200"/>
        <w:rPr>
          <w:rFonts w:ascii="宋体" w:hAnsi="宋体" w:cs="宋体"/>
          <w:color w:val="auto"/>
          <w:kern w:val="0"/>
          <w:sz w:val="24"/>
          <w:highlight w:val="none"/>
        </w:rPr>
      </w:pPr>
      <w:bookmarkStart w:id="526" w:name="_Toc1292415266"/>
      <w:bookmarkStart w:id="527" w:name="_Toc15546"/>
      <w:bookmarkStart w:id="528" w:name="_Toc462538044"/>
      <w:bookmarkStart w:id="529" w:name="_Toc303539106"/>
      <w:bookmarkStart w:id="530" w:name="_Toc304295527"/>
      <w:bookmarkStart w:id="531" w:name="_Toc297123496"/>
      <w:bookmarkStart w:id="532" w:name="_Toc318581164"/>
      <w:bookmarkStart w:id="533" w:name="_Toc312677997"/>
      <w:bookmarkStart w:id="534" w:name="_Toc297216155"/>
      <w:bookmarkStart w:id="535" w:name="_Toc300934949"/>
      <w:r>
        <w:rPr>
          <w:rFonts w:hint="eastAsia" w:ascii="宋体" w:hAnsi="宋体" w:cs="宋体"/>
          <w:color w:val="auto"/>
          <w:kern w:val="0"/>
          <w:sz w:val="24"/>
          <w:highlight w:val="none"/>
        </w:rPr>
        <w:t>5.1.1特殊质量标准和要求：</w:t>
      </w:r>
    </w:p>
    <w:p w14:paraId="1D6FF00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本工程关于工程奖项的约定：</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14:paraId="1181D455">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5.2隐蔽工程检查</w:t>
      </w:r>
      <w:bookmarkEnd w:id="526"/>
      <w:bookmarkEnd w:id="527"/>
      <w:bookmarkEnd w:id="528"/>
      <w:bookmarkStart w:id="536" w:name="_Toc714606691"/>
      <w:bookmarkStart w:id="537" w:name="_Toc1885616336"/>
    </w:p>
    <w:p w14:paraId="24B944DD">
      <w:pPr>
        <w:adjustRightInd/>
        <w:spacing w:line="360" w:lineRule="auto"/>
        <w:ind w:firstLine="480" w:firstLineChars="200"/>
        <w:outlineLvl w:val="2"/>
        <w:rPr>
          <w:rFonts w:ascii="宋体" w:hAnsi="宋体" w:cs="宋体"/>
          <w:color w:val="auto"/>
          <w:sz w:val="24"/>
          <w:highlight w:val="none"/>
        </w:rPr>
      </w:pPr>
      <w:r>
        <w:rPr>
          <w:rFonts w:hint="eastAsia" w:ascii="宋体" w:hAnsi="宋体" w:cs="宋体"/>
          <w:color w:val="auto"/>
          <w:kern w:val="0"/>
          <w:sz w:val="24"/>
          <w:highlight w:val="none"/>
        </w:rPr>
        <w:t>5.2.1承包人提前通知监理人隐蔽工程检查的期限的约定：承包人应在共同检查前</w:t>
      </w:r>
      <w:r>
        <w:rPr>
          <w:rFonts w:hint="eastAsia" w:ascii="宋体" w:hAnsi="宋体" w:cs="宋体"/>
          <w:color w:val="auto"/>
          <w:kern w:val="0"/>
          <w:sz w:val="24"/>
          <w:highlight w:val="none"/>
          <w:u w:val="single"/>
        </w:rPr>
        <w:t xml:space="preserve"> 24</w:t>
      </w:r>
      <w:r>
        <w:rPr>
          <w:rFonts w:hint="eastAsia" w:ascii="宋体" w:hAnsi="宋体" w:cs="宋体"/>
          <w:color w:val="auto"/>
          <w:kern w:val="0"/>
          <w:sz w:val="24"/>
          <w:highlight w:val="none"/>
        </w:rPr>
        <w:t>小时书面通知监理人检查 。</w:t>
      </w:r>
    </w:p>
    <w:p w14:paraId="4A815A4F">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监理人不能按时进行检查时，应提前</w:t>
      </w:r>
      <w:r>
        <w:rPr>
          <w:rFonts w:hint="eastAsia" w:ascii="宋体" w:hAnsi="宋体" w:cs="宋体"/>
          <w:color w:val="auto"/>
          <w:kern w:val="0"/>
          <w:sz w:val="24"/>
          <w:highlight w:val="none"/>
          <w:u w:val="single"/>
        </w:rPr>
        <w:t>12</w:t>
      </w:r>
      <w:r>
        <w:rPr>
          <w:rFonts w:hint="eastAsia" w:ascii="宋体" w:hAnsi="宋体" w:cs="宋体"/>
          <w:color w:val="auto"/>
          <w:kern w:val="0"/>
          <w:sz w:val="24"/>
          <w:highlight w:val="none"/>
        </w:rPr>
        <w:t>小时提交书面延期要求。</w:t>
      </w:r>
    </w:p>
    <w:p w14:paraId="6D3F324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关于延期最长不得超过：</w:t>
      </w:r>
      <w:r>
        <w:rPr>
          <w:rFonts w:hint="eastAsia" w:ascii="宋体" w:hAnsi="宋体" w:cs="宋体"/>
          <w:color w:val="auto"/>
          <w:kern w:val="0"/>
          <w:sz w:val="24"/>
          <w:highlight w:val="none"/>
          <w:u w:val="single"/>
        </w:rPr>
        <w:t>24</w:t>
      </w:r>
      <w:r>
        <w:rPr>
          <w:rFonts w:hint="eastAsia" w:ascii="宋体" w:hAnsi="宋体" w:cs="宋体"/>
          <w:color w:val="auto"/>
          <w:kern w:val="0"/>
          <w:sz w:val="24"/>
          <w:highlight w:val="none"/>
        </w:rPr>
        <w:t>小时。</w:t>
      </w:r>
    </w:p>
    <w:p w14:paraId="6EBBC9B1">
      <w:pPr>
        <w:keepNext/>
        <w:keepLines/>
        <w:adjustRightInd/>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6.安全文明施工与环境保护</w:t>
      </w:r>
      <w:bookmarkEnd w:id="536"/>
      <w:bookmarkEnd w:id="537"/>
    </w:p>
    <w:bookmarkEnd w:id="529"/>
    <w:bookmarkEnd w:id="530"/>
    <w:bookmarkEnd w:id="531"/>
    <w:bookmarkEnd w:id="532"/>
    <w:bookmarkEnd w:id="533"/>
    <w:bookmarkEnd w:id="534"/>
    <w:bookmarkEnd w:id="535"/>
    <w:p w14:paraId="51D7C95A">
      <w:pPr>
        <w:pStyle w:val="969"/>
        <w:adjustRightInd/>
        <w:spacing w:line="360" w:lineRule="auto"/>
        <w:ind w:firstLine="480" w:firstLineChars="200"/>
        <w:rPr>
          <w:rFonts w:hAnsi="宋体" w:cs="宋体"/>
          <w:b w:val="0"/>
          <w:color w:val="auto"/>
          <w:szCs w:val="24"/>
          <w:highlight w:val="none"/>
        </w:rPr>
      </w:pPr>
      <w:bookmarkStart w:id="538" w:name="_Toc20685"/>
      <w:bookmarkStart w:id="539" w:name="_Toc829052215"/>
      <w:bookmarkStart w:id="540" w:name="_Toc152004302"/>
      <w:r>
        <w:rPr>
          <w:rFonts w:hint="eastAsia" w:hAnsi="宋体" w:cs="宋体"/>
          <w:b w:val="0"/>
          <w:color w:val="auto"/>
          <w:szCs w:val="24"/>
          <w:highlight w:val="none"/>
        </w:rPr>
        <w:t>6.1安全文明施工</w:t>
      </w:r>
    </w:p>
    <w:p w14:paraId="613409D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6.1.1项目安全生产的达标目标及相应事项的约定：</w:t>
      </w:r>
      <w:r>
        <w:rPr>
          <w:rFonts w:hint="eastAsia" w:ascii="宋体" w:hAnsi="宋体" w:cs="宋体"/>
          <w:color w:val="auto"/>
          <w:kern w:val="0"/>
          <w:sz w:val="24"/>
          <w:highlight w:val="none"/>
          <w:u w:val="single"/>
        </w:rPr>
        <w:t>合格</w:t>
      </w:r>
      <w:r>
        <w:rPr>
          <w:rFonts w:hint="eastAsia" w:ascii="宋体" w:hAnsi="宋体" w:cs="宋体"/>
          <w:color w:val="auto"/>
          <w:kern w:val="0"/>
          <w:sz w:val="24"/>
          <w:highlight w:val="none"/>
        </w:rPr>
        <w:t>。</w:t>
      </w:r>
    </w:p>
    <w:p w14:paraId="3683226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施工期间由于承包人违反安全操作规范，发生特别重大事故、重大事故、较大事故及一般事故的，发包人将根据事故的严重程度对承包人予以处罚，具体标准详见安全生产责任合同。</w:t>
      </w:r>
    </w:p>
    <w:p w14:paraId="7F8ABBC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施工期间由于承包人违反安全操作规范，被政府有关部门处罚，如通报批评、警告、罚款等，承包人承担一切责任，另给予</w:t>
      </w:r>
      <w:r>
        <w:rPr>
          <w:rFonts w:hint="eastAsia" w:ascii="宋体" w:hAnsi="宋体" w:cs="宋体"/>
          <w:color w:val="auto"/>
          <w:sz w:val="24"/>
          <w:highlight w:val="none"/>
          <w:u w:val="single"/>
        </w:rPr>
        <w:t>10000元/次</w:t>
      </w:r>
      <w:r>
        <w:rPr>
          <w:rFonts w:hint="eastAsia" w:ascii="宋体" w:hAnsi="宋体" w:cs="宋体"/>
          <w:color w:val="auto"/>
          <w:sz w:val="24"/>
          <w:highlight w:val="none"/>
        </w:rPr>
        <w:t>的处罚并在当期工程进度款中扣除。</w:t>
      </w:r>
    </w:p>
    <w:p w14:paraId="2B13A81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6.1.2关于治安保卫的特别约定：</w:t>
      </w:r>
      <w:r>
        <w:rPr>
          <w:rFonts w:hint="eastAsia" w:ascii="宋体" w:hAnsi="宋体" w:cs="宋体"/>
          <w:color w:val="auto"/>
          <w:sz w:val="24"/>
          <w:highlight w:val="none"/>
          <w:u w:val="single"/>
        </w:rPr>
        <w:t>承包人应与当地公安部门协商，在现场建立治安管理机构或联防组织，统一管理施工场地的治安保卫事项，履行合同工程的治安保卫职责</w:t>
      </w:r>
      <w:r>
        <w:rPr>
          <w:rFonts w:hint="eastAsia" w:ascii="宋体" w:hAnsi="宋体" w:cs="宋体"/>
          <w:color w:val="auto"/>
          <w:sz w:val="24"/>
          <w:highlight w:val="none"/>
        </w:rPr>
        <w:t>。</w:t>
      </w:r>
    </w:p>
    <w:p w14:paraId="35FAC15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承包人除应协助现场治安管理机构或联防组织维护施工场地的社会治安外，还应做好包括生活区在内的各自管辖区的治安保卫工作。</w:t>
      </w:r>
    </w:p>
    <w:p w14:paraId="3122B5B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39525E3">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6.1.3文明施工应按有关文件要求执行。</w:t>
      </w:r>
    </w:p>
    <w:p w14:paraId="749E2E34">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1494EBC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场地（包括发包人分配施工场地外道路包干区）须每天专人清理，厕所、食堂、生活设施要整洁。生活垃圾、建筑垃圾及时清理外运，相关费用已包含在承包人的投标报价中。如承包人接到书面通知后不积极配合，发包人有权安排其他承包人进行场地清理和垃圾外运，所发生的费用加20%的管理费从承包人的工程款中直接扣除。</w:t>
      </w:r>
    </w:p>
    <w:p w14:paraId="23E50ADF">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7.工期和进度</w:t>
      </w:r>
    </w:p>
    <w:p w14:paraId="5CB45237">
      <w:pPr>
        <w:adjustRightInd/>
        <w:spacing w:line="360" w:lineRule="auto"/>
        <w:ind w:firstLine="482" w:firstLineChars="200"/>
        <w:outlineLvl w:val="2"/>
        <w:rPr>
          <w:rFonts w:ascii="宋体" w:hAnsi="宋体" w:cs="宋体"/>
          <w:b/>
          <w:bCs/>
          <w:color w:val="auto"/>
          <w:kern w:val="0"/>
          <w:sz w:val="24"/>
          <w:highlight w:val="none"/>
        </w:rPr>
      </w:pPr>
      <w:r>
        <w:rPr>
          <w:rFonts w:hint="eastAsia" w:ascii="宋体" w:hAnsi="宋体" w:cs="宋体"/>
          <w:b/>
          <w:bCs/>
          <w:color w:val="auto"/>
          <w:sz w:val="24"/>
          <w:highlight w:val="none"/>
        </w:rPr>
        <w:t>7.1施工组织设计</w:t>
      </w:r>
      <w:bookmarkEnd w:id="538"/>
      <w:bookmarkEnd w:id="539"/>
      <w:bookmarkEnd w:id="540"/>
    </w:p>
    <w:p w14:paraId="751420C4">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7.1.1合同当事人约定的施工组织设计应包括的其他内容：</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rPr>
        <w:t>。</w:t>
      </w:r>
    </w:p>
    <w:p w14:paraId="7C2DABF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7.1.2施工组织设计的提交和修改</w:t>
      </w:r>
    </w:p>
    <w:p w14:paraId="083DFD7E">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承包人提交详细施工组织设计的期限的约定：承包人应在合同签订后14天内，但至迟不得晚于第7.3.2项〔开工通知〕载明的开工日期前7天，向监理人提交详细的施工组织设计，并由监理人报送发包人。</w:t>
      </w:r>
    </w:p>
    <w:p w14:paraId="239E142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和监理人在收到详细的施工组织设计后确认或提出修改意见的期限：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施工进度计划不符合合同要求或与工程的实际进度不一致的，承包人应向监理人提交修订的施工进度计划，并附具有关措施和相关资料，由监理人报送发包人。施工进度计划的编制和修改按照第7.2款〔施工进度计划〕执行。</w:t>
      </w:r>
    </w:p>
    <w:p w14:paraId="48898021">
      <w:pPr>
        <w:adjustRightInd/>
        <w:spacing w:line="360" w:lineRule="auto"/>
        <w:ind w:firstLine="482" w:firstLineChars="200"/>
        <w:outlineLvl w:val="2"/>
        <w:rPr>
          <w:rFonts w:ascii="宋体" w:hAnsi="宋体" w:cs="宋体"/>
          <w:b/>
          <w:bCs/>
          <w:color w:val="auto"/>
          <w:sz w:val="24"/>
          <w:highlight w:val="none"/>
        </w:rPr>
      </w:pPr>
      <w:bookmarkStart w:id="541" w:name="_Toc2142813545"/>
      <w:bookmarkStart w:id="542" w:name="_Toc14427"/>
      <w:bookmarkStart w:id="543" w:name="_Toc1135946897"/>
      <w:r>
        <w:rPr>
          <w:rFonts w:hint="eastAsia" w:ascii="宋体" w:hAnsi="宋体" w:cs="宋体"/>
          <w:b/>
          <w:bCs/>
          <w:color w:val="auto"/>
          <w:sz w:val="24"/>
          <w:highlight w:val="none"/>
        </w:rPr>
        <w:t>7</w:t>
      </w:r>
      <w:bookmarkStart w:id="544" w:name="_Toc300934966"/>
      <w:bookmarkStart w:id="545" w:name="_Toc312677479"/>
      <w:bookmarkStart w:id="546" w:name="_Toc303539123"/>
      <w:bookmarkStart w:id="547" w:name="_Toc297216173"/>
      <w:bookmarkStart w:id="548" w:name="_Toc297123514"/>
      <w:bookmarkStart w:id="549" w:name="_Toc304295541"/>
      <w:bookmarkStart w:id="550" w:name="_Toc312678005"/>
      <w:r>
        <w:rPr>
          <w:rFonts w:hint="eastAsia" w:ascii="宋体" w:hAnsi="宋体" w:cs="宋体"/>
          <w:b/>
          <w:bCs/>
          <w:color w:val="auto"/>
          <w:sz w:val="24"/>
          <w:highlight w:val="none"/>
        </w:rPr>
        <w:t>.2施工进度计划</w:t>
      </w:r>
      <w:bookmarkEnd w:id="541"/>
      <w:bookmarkEnd w:id="542"/>
      <w:bookmarkEnd w:id="543"/>
    </w:p>
    <w:p w14:paraId="56FCC244">
      <w:pPr>
        <w:autoSpaceDE w:val="0"/>
        <w:autoSpaceDN w:val="0"/>
        <w:adjustRightInd/>
        <w:spacing w:line="360" w:lineRule="auto"/>
        <w:ind w:firstLine="480" w:firstLineChars="200"/>
        <w:jc w:val="left"/>
        <w:rPr>
          <w:rFonts w:ascii="宋体" w:hAnsi="宋体" w:cs="宋体"/>
          <w:color w:val="auto"/>
          <w:kern w:val="0"/>
          <w:sz w:val="24"/>
          <w:highlight w:val="none"/>
        </w:rPr>
      </w:pPr>
      <w:bookmarkStart w:id="551" w:name="_Toc1263038917"/>
      <w:bookmarkStart w:id="552" w:name="_Toc6687"/>
      <w:bookmarkStart w:id="553" w:name="_Toc1253067105"/>
      <w:r>
        <w:rPr>
          <w:rFonts w:hint="eastAsia" w:ascii="宋体" w:hAnsi="宋体" w:cs="宋体"/>
          <w:color w:val="auto"/>
          <w:kern w:val="0"/>
          <w:sz w:val="24"/>
          <w:highlight w:val="none"/>
        </w:rPr>
        <w:t>7.2.1施工进度计划的编制</w:t>
      </w:r>
    </w:p>
    <w:p w14:paraId="1F2C8175">
      <w:pPr>
        <w:autoSpaceDE w:val="0"/>
        <w:autoSpaceDN w:val="0"/>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DC3F8DB">
      <w:pPr>
        <w:autoSpaceDE w:val="0"/>
        <w:autoSpaceDN w:val="0"/>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7.2.2施工进度计划的修订</w:t>
      </w:r>
    </w:p>
    <w:p w14:paraId="6A72A43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和监理人在收到修订的施工进度计划后确认或提出修改意见的期限：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04B4D3D">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7.3开工</w:t>
      </w:r>
      <w:bookmarkEnd w:id="551"/>
      <w:bookmarkEnd w:id="552"/>
      <w:bookmarkEnd w:id="553"/>
    </w:p>
    <w:p w14:paraId="2030125D">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7.3.1开工准备</w:t>
      </w:r>
    </w:p>
    <w:p w14:paraId="30D5CC33">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关于承包人提交工程开工报审表的期限：按第7.1款[施工组织设计]约定的时间 。</w:t>
      </w:r>
    </w:p>
    <w:p w14:paraId="7F523ECF">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关于发包人应完成的其他开工准备工作及期限：在第7.3.2项[开工通知]载明的开工日期前7天获得开工所需的各项行政审批和许可手续。</w:t>
      </w:r>
    </w:p>
    <w:p w14:paraId="7E7135AD">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关于承包人应完成的其他开工准备工作及期限：在第7.3.2项[开工通知]载明的开工日期前7天签订材料、工程设备、周转材料等的采购合同，确定劳动力、材料、机械的进场安排。</w:t>
      </w:r>
    </w:p>
    <w:p w14:paraId="3FDF76A5">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7.3.2开工通知</w:t>
      </w:r>
    </w:p>
    <w:p w14:paraId="4A9F07F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因发包人原因造成监理人未能在通用条款规定的期限内发出开工通知的，承包人有权提出价格调整要求，或者解除合同。</w:t>
      </w:r>
    </w:p>
    <w:bookmarkEnd w:id="544"/>
    <w:bookmarkEnd w:id="545"/>
    <w:bookmarkEnd w:id="546"/>
    <w:bookmarkEnd w:id="547"/>
    <w:bookmarkEnd w:id="548"/>
    <w:bookmarkEnd w:id="549"/>
    <w:bookmarkEnd w:id="550"/>
    <w:p w14:paraId="7EBAC5F5">
      <w:pPr>
        <w:adjustRightInd/>
        <w:spacing w:line="360" w:lineRule="auto"/>
        <w:ind w:firstLine="482" w:firstLineChars="200"/>
        <w:outlineLvl w:val="2"/>
        <w:rPr>
          <w:rFonts w:ascii="宋体" w:hAnsi="宋体" w:cs="宋体"/>
          <w:b/>
          <w:bCs/>
          <w:color w:val="auto"/>
          <w:sz w:val="24"/>
          <w:highlight w:val="none"/>
        </w:rPr>
      </w:pPr>
      <w:bookmarkStart w:id="554" w:name="_Toc17408"/>
      <w:bookmarkStart w:id="555" w:name="_Toc96331289"/>
      <w:bookmarkStart w:id="556" w:name="_Toc19537660"/>
      <w:r>
        <w:rPr>
          <w:rFonts w:hint="eastAsia" w:ascii="宋体" w:hAnsi="宋体" w:cs="宋体"/>
          <w:b/>
          <w:bCs/>
          <w:color w:val="auto"/>
          <w:sz w:val="24"/>
          <w:highlight w:val="none"/>
        </w:rPr>
        <w:t>7.4测量放线</w:t>
      </w:r>
      <w:bookmarkEnd w:id="554"/>
      <w:bookmarkEnd w:id="555"/>
      <w:bookmarkEnd w:id="556"/>
    </w:p>
    <w:p w14:paraId="355833BB">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7.4.1发包人通过监理人向承包人提供测量基准点、基准线和水准点及其书面资料的期限：不得晚于在第7.3.2项[开工通知]载明的开工日期前7天。</w:t>
      </w:r>
    </w:p>
    <w:p w14:paraId="1CC2BD8C">
      <w:pPr>
        <w:adjustRightInd/>
        <w:spacing w:line="360" w:lineRule="auto"/>
        <w:ind w:firstLine="482" w:firstLineChars="200"/>
        <w:outlineLvl w:val="2"/>
        <w:rPr>
          <w:rFonts w:ascii="宋体" w:hAnsi="宋体" w:cs="宋体"/>
          <w:b/>
          <w:bCs/>
          <w:color w:val="auto"/>
          <w:sz w:val="24"/>
          <w:highlight w:val="none"/>
        </w:rPr>
      </w:pPr>
      <w:bookmarkStart w:id="557" w:name="_Toc20355"/>
      <w:bookmarkStart w:id="558" w:name="_Toc1986698096"/>
      <w:bookmarkStart w:id="559" w:name="_Toc117950900"/>
      <w:r>
        <w:rPr>
          <w:rFonts w:hint="eastAsia" w:ascii="宋体" w:hAnsi="宋体" w:cs="宋体"/>
          <w:b/>
          <w:bCs/>
          <w:color w:val="auto"/>
          <w:sz w:val="24"/>
          <w:highlight w:val="none"/>
        </w:rPr>
        <w:t>7</w:t>
      </w:r>
      <w:bookmarkStart w:id="560" w:name="_Toc312678010"/>
      <w:bookmarkStart w:id="561" w:name="_Toc304295546"/>
      <w:bookmarkStart w:id="562" w:name="_Toc297216175"/>
      <w:bookmarkStart w:id="563" w:name="_Toc303539125"/>
      <w:bookmarkStart w:id="564" w:name="_Toc300934968"/>
      <w:bookmarkStart w:id="565" w:name="_Toc297123516"/>
      <w:bookmarkStart w:id="566" w:name="_Toc312677484"/>
      <w:r>
        <w:rPr>
          <w:rFonts w:hint="eastAsia" w:ascii="宋体" w:hAnsi="宋体" w:cs="宋体"/>
          <w:b/>
          <w:bCs/>
          <w:color w:val="auto"/>
          <w:sz w:val="24"/>
          <w:highlight w:val="none"/>
        </w:rPr>
        <w:t>.5工期延误</w:t>
      </w:r>
      <w:bookmarkEnd w:id="557"/>
      <w:bookmarkEnd w:id="558"/>
      <w:bookmarkEnd w:id="559"/>
    </w:p>
    <w:bookmarkEnd w:id="560"/>
    <w:bookmarkEnd w:id="561"/>
    <w:bookmarkEnd w:id="562"/>
    <w:bookmarkEnd w:id="563"/>
    <w:bookmarkEnd w:id="564"/>
    <w:bookmarkEnd w:id="565"/>
    <w:bookmarkEnd w:id="566"/>
    <w:p w14:paraId="3232991B">
      <w:pPr>
        <w:pStyle w:val="969"/>
        <w:adjustRightInd/>
        <w:spacing w:line="360" w:lineRule="auto"/>
        <w:ind w:firstLine="480" w:firstLineChars="200"/>
        <w:rPr>
          <w:rFonts w:hAnsi="宋体" w:cs="宋体"/>
          <w:b w:val="0"/>
          <w:color w:val="auto"/>
          <w:szCs w:val="24"/>
          <w:highlight w:val="none"/>
        </w:rPr>
      </w:pPr>
      <w:bookmarkStart w:id="567" w:name="_Toc1834347369"/>
      <w:bookmarkStart w:id="568" w:name="_Toc441299698"/>
      <w:bookmarkStart w:id="569" w:name="_Toc28024"/>
      <w:r>
        <w:rPr>
          <w:rFonts w:hint="eastAsia" w:hAnsi="宋体" w:cs="宋体"/>
          <w:b w:val="0"/>
          <w:bCs/>
          <w:color w:val="auto"/>
          <w:szCs w:val="24"/>
          <w:highlight w:val="none"/>
        </w:rPr>
        <w:t>7.5.1因发包人原因导致工期延误</w:t>
      </w:r>
    </w:p>
    <w:p w14:paraId="0CC7CEDC">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（1）因发包人原因导致工期延误的其他情形：</w:t>
      </w:r>
    </w:p>
    <w:p w14:paraId="3C4A7C43">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u w:val="single"/>
        </w:rPr>
        <w:t>A 重大的变更，致使某个单项工程总工程量增加20%以上须事先征得发包人批准</w:t>
      </w:r>
      <w:r>
        <w:rPr>
          <w:rFonts w:hint="eastAsia" w:hAnsi="宋体" w:cs="宋体"/>
          <w:b w:val="0"/>
          <w:color w:val="auto"/>
          <w:szCs w:val="24"/>
          <w:highlight w:val="none"/>
        </w:rPr>
        <w:t>；</w:t>
      </w:r>
    </w:p>
    <w:p w14:paraId="697C1EA6">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u w:val="single"/>
        </w:rPr>
        <w:t>B 因发包人原因工程延期开工、停建、缓建、暂停施工（不含勒令停工）</w:t>
      </w:r>
      <w:r>
        <w:rPr>
          <w:rFonts w:hint="eastAsia" w:hAnsi="宋体" w:cs="宋体"/>
          <w:b w:val="0"/>
          <w:color w:val="auto"/>
          <w:szCs w:val="24"/>
          <w:highlight w:val="none"/>
        </w:rPr>
        <w:t>。</w:t>
      </w:r>
    </w:p>
    <w:p w14:paraId="1FAB2D46">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u w:val="single"/>
        </w:rPr>
        <w:t>C 其它经发包人确认的事项</w:t>
      </w:r>
      <w:r>
        <w:rPr>
          <w:rFonts w:hint="eastAsia" w:hAnsi="宋体" w:cs="宋体"/>
          <w:b w:val="0"/>
          <w:color w:val="auto"/>
          <w:szCs w:val="24"/>
          <w:highlight w:val="none"/>
        </w:rPr>
        <w:t>。</w:t>
      </w:r>
    </w:p>
    <w:p w14:paraId="2A225994">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上述情况经监理人、发包人确认属实后，工期可相应顺延（顺延的工期由双方协商确定）。</w:t>
      </w:r>
    </w:p>
    <w:p w14:paraId="1303DB21">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7.5.2因承包人原因导致工期延误</w:t>
      </w:r>
    </w:p>
    <w:p w14:paraId="64E37D38">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因承包人原因造成工期延误，延误工期违约金按1000元/天计。</w:t>
      </w:r>
    </w:p>
    <w:p w14:paraId="36C5E20B">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7</w:t>
      </w:r>
      <w:bookmarkStart w:id="570" w:name="_Toc304295549"/>
      <w:bookmarkStart w:id="571" w:name="_Toc303539128"/>
      <w:bookmarkStart w:id="572" w:name="_Toc297216178"/>
      <w:bookmarkStart w:id="573" w:name="_Toc300934971"/>
      <w:bookmarkStart w:id="574" w:name="_Toc312678015"/>
      <w:bookmarkStart w:id="575" w:name="_Toc297123519"/>
      <w:r>
        <w:rPr>
          <w:rFonts w:hint="eastAsia" w:ascii="宋体" w:hAnsi="宋体" w:cs="宋体"/>
          <w:b/>
          <w:bCs/>
          <w:color w:val="auto"/>
          <w:sz w:val="24"/>
          <w:highlight w:val="none"/>
        </w:rPr>
        <w:t>.6不</w:t>
      </w:r>
      <w:bookmarkEnd w:id="570"/>
      <w:bookmarkEnd w:id="571"/>
      <w:bookmarkEnd w:id="572"/>
      <w:bookmarkEnd w:id="573"/>
      <w:bookmarkEnd w:id="574"/>
      <w:bookmarkEnd w:id="575"/>
      <w:r>
        <w:rPr>
          <w:rFonts w:hint="eastAsia" w:ascii="宋体" w:hAnsi="宋体" w:cs="宋体"/>
          <w:b/>
          <w:bCs/>
          <w:color w:val="auto"/>
          <w:sz w:val="24"/>
          <w:highlight w:val="none"/>
        </w:rPr>
        <w:t>利物质条件</w:t>
      </w:r>
      <w:bookmarkEnd w:id="567"/>
      <w:bookmarkEnd w:id="568"/>
      <w:bookmarkEnd w:id="569"/>
    </w:p>
    <w:p w14:paraId="601B71C1">
      <w:pPr>
        <w:autoSpaceDE w:val="0"/>
        <w:autoSpaceDN w:val="0"/>
        <w:adjustRightInd/>
        <w:spacing w:line="360" w:lineRule="auto"/>
        <w:ind w:firstLine="480" w:firstLineChars="200"/>
        <w:rPr>
          <w:rFonts w:ascii="宋体" w:hAnsi="宋体" w:cs="宋体"/>
          <w:color w:val="auto"/>
          <w:kern w:val="0"/>
          <w:sz w:val="24"/>
          <w:highlight w:val="none"/>
        </w:rPr>
      </w:pPr>
      <w:bookmarkStart w:id="576" w:name="_Toc32335"/>
      <w:bookmarkStart w:id="577" w:name="_Toc1225022270"/>
      <w:bookmarkStart w:id="578" w:name="_Toc1077505333"/>
      <w:r>
        <w:rPr>
          <w:rFonts w:hint="eastAsia" w:ascii="宋体" w:hAnsi="宋体" w:cs="宋体"/>
          <w:color w:val="auto"/>
          <w:kern w:val="0"/>
          <w:sz w:val="24"/>
          <w:highlight w:val="none"/>
        </w:rPr>
        <w:t>不利物质条件的其他情形和有关约定：地勘资料未涉及的地下管道、地雷、岩层等，但不包括气候条件。</w:t>
      </w:r>
    </w:p>
    <w:p w14:paraId="66D97240">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7</w:t>
      </w:r>
      <w:bookmarkStart w:id="579" w:name="_Toc303539130"/>
      <w:bookmarkStart w:id="580" w:name="_Toc297216180"/>
      <w:bookmarkStart w:id="581" w:name="_Toc304295551"/>
      <w:bookmarkStart w:id="582" w:name="_Toc312678017"/>
      <w:bookmarkStart w:id="583" w:name="_Toc300934973"/>
      <w:bookmarkStart w:id="584" w:name="_Toc297123521"/>
      <w:r>
        <w:rPr>
          <w:rFonts w:hint="eastAsia" w:ascii="宋体" w:hAnsi="宋体" w:cs="宋体"/>
          <w:b/>
          <w:bCs/>
          <w:color w:val="auto"/>
          <w:sz w:val="24"/>
          <w:highlight w:val="none"/>
        </w:rPr>
        <w:t>.7异常恶劣的气候条件</w:t>
      </w:r>
      <w:bookmarkEnd w:id="576"/>
      <w:bookmarkEnd w:id="577"/>
      <w:bookmarkEnd w:id="578"/>
    </w:p>
    <w:bookmarkEnd w:id="579"/>
    <w:bookmarkEnd w:id="580"/>
    <w:bookmarkEnd w:id="581"/>
    <w:bookmarkEnd w:id="582"/>
    <w:bookmarkEnd w:id="583"/>
    <w:bookmarkEnd w:id="584"/>
    <w:p w14:paraId="3A653C5F">
      <w:pPr>
        <w:autoSpaceDE w:val="0"/>
        <w:autoSpaceDN w:val="0"/>
        <w:adjustRightInd/>
        <w:spacing w:line="360" w:lineRule="auto"/>
        <w:ind w:firstLine="480" w:firstLineChars="200"/>
        <w:rPr>
          <w:rFonts w:ascii="宋体" w:hAnsi="宋体" w:cs="宋体"/>
          <w:color w:val="auto"/>
          <w:sz w:val="24"/>
          <w:highlight w:val="none"/>
        </w:rPr>
      </w:pPr>
      <w:bookmarkStart w:id="585" w:name="_Toc63384221"/>
      <w:bookmarkStart w:id="586" w:name="_Toc625782789"/>
      <w:bookmarkStart w:id="587" w:name="_Toc18194"/>
      <w:r>
        <w:rPr>
          <w:rFonts w:hint="eastAsia" w:ascii="宋体" w:hAnsi="宋体" w:cs="宋体"/>
          <w:color w:val="auto"/>
          <w:sz w:val="24"/>
          <w:highlight w:val="none"/>
        </w:rPr>
        <w:t>发包人和承包人同意以下情形视为异常恶劣的气候条件：</w:t>
      </w:r>
    </w:p>
    <w:p w14:paraId="4B4E1F4B">
      <w:pPr>
        <w:autoSpaceDE w:val="0"/>
        <w:autoSpaceDN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（1）12小时内降雨量达到50mm以上。</w:t>
      </w:r>
    </w:p>
    <w:p w14:paraId="50F00D60">
      <w:pPr>
        <w:autoSpaceDE w:val="0"/>
        <w:autoSpaceDN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（2）风速达到8级及以上的热带风暴（或台风）。</w:t>
      </w:r>
    </w:p>
    <w:p w14:paraId="748BFA95">
      <w:pPr>
        <w:autoSpaceDE w:val="0"/>
        <w:autoSpaceDN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（3）日最高气温超过38度或低于零下10度。</w:t>
      </w:r>
    </w:p>
    <w:p w14:paraId="38584B49">
      <w:pPr>
        <w:autoSpaceDE w:val="0"/>
        <w:autoSpaceDN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（4）造成工程损坏的冰雹和12小时内降雪量达到4mm及以上的大雪灾害。</w:t>
      </w:r>
    </w:p>
    <w:p w14:paraId="75E4AB9E">
      <w:pPr>
        <w:autoSpaceDE w:val="0"/>
        <w:autoSpaceDN w:val="0"/>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（5）政府有关部门通知停工的其它恶劣气候条件。</w:t>
      </w:r>
    </w:p>
    <w:p w14:paraId="1E68E9CE">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7.8提前竣工的奖励</w:t>
      </w:r>
      <w:bookmarkEnd w:id="585"/>
      <w:bookmarkEnd w:id="586"/>
      <w:bookmarkEnd w:id="587"/>
    </w:p>
    <w:p w14:paraId="2B1BF6A7">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7.8.1提前竣工的奖励：</w:t>
      </w:r>
      <w:r>
        <w:rPr>
          <w:rFonts w:hint="eastAsia" w:ascii="宋体" w:hAnsi="宋体" w:cs="宋体"/>
          <w:color w:val="auto"/>
          <w:kern w:val="0"/>
          <w:sz w:val="24"/>
          <w:highlight w:val="none"/>
        </w:rPr>
        <w:t>提前竣工（算至工程竣工日期）奖励为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元/天。</w:t>
      </w:r>
    </w:p>
    <w:p w14:paraId="0ECCBCB1">
      <w:pPr>
        <w:keepNext/>
        <w:keepLines/>
        <w:adjustRightInd/>
        <w:spacing w:line="360" w:lineRule="auto"/>
        <w:ind w:firstLine="482" w:firstLineChars="200"/>
        <w:outlineLvl w:val="1"/>
        <w:rPr>
          <w:rFonts w:ascii="宋体" w:hAnsi="宋体" w:cs="宋体"/>
          <w:b/>
          <w:bCs/>
          <w:color w:val="auto"/>
          <w:sz w:val="24"/>
          <w:highlight w:val="none"/>
        </w:rPr>
      </w:pPr>
      <w:bookmarkStart w:id="588" w:name="_Toc1981848881"/>
      <w:bookmarkStart w:id="589" w:name="_Toc1290932324"/>
      <w:r>
        <w:rPr>
          <w:rFonts w:hint="eastAsia" w:ascii="宋体" w:hAnsi="宋体" w:cs="宋体"/>
          <w:b/>
          <w:bCs/>
          <w:color w:val="auto"/>
          <w:sz w:val="24"/>
          <w:highlight w:val="none"/>
        </w:rPr>
        <w:t>8.材料与设备</w:t>
      </w:r>
      <w:bookmarkEnd w:id="513"/>
      <w:bookmarkEnd w:id="514"/>
      <w:bookmarkEnd w:id="515"/>
      <w:bookmarkEnd w:id="516"/>
      <w:bookmarkEnd w:id="517"/>
      <w:bookmarkEnd w:id="518"/>
      <w:bookmarkEnd w:id="519"/>
      <w:bookmarkEnd w:id="520"/>
      <w:bookmarkEnd w:id="521"/>
      <w:bookmarkEnd w:id="522"/>
      <w:bookmarkEnd w:id="588"/>
      <w:bookmarkEnd w:id="589"/>
      <w:bookmarkStart w:id="590" w:name="_Toc297123528"/>
      <w:bookmarkStart w:id="591" w:name="_Toc280868655"/>
      <w:bookmarkStart w:id="592" w:name="_Toc296890996"/>
      <w:bookmarkStart w:id="593" w:name="_Toc318581173"/>
      <w:bookmarkStart w:id="594" w:name="_Toc267251424"/>
      <w:bookmarkStart w:id="595" w:name="_Toc296944507"/>
      <w:bookmarkStart w:id="596" w:name="_Toc297216187"/>
      <w:bookmarkStart w:id="597" w:name="_Toc296503168"/>
      <w:bookmarkStart w:id="598" w:name="_Toc312678020"/>
      <w:bookmarkStart w:id="599" w:name="_Toc297120468"/>
      <w:bookmarkStart w:id="600" w:name="_Toc1698965056"/>
      <w:bookmarkStart w:id="601" w:name="_Toc300934980"/>
      <w:bookmarkStart w:id="602" w:name="_Toc303539137"/>
      <w:bookmarkStart w:id="603" w:name="_Toc297048354"/>
      <w:bookmarkStart w:id="604" w:name="_Toc312677494"/>
      <w:bookmarkStart w:id="605" w:name="_Toc304295557"/>
      <w:bookmarkStart w:id="606" w:name="_Toc296346669"/>
      <w:bookmarkStart w:id="607" w:name="_Toc280868656"/>
      <w:bookmarkStart w:id="608" w:name="_Toc296347167"/>
      <w:bookmarkStart w:id="609" w:name="_Toc15421"/>
      <w:bookmarkStart w:id="610" w:name="_Toc1602926888"/>
      <w:bookmarkStart w:id="611" w:name="_Toc296891208"/>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009E37E7">
      <w:pPr>
        <w:adjustRightInd/>
        <w:spacing w:line="360" w:lineRule="auto"/>
        <w:ind w:firstLine="482" w:firstLineChars="200"/>
        <w:rPr>
          <w:rFonts w:ascii="宋体" w:hAnsi="宋体" w:cs="宋体"/>
          <w:b/>
          <w:color w:val="auto"/>
          <w:sz w:val="24"/>
          <w:highlight w:val="none"/>
        </w:rPr>
      </w:pPr>
      <w:bookmarkStart w:id="612" w:name="_Toc351203641"/>
      <w:bookmarkStart w:id="613" w:name="_Toc296503193"/>
      <w:bookmarkStart w:id="614" w:name="_Toc297048379"/>
      <w:bookmarkStart w:id="615" w:name="_Toc304295566"/>
      <w:bookmarkStart w:id="616" w:name="_Toc292559903"/>
      <w:bookmarkStart w:id="617" w:name="_Toc296944532"/>
      <w:bookmarkStart w:id="618" w:name="_Toc296346694"/>
      <w:bookmarkStart w:id="619" w:name="_Toc296891233"/>
      <w:bookmarkStart w:id="620" w:name="_Toc300934989"/>
      <w:bookmarkStart w:id="621" w:name="_Toc292559398"/>
      <w:bookmarkStart w:id="622" w:name="_Toc296347192"/>
      <w:bookmarkStart w:id="623" w:name="_Toc296891021"/>
      <w:bookmarkStart w:id="624" w:name="_Toc297120493"/>
      <w:bookmarkStart w:id="625" w:name="_Toc303539146"/>
      <w:bookmarkStart w:id="626" w:name="_Toc297216199"/>
      <w:bookmarkStart w:id="627" w:name="_Toc297123540"/>
      <w:bookmarkStart w:id="628" w:name="_Toc312677499"/>
      <w:bookmarkStart w:id="629" w:name="_Toc312678025"/>
      <w:bookmarkStart w:id="630" w:name="_Toc267251435"/>
      <w:bookmarkStart w:id="631" w:name="_Toc267251441"/>
      <w:bookmarkStart w:id="632" w:name="_Toc267251439"/>
      <w:bookmarkStart w:id="633" w:name="_Toc267251433"/>
      <w:bookmarkStart w:id="634" w:name="_Toc267251437"/>
      <w:bookmarkStart w:id="635" w:name="_Toc267251440"/>
      <w:bookmarkStart w:id="636" w:name="_Toc267251442"/>
      <w:r>
        <w:rPr>
          <w:rFonts w:hint="eastAsia" w:ascii="宋体" w:hAnsi="宋体" w:cs="宋体"/>
          <w:b/>
          <w:color w:val="auto"/>
          <w:sz w:val="24"/>
          <w:highlight w:val="none"/>
        </w:rPr>
        <w:t>8.1承包人采购材料与工程设备</w:t>
      </w:r>
    </w:p>
    <w:p w14:paraId="06F5CEC3">
      <w:pPr>
        <w:pStyle w:val="970"/>
        <w:adjustRightInd/>
        <w:spacing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bCs/>
          <w:color w:val="auto"/>
          <w:sz w:val="24"/>
          <w:szCs w:val="24"/>
          <w:highlight w:val="none"/>
        </w:rPr>
        <w:t>8.1.1承包人采购材料设备的约定：</w:t>
      </w:r>
      <w:r>
        <w:rPr>
          <w:rFonts w:hint="eastAsia" w:ascii="宋体" w:hAnsi="宋体" w:eastAsia="宋体" w:cs="宋体"/>
          <w:b w:val="0"/>
          <w:bCs/>
          <w:color w:val="auto"/>
          <w:sz w:val="24"/>
          <w:szCs w:val="24"/>
          <w:highlight w:val="none"/>
          <w:u w:val="single"/>
        </w:rPr>
        <w:t>本合同范围中除发包人另有约定的材料设备外、所有材料设备由承包人采购（承包人采购的材料设备须符合设计和相关标准、规范的要求；由发包人供应的，应提前告知承包人），任何材料的进场都需要提交质保单和检验报告并经发包人质量管理代表和监理工程师验收合格后方能使用。若承包人所采购的材料未达到发包人要求，发包人为保障工程营造品质，有权要求承包人无条件更换和退场，否则发包人可另行安排采购，费用根据实际发生金额另计20%管理费从承包人合同价中扣除，并于当期工程款扣除</w:t>
      </w:r>
      <w:r>
        <w:rPr>
          <w:rFonts w:hint="eastAsia" w:ascii="宋体" w:hAnsi="宋体" w:eastAsia="宋体" w:cs="宋体"/>
          <w:b w:val="0"/>
          <w:bCs/>
          <w:color w:val="auto"/>
          <w:sz w:val="24"/>
          <w:szCs w:val="24"/>
          <w:highlight w:val="none"/>
        </w:rPr>
        <w:t>。</w:t>
      </w:r>
    </w:p>
    <w:p w14:paraId="20C83052">
      <w:pPr>
        <w:pStyle w:val="970"/>
        <w:adjustRightInd/>
        <w:spacing w:line="360" w:lineRule="auto"/>
        <w:ind w:firstLine="480" w:firstLineChars="200"/>
        <w:rPr>
          <w:rFonts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8.1.2对承包人采购的设备材料的特殊要求：</w:t>
      </w:r>
      <w:r>
        <w:rPr>
          <w:rFonts w:hint="eastAsia" w:ascii="宋体" w:hAnsi="宋体" w:eastAsia="宋体" w:cs="宋体"/>
          <w:b w:val="0"/>
          <w:bCs/>
          <w:color w:val="auto"/>
          <w:sz w:val="24"/>
          <w:szCs w:val="24"/>
          <w:highlight w:val="none"/>
          <w:u w:val="single"/>
        </w:rPr>
        <w:t>（1）设备、材料需具体注明品牌、生产厂家、产地、规格、型号、性能等，并与招标文件规定相符。（2）承包人不得因为发包人未确定无价材料的价格而拒绝施工，也不得以此作为影响工期的借口。（3）发包人已提供了参考品牌的材料设备的，需选取优等品，承包人应在采购前15天明确具体选用的品牌型号报发包人审批。施工过程中发包人有权对材料的品牌、规格、型号及数量进行合理调整，承包人须服从。参考品牌中全部品牌或厂家都不生产时或都不符合要求时，允许承包人在参考品牌以外的品牌或厂家中进行选择，选择的品牌或厂家必须与招标时发包人提供的品牌或厂家相同等级（或高</w:t>
      </w:r>
      <w:r>
        <w:rPr>
          <w:rFonts w:hint="eastAsia" w:ascii="宋体" w:hAnsi="宋体" w:eastAsia="宋体" w:cs="宋体"/>
          <w:b w:val="0"/>
          <w:color w:val="auto"/>
          <w:sz w:val="24"/>
          <w:szCs w:val="24"/>
          <w:highlight w:val="none"/>
          <w:u w:val="single"/>
        </w:rPr>
        <w:t>于）标准，并上报监理人审核，报发包人书面确认，经审批同意后方可采购</w:t>
      </w:r>
      <w:r>
        <w:rPr>
          <w:rFonts w:hint="eastAsia" w:ascii="宋体" w:hAnsi="宋体" w:eastAsia="宋体" w:cs="宋体"/>
          <w:b w:val="0"/>
          <w:bCs/>
          <w:color w:val="auto"/>
          <w:sz w:val="24"/>
          <w:szCs w:val="24"/>
          <w:highlight w:val="none"/>
          <w:u w:val="single"/>
        </w:rPr>
        <w:t>及使用。（4）发包</w:t>
      </w:r>
      <w:r>
        <w:rPr>
          <w:rFonts w:hint="eastAsia" w:ascii="宋体" w:hAnsi="宋体" w:eastAsia="宋体" w:cs="宋体"/>
          <w:b w:val="0"/>
          <w:color w:val="auto"/>
          <w:sz w:val="24"/>
          <w:szCs w:val="24"/>
          <w:highlight w:val="none"/>
          <w:u w:val="single"/>
        </w:rPr>
        <w:t>人未作品牌要求的重要材料设备，承包人将提前15天提供拟定的品牌(不少于三个)，承包人采购前，需向发包人、监理人提供材料(设备)品牌、规格、型号及相关材料质量证明文件，材料(设备)需得到发包人认可，否则不能进场(发包人有权任选品牌并前往材料厂家考察，考察费用由承包人承担，报价不变)。未作品牌要求的材料(设备)承包人都必须采用在行业内有一定知名度的品牌及</w:t>
      </w:r>
      <w:r>
        <w:rPr>
          <w:rFonts w:hint="eastAsia" w:ascii="宋体" w:hAnsi="宋体" w:eastAsia="宋体" w:cs="宋体"/>
          <w:b w:val="0"/>
          <w:bCs/>
          <w:color w:val="auto"/>
          <w:sz w:val="24"/>
          <w:szCs w:val="24"/>
          <w:highlight w:val="none"/>
          <w:u w:val="single"/>
        </w:rPr>
        <w:t>国内外知名厂家生产，中档或以上产品档次，优先采用生产厂家已通过IS0质量认证、符合环保要求的材料</w:t>
      </w:r>
      <w:r>
        <w:rPr>
          <w:rFonts w:hint="eastAsia" w:ascii="宋体" w:hAnsi="宋体" w:eastAsia="宋体" w:cs="宋体"/>
          <w:b w:val="0"/>
          <w:color w:val="auto"/>
          <w:sz w:val="24"/>
          <w:szCs w:val="24"/>
          <w:highlight w:val="none"/>
          <w:u w:val="single"/>
        </w:rPr>
        <w:t>(设备)</w:t>
      </w:r>
      <w:r>
        <w:rPr>
          <w:rFonts w:hint="eastAsia" w:ascii="宋体" w:hAnsi="宋体" w:eastAsia="宋体" w:cs="宋体"/>
          <w:b w:val="0"/>
          <w:bCs/>
          <w:color w:val="auto"/>
          <w:sz w:val="24"/>
          <w:szCs w:val="24"/>
          <w:highlight w:val="none"/>
          <w:u w:val="single"/>
        </w:rPr>
        <w:t>。（5）需二次定价的无信息价材料设备或主要材料、设备，承包人在采购前</w:t>
      </w:r>
      <w:r>
        <w:rPr>
          <w:rFonts w:hint="eastAsia" w:ascii="宋体" w:hAnsi="宋体" w:eastAsia="宋体" w:cs="宋体"/>
          <w:b w:val="0"/>
          <w:color w:val="auto"/>
          <w:sz w:val="24"/>
          <w:szCs w:val="24"/>
          <w:highlight w:val="none"/>
          <w:u w:val="single"/>
        </w:rPr>
        <w:t>15天</w:t>
      </w:r>
      <w:r>
        <w:rPr>
          <w:rFonts w:hint="eastAsia" w:ascii="宋体" w:hAnsi="宋体" w:eastAsia="宋体" w:cs="宋体"/>
          <w:b w:val="0"/>
          <w:bCs/>
          <w:color w:val="auto"/>
          <w:sz w:val="24"/>
          <w:szCs w:val="24"/>
          <w:highlight w:val="none"/>
          <w:u w:val="single"/>
        </w:rPr>
        <w:t>报计划给发包人、监理方，并由发包人、监理方派人员参加选点、看样、审价（承包人采购的无信息价的材料设备或主要材料、设备的价格如无投标价，则须经发包人审批并书面确认）、订货</w:t>
      </w:r>
      <w:r>
        <w:rPr>
          <w:rFonts w:hint="eastAsia" w:ascii="宋体" w:hAnsi="宋体" w:eastAsia="宋体" w:cs="宋体"/>
          <w:b w:val="0"/>
          <w:bCs/>
          <w:color w:val="auto"/>
          <w:sz w:val="24"/>
          <w:szCs w:val="24"/>
          <w:highlight w:val="none"/>
        </w:rPr>
        <w:t>。</w:t>
      </w:r>
    </w:p>
    <w:p w14:paraId="726A9163">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8.2材料与工程设备的保管与使用</w:t>
      </w:r>
    </w:p>
    <w:p w14:paraId="779D4787">
      <w:pPr>
        <w:pStyle w:val="970"/>
        <w:adjustRightInd/>
        <w:spacing w:line="360"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8.2.1保管费用承担：</w:t>
      </w:r>
      <w:r>
        <w:rPr>
          <w:rFonts w:hint="eastAsia" w:ascii="宋体" w:hAnsi="宋体" w:eastAsia="宋体" w:cs="宋体"/>
          <w:b w:val="0"/>
          <w:color w:val="auto"/>
          <w:sz w:val="24"/>
          <w:szCs w:val="24"/>
          <w:highlight w:val="none"/>
          <w:u w:val="single"/>
        </w:rPr>
        <w:t>执行通用条款</w:t>
      </w:r>
      <w:r>
        <w:rPr>
          <w:rFonts w:hint="eastAsia" w:ascii="宋体" w:hAnsi="宋体" w:eastAsia="宋体" w:cs="宋体"/>
          <w:b w:val="0"/>
          <w:color w:val="auto"/>
          <w:sz w:val="24"/>
          <w:szCs w:val="24"/>
          <w:highlight w:val="none"/>
        </w:rPr>
        <w:t>。</w:t>
      </w:r>
    </w:p>
    <w:p w14:paraId="5D32D8E0">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8.4 施工设备和临时设施</w:t>
      </w:r>
    </w:p>
    <w:p w14:paraId="158C82CE">
      <w:pPr>
        <w:autoSpaceDE w:val="0"/>
        <w:autoSpaceDN w:val="0"/>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8.4.1承包人提供的施工设备和临时设施</w:t>
      </w:r>
    </w:p>
    <w:p w14:paraId="25D0A60D">
      <w:pPr>
        <w:autoSpaceDE w:val="0"/>
        <w:autoSpaceDN w:val="0"/>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622754E">
      <w:pPr>
        <w:autoSpaceDE w:val="0"/>
        <w:autoSpaceDN w:val="0"/>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承包人应自行承担修建和租赁临时设施的费用，需要临时占地的，由承包人自行办理申请手续并承担相应费用，发包人从旁协助。</w:t>
      </w:r>
    </w:p>
    <w:bookmarkEnd w:id="612"/>
    <w:p w14:paraId="0F25A3B5">
      <w:pPr>
        <w:keepNext/>
        <w:keepLines/>
        <w:adjustRightInd/>
        <w:spacing w:line="360" w:lineRule="auto"/>
        <w:ind w:firstLine="482" w:firstLineChars="200"/>
        <w:outlineLvl w:val="1"/>
        <w:rPr>
          <w:rFonts w:ascii="宋体" w:hAnsi="宋体" w:cs="宋体"/>
          <w:b/>
          <w:bCs/>
          <w:color w:val="auto"/>
          <w:sz w:val="24"/>
          <w:highlight w:val="none"/>
        </w:rPr>
      </w:pPr>
      <w:bookmarkStart w:id="637" w:name="_Toc458560564"/>
      <w:bookmarkStart w:id="638" w:name="_Toc334823199"/>
      <w:r>
        <w:rPr>
          <w:rFonts w:hint="eastAsia" w:ascii="宋体" w:hAnsi="宋体" w:cs="宋体"/>
          <w:b/>
          <w:bCs/>
          <w:color w:val="auto"/>
          <w:sz w:val="24"/>
          <w:highlight w:val="none"/>
        </w:rPr>
        <w:t>10. 变更</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37"/>
      <w:bookmarkEnd w:id="638"/>
    </w:p>
    <w:bookmarkEnd w:id="628"/>
    <w:bookmarkEnd w:id="629"/>
    <w:p w14:paraId="3C5BA20A">
      <w:pPr>
        <w:adjustRightInd/>
        <w:spacing w:line="360" w:lineRule="auto"/>
        <w:ind w:firstLine="482" w:firstLineChars="200"/>
        <w:rPr>
          <w:rFonts w:ascii="宋体" w:hAnsi="宋体" w:cs="宋体"/>
          <w:b/>
          <w:color w:val="auto"/>
          <w:sz w:val="24"/>
          <w:highlight w:val="none"/>
        </w:rPr>
      </w:pPr>
      <w:bookmarkStart w:id="639" w:name="_Toc297048380"/>
      <w:bookmarkStart w:id="640" w:name="_Toc296346695"/>
      <w:bookmarkStart w:id="641" w:name="_Toc296503194"/>
      <w:bookmarkStart w:id="642" w:name="_Toc304295567"/>
      <w:bookmarkStart w:id="643" w:name="_Toc292559399"/>
      <w:bookmarkStart w:id="644" w:name="_Toc296891022"/>
      <w:bookmarkStart w:id="645" w:name="_Toc312678026"/>
      <w:bookmarkStart w:id="646" w:name="_Toc297120494"/>
      <w:bookmarkStart w:id="647" w:name="_Toc296944533"/>
      <w:bookmarkStart w:id="648" w:name="_Toc292559904"/>
      <w:bookmarkStart w:id="649" w:name="_Toc296891234"/>
      <w:bookmarkStart w:id="650" w:name="_Toc297216200"/>
      <w:bookmarkStart w:id="651" w:name="_Toc297123541"/>
      <w:bookmarkStart w:id="652" w:name="_Toc303539147"/>
      <w:bookmarkStart w:id="653" w:name="_Toc296347193"/>
      <w:bookmarkStart w:id="654" w:name="_Toc312677500"/>
      <w:bookmarkStart w:id="655" w:name="_Toc300934990"/>
      <w:r>
        <w:rPr>
          <w:rFonts w:hint="eastAsia" w:ascii="宋体" w:hAnsi="宋体" w:cs="宋体"/>
          <w:b/>
          <w:color w:val="auto"/>
          <w:sz w:val="24"/>
          <w:highlight w:val="none"/>
        </w:rPr>
        <w:t>10.1变更的范围</w:t>
      </w:r>
    </w:p>
    <w:p w14:paraId="29A1F483">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合同双方当事人约定：合同履行过程中发生以下情形的，应按照本条约定进行合同变更。</w:t>
      </w:r>
    </w:p>
    <w:p w14:paraId="646DC629">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pacing w:val="-2"/>
          <w:kern w:val="0"/>
          <w:sz w:val="24"/>
          <w:highlight w:val="none"/>
        </w:rPr>
        <w:t>法</w:t>
      </w:r>
      <w:r>
        <w:rPr>
          <w:rFonts w:hint="eastAsia" w:ascii="宋体" w:hAnsi="宋体" w:cs="宋体"/>
          <w:color w:val="auto"/>
          <w:kern w:val="0"/>
          <w:sz w:val="24"/>
          <w:highlight w:val="none"/>
        </w:rPr>
        <w:t>律</w:t>
      </w:r>
      <w:r>
        <w:rPr>
          <w:rFonts w:hint="eastAsia" w:ascii="宋体" w:hAnsi="宋体" w:cs="宋体"/>
          <w:color w:val="auto"/>
          <w:spacing w:val="-2"/>
          <w:kern w:val="0"/>
          <w:sz w:val="24"/>
          <w:highlight w:val="none"/>
        </w:rPr>
        <w:t>法</w:t>
      </w:r>
      <w:r>
        <w:rPr>
          <w:rFonts w:hint="eastAsia" w:ascii="宋体" w:hAnsi="宋体" w:cs="宋体"/>
          <w:color w:val="auto"/>
          <w:kern w:val="0"/>
          <w:sz w:val="24"/>
          <w:highlight w:val="none"/>
        </w:rPr>
        <w:t>规</w:t>
      </w:r>
      <w:r>
        <w:rPr>
          <w:rFonts w:hint="eastAsia" w:ascii="宋体" w:hAnsi="宋体" w:cs="宋体"/>
          <w:color w:val="auto"/>
          <w:spacing w:val="-2"/>
          <w:kern w:val="0"/>
          <w:sz w:val="24"/>
          <w:highlight w:val="none"/>
        </w:rPr>
        <w:t>以及政府主管部门的政策性调整</w:t>
      </w:r>
      <w:r>
        <w:rPr>
          <w:rFonts w:hint="eastAsia" w:ascii="宋体" w:hAnsi="宋体" w:cs="宋体"/>
          <w:color w:val="auto"/>
          <w:kern w:val="0"/>
          <w:sz w:val="24"/>
          <w:highlight w:val="none"/>
        </w:rPr>
        <w:t>；</w:t>
      </w:r>
    </w:p>
    <w:p w14:paraId="51AF019E">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pacing w:val="-2"/>
          <w:kern w:val="0"/>
          <w:sz w:val="24"/>
          <w:highlight w:val="none"/>
        </w:rPr>
        <w:t>工</w:t>
      </w:r>
      <w:r>
        <w:rPr>
          <w:rFonts w:hint="eastAsia" w:ascii="宋体" w:hAnsi="宋体" w:cs="宋体"/>
          <w:color w:val="auto"/>
          <w:kern w:val="0"/>
          <w:sz w:val="24"/>
          <w:highlight w:val="none"/>
        </w:rPr>
        <w:t>程</w:t>
      </w:r>
      <w:r>
        <w:rPr>
          <w:rFonts w:hint="eastAsia" w:ascii="宋体" w:hAnsi="宋体" w:cs="宋体"/>
          <w:color w:val="auto"/>
          <w:spacing w:val="-2"/>
          <w:kern w:val="0"/>
          <w:sz w:val="24"/>
          <w:highlight w:val="none"/>
        </w:rPr>
        <w:t>变</w:t>
      </w:r>
      <w:r>
        <w:rPr>
          <w:rFonts w:hint="eastAsia" w:ascii="宋体" w:hAnsi="宋体" w:cs="宋体"/>
          <w:color w:val="auto"/>
          <w:kern w:val="0"/>
          <w:sz w:val="24"/>
          <w:highlight w:val="none"/>
        </w:rPr>
        <w:t>更；</w:t>
      </w:r>
    </w:p>
    <w:p w14:paraId="1CC586C9">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3）项目特征描述不符；</w:t>
      </w:r>
    </w:p>
    <w:p w14:paraId="312D1C17">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pacing w:val="-2"/>
          <w:kern w:val="0"/>
          <w:sz w:val="24"/>
          <w:highlight w:val="none"/>
        </w:rPr>
        <w:t>工</w:t>
      </w:r>
      <w:r>
        <w:rPr>
          <w:rFonts w:hint="eastAsia" w:ascii="宋体" w:hAnsi="宋体" w:cs="宋体"/>
          <w:color w:val="auto"/>
          <w:kern w:val="0"/>
          <w:sz w:val="24"/>
          <w:highlight w:val="none"/>
        </w:rPr>
        <w:t>程</w:t>
      </w:r>
      <w:r>
        <w:rPr>
          <w:rFonts w:hint="eastAsia" w:ascii="宋体" w:hAnsi="宋体" w:cs="宋体"/>
          <w:color w:val="auto"/>
          <w:spacing w:val="-2"/>
          <w:kern w:val="0"/>
          <w:sz w:val="24"/>
          <w:highlight w:val="none"/>
        </w:rPr>
        <w:t>量</w:t>
      </w:r>
      <w:r>
        <w:rPr>
          <w:rFonts w:hint="eastAsia" w:ascii="宋体" w:hAnsi="宋体" w:cs="宋体"/>
          <w:color w:val="auto"/>
          <w:kern w:val="0"/>
          <w:sz w:val="24"/>
          <w:highlight w:val="none"/>
        </w:rPr>
        <w:t>清</w:t>
      </w:r>
      <w:r>
        <w:rPr>
          <w:rFonts w:hint="eastAsia" w:ascii="宋体" w:hAnsi="宋体" w:cs="宋体"/>
          <w:color w:val="auto"/>
          <w:spacing w:val="-2"/>
          <w:kern w:val="0"/>
          <w:sz w:val="24"/>
          <w:highlight w:val="none"/>
        </w:rPr>
        <w:t>单</w:t>
      </w:r>
      <w:r>
        <w:rPr>
          <w:rFonts w:hint="eastAsia" w:ascii="宋体" w:hAnsi="宋体" w:cs="宋体"/>
          <w:color w:val="auto"/>
          <w:kern w:val="0"/>
          <w:sz w:val="24"/>
          <w:highlight w:val="none"/>
        </w:rPr>
        <w:t>缺</w:t>
      </w:r>
      <w:r>
        <w:rPr>
          <w:rFonts w:hint="eastAsia" w:ascii="宋体" w:hAnsi="宋体" w:cs="宋体"/>
          <w:color w:val="auto"/>
          <w:spacing w:val="-2"/>
          <w:kern w:val="0"/>
          <w:sz w:val="24"/>
          <w:highlight w:val="none"/>
        </w:rPr>
        <w:t>项</w:t>
      </w:r>
      <w:r>
        <w:rPr>
          <w:rFonts w:hint="eastAsia" w:ascii="宋体" w:hAnsi="宋体" w:cs="宋体"/>
          <w:color w:val="auto"/>
          <w:kern w:val="0"/>
          <w:sz w:val="24"/>
          <w:highlight w:val="none"/>
        </w:rPr>
        <w:t>；</w:t>
      </w:r>
    </w:p>
    <w:p w14:paraId="334BF5E4">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spacing w:val="-2"/>
          <w:kern w:val="0"/>
          <w:sz w:val="24"/>
          <w:highlight w:val="none"/>
        </w:rPr>
        <w:t>工</w:t>
      </w:r>
      <w:r>
        <w:rPr>
          <w:rFonts w:hint="eastAsia" w:ascii="宋体" w:hAnsi="宋体" w:cs="宋体"/>
          <w:color w:val="auto"/>
          <w:kern w:val="0"/>
          <w:sz w:val="24"/>
          <w:highlight w:val="none"/>
        </w:rPr>
        <w:t>程</w:t>
      </w:r>
      <w:r>
        <w:rPr>
          <w:rFonts w:hint="eastAsia" w:ascii="宋体" w:hAnsi="宋体" w:cs="宋体"/>
          <w:color w:val="auto"/>
          <w:spacing w:val="-2"/>
          <w:kern w:val="0"/>
          <w:sz w:val="24"/>
          <w:highlight w:val="none"/>
        </w:rPr>
        <w:t>量</w:t>
      </w:r>
      <w:r>
        <w:rPr>
          <w:rFonts w:hint="eastAsia" w:ascii="宋体" w:hAnsi="宋体" w:cs="宋体"/>
          <w:color w:val="auto"/>
          <w:kern w:val="0"/>
          <w:sz w:val="24"/>
          <w:highlight w:val="none"/>
        </w:rPr>
        <w:t>偏</w:t>
      </w:r>
      <w:r>
        <w:rPr>
          <w:rFonts w:hint="eastAsia" w:ascii="宋体" w:hAnsi="宋体" w:cs="宋体"/>
          <w:color w:val="auto"/>
          <w:spacing w:val="-2"/>
          <w:kern w:val="0"/>
          <w:sz w:val="24"/>
          <w:highlight w:val="none"/>
        </w:rPr>
        <w:t>差</w:t>
      </w:r>
      <w:r>
        <w:rPr>
          <w:rFonts w:hint="eastAsia" w:ascii="宋体" w:hAnsi="宋体" w:cs="宋体"/>
          <w:color w:val="auto"/>
          <w:kern w:val="0"/>
          <w:sz w:val="24"/>
          <w:highlight w:val="none"/>
        </w:rPr>
        <w:t>；</w:t>
      </w:r>
    </w:p>
    <w:p w14:paraId="13528397">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spacing w:val="-2"/>
          <w:kern w:val="0"/>
          <w:sz w:val="24"/>
          <w:highlight w:val="none"/>
        </w:rPr>
        <w:t>物</w:t>
      </w:r>
      <w:r>
        <w:rPr>
          <w:rFonts w:hint="eastAsia" w:ascii="宋体" w:hAnsi="宋体" w:cs="宋体"/>
          <w:color w:val="auto"/>
          <w:kern w:val="0"/>
          <w:sz w:val="24"/>
          <w:highlight w:val="none"/>
        </w:rPr>
        <w:t>价</w:t>
      </w:r>
      <w:r>
        <w:rPr>
          <w:rFonts w:hint="eastAsia" w:ascii="宋体" w:hAnsi="宋体" w:cs="宋体"/>
          <w:color w:val="auto"/>
          <w:spacing w:val="-2"/>
          <w:kern w:val="0"/>
          <w:sz w:val="24"/>
          <w:highlight w:val="none"/>
        </w:rPr>
        <w:t>变</w:t>
      </w:r>
      <w:r>
        <w:rPr>
          <w:rFonts w:hint="eastAsia" w:ascii="宋体" w:hAnsi="宋体" w:cs="宋体"/>
          <w:color w:val="auto"/>
          <w:kern w:val="0"/>
          <w:sz w:val="24"/>
          <w:highlight w:val="none"/>
        </w:rPr>
        <w:t>化；</w:t>
      </w:r>
    </w:p>
    <w:p w14:paraId="79B0AE92">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spacing w:val="-2"/>
          <w:kern w:val="0"/>
          <w:sz w:val="24"/>
          <w:highlight w:val="none"/>
        </w:rPr>
        <w:t>暂</w:t>
      </w:r>
      <w:r>
        <w:rPr>
          <w:rFonts w:hint="eastAsia" w:ascii="宋体" w:hAnsi="宋体" w:cs="宋体"/>
          <w:color w:val="auto"/>
          <w:kern w:val="0"/>
          <w:sz w:val="24"/>
          <w:highlight w:val="none"/>
        </w:rPr>
        <w:t>估</w:t>
      </w:r>
      <w:r>
        <w:rPr>
          <w:rFonts w:hint="eastAsia" w:ascii="宋体" w:hAnsi="宋体" w:cs="宋体"/>
          <w:color w:val="auto"/>
          <w:spacing w:val="-2"/>
          <w:kern w:val="0"/>
          <w:sz w:val="24"/>
          <w:highlight w:val="none"/>
        </w:rPr>
        <w:t>价</w:t>
      </w:r>
      <w:r>
        <w:rPr>
          <w:rFonts w:hint="eastAsia" w:ascii="宋体" w:hAnsi="宋体" w:cs="宋体"/>
          <w:color w:val="auto"/>
          <w:kern w:val="0"/>
          <w:sz w:val="24"/>
          <w:highlight w:val="none"/>
        </w:rPr>
        <w:t>；</w:t>
      </w:r>
    </w:p>
    <w:p w14:paraId="23A01043">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spacing w:val="-2"/>
          <w:kern w:val="0"/>
          <w:sz w:val="24"/>
          <w:highlight w:val="none"/>
        </w:rPr>
        <w:t>现</w:t>
      </w:r>
      <w:r>
        <w:rPr>
          <w:rFonts w:hint="eastAsia" w:ascii="宋体" w:hAnsi="宋体" w:cs="宋体"/>
          <w:color w:val="auto"/>
          <w:kern w:val="0"/>
          <w:sz w:val="24"/>
          <w:highlight w:val="none"/>
        </w:rPr>
        <w:t>场</w:t>
      </w:r>
      <w:r>
        <w:rPr>
          <w:rFonts w:hint="eastAsia" w:ascii="宋体" w:hAnsi="宋体" w:cs="宋体"/>
          <w:color w:val="auto"/>
          <w:spacing w:val="-2"/>
          <w:kern w:val="0"/>
          <w:sz w:val="24"/>
          <w:highlight w:val="none"/>
        </w:rPr>
        <w:t>签</w:t>
      </w:r>
      <w:r>
        <w:rPr>
          <w:rFonts w:hint="eastAsia" w:ascii="宋体" w:hAnsi="宋体" w:cs="宋体"/>
          <w:color w:val="auto"/>
          <w:kern w:val="0"/>
          <w:sz w:val="24"/>
          <w:highlight w:val="none"/>
        </w:rPr>
        <w:t>证；</w:t>
      </w:r>
    </w:p>
    <w:p w14:paraId="123A4D4E">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w:t>
      </w:r>
      <w:r>
        <w:rPr>
          <w:rFonts w:hint="eastAsia" w:ascii="宋体" w:hAnsi="宋体" w:cs="宋体"/>
          <w:color w:val="auto"/>
          <w:spacing w:val="-2"/>
          <w:kern w:val="0"/>
          <w:sz w:val="24"/>
          <w:highlight w:val="none"/>
        </w:rPr>
        <w:t>不</w:t>
      </w:r>
      <w:r>
        <w:rPr>
          <w:rFonts w:hint="eastAsia" w:ascii="宋体" w:hAnsi="宋体" w:cs="宋体"/>
          <w:color w:val="auto"/>
          <w:kern w:val="0"/>
          <w:sz w:val="24"/>
          <w:highlight w:val="none"/>
        </w:rPr>
        <w:t>可</w:t>
      </w:r>
      <w:r>
        <w:rPr>
          <w:rFonts w:hint="eastAsia" w:ascii="宋体" w:hAnsi="宋体" w:cs="宋体"/>
          <w:color w:val="auto"/>
          <w:spacing w:val="-2"/>
          <w:kern w:val="0"/>
          <w:sz w:val="24"/>
          <w:highlight w:val="none"/>
        </w:rPr>
        <w:t>抗</w:t>
      </w:r>
      <w:r>
        <w:rPr>
          <w:rFonts w:hint="eastAsia" w:ascii="宋体" w:hAnsi="宋体" w:cs="宋体"/>
          <w:color w:val="auto"/>
          <w:kern w:val="0"/>
          <w:sz w:val="24"/>
          <w:highlight w:val="none"/>
        </w:rPr>
        <w:t>力；</w:t>
      </w:r>
    </w:p>
    <w:p w14:paraId="1682FE7B">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10）误期赔偿；</w:t>
      </w:r>
    </w:p>
    <w:p w14:paraId="1229DA04">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11）施工索赔；</w:t>
      </w:r>
    </w:p>
    <w:p w14:paraId="092C41CD">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12）暂列金额；</w:t>
      </w:r>
    </w:p>
    <w:p w14:paraId="04005538">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w:t>
      </w:r>
      <w:r>
        <w:rPr>
          <w:rFonts w:hint="eastAsia" w:ascii="宋体" w:hAnsi="宋体" w:cs="宋体"/>
          <w:color w:val="auto"/>
          <w:spacing w:val="-2"/>
          <w:kern w:val="0"/>
          <w:sz w:val="24"/>
          <w:highlight w:val="none"/>
        </w:rPr>
        <w:t>发</w:t>
      </w:r>
      <w:r>
        <w:rPr>
          <w:rFonts w:hint="eastAsia" w:ascii="宋体" w:hAnsi="宋体" w:cs="宋体"/>
          <w:color w:val="auto"/>
          <w:kern w:val="0"/>
          <w:sz w:val="24"/>
          <w:highlight w:val="none"/>
        </w:rPr>
        <w:t>承</w:t>
      </w:r>
      <w:r>
        <w:rPr>
          <w:rFonts w:hint="eastAsia" w:ascii="宋体" w:hAnsi="宋体" w:cs="宋体"/>
          <w:color w:val="auto"/>
          <w:spacing w:val="-2"/>
          <w:kern w:val="0"/>
          <w:sz w:val="24"/>
          <w:highlight w:val="none"/>
        </w:rPr>
        <w:t>包</w:t>
      </w:r>
      <w:r>
        <w:rPr>
          <w:rFonts w:hint="eastAsia" w:ascii="宋体" w:hAnsi="宋体" w:cs="宋体"/>
          <w:color w:val="auto"/>
          <w:kern w:val="0"/>
          <w:sz w:val="24"/>
          <w:highlight w:val="none"/>
        </w:rPr>
        <w:t>双</w:t>
      </w:r>
      <w:r>
        <w:rPr>
          <w:rFonts w:hint="eastAsia" w:ascii="宋体" w:hAnsi="宋体" w:cs="宋体"/>
          <w:color w:val="auto"/>
          <w:spacing w:val="-2"/>
          <w:kern w:val="0"/>
          <w:sz w:val="24"/>
          <w:highlight w:val="none"/>
        </w:rPr>
        <w:t>方</w:t>
      </w:r>
      <w:r>
        <w:rPr>
          <w:rFonts w:hint="eastAsia" w:ascii="宋体" w:hAnsi="宋体" w:cs="宋体"/>
          <w:color w:val="auto"/>
          <w:kern w:val="0"/>
          <w:sz w:val="24"/>
          <w:highlight w:val="none"/>
        </w:rPr>
        <w:t>约</w:t>
      </w:r>
      <w:r>
        <w:rPr>
          <w:rFonts w:hint="eastAsia" w:ascii="宋体" w:hAnsi="宋体" w:cs="宋体"/>
          <w:color w:val="auto"/>
          <w:spacing w:val="-2"/>
          <w:kern w:val="0"/>
          <w:sz w:val="24"/>
          <w:highlight w:val="none"/>
        </w:rPr>
        <w:t>定</w:t>
      </w:r>
      <w:r>
        <w:rPr>
          <w:rFonts w:hint="eastAsia" w:ascii="宋体" w:hAnsi="宋体" w:cs="宋体"/>
          <w:color w:val="auto"/>
          <w:kern w:val="0"/>
          <w:sz w:val="24"/>
          <w:highlight w:val="none"/>
        </w:rPr>
        <w:t>的</w:t>
      </w:r>
      <w:r>
        <w:rPr>
          <w:rFonts w:hint="eastAsia" w:ascii="宋体" w:hAnsi="宋体" w:cs="宋体"/>
          <w:color w:val="auto"/>
          <w:spacing w:val="-2"/>
          <w:kern w:val="0"/>
          <w:sz w:val="24"/>
          <w:highlight w:val="none"/>
        </w:rPr>
        <w:t>其</w:t>
      </w:r>
      <w:r>
        <w:rPr>
          <w:rFonts w:hint="eastAsia" w:ascii="宋体" w:hAnsi="宋体" w:cs="宋体"/>
          <w:color w:val="auto"/>
          <w:kern w:val="0"/>
          <w:sz w:val="24"/>
          <w:highlight w:val="none"/>
        </w:rPr>
        <w:t>他调</w:t>
      </w:r>
      <w:r>
        <w:rPr>
          <w:rFonts w:hint="eastAsia" w:ascii="宋体" w:hAnsi="宋体" w:cs="宋体"/>
          <w:color w:val="auto"/>
          <w:spacing w:val="-2"/>
          <w:kern w:val="0"/>
          <w:sz w:val="24"/>
          <w:highlight w:val="none"/>
        </w:rPr>
        <w:t>整</w:t>
      </w:r>
      <w:r>
        <w:rPr>
          <w:rFonts w:hint="eastAsia" w:ascii="宋体" w:hAnsi="宋体" w:cs="宋体"/>
          <w:color w:val="auto"/>
          <w:kern w:val="0"/>
          <w:sz w:val="24"/>
          <w:highlight w:val="none"/>
        </w:rPr>
        <w:t>事</w:t>
      </w:r>
      <w:r>
        <w:rPr>
          <w:rFonts w:hint="eastAsia" w:ascii="宋体" w:hAnsi="宋体" w:cs="宋体"/>
          <w:color w:val="auto"/>
          <w:spacing w:val="-2"/>
          <w:kern w:val="0"/>
          <w:sz w:val="24"/>
          <w:highlight w:val="none"/>
        </w:rPr>
        <w:t>项：</w:t>
      </w:r>
      <w:r>
        <w:rPr>
          <w:rFonts w:hint="eastAsia" w:ascii="宋体" w:hAnsi="宋体" w:cs="宋体"/>
          <w:color w:val="auto"/>
          <w:spacing w:val="-2"/>
          <w:kern w:val="0"/>
          <w:sz w:val="24"/>
          <w:highlight w:val="none"/>
          <w:u w:val="single"/>
        </w:rPr>
        <w:t xml:space="preserve">  /  </w:t>
      </w:r>
      <w:r>
        <w:rPr>
          <w:rFonts w:hint="eastAsia" w:ascii="宋体" w:hAnsi="宋体" w:cs="宋体"/>
          <w:color w:val="auto"/>
          <w:kern w:val="0"/>
          <w:sz w:val="24"/>
          <w:highlight w:val="none"/>
        </w:rPr>
        <w:t>。</w:t>
      </w:r>
    </w:p>
    <w:p w14:paraId="3DD5FBFD">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10.2变更程序</w:t>
      </w:r>
    </w:p>
    <w:p w14:paraId="6479520C">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本项目变更审批程序按照行业主管部门（发包人）相关规定执行。</w:t>
      </w:r>
    </w:p>
    <w:p w14:paraId="18F5873C">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10.3 变更估价</w:t>
      </w:r>
    </w:p>
    <w:p w14:paraId="129DFF46">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10.3.1 变更估价原则</w:t>
      </w:r>
    </w:p>
    <w:p w14:paraId="08FFBC2B">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10.3.1.1 关于变更估价的约定：</w:t>
      </w:r>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92D6274">
      <w:pPr>
        <w:autoSpaceDE w:val="0"/>
        <w:autoSpaceDN w:val="0"/>
        <w:adjustRightInd/>
        <w:spacing w:line="360" w:lineRule="auto"/>
        <w:ind w:firstLine="480" w:firstLineChars="200"/>
        <w:rPr>
          <w:rFonts w:ascii="宋体" w:hAnsi="宋体" w:cs="宋体"/>
          <w:color w:val="auto"/>
          <w:kern w:val="0"/>
          <w:sz w:val="24"/>
          <w:highlight w:val="none"/>
        </w:rPr>
      </w:pPr>
      <w:bookmarkStart w:id="656" w:name="_Toc1569203092"/>
      <w:bookmarkStart w:id="657" w:name="_Toc1308"/>
      <w:bookmarkStart w:id="658" w:name="_Toc1821307230"/>
      <w:r>
        <w:rPr>
          <w:rFonts w:hint="eastAsia" w:ascii="宋体" w:hAnsi="宋体" w:cs="宋体"/>
          <w:color w:val="auto"/>
          <w:kern w:val="0"/>
          <w:sz w:val="24"/>
          <w:highlight w:val="none"/>
        </w:rPr>
        <w:t>（1）已标价的工程量清单有相同项目的，按照相同项目综合单价认定；合价金额占合同总额2%及以上的分部分项清单项目，其工程量增加或减少超过本分部分项清单项目工程量15%及以上时，或合价金额占合同总价不到2%的分部分项清单项目，但其工程量增加或减少超过本分部分项清单项目工程量25%及以上时，增减工程量综合单价由承包人根据</w:t>
      </w:r>
      <w:r>
        <w:rPr>
          <w:rFonts w:hint="eastAsia" w:ascii="宋体" w:hAnsi="宋体" w:cs="宋体"/>
          <w:color w:val="auto"/>
          <w:sz w:val="24"/>
          <w:highlight w:val="none"/>
        </w:rPr>
        <w:t>10.3.1.1（5）条规定计价并按</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val="en-US" w:eastAsia="zh-CN"/>
        </w:rPr>
        <w:t>折扣率</w:t>
      </w:r>
      <w:r>
        <w:rPr>
          <w:rFonts w:hint="eastAsia" w:ascii="宋体" w:hAnsi="宋体" w:cs="宋体"/>
          <w:color w:val="auto"/>
          <w:kern w:val="0"/>
          <w:sz w:val="24"/>
          <w:highlight w:val="none"/>
        </w:rPr>
        <w:t>提出重新组价单价，经发包人确认后，作为结算依据。被判定为异常综合单价的不适用本条款。</w:t>
      </w:r>
    </w:p>
    <w:p w14:paraId="30B9A718">
      <w:pPr>
        <w:autoSpaceDE w:val="0"/>
        <w:autoSpaceDN w:val="0"/>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已标价的工程量清单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若工程量清单报价中无组合子目单价的，则以10.3.1.1（5）的计价依据调整。</w:t>
      </w:r>
    </w:p>
    <w:p w14:paraId="399084F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（3）已标价的工程量清单中无相同项目及类似项目单价的，应由承包人根据</w:t>
      </w:r>
      <w:r>
        <w:rPr>
          <w:rFonts w:hint="eastAsia" w:ascii="宋体" w:hAnsi="宋体" w:cs="宋体"/>
          <w:color w:val="auto"/>
          <w:sz w:val="24"/>
          <w:highlight w:val="none"/>
        </w:rPr>
        <w:t>10.3.1.1（5）条规定计价并按</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val="en-US" w:eastAsia="zh-CN"/>
        </w:rPr>
        <w:t>折扣率</w:t>
      </w:r>
      <w:r>
        <w:rPr>
          <w:rFonts w:hint="eastAsia" w:ascii="宋体" w:hAnsi="宋体" w:cs="宋体"/>
          <w:color w:val="auto"/>
          <w:kern w:val="0"/>
          <w:sz w:val="24"/>
          <w:highlight w:val="none"/>
        </w:rPr>
        <w:t>提出变更工程项目的单价，经发包人确认后调整。</w:t>
      </w:r>
    </w:p>
    <w:p w14:paraId="3447FC5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（4）已标价的工程量清单中无相同项目及类似项目单价的，且</w:t>
      </w:r>
      <w:r>
        <w:rPr>
          <w:rFonts w:hint="eastAsia" w:ascii="宋体" w:hAnsi="宋体" w:cs="宋体"/>
          <w:color w:val="auto"/>
          <w:sz w:val="24"/>
          <w:highlight w:val="none"/>
        </w:rPr>
        <w:t>无法按10.3.1.1（5）条计价依据组价的</w:t>
      </w:r>
      <w:r>
        <w:rPr>
          <w:rFonts w:hint="eastAsia" w:ascii="宋体" w:hAnsi="宋体" w:cs="宋体"/>
          <w:color w:val="auto"/>
          <w:kern w:val="0"/>
          <w:sz w:val="24"/>
          <w:highlight w:val="none"/>
        </w:rPr>
        <w:t>，应由承包人根据变更工程资料、计量规则、计价办法和通过市场调查等取得有合法依据的市场价格并按中标</w:t>
      </w:r>
      <w:r>
        <w:rPr>
          <w:rFonts w:hint="eastAsia" w:ascii="宋体" w:hAnsi="宋体" w:cs="宋体"/>
          <w:color w:val="auto"/>
          <w:kern w:val="0"/>
          <w:sz w:val="24"/>
          <w:highlight w:val="none"/>
          <w:lang w:val="en-US" w:eastAsia="zh-CN"/>
        </w:rPr>
        <w:t>折扣率</w:t>
      </w:r>
      <w:r>
        <w:rPr>
          <w:rFonts w:hint="eastAsia" w:ascii="宋体" w:hAnsi="宋体" w:cs="宋体"/>
          <w:color w:val="auto"/>
          <w:kern w:val="0"/>
          <w:sz w:val="24"/>
          <w:highlight w:val="none"/>
        </w:rPr>
        <w:t>后提出变更工程项目的单价，经发包人确认后调整。</w:t>
      </w:r>
    </w:p>
    <w:p w14:paraId="6E309DA0">
      <w:pPr>
        <w:adjustRightInd/>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sz w:val="24"/>
          <w:highlight w:val="none"/>
          <w:lang w:bidi="ar"/>
        </w:rPr>
        <w:t>（5）</w:t>
      </w:r>
      <w:r>
        <w:rPr>
          <w:rFonts w:hint="eastAsia" w:ascii="宋体" w:hAnsi="宋体" w:cs="宋体"/>
          <w:b/>
          <w:bCs/>
          <w:color w:val="auto"/>
          <w:kern w:val="0"/>
          <w:sz w:val="24"/>
          <w:highlight w:val="none"/>
        </w:rPr>
        <w:t>重新组价办法（以采购人提供的预算报告编制说明为准）</w:t>
      </w:r>
    </w:p>
    <w:p w14:paraId="44914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5.1取费标准</w:t>
      </w:r>
    </w:p>
    <w:p w14:paraId="4A4F3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5.1.1企业管理费、利润：装修工程按单独装饰工程中值计取；安装工程按水、电、暖通、消防、智能、自控及通信安装工程中值计取</w:t>
      </w:r>
      <w:r>
        <w:rPr>
          <w:rFonts w:hint="eastAsia" w:ascii="宋体" w:hAnsi="宋体" w:eastAsia="宋体" w:cs="宋体"/>
          <w:color w:val="auto"/>
          <w:kern w:val="0"/>
          <w:sz w:val="24"/>
          <w:szCs w:val="24"/>
          <w:highlight w:val="none"/>
        </w:rPr>
        <w:t>。</w:t>
      </w:r>
    </w:p>
    <w:p w14:paraId="67B4E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5.1.2施工组织措施费：按相应专业计取安全文明施工基本费（按市区工程中值计取）、冬雨季施工增加费、二次搬运费，费率按相应专业中值计取；不计取提前竣工增加费、行车、行人干扰增加费、标化工地增加费；根据浙建建发</w:t>
      </w:r>
      <w:r>
        <w:rPr>
          <w:rFonts w:hint="eastAsia" w:ascii="宋体" w:hAnsi="宋体" w:eastAsia="宋体" w:cs="宋体"/>
          <w:color w:val="auto"/>
          <w:kern w:val="0"/>
          <w:sz w:val="24"/>
          <w:szCs w:val="24"/>
          <w:highlight w:val="none"/>
          <w:lang w:val="zh-CN" w:eastAsia="zh-CN"/>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37号文《浙江省建设厅关于调整建筑工程安全文明施工费的通知》，安全文明施工基本费按照《浙江省建设工程计价规则 (2018 版)》的费率乘以1.15系数</w:t>
      </w:r>
      <w:r>
        <w:rPr>
          <w:rFonts w:hint="eastAsia" w:ascii="宋体" w:hAnsi="宋体" w:eastAsia="宋体" w:cs="宋体"/>
          <w:color w:val="auto"/>
          <w:kern w:val="0"/>
          <w:sz w:val="24"/>
          <w:szCs w:val="24"/>
          <w:highlight w:val="none"/>
        </w:rPr>
        <w:t>。</w:t>
      </w:r>
    </w:p>
    <w:p w14:paraId="0B67D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5.1.3规费：按《浙江省建设工程计价规则》（2018版）规定的各专业费率乘以30%计取</w:t>
      </w:r>
      <w:r>
        <w:rPr>
          <w:rFonts w:hint="eastAsia" w:ascii="宋体" w:hAnsi="宋体" w:eastAsia="宋体" w:cs="宋体"/>
          <w:color w:val="auto"/>
          <w:kern w:val="0"/>
          <w:sz w:val="24"/>
          <w:szCs w:val="24"/>
          <w:highlight w:val="none"/>
        </w:rPr>
        <w:t>。</w:t>
      </w:r>
    </w:p>
    <w:p w14:paraId="0EA6D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5.1.4税金采用一般计税方法，税率按浙建建发</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2019</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92号文件规定9%计取。</w:t>
      </w:r>
    </w:p>
    <w:p w14:paraId="21CD8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5.1.5</w:t>
      </w:r>
      <w:r>
        <w:rPr>
          <w:rFonts w:hint="eastAsia" w:ascii="宋体" w:hAnsi="宋体" w:eastAsia="宋体" w:cs="宋体"/>
          <w:color w:val="auto"/>
          <w:kern w:val="0"/>
          <w:sz w:val="24"/>
          <w:szCs w:val="24"/>
          <w:highlight w:val="none"/>
          <w:lang w:val="zh-CN" w:eastAsia="zh-CN"/>
        </w:rPr>
        <w:t>安全生产责任保险费</w:t>
      </w:r>
      <w:r>
        <w:rPr>
          <w:rFonts w:hint="eastAsia" w:ascii="宋体" w:hAnsi="宋体" w:eastAsia="宋体" w:cs="宋体"/>
          <w:color w:val="auto"/>
          <w:kern w:val="0"/>
          <w:sz w:val="24"/>
          <w:szCs w:val="24"/>
          <w:highlight w:val="none"/>
          <w:lang w:val="en-US" w:eastAsia="zh-CN"/>
        </w:rPr>
        <w:t>按</w:t>
      </w:r>
      <w:r>
        <w:rPr>
          <w:rFonts w:hint="eastAsia" w:ascii="宋体" w:hAnsi="宋体" w:eastAsia="宋体" w:cs="宋体"/>
          <w:color w:val="auto"/>
          <w:kern w:val="0"/>
          <w:sz w:val="24"/>
          <w:szCs w:val="24"/>
          <w:highlight w:val="none"/>
          <w:lang w:val="zh-CN" w:eastAsia="zh-CN"/>
        </w:rPr>
        <w:t>市建管〔2024〕12号</w:t>
      </w:r>
      <w:r>
        <w:rPr>
          <w:rFonts w:hint="eastAsia" w:ascii="宋体" w:hAnsi="宋体" w:eastAsia="宋体" w:cs="宋体"/>
          <w:color w:val="auto"/>
          <w:kern w:val="0"/>
          <w:sz w:val="24"/>
          <w:szCs w:val="24"/>
          <w:highlight w:val="none"/>
          <w:lang w:val="en-US" w:eastAsia="zh-CN"/>
        </w:rPr>
        <w:t>文《关于印发宁波市房屋建筑与市政基础设施工程安全生产责任保险费用计取的通知》规定的分档累进计取，归属企业管理费并单列。</w:t>
      </w:r>
    </w:p>
    <w:p w14:paraId="59A43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5.2人工、材料市场信息价的计取</w:t>
      </w:r>
    </w:p>
    <w:p w14:paraId="4F61A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5.2.1材料市场信息价：按照《宁波建设工程造价信息》综合版2025年5月刊（宁波市区）信息价，无宁波市信息价的按《浙江造价信息》（正刊）2025年5月刊信息价，无信息价材料按市场询价取定，上述材料价均为除税价。</w:t>
      </w:r>
    </w:p>
    <w:p w14:paraId="1DBE0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5.2.2人工市场信息价：人工市场信息价格按照《宁波建设工程造价信息》综合版2025年5月刊计取。</w:t>
      </w:r>
    </w:p>
    <w:p w14:paraId="41D6556D">
      <w:pPr>
        <w:pStyle w:val="971"/>
        <w:adjustRightInd/>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上述方式确定的材料价格均执行中标浮动。</w:t>
      </w:r>
    </w:p>
    <w:p w14:paraId="28015171">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施工中出现施工图纸或设计变更与工程量清单项目特征描述不符的，发承包双方应按新的项目特征确定相应工程量清单项目，按本条款（1）-（5）规定重新确定相应工程量清单项目的综合单价，并调整合同价款。</w:t>
      </w:r>
    </w:p>
    <w:p w14:paraId="2C81FFD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10.3.1.2 关于变更措施项目费的约定：</w:t>
      </w:r>
    </w:p>
    <w:p w14:paraId="31719CC1">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以“项”为单位的技术措施清单项目，为固定价格，不作调整。施工期间若发生设计变更、工程变更、施工工艺或施工组织设计更改、现场情况变化等所产生的以“项”为单位的技术措施费，结算时均不作调整。因非承包人原因引起施工技术方案发生变更且经专家论证后报发包人签证确认的，可按实进行调整。涉及结构重大变更而导致措施项目重大变更（须经发包人聘请的专家论证）的则另行协商。</w:t>
      </w:r>
    </w:p>
    <w:p w14:paraId="610B420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非承包人原因的工程变更，造成施工组织设计或施工方案变更，以及分部分项工程量变化，引起措施项目数量、内容发生变化，应调整措施项目费（10.4.1.2（1）的情况除外）。其中采用综合单价计价的措施项目，根据发承包双方确认的工程量和根据第10.3.1.1条款约定原则计算的单价提出措施费。</w:t>
      </w:r>
    </w:p>
    <w:p w14:paraId="32844C4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原清单中没有的措施项目（漏项），根据</w:t>
      </w:r>
      <w:r>
        <w:rPr>
          <w:rFonts w:hint="eastAsia" w:ascii="宋体" w:hAnsi="宋体" w:cs="宋体"/>
          <w:color w:val="auto"/>
          <w:sz w:val="24"/>
          <w:highlight w:val="none"/>
        </w:rPr>
        <w:t>10.3.1.1（5）条</w:t>
      </w:r>
      <w:r>
        <w:rPr>
          <w:rFonts w:hint="eastAsia" w:ascii="宋体" w:hAnsi="宋体" w:cs="宋体"/>
          <w:color w:val="auto"/>
          <w:kern w:val="0"/>
          <w:sz w:val="24"/>
          <w:highlight w:val="none"/>
        </w:rPr>
        <w:t>计价依据计算并按中标</w:t>
      </w:r>
      <w:r>
        <w:rPr>
          <w:rFonts w:hint="eastAsia" w:ascii="宋体" w:hAnsi="宋体" w:cs="宋体"/>
          <w:color w:val="auto"/>
          <w:kern w:val="0"/>
          <w:sz w:val="24"/>
          <w:highlight w:val="none"/>
          <w:lang w:val="en-US" w:eastAsia="zh-CN"/>
        </w:rPr>
        <w:t>折扣率</w:t>
      </w:r>
      <w:r>
        <w:rPr>
          <w:rFonts w:hint="eastAsia" w:ascii="宋体" w:hAnsi="宋体" w:cs="宋体"/>
          <w:color w:val="auto"/>
          <w:kern w:val="0"/>
          <w:sz w:val="24"/>
          <w:highlight w:val="none"/>
        </w:rPr>
        <w:t>后提出，经发包人确认后作为结算依据。</w:t>
      </w:r>
    </w:p>
    <w:p w14:paraId="190AC97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10.3.1.3 关于其他项目费变更的约定：</w:t>
      </w:r>
    </w:p>
    <w:p w14:paraId="42D590A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承包人应发包人要求完成合同以外的项目、工作，或者发生应由发包人承担责任的事件，承包人应按合同约定的时间、程序向发包人提出费用或责任事件确认的书面资料，办理现场签证。现场签证作为期中结算、竣工结算的依据。现场签证涉及工程量、价、费等内容的，需经跟踪审计单位审定并经发包人内部管理审批流程审批后生效的现场签证作为竣工结算的依据，否则不得作为结算依据。</w:t>
      </w:r>
    </w:p>
    <w:p w14:paraId="1BB41B7B">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总承包服务费：由发包人另行招标的专业工程，纳入总承包管理。总承包管理、成品保护、协调、服务、配合费，按专业工程相应工程结算造价（扣除设备费）的1.5%计取，另外提供水电接口及施工用水用电，费用由专业工程承包单位支付，双方自行协商。总承包管理、协调、服务、配合费不执行中标</w:t>
      </w:r>
      <w:r>
        <w:rPr>
          <w:rFonts w:hint="eastAsia" w:ascii="宋体" w:hAnsi="宋体" w:cs="宋体"/>
          <w:color w:val="auto"/>
          <w:kern w:val="0"/>
          <w:sz w:val="24"/>
          <w:highlight w:val="none"/>
          <w:lang w:val="en-US" w:eastAsia="zh-CN"/>
        </w:rPr>
        <w:t>折扣率</w:t>
      </w:r>
      <w:r>
        <w:rPr>
          <w:rFonts w:hint="eastAsia" w:ascii="宋体" w:hAnsi="宋体" w:cs="宋体"/>
          <w:color w:val="auto"/>
          <w:kern w:val="0"/>
          <w:sz w:val="24"/>
          <w:highlight w:val="none"/>
        </w:rPr>
        <w:t>，在跟踪审计完成工程结算初审完成后支付。</w:t>
      </w:r>
    </w:p>
    <w:p w14:paraId="3EB5C9A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（3）暂列金额在减去工程变更价款调整与索赔、涨价费用等金额后，如有余额，归还发包人。</w:t>
      </w:r>
    </w:p>
    <w:p w14:paraId="7A7E7BCA">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10.3.2 变更估价程序</w:t>
      </w:r>
    </w:p>
    <w:p w14:paraId="1274F71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10.3.2.1承包人应在收到变更指示后14天内，向监理人提交变更估价申请；涉及返工等签证的需在完成该项变更内容后7天内向监理工程师及发包人申报工程量签证单及费用，并严格按发包人规定的程序和方式报送。未按规定报送的视为该项变更不涉及费用变更。</w:t>
      </w:r>
    </w:p>
    <w:p w14:paraId="27B31C0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10.3.2.2 若因特殊原因，发包人或监理方要求承包人对变更内容先予以实施，则承包人必须无条件立即对该变更内容进行实施，并在完成该变更内容后的 7 天内向监理工程师及发包人提交变更估价申请，否则视为该项变更不涉及费用变更。</w:t>
      </w:r>
    </w:p>
    <w:p w14:paraId="46A900E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10.3.2.3监理人应在收到承包人提交的变更估价申请后7天内审查完毕并报送发包人，发包人应在承包人提交变更估价申请后14天内提出审核意见。若发包人不同意承包人提出的变更价款，承包人应按发包人意见进行修改并重新提出报告。若承包人不同意发包人的决定，按合同“20.争议解决”处理。</w:t>
      </w:r>
    </w:p>
    <w:p w14:paraId="3BB77B5F">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10.3.2.4因承包人自身原因导致的工程变更，承包人承担由此发生的费用，并赔偿发包人的有关损失，延误的工期不予顺延。</w:t>
      </w:r>
    </w:p>
    <w:p w14:paraId="339E78A9">
      <w:pPr>
        <w:adjustRightInd/>
        <w:spacing w:line="360" w:lineRule="auto"/>
        <w:ind w:firstLine="480" w:firstLineChars="200"/>
        <w:rPr>
          <w:rFonts w:ascii="宋体" w:hAnsi="宋体" w:cs="宋体"/>
          <w:color w:val="auto"/>
          <w:sz w:val="24"/>
          <w:highlight w:val="none"/>
          <w:u w:val="single"/>
          <w:lang w:bidi="ar"/>
        </w:rPr>
      </w:pPr>
      <w:r>
        <w:rPr>
          <w:rFonts w:hint="eastAsia" w:ascii="宋体" w:hAnsi="宋体" w:cs="宋体"/>
          <w:color w:val="auto"/>
          <w:kern w:val="0"/>
          <w:sz w:val="24"/>
          <w:highlight w:val="none"/>
        </w:rPr>
        <w:t>10.3.2.5所有涉及合同价格的调整均需监理人、发包人（或其委托的全过程跟踪咨询单位）确认，如有审计以最终审计审定为准。</w:t>
      </w:r>
    </w:p>
    <w:p w14:paraId="03373B3A">
      <w:pPr>
        <w:adjustRightInd/>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10.4承包人的合理化建议</w:t>
      </w:r>
    </w:p>
    <w:p w14:paraId="7F365E5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监理人审查承包人合理化建议的期限：监理人应在收到承包人提交的合理化建议后7天内审查完毕并报送发包人，发现其中存在技术上的缺陷，应通知承包人修改。</w:t>
      </w:r>
    </w:p>
    <w:p w14:paraId="515BA4F3">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发包人审批承包人合理化建议的期限：发包人应在收到监理人报送的合理化建议后7天内审批完毕。</w:t>
      </w:r>
    </w:p>
    <w:p w14:paraId="4639D3B5">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承包人提出的合理化建议降低了合同价格或者提高了工程经济效益的奖励的方法和金额为：奖励由承包人的合理化建议带给发包人利益的</w:t>
      </w:r>
      <w:r>
        <w:rPr>
          <w:rFonts w:hint="eastAsia" w:ascii="宋体" w:hAnsi="宋体" w:cs="宋体"/>
          <w:color w:val="auto"/>
          <w:kern w:val="0"/>
          <w:sz w:val="24"/>
          <w:highlight w:val="none"/>
          <w:u w:val="single"/>
        </w:rPr>
        <w:t>视情况协商解决</w:t>
      </w:r>
      <w:r>
        <w:rPr>
          <w:rFonts w:hint="eastAsia" w:ascii="宋体" w:hAnsi="宋体" w:cs="宋体"/>
          <w:color w:val="auto"/>
          <w:kern w:val="0"/>
          <w:sz w:val="24"/>
          <w:highlight w:val="none"/>
        </w:rPr>
        <w:t>。</w:t>
      </w:r>
    </w:p>
    <w:p w14:paraId="0A73A531">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w:t>
      </w:r>
      <w:bookmarkStart w:id="659" w:name="_Toc304295574"/>
      <w:bookmarkStart w:id="660" w:name="_Toc297216207"/>
      <w:bookmarkStart w:id="661" w:name="_Toc292559404"/>
      <w:bookmarkStart w:id="662" w:name="_Toc296891027"/>
      <w:bookmarkStart w:id="663" w:name="_Toc296346700"/>
      <w:bookmarkStart w:id="664" w:name="_Toc292559909"/>
      <w:bookmarkStart w:id="665" w:name="_Toc297048385"/>
      <w:bookmarkStart w:id="666" w:name="_Toc297120499"/>
      <w:bookmarkStart w:id="667" w:name="_Toc297123548"/>
      <w:bookmarkStart w:id="668" w:name="_Toc300934997"/>
      <w:bookmarkStart w:id="669" w:name="_Toc296891239"/>
      <w:bookmarkStart w:id="670" w:name="_Toc303539154"/>
      <w:bookmarkStart w:id="671" w:name="_Toc296347198"/>
      <w:bookmarkStart w:id="672" w:name="_Toc296944538"/>
      <w:bookmarkStart w:id="673" w:name="_Toc312678033"/>
      <w:bookmarkStart w:id="674" w:name="_Toc312677507"/>
      <w:bookmarkStart w:id="675" w:name="_Toc296503199"/>
      <w:r>
        <w:rPr>
          <w:rFonts w:hint="eastAsia" w:ascii="宋体" w:hAnsi="宋体" w:cs="宋体"/>
          <w:b/>
          <w:bCs/>
          <w:color w:val="auto"/>
          <w:sz w:val="24"/>
          <w:highlight w:val="none"/>
        </w:rPr>
        <w:t>0.5暂估价</w:t>
      </w:r>
      <w:bookmarkEnd w:id="656"/>
      <w:bookmarkEnd w:id="657"/>
      <w:bookmarkEnd w:id="658"/>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07EC119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详见工程量清单。</w:t>
      </w:r>
    </w:p>
    <w:p w14:paraId="18EAF2D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10.5.1对于依法必须招标的暂估价项目 ，由承包人招标确定暂估价供应商或分包人，承包人应按照施工进度计划，在招标工作启动前 21 天通知发包人，并同时提交暂估价招标方案（含招标文件和控制价明细）。发包人应在收到后14天内确认招标文件（含控制价）或提出修改意见。确定中标人后，由承包人与中标人签订暂估价合同，经发包人认可的中标价，结算时不参与下浮承包人应当在签订暂估价合同后7天内，将暂估价招投标文件及合同副本报送发包人留存。</w:t>
      </w:r>
    </w:p>
    <w:p w14:paraId="4F8E4FD9">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10.5.2</w:t>
      </w:r>
      <w:r>
        <w:rPr>
          <w:rFonts w:hint="eastAsia" w:ascii="宋体" w:hAnsi="宋体" w:cs="宋体"/>
          <w:color w:val="auto"/>
          <w:kern w:val="0"/>
          <w:sz w:val="24"/>
          <w:highlight w:val="none"/>
        </w:rPr>
        <w:t>不属于依法必须招标的暂估价项目</w:t>
      </w:r>
    </w:p>
    <w:p w14:paraId="159073BB">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对于不属于依法必须招标的暂估价项目，按本项约定确认和批准：</w:t>
      </w:r>
    </w:p>
    <w:p w14:paraId="5AA074BC">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给予批准或提出修改意见，经发包人认可的采购价，结算时不参与下浮；</w:t>
      </w:r>
    </w:p>
    <w:p w14:paraId="7D391C89">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4B3875A4">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5C0599BB">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10.6暂列金额</w:t>
      </w:r>
    </w:p>
    <w:p w14:paraId="259000A4">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kern w:val="0"/>
          <w:sz w:val="24"/>
          <w:highlight w:val="none"/>
          <w:u w:val="single"/>
        </w:rPr>
        <w:t>暂列金额用于施工中可能发生的工程变更、合同约定调整因素出现时的合同价款调整以及发生的索赔、现场签证确认等的费用。暂列金额使用时由发包人通过监理人发出使用指令</w:t>
      </w:r>
      <w:r>
        <w:rPr>
          <w:rFonts w:hint="eastAsia" w:ascii="宋体" w:hAnsi="宋体" w:cs="宋体"/>
          <w:color w:val="auto"/>
          <w:kern w:val="0"/>
          <w:sz w:val="24"/>
          <w:highlight w:val="none"/>
        </w:rPr>
        <w:t>。</w:t>
      </w:r>
    </w:p>
    <w:p w14:paraId="6581F091">
      <w:pPr>
        <w:pStyle w:val="970"/>
        <w:adjustRightInd/>
        <w:spacing w:line="360" w:lineRule="auto"/>
        <w:ind w:firstLine="482" w:firstLineChars="200"/>
        <w:rPr>
          <w:rFonts w:ascii="宋体" w:hAnsi="宋体" w:eastAsia="宋体" w:cs="宋体"/>
          <w:color w:val="auto"/>
          <w:sz w:val="24"/>
          <w:szCs w:val="24"/>
          <w:highlight w:val="none"/>
        </w:rPr>
      </w:pPr>
      <w:bookmarkStart w:id="676" w:name="_Toc1637898606"/>
      <w:bookmarkStart w:id="677" w:name="_Toc17442182"/>
      <w:r>
        <w:rPr>
          <w:rFonts w:hint="eastAsia" w:ascii="宋体" w:hAnsi="宋体" w:eastAsia="宋体" w:cs="宋体"/>
          <w:color w:val="auto"/>
          <w:sz w:val="24"/>
          <w:szCs w:val="24"/>
          <w:highlight w:val="none"/>
        </w:rPr>
        <w:t>11.价格调整</w:t>
      </w:r>
      <w:bookmarkEnd w:id="676"/>
      <w:bookmarkEnd w:id="677"/>
    </w:p>
    <w:bookmarkEnd w:id="630"/>
    <w:bookmarkEnd w:id="631"/>
    <w:bookmarkEnd w:id="632"/>
    <w:bookmarkEnd w:id="633"/>
    <w:bookmarkEnd w:id="634"/>
    <w:bookmarkEnd w:id="635"/>
    <w:p w14:paraId="674A38FF">
      <w:pPr>
        <w:numPr>
          <w:ilvl w:val="2"/>
          <w:numId w:val="5"/>
        </w:numPr>
        <w:adjustRightInd/>
        <w:spacing w:line="360" w:lineRule="auto"/>
        <w:ind w:firstLine="480" w:firstLineChars="200"/>
        <w:jc w:val="left"/>
        <w:rPr>
          <w:rFonts w:ascii="宋体" w:hAnsi="宋体" w:cs="宋体"/>
          <w:color w:val="auto"/>
          <w:sz w:val="24"/>
          <w:highlight w:val="none"/>
        </w:rPr>
      </w:pPr>
      <w:bookmarkStart w:id="678" w:name="_Toc296891245"/>
      <w:bookmarkStart w:id="679" w:name="_Toc292559915"/>
      <w:bookmarkStart w:id="680" w:name="_Toc297048391"/>
      <w:bookmarkStart w:id="681" w:name="_Toc296347204"/>
      <w:bookmarkStart w:id="682" w:name="_Toc296891033"/>
      <w:bookmarkStart w:id="683" w:name="_Toc297120505"/>
      <w:bookmarkStart w:id="684" w:name="_Toc296944544"/>
      <w:bookmarkStart w:id="685" w:name="_Toc296346706"/>
      <w:bookmarkStart w:id="686" w:name="_Toc292559410"/>
      <w:bookmarkStart w:id="687" w:name="_Toc296503205"/>
      <w:bookmarkStart w:id="688" w:name="_Toc2095751839"/>
      <w:bookmarkStart w:id="689" w:name="_Toc226573127"/>
      <w:bookmarkStart w:id="690" w:name="_Toc303539159"/>
      <w:bookmarkStart w:id="691" w:name="_Toc297216211"/>
      <w:bookmarkStart w:id="692" w:name="_Toc300935002"/>
      <w:bookmarkStart w:id="693" w:name="_Toc297123552"/>
      <w:bookmarkStart w:id="694" w:name="_Toc304295579"/>
      <w:bookmarkStart w:id="695" w:name="_Toc312678040"/>
      <w:r>
        <w:rPr>
          <w:rFonts w:hint="eastAsia" w:ascii="宋体" w:hAnsi="宋体" w:cs="宋体"/>
          <w:color w:val="auto"/>
          <w:sz w:val="24"/>
          <w:highlight w:val="none"/>
        </w:rPr>
        <w:t>合同当事人约定：材料、人工等市场价格波动不允许调整。</w:t>
      </w:r>
    </w:p>
    <w:p w14:paraId="0FDEE0A3">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bookmarkEnd w:id="678"/>
      <w:bookmarkEnd w:id="679"/>
      <w:bookmarkEnd w:id="680"/>
      <w:bookmarkEnd w:id="681"/>
      <w:bookmarkEnd w:id="682"/>
      <w:bookmarkEnd w:id="683"/>
      <w:bookmarkEnd w:id="684"/>
      <w:bookmarkEnd w:id="685"/>
      <w:bookmarkEnd w:id="686"/>
      <w:bookmarkEnd w:id="687"/>
      <w:r>
        <w:rPr>
          <w:rFonts w:hint="eastAsia" w:ascii="宋体" w:hAnsi="宋体" w:eastAsia="宋体" w:cs="宋体"/>
          <w:color w:val="auto"/>
          <w:sz w:val="24"/>
          <w:szCs w:val="24"/>
          <w:highlight w:val="none"/>
        </w:rPr>
        <w:t>合同价格、计量与支付</w:t>
      </w:r>
      <w:bookmarkEnd w:id="688"/>
      <w:bookmarkEnd w:id="689"/>
    </w:p>
    <w:bookmarkEnd w:id="690"/>
    <w:bookmarkEnd w:id="691"/>
    <w:bookmarkEnd w:id="692"/>
    <w:bookmarkEnd w:id="693"/>
    <w:bookmarkEnd w:id="694"/>
    <w:bookmarkEnd w:id="695"/>
    <w:p w14:paraId="4021A35B">
      <w:pPr>
        <w:adjustRightInd/>
        <w:spacing w:line="360" w:lineRule="auto"/>
        <w:ind w:firstLine="480" w:firstLineChars="200"/>
        <w:rPr>
          <w:rFonts w:ascii="宋体" w:hAnsi="宋体" w:cs="宋体"/>
          <w:color w:val="auto"/>
          <w:kern w:val="0"/>
          <w:sz w:val="24"/>
          <w:highlight w:val="none"/>
        </w:rPr>
      </w:pPr>
      <w:bookmarkStart w:id="696" w:name="_Toc712673231"/>
      <w:bookmarkStart w:id="697" w:name="_Toc1924091423"/>
      <w:bookmarkStart w:id="698" w:name="_Toc296944546"/>
      <w:bookmarkStart w:id="699" w:name="_Toc296891247"/>
      <w:bookmarkStart w:id="700" w:name="_Toc304295581"/>
      <w:bookmarkStart w:id="701" w:name="_Toc297123554"/>
      <w:bookmarkStart w:id="702" w:name="_Toc292559917"/>
      <w:bookmarkStart w:id="703" w:name="_Toc292559412"/>
      <w:bookmarkStart w:id="704" w:name="_Toc297216213"/>
      <w:bookmarkStart w:id="705" w:name="_Toc296503207"/>
      <w:bookmarkStart w:id="706" w:name="_Toc303539161"/>
      <w:bookmarkStart w:id="707" w:name="_Toc312678042"/>
      <w:bookmarkStart w:id="708" w:name="_Toc297120507"/>
      <w:bookmarkStart w:id="709" w:name="_Toc300935004"/>
      <w:bookmarkStart w:id="710" w:name="_Toc297048393"/>
      <w:bookmarkStart w:id="711" w:name="_Toc296347206"/>
      <w:bookmarkStart w:id="712" w:name="_Toc296891035"/>
      <w:bookmarkStart w:id="713" w:name="_Toc296346708"/>
      <w:r>
        <w:rPr>
          <w:rFonts w:hint="eastAsia" w:ascii="宋体" w:hAnsi="宋体" w:cs="宋体"/>
          <w:color w:val="auto"/>
          <w:kern w:val="0"/>
          <w:sz w:val="24"/>
          <w:highlight w:val="none"/>
        </w:rPr>
        <w:t>本合同价格采用一般计税法。本合同采用合同当事人签订的合同协议书中约定的价格形式，即：单价合同。</w:t>
      </w:r>
    </w:p>
    <w:p w14:paraId="770451EE">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单价合同是指合同当事人约定以工程量清单及综合单价进行合同价格计算、调整和确认的建设工程施工合同，在约定的风险范围内合同单价不作调整。</w:t>
      </w:r>
    </w:p>
    <w:p w14:paraId="37DB3393">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合同价款中包括的风险范围：</w:t>
      </w:r>
    </w:p>
    <w:p w14:paraId="440FF15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招标时提供的施工图纸、联系单、发包人提供的工程量、有关的会议纪要、招标文件及补充说明、附件、附表、投标文件、工程量清单报价书、承诺等文件中有关条款所涵盖的内容、要求、范围、计算规则等；</w:t>
      </w:r>
    </w:p>
    <w:p w14:paraId="18AD076B">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b、承包人应认真掌握招标文件、施工图纸等资料，并仔细踏勘施工现场，熟悉现场地形、道路、临时使用空间和周围环境（</w:t>
      </w:r>
      <w:r>
        <w:rPr>
          <w:rFonts w:hint="eastAsia" w:ascii="宋体" w:hAnsi="宋体" w:cs="宋体"/>
          <w:color w:val="auto"/>
          <w:sz w:val="24"/>
          <w:highlight w:val="none"/>
        </w:rPr>
        <w:t>包括现场清表、硬化道路及结构破除、塘渣回填，临边建筑的保护措施等）</w:t>
      </w:r>
      <w:r>
        <w:rPr>
          <w:rFonts w:hint="eastAsia" w:ascii="宋体" w:hAnsi="宋体" w:cs="宋体"/>
          <w:color w:val="auto"/>
          <w:kern w:val="0"/>
          <w:sz w:val="24"/>
          <w:highlight w:val="none"/>
        </w:rPr>
        <w:t>，了解一切可能影响投标报价的资料，结合企业自身实力和市场自行报价，凡影响投标报价的所有费用，应在投标报价中列入；</w:t>
      </w:r>
    </w:p>
    <w:p w14:paraId="19BD7EE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c、发包人对承包人的投标时自主作出的推论、解释和结论概不负责。承包人不得以上述理由提出额外经济索赔或延长工期等要求。</w:t>
      </w:r>
    </w:p>
    <w:p w14:paraId="39EE3C03">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d、施工人员生活场地、搭设施工用房、生活用房、材料加工制作及堆场等所需场地由承包人自行解决，所产生的费用承包人已在投标报价中综合考虑。</w:t>
      </w:r>
    </w:p>
    <w:p w14:paraId="6B2B696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风险范围以外合同价格的调整方法：按照第10.4条款确定变更工作和单价，其中市场价格波动引起的调整按第11.1款（</w:t>
      </w:r>
      <w:r>
        <w:rPr>
          <w:rFonts w:hint="eastAsia" w:ascii="宋体" w:hAnsi="宋体" w:cs="宋体"/>
          <w:color w:val="auto"/>
          <w:sz w:val="24"/>
          <w:highlight w:val="none"/>
        </w:rPr>
        <w:t>市场价格波动引起的调整</w:t>
      </w:r>
      <w:r>
        <w:rPr>
          <w:rFonts w:hint="eastAsia" w:ascii="宋体" w:hAnsi="宋体" w:cs="宋体"/>
          <w:color w:val="auto"/>
          <w:kern w:val="0"/>
          <w:sz w:val="24"/>
          <w:highlight w:val="none"/>
        </w:rPr>
        <w:t>）约定执行。</w:t>
      </w:r>
    </w:p>
    <w:p w14:paraId="79703055">
      <w:pPr>
        <w:pStyle w:val="969"/>
        <w:adjustRightInd/>
        <w:spacing w:line="360" w:lineRule="auto"/>
        <w:ind w:firstLine="480" w:firstLineChars="200"/>
        <w:rPr>
          <w:rFonts w:hAnsi="宋体" w:cs="宋体"/>
          <w:b w:val="0"/>
          <w:color w:val="auto"/>
          <w:kern w:val="0"/>
          <w:szCs w:val="24"/>
          <w:highlight w:val="none"/>
        </w:rPr>
      </w:pPr>
      <w:r>
        <w:rPr>
          <w:rFonts w:hint="eastAsia" w:hAnsi="宋体" w:cs="宋体"/>
          <w:b w:val="0"/>
          <w:color w:val="auto"/>
          <w:kern w:val="0"/>
          <w:szCs w:val="24"/>
          <w:highlight w:val="none"/>
        </w:rPr>
        <w:t>所有涉及合同价格的调整均需监理人、全过程跟踪咨询单位、发包人确认，如有审计以审核意见为准。</w:t>
      </w:r>
    </w:p>
    <w:p w14:paraId="0FE35A25">
      <w:pPr>
        <w:adjustRightInd/>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12.1预付款</w:t>
      </w:r>
      <w:bookmarkEnd w:id="696"/>
      <w:bookmarkEnd w:id="697"/>
      <w:r>
        <w:rPr>
          <w:rFonts w:hint="eastAsia" w:ascii="宋体" w:hAnsi="宋体" w:cs="宋体"/>
          <w:b/>
          <w:bCs/>
          <w:color w:val="auto"/>
          <w:sz w:val="24"/>
          <w:highlight w:val="none"/>
        </w:rPr>
        <w:t>:</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Start w:id="714" w:name="_Toc100272494"/>
      <w:bookmarkStart w:id="715" w:name="_Toc1055625342"/>
      <w:bookmarkStart w:id="716" w:name="_Toc13601"/>
    </w:p>
    <w:p w14:paraId="3F639E67">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12.1.1 预付款的支付</w:t>
      </w:r>
    </w:p>
    <w:p w14:paraId="7F7C0F18">
      <w:pPr>
        <w:adjustRightInd/>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（1）</w:t>
      </w:r>
      <w:r>
        <w:rPr>
          <w:rFonts w:hint="eastAsia" w:ascii="宋体" w:hAnsi="宋体" w:cs="宋体"/>
          <w:b/>
          <w:color w:val="auto"/>
          <w:kern w:val="0"/>
          <w:sz w:val="24"/>
          <w:highlight w:val="none"/>
        </w:rPr>
        <w:t>预付款支付比例约定</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见工程进度款支付</w:t>
      </w:r>
      <w:r>
        <w:rPr>
          <w:rFonts w:hint="eastAsia" w:ascii="宋体" w:hAnsi="宋体" w:cs="宋体"/>
          <w:b/>
          <w:bCs/>
          <w:color w:val="auto"/>
          <w:kern w:val="0"/>
          <w:sz w:val="24"/>
          <w:highlight w:val="none"/>
        </w:rPr>
        <w:t>。</w:t>
      </w:r>
    </w:p>
    <w:bookmarkEnd w:id="636"/>
    <w:bookmarkEnd w:id="714"/>
    <w:bookmarkEnd w:id="715"/>
    <w:bookmarkEnd w:id="716"/>
    <w:p w14:paraId="6CBBACFE">
      <w:pPr>
        <w:pStyle w:val="969"/>
        <w:adjustRightInd/>
        <w:spacing w:line="360" w:lineRule="auto"/>
        <w:ind w:firstLine="482" w:firstLineChars="200"/>
        <w:rPr>
          <w:rFonts w:hAnsi="宋体" w:cs="宋体"/>
          <w:bCs/>
          <w:color w:val="auto"/>
          <w:szCs w:val="24"/>
          <w:highlight w:val="none"/>
        </w:rPr>
      </w:pPr>
      <w:r>
        <w:rPr>
          <w:rFonts w:hint="eastAsia" w:hAnsi="宋体" w:cs="宋体"/>
          <w:color w:val="auto"/>
          <w:szCs w:val="24"/>
          <w:highlight w:val="none"/>
        </w:rPr>
        <w:t>12.2计量</w:t>
      </w:r>
    </w:p>
    <w:p w14:paraId="12FE013E">
      <w:pPr>
        <w:pStyle w:val="969"/>
        <w:adjustRightInd/>
        <w:spacing w:line="360" w:lineRule="auto"/>
        <w:ind w:firstLine="482" w:firstLineChars="200"/>
        <w:rPr>
          <w:rFonts w:hint="eastAsia" w:hAnsi="宋体" w:cs="宋体"/>
          <w:b w:val="0"/>
          <w:color w:val="auto"/>
          <w:kern w:val="0"/>
          <w:szCs w:val="24"/>
          <w:highlight w:val="none"/>
        </w:rPr>
      </w:pPr>
      <w:r>
        <w:rPr>
          <w:rFonts w:hint="eastAsia" w:hAnsi="宋体" w:cs="宋体"/>
          <w:bCs/>
          <w:color w:val="auto"/>
          <w:kern w:val="0"/>
          <w:szCs w:val="24"/>
          <w:highlight w:val="none"/>
          <w:lang w:val="en-GB"/>
        </w:rPr>
        <w:t>关于工程量计算原则约定</w:t>
      </w:r>
      <w:r>
        <w:rPr>
          <w:rFonts w:hint="eastAsia" w:hAnsi="宋体" w:cs="宋体"/>
          <w:b w:val="0"/>
          <w:color w:val="auto"/>
          <w:kern w:val="0"/>
          <w:szCs w:val="24"/>
          <w:highlight w:val="none"/>
          <w:lang w:val="en-GB"/>
        </w:rPr>
        <w:t>：</w:t>
      </w:r>
      <w:r>
        <w:rPr>
          <w:rFonts w:hint="eastAsia" w:hAnsi="宋体" w:cs="宋体"/>
          <w:b w:val="0"/>
          <w:color w:val="auto"/>
          <w:kern w:val="0"/>
          <w:szCs w:val="24"/>
          <w:highlight w:val="none"/>
          <w:u w:val="single"/>
        </w:rPr>
        <w:t>按合同约定的工程量计算规则执行，工程量清单编制说明或本项目合同另有约定的从其约定</w:t>
      </w:r>
      <w:r>
        <w:rPr>
          <w:rFonts w:hint="eastAsia" w:hAnsi="宋体" w:cs="宋体"/>
          <w:b w:val="0"/>
          <w:color w:val="auto"/>
          <w:kern w:val="0"/>
          <w:szCs w:val="24"/>
          <w:highlight w:val="none"/>
        </w:rPr>
        <w:t>。</w:t>
      </w:r>
    </w:p>
    <w:p w14:paraId="36623F67">
      <w:pPr>
        <w:pStyle w:val="969"/>
        <w:adjustRightInd/>
        <w:spacing w:line="360" w:lineRule="auto"/>
        <w:ind w:firstLine="482" w:firstLineChars="200"/>
        <w:rPr>
          <w:rFonts w:hint="eastAsia" w:hAnsi="宋体" w:cs="宋体"/>
          <w:b/>
          <w:bCs/>
          <w:color w:val="auto"/>
          <w:kern w:val="0"/>
          <w:szCs w:val="24"/>
          <w:highlight w:val="none"/>
        </w:rPr>
      </w:pPr>
      <w:r>
        <w:rPr>
          <w:rFonts w:hint="eastAsia" w:hAnsi="宋体" w:cs="宋体"/>
          <w:b/>
          <w:bCs/>
          <w:color w:val="auto"/>
          <w:kern w:val="0"/>
          <w:szCs w:val="24"/>
          <w:highlight w:val="none"/>
        </w:rPr>
        <w:t>12.3工程进度款支付</w:t>
      </w:r>
    </w:p>
    <w:p w14:paraId="21EBDC98">
      <w:pPr>
        <w:widowControl w:val="0"/>
        <w:adjustRightInd w:val="0"/>
        <w:snapToGrid w:val="0"/>
        <w:spacing w:line="360" w:lineRule="auto"/>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12.3.1</w:t>
      </w:r>
      <w:r>
        <w:rPr>
          <w:rFonts w:hint="eastAsia" w:ascii="宋体" w:hAnsi="宋体" w:eastAsia="宋体" w:cs="宋体"/>
          <w:b/>
          <w:bCs/>
          <w:color w:val="auto"/>
          <w:kern w:val="0"/>
          <w:sz w:val="24"/>
          <w:szCs w:val="24"/>
          <w:highlight w:val="none"/>
          <w:lang w:val="en-US" w:eastAsia="zh-CN" w:bidi="ar-SA"/>
        </w:rPr>
        <w:t>合同签订且乙方向甲方提交同等金额的预付款保函、具备实施条件后7个工作日内，甲方向乙方支付合同总价的40%。（如在签订合同时，乙方表示无需预付款或主动要求降低预付款比例的，甲方可不适用前述规定）。</w:t>
      </w:r>
    </w:p>
    <w:p w14:paraId="5A72C9A8">
      <w:pPr>
        <w:widowControl w:val="0"/>
        <w:adjustRightInd w:val="0"/>
        <w:snapToGrid w:val="0"/>
        <w:spacing w:line="360" w:lineRule="auto"/>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12.3.1</w:t>
      </w:r>
      <w:r>
        <w:rPr>
          <w:rFonts w:hint="eastAsia" w:ascii="宋体" w:hAnsi="宋体" w:eastAsia="宋体" w:cs="宋体"/>
          <w:b/>
          <w:bCs/>
          <w:color w:val="auto"/>
          <w:kern w:val="0"/>
          <w:sz w:val="24"/>
          <w:szCs w:val="24"/>
          <w:highlight w:val="none"/>
          <w:lang w:val="en-US" w:eastAsia="zh-CN" w:bidi="ar-SA"/>
        </w:rPr>
        <w:t>待工程竣工验收合格（包含室内环境检测合格）</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提交完整的竣工资料、竣工图和结算资料后，甲方向乙方支付至（合同价款与实际完成工程量价款两者较小）85%。</w:t>
      </w:r>
    </w:p>
    <w:p w14:paraId="6C259278">
      <w:pPr>
        <w:widowControl w:val="0"/>
        <w:adjustRightInd w:val="0"/>
        <w:snapToGrid w:val="0"/>
        <w:spacing w:line="360" w:lineRule="auto"/>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12.3.1</w:t>
      </w:r>
      <w:r>
        <w:rPr>
          <w:rFonts w:hint="eastAsia" w:ascii="宋体" w:hAnsi="宋体" w:eastAsia="宋体" w:cs="宋体"/>
          <w:b/>
          <w:bCs/>
          <w:color w:val="auto"/>
          <w:kern w:val="0"/>
          <w:sz w:val="24"/>
          <w:szCs w:val="24"/>
          <w:highlight w:val="none"/>
          <w:lang w:val="en-US" w:eastAsia="zh-CN" w:bidi="ar-SA"/>
        </w:rPr>
        <w:t>工程审计结算完成且乙方提供全额增值税发票后，甲方向乙方支付至工程结算价的100%。</w:t>
      </w:r>
    </w:p>
    <w:p w14:paraId="7AA7D9D2">
      <w:pPr>
        <w:widowControl w:val="0"/>
        <w:adjustRightInd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除报审计审核批准的变更以外，设计变更、工程变更等工程洽商引起合同价款的增减均不作为工程款拨付范围，待工程竣工结算时一并结算。如工程发生重大变更，则承发包双方在原合同基础上签订补充协议，并作为工程款拨付依据，否则不计入当月进度款拨付范围。</w:t>
      </w:r>
    </w:p>
    <w:p w14:paraId="00D735B2">
      <w:pPr>
        <w:pStyle w:val="33"/>
        <w:adjustRightIn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12.4</w:t>
      </w:r>
      <w:r>
        <w:rPr>
          <w:rFonts w:hint="eastAsia" w:hAnsi="宋体" w:cs="宋体"/>
          <w:color w:val="auto"/>
          <w:sz w:val="24"/>
          <w:szCs w:val="24"/>
          <w:highlight w:val="none"/>
        </w:rPr>
        <w:t>联系单变更增加费用过程不给予支付，结算后一并根据合同支付。</w:t>
      </w:r>
    </w:p>
    <w:p w14:paraId="49F21A95">
      <w:pPr>
        <w:pStyle w:val="33"/>
        <w:adjustRightIn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12.5</w:t>
      </w:r>
      <w:r>
        <w:rPr>
          <w:rFonts w:hint="eastAsia" w:hAnsi="宋体" w:cs="宋体"/>
          <w:color w:val="auto"/>
          <w:sz w:val="24"/>
          <w:szCs w:val="24"/>
          <w:highlight w:val="none"/>
        </w:rPr>
        <w:t>发包人在向承包人支付工程款前，承包人应结清相应水电费（如有），否则发包人有权拒绝支付工程款。</w:t>
      </w:r>
    </w:p>
    <w:p w14:paraId="333BD9B8">
      <w:pPr>
        <w:pStyle w:val="33"/>
        <w:adjustRightIn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12.6</w:t>
      </w:r>
      <w:r>
        <w:rPr>
          <w:rFonts w:hint="eastAsia" w:hAnsi="宋体" w:cs="宋体"/>
          <w:color w:val="auto"/>
          <w:sz w:val="24"/>
          <w:szCs w:val="24"/>
          <w:highlight w:val="none"/>
        </w:rPr>
        <w:t>发包人在向承包人支付工程款前，承包人应向发包人提供同等数额的正规发票，否则发包人有权拒绝支付工程款。</w:t>
      </w:r>
    </w:p>
    <w:p w14:paraId="7395788F">
      <w:pPr>
        <w:pStyle w:val="33"/>
        <w:adjustRightIn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12.7</w:t>
      </w:r>
      <w:r>
        <w:rPr>
          <w:rFonts w:hint="eastAsia" w:hAnsi="宋体" w:cs="宋体"/>
          <w:color w:val="auto"/>
          <w:sz w:val="24"/>
          <w:szCs w:val="24"/>
          <w:highlight w:val="none"/>
        </w:rPr>
        <w:t>承包人未按其与分包人（或供货商）约定时间、比例支付工程款（或货款）的，发包人有权暂停承包人提交的进度款支付审批，直到其付清所拖欠的工程款（或货款），或到分包人、供货商达成和解协议为止。</w:t>
      </w:r>
    </w:p>
    <w:p w14:paraId="6DA8F968">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13.验收和工程试车</w:t>
      </w:r>
    </w:p>
    <w:p w14:paraId="3BF68BF0">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13.1分部分项工程验收</w:t>
      </w:r>
    </w:p>
    <w:p w14:paraId="52EFD00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13.1.1监理人不能按时进行验收时，应提前</w:t>
      </w:r>
      <w:r>
        <w:rPr>
          <w:rFonts w:hint="eastAsia" w:ascii="宋体" w:hAnsi="宋体" w:cs="宋体"/>
          <w:color w:val="auto"/>
          <w:sz w:val="24"/>
          <w:highlight w:val="none"/>
          <w:u w:val="single"/>
        </w:rPr>
        <w:t>24</w:t>
      </w:r>
      <w:r>
        <w:rPr>
          <w:rFonts w:hint="eastAsia" w:ascii="宋体" w:hAnsi="宋体" w:cs="宋体"/>
          <w:color w:val="auto"/>
          <w:sz w:val="24"/>
          <w:highlight w:val="none"/>
        </w:rPr>
        <w:t>小时提交书面延期要求，但延期不能超过48小时。</w:t>
      </w:r>
    </w:p>
    <w:p w14:paraId="56310498">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13.2竣工验收</w:t>
      </w:r>
    </w:p>
    <w:p w14:paraId="1A0B8C5D">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13.2.1竣工验收条件</w:t>
      </w:r>
    </w:p>
    <w:p w14:paraId="190E9BBB">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工程具备以下条件的，承包人可以申请竣工验收：</w:t>
      </w:r>
    </w:p>
    <w:p w14:paraId="15BD4D8A">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（3）提交的竣工资料的内容：</w:t>
      </w:r>
      <w:r>
        <w:rPr>
          <w:rFonts w:hint="eastAsia" w:hAnsi="宋体" w:cs="宋体"/>
          <w:b w:val="0"/>
          <w:color w:val="auto"/>
          <w:szCs w:val="24"/>
          <w:highlight w:val="none"/>
          <w:u w:val="single"/>
        </w:rPr>
        <w:t>向发包人提交按最新规范规定应由承包人编制部分的竣工资料并符合当地建筑工程质量监督部门备案审查及现行宁波市城建档案归档的纸质及电子档案要求。如因资料不符合市城建档案馆及其他有关部门的要求，而产生的整理费用由承包人承担。所有竣工资料要求做到真实性、完整性，一切竣工资料必须报监理全面核对，并要求签章后交发包人确认。待初验时提出相关问题整改结束并经竣工验收合格后，发包人或其委托的咨询公司对承包人结算资料进行审核，审核完毕后，发包人将结算资料递交给全过程咨询单位进行工程结算审核</w:t>
      </w:r>
      <w:r>
        <w:rPr>
          <w:rFonts w:hint="eastAsia" w:hAnsi="宋体" w:cs="宋体"/>
          <w:b w:val="0"/>
          <w:color w:val="auto"/>
          <w:szCs w:val="24"/>
          <w:highlight w:val="none"/>
        </w:rPr>
        <w:t>。</w:t>
      </w:r>
    </w:p>
    <w:p w14:paraId="25BC5236">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①承包人需要提交的竣工资料套数：</w:t>
      </w:r>
      <w:r>
        <w:rPr>
          <w:rFonts w:hint="eastAsia" w:hAnsi="宋体" w:cs="宋体"/>
          <w:b w:val="0"/>
          <w:color w:val="auto"/>
          <w:szCs w:val="24"/>
          <w:highlight w:val="none"/>
          <w:u w:val="single"/>
        </w:rPr>
        <w:t>应提供完整的符合归档要求的8份竣工资料（含至少5份竣工图纸），电子2份及室内4个房间空气检测合格报告1份</w:t>
      </w:r>
      <w:r>
        <w:rPr>
          <w:rFonts w:hint="eastAsia" w:hAnsi="宋体" w:cs="宋体"/>
          <w:b w:val="0"/>
          <w:color w:val="auto"/>
          <w:szCs w:val="24"/>
          <w:highlight w:val="none"/>
        </w:rPr>
        <w:t>。</w:t>
      </w:r>
    </w:p>
    <w:p w14:paraId="06DC6A32">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②承包人提交的竣工资料的费用承担：</w:t>
      </w:r>
      <w:r>
        <w:rPr>
          <w:rFonts w:hint="eastAsia" w:hAnsi="宋体" w:cs="宋体"/>
          <w:b w:val="0"/>
          <w:color w:val="auto"/>
          <w:szCs w:val="24"/>
          <w:highlight w:val="none"/>
          <w:u w:val="single"/>
        </w:rPr>
        <w:t>由承包人承担（含归档所需发生的费用）</w:t>
      </w:r>
      <w:r>
        <w:rPr>
          <w:rFonts w:hint="eastAsia" w:hAnsi="宋体" w:cs="宋体"/>
          <w:b w:val="0"/>
          <w:color w:val="auto"/>
          <w:szCs w:val="24"/>
          <w:highlight w:val="none"/>
        </w:rPr>
        <w:t>。</w:t>
      </w:r>
    </w:p>
    <w:p w14:paraId="2797B677">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③承包人提交的竣工资料移交时间：</w:t>
      </w:r>
      <w:r>
        <w:rPr>
          <w:rFonts w:hint="eastAsia" w:hAnsi="宋体" w:cs="宋体"/>
          <w:b w:val="0"/>
          <w:color w:val="auto"/>
          <w:szCs w:val="24"/>
          <w:highlight w:val="none"/>
          <w:u w:val="single"/>
        </w:rPr>
        <w:t>确定工程竣工验收前</w:t>
      </w:r>
      <w:r>
        <w:rPr>
          <w:rFonts w:hint="eastAsia" w:hAnsi="宋体" w:cs="宋体"/>
          <w:b w:val="0"/>
          <w:color w:val="auto"/>
          <w:szCs w:val="24"/>
          <w:highlight w:val="none"/>
        </w:rPr>
        <w:t>。</w:t>
      </w:r>
    </w:p>
    <w:p w14:paraId="529718A4">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④承包人免费向发包人提供建筑使用说明书（楼书）的约定：</w:t>
      </w:r>
      <w:r>
        <w:rPr>
          <w:rFonts w:hint="eastAsia" w:hAnsi="宋体" w:cs="宋体"/>
          <w:b w:val="0"/>
          <w:color w:val="auto"/>
          <w:szCs w:val="24"/>
          <w:highlight w:val="none"/>
          <w:u w:val="single"/>
        </w:rPr>
        <w:t>按发包人要求提供。</w:t>
      </w:r>
    </w:p>
    <w:p w14:paraId="6C7989AF">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⑤竣工图的编制规定：</w:t>
      </w:r>
    </w:p>
    <w:p w14:paraId="62AD029A">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rPr>
        <w:t>a、</w:t>
      </w:r>
      <w:r>
        <w:rPr>
          <w:rFonts w:hint="eastAsia" w:hAnsi="宋体" w:cs="宋体"/>
          <w:b w:val="0"/>
          <w:color w:val="auto"/>
          <w:szCs w:val="24"/>
          <w:highlight w:val="none"/>
          <w:u w:val="single"/>
        </w:rPr>
        <w:t>施工中没有设计变更，竣工后由承包人在发包人提供的施工图纸加盖竣工图章，经监理人签字盖章确认后提交发包人；</w:t>
      </w:r>
    </w:p>
    <w:p w14:paraId="394128CE">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u w:val="single"/>
        </w:rPr>
        <w:t>b、施工中只有零星的少量设计变更，承包人在施工图变更位置注明，并连同经发包人同意的变更签证，竣工后由承包人加盖竣工图章，经监理人签字盖章确认后交发包人；</w:t>
      </w:r>
    </w:p>
    <w:p w14:paraId="1FAA3259">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u w:val="single"/>
        </w:rPr>
        <w:t>c、施工中对原设计变更较多，原施工图难以作为竣工图，应由承包人组织重新绘制竣工图并经监理人签字盖章确认后提交发包人，并由承包人承担制作竣工图的相应费用</w:t>
      </w:r>
      <w:r>
        <w:rPr>
          <w:rFonts w:hint="eastAsia" w:hAnsi="宋体" w:cs="宋体"/>
          <w:b w:val="0"/>
          <w:color w:val="auto"/>
          <w:szCs w:val="24"/>
          <w:highlight w:val="none"/>
        </w:rPr>
        <w:t>。</w:t>
      </w:r>
    </w:p>
    <w:p w14:paraId="1B430E3E">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u w:val="single"/>
        </w:rPr>
        <w:t>13.2.2 竣工验收程序</w:t>
      </w:r>
      <w:r>
        <w:rPr>
          <w:rFonts w:hint="eastAsia" w:hAnsi="宋体" w:cs="宋体"/>
          <w:b w:val="0"/>
          <w:color w:val="auto"/>
          <w:szCs w:val="24"/>
          <w:highlight w:val="none"/>
          <w:u w:val="none"/>
        </w:rPr>
        <w:t>：</w:t>
      </w:r>
    </w:p>
    <w:p w14:paraId="62788DF2">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rPr>
        <w:t>关于竣工验收程序的约定：</w:t>
      </w:r>
      <w:r>
        <w:rPr>
          <w:rFonts w:hint="eastAsia" w:hAnsi="宋体" w:cs="宋体"/>
          <w:b w:val="0"/>
          <w:color w:val="auto"/>
          <w:szCs w:val="24"/>
          <w:highlight w:val="none"/>
          <w:u w:val="single"/>
        </w:rPr>
        <w:t>竣工资料未通过监理人审核和发包人审批的，发包人有权推迟组织竣工验收</w:t>
      </w:r>
      <w:r>
        <w:rPr>
          <w:rFonts w:hint="eastAsia" w:hAnsi="宋体" w:cs="宋体"/>
          <w:b w:val="0"/>
          <w:color w:val="auto"/>
          <w:szCs w:val="24"/>
          <w:highlight w:val="none"/>
        </w:rPr>
        <w:t>。</w:t>
      </w:r>
    </w:p>
    <w:p w14:paraId="1DD7D7F2">
      <w:pPr>
        <w:pStyle w:val="969"/>
        <w:adjustRightInd/>
        <w:spacing w:line="360" w:lineRule="auto"/>
        <w:ind w:firstLine="480" w:firstLineChars="200"/>
        <w:rPr>
          <w:rFonts w:hAnsi="宋体" w:cs="宋体"/>
          <w:b w:val="0"/>
          <w:color w:val="auto"/>
          <w:szCs w:val="24"/>
          <w:highlight w:val="none"/>
          <w:u w:val="single"/>
        </w:rPr>
      </w:pPr>
      <w:r>
        <w:rPr>
          <w:rFonts w:hint="eastAsia" w:hAnsi="宋体" w:cs="宋体"/>
          <w:b w:val="0"/>
          <w:color w:val="auto"/>
          <w:szCs w:val="24"/>
          <w:highlight w:val="none"/>
        </w:rPr>
        <w:t>发包人不按照本项约定组织竣工验收、颁发工程接收证书的违约金的计算方法：</w:t>
      </w:r>
      <w:r>
        <w:rPr>
          <w:rFonts w:hint="eastAsia" w:hAnsi="宋体" w:cs="宋体"/>
          <w:b w:val="0"/>
          <w:color w:val="auto"/>
          <w:szCs w:val="24"/>
          <w:highlight w:val="none"/>
          <w:u w:val="single"/>
        </w:rPr>
        <w:t>不计违约金</w:t>
      </w:r>
      <w:r>
        <w:rPr>
          <w:rFonts w:hint="eastAsia" w:hAnsi="宋体" w:cs="宋体"/>
          <w:b w:val="0"/>
          <w:color w:val="auto"/>
          <w:szCs w:val="24"/>
          <w:highlight w:val="none"/>
        </w:rPr>
        <w:t>。</w:t>
      </w:r>
    </w:p>
    <w:p w14:paraId="44FBD6D4">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13.2.3竣工日期</w:t>
      </w:r>
    </w:p>
    <w:p w14:paraId="47A547C7">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工程经竣工验收合格的，以竣工验收合格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32FAD3CA">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13.2.4移交、接收全部与部分工程</w:t>
      </w:r>
    </w:p>
    <w:p w14:paraId="11618778">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承包人向发包人移交工程的期限：在颁发工程接收证书后 14 天内完成工程的移交。发包人无正当理由未按本合同约定接收全部或部分工程的，承担自应接收工程之日起的工程照管、成本保护、保管等与工程有关的各项费用。</w:t>
      </w:r>
    </w:p>
    <w:p w14:paraId="7849A260">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承包人无正当理由未按时移交工程的，除承担自应接收工程之日起的工程照管、成本保护、保管等与工程有关的各项费用外，应当按每天1万元向发包人支付逾期移交工程的处罚，罚金在结算价款中扣除。</w:t>
      </w:r>
    </w:p>
    <w:p w14:paraId="5F208B31">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13.3竣工退场</w:t>
      </w:r>
    </w:p>
    <w:p w14:paraId="32FBA2F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13.3.1竣工退场</w:t>
      </w:r>
    </w:p>
    <w:p w14:paraId="7B7AE03B">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承包人应当在发包人颁发工程接收证书后</w:t>
      </w:r>
      <w:r>
        <w:rPr>
          <w:rFonts w:hint="eastAsia" w:ascii="宋体" w:hAnsi="宋体" w:cs="宋体"/>
          <w:color w:val="auto"/>
          <w:sz w:val="24"/>
          <w:highlight w:val="none"/>
          <w:u w:val="single"/>
        </w:rPr>
        <w:t>7</w:t>
      </w:r>
      <w:r>
        <w:rPr>
          <w:rFonts w:hint="eastAsia" w:ascii="宋体" w:hAnsi="宋体" w:cs="宋体"/>
          <w:color w:val="auto"/>
          <w:kern w:val="0"/>
          <w:sz w:val="24"/>
          <w:highlight w:val="none"/>
        </w:rPr>
        <w:t>天</w:t>
      </w:r>
      <w:r>
        <w:rPr>
          <w:rFonts w:hint="eastAsia" w:ascii="宋体" w:hAnsi="宋体" w:cs="宋体"/>
          <w:color w:val="auto"/>
          <w:sz w:val="24"/>
          <w:highlight w:val="none"/>
        </w:rPr>
        <w:t>内完成竣工退场，逾期未完成的，</w:t>
      </w:r>
      <w:r>
        <w:rPr>
          <w:rFonts w:hint="eastAsia" w:ascii="宋体" w:hAnsi="宋体" w:cs="宋体"/>
          <w:color w:val="auto"/>
          <w:kern w:val="0"/>
          <w:sz w:val="24"/>
          <w:highlight w:val="none"/>
        </w:rPr>
        <w:t>发包人有权出售或另行处理承包人遗留的物品，由此支出的费用由承包人承担，发包人出售承包人遗留物品所得款项在扣除必要费用后应返还承包人。</w:t>
      </w:r>
    </w:p>
    <w:p w14:paraId="190C9981">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14.竣工结算</w:t>
      </w:r>
    </w:p>
    <w:p w14:paraId="1BFAA534">
      <w:pPr>
        <w:pStyle w:val="969"/>
        <w:adjustRightInd/>
        <w:spacing w:line="360" w:lineRule="auto"/>
        <w:ind w:firstLine="482" w:firstLineChars="200"/>
        <w:rPr>
          <w:rFonts w:hAnsi="宋体" w:cs="宋体"/>
          <w:bCs/>
          <w:color w:val="auto"/>
          <w:szCs w:val="24"/>
          <w:highlight w:val="none"/>
        </w:rPr>
      </w:pPr>
      <w:r>
        <w:rPr>
          <w:rFonts w:hint="eastAsia" w:hAnsi="宋体" w:cs="宋体"/>
          <w:bCs/>
          <w:color w:val="auto"/>
          <w:szCs w:val="24"/>
          <w:highlight w:val="none"/>
        </w:rPr>
        <w:t>14.1竣工结算申请</w:t>
      </w:r>
    </w:p>
    <w:p w14:paraId="408B7855">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14.1.1承包人应当在工程竣工验收合格后 28 天内向监理人、发包人或其委托的工程造价咨询人提交竣工结算申请单及其完整的结算资料，逾期由承包人承担一切后果。</w:t>
      </w:r>
    </w:p>
    <w:p w14:paraId="5488A7C3">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 xml:space="preserve">发包人或其委托的工程造价咨询人对竣工结算申请单有异议或者结算资料不符合要求的，有权要求承包人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 </w:t>
      </w:r>
    </w:p>
    <w:p w14:paraId="6EF1CF9A">
      <w:pPr>
        <w:pStyle w:val="969"/>
        <w:adjustRightInd/>
        <w:spacing w:line="360" w:lineRule="auto"/>
        <w:ind w:firstLine="482" w:firstLineChars="200"/>
        <w:rPr>
          <w:rFonts w:hAnsi="宋体" w:cs="宋体"/>
          <w:bCs/>
          <w:color w:val="auto"/>
          <w:szCs w:val="24"/>
          <w:highlight w:val="none"/>
        </w:rPr>
      </w:pPr>
      <w:r>
        <w:rPr>
          <w:rFonts w:hint="eastAsia" w:hAnsi="宋体" w:cs="宋体"/>
          <w:bCs/>
          <w:color w:val="auto"/>
          <w:szCs w:val="24"/>
          <w:highlight w:val="none"/>
        </w:rPr>
        <w:t>14.2竣工结算审核</w:t>
      </w:r>
    </w:p>
    <w:p w14:paraId="11B125C5">
      <w:pPr>
        <w:pStyle w:val="969"/>
        <w:adjustRightInd/>
        <w:spacing w:line="360" w:lineRule="auto"/>
        <w:ind w:firstLine="482" w:firstLineChars="200"/>
        <w:rPr>
          <w:rFonts w:hAnsi="宋体" w:cs="宋体"/>
          <w:bCs/>
          <w:color w:val="auto"/>
          <w:szCs w:val="24"/>
          <w:highlight w:val="none"/>
        </w:rPr>
      </w:pPr>
      <w:r>
        <w:rPr>
          <w:rFonts w:hint="eastAsia" w:hAnsi="宋体" w:cs="宋体"/>
          <w:bCs/>
          <w:color w:val="auto"/>
          <w:szCs w:val="24"/>
          <w:highlight w:val="none"/>
        </w:rPr>
        <w:t>14.2.1竣工结算审核</w:t>
      </w:r>
    </w:p>
    <w:p w14:paraId="54F7FE26">
      <w:pPr>
        <w:pStyle w:val="969"/>
        <w:adjustRightInd/>
        <w:spacing w:line="360" w:lineRule="auto"/>
        <w:ind w:firstLine="480" w:firstLineChars="200"/>
        <w:rPr>
          <w:rFonts w:hAnsi="宋体" w:cs="宋体"/>
          <w:color w:val="auto"/>
          <w:szCs w:val="24"/>
          <w:highlight w:val="none"/>
        </w:rPr>
      </w:pPr>
      <w:r>
        <w:rPr>
          <w:rFonts w:hint="eastAsia" w:hAnsi="宋体" w:cs="宋体"/>
          <w:b w:val="0"/>
          <w:color w:val="auto"/>
          <w:szCs w:val="24"/>
          <w:highlight w:val="none"/>
        </w:rPr>
        <w:t>（1）监理人及跟踪咨询单位应在收到竣工结算申请单后28天内完成核查并报送发包人。发包人对竣工结算有异议或者结算资料不符合要求的，有权并以书面形式要求承包人进行修正和提供补充资料。承包人应当按照发包人的意见提交修正后的竣工结算或结算资料，则发包人对工程竣工结算进行核对的期限从提交修正后的竣工结算或结算资料起计算。</w:t>
      </w:r>
    </w:p>
    <w:p w14:paraId="50D32B02">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发包人应在收到经监理人及跟踪咨询单位确认的符合要求的竣工结算申请单及其结算资料后90天内完成审批，并由监理人及跟踪咨询单位向承包人签发经发包人签认的竣工付款证。</w:t>
      </w:r>
    </w:p>
    <w:p w14:paraId="1A8E2602">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发包人在收到监理人及跟踪咨询单位确认的竣工结算申请单后90天未提出异议或者未出具结算报告的 ，视为发包人认可承包人提交的竣工结算申请单。</w:t>
      </w:r>
    </w:p>
    <w:p w14:paraId="428EDEB2">
      <w:pPr>
        <w:adjustRightInd/>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发包人应在签发竣工付款证书后90天内，完成对承包人的竣工付款。</w:t>
      </w:r>
    </w:p>
    <w:p w14:paraId="3F08F0AD">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竣工结算报告和结算资料在核实、修改和补充过程中，发包人与承包人未达成一致，导致工程竣工结算价款不能支付，承包人不得以此为由拒绝向发包人移交工程。承包人未能按规定要求向发包人递交结算书及完整的工程结算资料（除特殊情况经发包人同意外），则工程竣工验收合格后发包人停付工程款。</w:t>
      </w:r>
    </w:p>
    <w:p w14:paraId="7A5F40BD">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（3）承包人对发包人签发的竣工付款证书有异议的内容，应在收到竣工付款证书后 7天内提出， 按照第20条［争议解决］约定处理。无异议部分，发包人应签发临时竣工付款证书，并按第（2）项约定完成付款；承包人逾期未提出异议的，视为认可发包人的审核结果。</w:t>
      </w:r>
    </w:p>
    <w:p w14:paraId="33137D75">
      <w:pPr>
        <w:pStyle w:val="969"/>
        <w:adjustRightInd/>
        <w:spacing w:line="360" w:lineRule="auto"/>
        <w:ind w:firstLine="480" w:firstLineChars="200"/>
        <w:rPr>
          <w:rFonts w:hAnsi="宋体" w:cs="宋体"/>
          <w:b w:val="0"/>
          <w:color w:val="auto"/>
          <w:szCs w:val="24"/>
          <w:highlight w:val="none"/>
        </w:rPr>
      </w:pPr>
      <w:r>
        <w:rPr>
          <w:rFonts w:hint="eastAsia" w:hAnsi="宋体" w:cs="宋体"/>
          <w:b w:val="0"/>
          <w:color w:val="auto"/>
          <w:szCs w:val="24"/>
          <w:highlight w:val="none"/>
        </w:rPr>
        <w:t>（4）本工程如需相关主管部门检查、审核、审计的，承包人必须积极配合，因相关主管部门检查、审核、审计导致的结算及付款延误，承包人同意结算及付款相应顺延，发包人不承担违约责任。</w:t>
      </w:r>
    </w:p>
    <w:p w14:paraId="18FBF1E8">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15.缺陷责任期与保修</w:t>
      </w:r>
    </w:p>
    <w:p w14:paraId="37E73987">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15.1缺陷责任期</w:t>
      </w:r>
    </w:p>
    <w:p w14:paraId="2D6198D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15.1.1 本合同缺陷责任期为</w:t>
      </w:r>
      <w:r>
        <w:rPr>
          <w:rFonts w:hint="eastAsia" w:ascii="宋体" w:hAnsi="宋体" w:cs="宋体"/>
          <w:color w:val="auto"/>
          <w:sz w:val="24"/>
          <w:highlight w:val="none"/>
          <w:u w:val="single"/>
        </w:rPr>
        <w:t>24</w:t>
      </w:r>
      <w:r>
        <w:rPr>
          <w:rFonts w:hint="eastAsia" w:ascii="宋体" w:hAnsi="宋体" w:cs="宋体"/>
          <w:color w:val="auto"/>
          <w:sz w:val="24"/>
          <w:highlight w:val="none"/>
        </w:rPr>
        <w:t>个月。自综合验收合格之日起算。</w:t>
      </w:r>
    </w:p>
    <w:p w14:paraId="7FFC52E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综合验收合格后，因施工承包人原因导致的缺陷使工程或某项主要设备不能按原定目的使用的，缺陷部分发包人有权在原缺陷责任期届满前要求施工承包人延长缺陷责任期，延长的缺陷责任期为</w:t>
      </w:r>
      <w:r>
        <w:rPr>
          <w:rFonts w:hint="eastAsia" w:ascii="宋体" w:hAnsi="宋体" w:cs="宋体"/>
          <w:color w:val="auto"/>
          <w:sz w:val="24"/>
          <w:highlight w:val="none"/>
          <w:u w:val="single"/>
        </w:rPr>
        <w:t>24</w:t>
      </w:r>
      <w:r>
        <w:rPr>
          <w:rFonts w:hint="eastAsia" w:ascii="宋体" w:hAnsi="宋体" w:cs="宋体"/>
          <w:color w:val="auto"/>
          <w:sz w:val="24"/>
          <w:highlight w:val="none"/>
        </w:rPr>
        <w:t>个月。</w:t>
      </w:r>
    </w:p>
    <w:p w14:paraId="1FA4E9CF">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15.3保修</w:t>
      </w:r>
    </w:p>
    <w:p w14:paraId="31FE943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15.3.1保修责任</w:t>
      </w:r>
    </w:p>
    <w:p w14:paraId="10487CF5">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根据《建设工程质量管理条例》及有关规定，同时须满足本工程针对质量保修期的约定，约定本工程的质量保修期如下：</w:t>
      </w:r>
    </w:p>
    <w:p w14:paraId="032782B5">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1.地基基础工程和主体结构工程为设计文件规定的工程合理使用年限；</w:t>
      </w:r>
    </w:p>
    <w:p w14:paraId="28E20DE0">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2.屋面防水工程、有防水要求的卫生间、房间和外墙面的防渗为</w:t>
      </w:r>
      <w:r>
        <w:rPr>
          <w:rFonts w:hint="eastAsia" w:cs="宋体"/>
          <w:bCs/>
          <w:color w:val="auto"/>
          <w:highlight w:val="none"/>
          <w:u w:val="single"/>
        </w:rPr>
        <w:t xml:space="preserve"> 5 </w:t>
      </w:r>
      <w:r>
        <w:rPr>
          <w:rFonts w:hint="eastAsia" w:cs="宋体"/>
          <w:bCs/>
          <w:color w:val="auto"/>
          <w:highlight w:val="none"/>
        </w:rPr>
        <w:t>年；</w:t>
      </w:r>
    </w:p>
    <w:p w14:paraId="55BDDBE1">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3.装修工程为</w:t>
      </w:r>
      <w:r>
        <w:rPr>
          <w:rFonts w:hint="eastAsia" w:cs="宋体"/>
          <w:bCs/>
          <w:color w:val="auto"/>
          <w:highlight w:val="none"/>
          <w:u w:val="single"/>
        </w:rPr>
        <w:t xml:space="preserve"> 2 </w:t>
      </w:r>
      <w:r>
        <w:rPr>
          <w:rFonts w:hint="eastAsia" w:cs="宋体"/>
          <w:bCs/>
          <w:color w:val="auto"/>
          <w:highlight w:val="none"/>
        </w:rPr>
        <w:t>年；</w:t>
      </w:r>
    </w:p>
    <w:p w14:paraId="33407A1B">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4.电气管线、给排水管道、设备安装工程为</w:t>
      </w:r>
      <w:r>
        <w:rPr>
          <w:rFonts w:hint="eastAsia" w:cs="宋体"/>
          <w:bCs/>
          <w:color w:val="auto"/>
          <w:highlight w:val="none"/>
          <w:u w:val="single"/>
        </w:rPr>
        <w:t xml:space="preserve"> 2 </w:t>
      </w:r>
      <w:r>
        <w:rPr>
          <w:rFonts w:hint="eastAsia" w:cs="宋体"/>
          <w:bCs/>
          <w:color w:val="auto"/>
          <w:highlight w:val="none"/>
        </w:rPr>
        <w:t>年；</w:t>
      </w:r>
    </w:p>
    <w:p w14:paraId="0D14DEAF">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5.供热与供冷系统为</w:t>
      </w:r>
      <w:r>
        <w:rPr>
          <w:rFonts w:hint="eastAsia" w:cs="宋体"/>
          <w:bCs/>
          <w:color w:val="auto"/>
          <w:highlight w:val="none"/>
          <w:u w:val="single"/>
        </w:rPr>
        <w:t xml:space="preserve"> 2 </w:t>
      </w:r>
      <w:r>
        <w:rPr>
          <w:rFonts w:hint="eastAsia" w:cs="宋体"/>
          <w:bCs/>
          <w:color w:val="auto"/>
          <w:highlight w:val="none"/>
        </w:rPr>
        <w:t>个采暖期、供冷期；</w:t>
      </w:r>
    </w:p>
    <w:p w14:paraId="32C09FFE">
      <w:pPr>
        <w:pStyle w:val="58"/>
        <w:widowControl w:val="0"/>
        <w:tabs>
          <w:tab w:val="left" w:pos="0"/>
        </w:tabs>
        <w:autoSpaceDE w:val="0"/>
        <w:autoSpaceDN w:val="0"/>
        <w:adjustRightInd/>
        <w:spacing w:before="0" w:beforeAutospacing="0" w:after="0" w:afterAutospacing="0" w:line="360" w:lineRule="auto"/>
        <w:ind w:firstLine="480" w:firstLineChars="200"/>
        <w:rPr>
          <w:rFonts w:cs="宋体"/>
          <w:bCs/>
          <w:color w:val="auto"/>
          <w:highlight w:val="none"/>
        </w:rPr>
      </w:pPr>
      <w:r>
        <w:rPr>
          <w:rFonts w:hint="eastAsia" w:cs="宋体"/>
          <w:bCs/>
          <w:color w:val="auto"/>
          <w:highlight w:val="none"/>
        </w:rPr>
        <w:t>6.其他项目保修期限约定如下：</w:t>
      </w:r>
      <w:r>
        <w:rPr>
          <w:rFonts w:hint="eastAsia" w:cs="宋体"/>
          <w:bCs/>
          <w:color w:val="auto"/>
          <w:highlight w:val="none"/>
          <w:u w:val="single"/>
        </w:rPr>
        <w:t xml:space="preserve"> 2 </w:t>
      </w:r>
      <w:r>
        <w:rPr>
          <w:rFonts w:hint="eastAsia" w:cs="宋体"/>
          <w:bCs/>
          <w:color w:val="auto"/>
          <w:highlight w:val="none"/>
        </w:rPr>
        <w:t>年。</w:t>
      </w:r>
    </w:p>
    <w:p w14:paraId="3734B8B1">
      <w:pPr>
        <w:pStyle w:val="58"/>
        <w:widowControl w:val="0"/>
        <w:tabs>
          <w:tab w:val="left" w:pos="0"/>
        </w:tabs>
        <w:autoSpaceDE w:val="0"/>
        <w:autoSpaceDN w:val="0"/>
        <w:adjustRightInd/>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保修期的起算时间同缺陷责任期。</w:t>
      </w:r>
    </w:p>
    <w:p w14:paraId="4EBAC53C">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15.3.2保修期内，因发包人使用不当造成工程的缺陷、损坏，可以委托承包人修复，但发包人应承担修复的费用，但不支付利润。</w:t>
      </w:r>
    </w:p>
    <w:p w14:paraId="632F9E37">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因其他原因造成工程的缺陷、损坏，可以委托承包人修复，发包人应承担修复的费用，因工程的缺陷、损坏造成的人身伤害和财产损失由责任方承担。</w:t>
      </w:r>
    </w:p>
    <w:p w14:paraId="238EF31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15.3.3修复通知</w:t>
      </w:r>
    </w:p>
    <w:p w14:paraId="2F22CB8F">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属于保修范围、内容的项目，承包人应当在接到保修通知之日起48小时内派人保修。承包人不在约定期限内派人保修的，发包人可以委托他人修理，费用由承包人（保修单位）全部承担，发包人另收取20%的管理费。</w:t>
      </w:r>
    </w:p>
    <w:p w14:paraId="12D29625">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（2）发生紧急事故需抢修的，承包人在接到事故通知后，应当2小时内到达事故现场抢修，否则发包人有权委托他人抢修，费用由承包人（保修单位）全部承担，发包人另收取 20%的管理费。</w:t>
      </w:r>
    </w:p>
    <w:p w14:paraId="32C3D376">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19A2D9B">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（4）在国家规定的工程合理使用期限内，承包人确保地基基础工程和主体结构的质量。因承包人原因致使工程在合理使用期限内造成人身和财产损 害的，承包人应承担损害赔偿责任。</w:t>
      </w:r>
    </w:p>
    <w:p w14:paraId="7BDBCE1C">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16.违约</w:t>
      </w:r>
    </w:p>
    <w:p w14:paraId="42CD382C">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16.1发包人违约</w:t>
      </w:r>
    </w:p>
    <w:p w14:paraId="54D7507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方原因致使项目终止，已发生的费用按实结算，承包人不能提起任何索赔。若项目因发包人原因在实施过程中中途暂停，由此导致的工期相应顺延，项目继续实施后若因此导致材料价格波动引起的价格调整按合同约定执行，承包人不得提出除此之外的其他索赔。</w:t>
      </w:r>
    </w:p>
    <w:p w14:paraId="7D83D84C">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16.2 承包人违约</w:t>
      </w:r>
    </w:p>
    <w:p w14:paraId="2119B02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16.2.1承包人违约的情形按通用条款确定。</w:t>
      </w:r>
    </w:p>
    <w:p w14:paraId="1723E7A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16.2.2承包人违约的责任</w:t>
      </w:r>
    </w:p>
    <w:p w14:paraId="30F60C1A">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承包人应承担其违约行为及纠正其违约行为而增加的费用和（或）延误的工期。延误工期的，根据实际延误的时间，按</w:t>
      </w:r>
      <w:r>
        <w:rPr>
          <w:rFonts w:hint="eastAsia" w:ascii="宋体" w:hAnsi="宋体" w:cs="宋体"/>
          <w:color w:val="auto"/>
          <w:kern w:val="0"/>
          <w:sz w:val="24"/>
          <w:highlight w:val="none"/>
        </w:rPr>
        <w:t>本合同约定的工期延误赔偿标准向发</w:t>
      </w:r>
      <w:r>
        <w:rPr>
          <w:rFonts w:hint="eastAsia" w:ascii="宋体" w:hAnsi="宋体" w:cs="宋体"/>
          <w:color w:val="auto"/>
          <w:sz w:val="24"/>
          <w:highlight w:val="none"/>
        </w:rPr>
        <w:t>包人支付违约金；延误超过56天的，按</w:t>
      </w:r>
      <w:r>
        <w:rPr>
          <w:rFonts w:hint="eastAsia" w:ascii="宋体" w:hAnsi="宋体" w:cs="宋体"/>
          <w:color w:val="auto"/>
          <w:kern w:val="0"/>
          <w:sz w:val="24"/>
          <w:highlight w:val="none"/>
        </w:rPr>
        <w:t>本合同约定的工期延误赔偿标准两倍支付违约金；逾期竣工违约金的限额不足时，发包人有权向承包人追偿。</w:t>
      </w:r>
    </w:p>
    <w:p w14:paraId="49E74C9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承包人违约责任的承担方式和计算方法：</w:t>
      </w:r>
    </w:p>
    <w:p w14:paraId="5974EDD7">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（1）因承包人原因未达到一次性验收合格，工程质量违约金金额为</w:t>
      </w:r>
      <w:r>
        <w:rPr>
          <w:rFonts w:hint="eastAsia" w:ascii="宋体" w:hAnsi="宋体" w:cs="宋体"/>
          <w:color w:val="auto"/>
          <w:sz w:val="24"/>
          <w:highlight w:val="none"/>
          <w:u w:val="single"/>
          <w:lang w:val="en-US" w:eastAsia="zh-CN"/>
        </w:rPr>
        <w:t>合同总价</w:t>
      </w:r>
      <w:r>
        <w:rPr>
          <w:rFonts w:hint="eastAsia" w:ascii="宋体" w:hAnsi="宋体" w:cs="宋体"/>
          <w:color w:val="auto"/>
          <w:sz w:val="24"/>
          <w:highlight w:val="none"/>
          <w:u w:val="single"/>
        </w:rPr>
        <w:t>的</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0%；在发包人组织例行工地检查中，承包人出现检查不合格的，扣2000元/次；若收到监理单位或相关部门发出的整改通知书，发包人有权视情节轻重扣除承包人1000~5000元/次；被相关质量监督部门处罚的，扣5万元/次，发包人有权在当期进度款中扣除。承担质量违约金的同时，不免除承包人质量返工或整改的责任，直至工程达到合格标准</w:t>
      </w:r>
      <w:r>
        <w:rPr>
          <w:rFonts w:hint="eastAsia" w:ascii="宋体" w:hAnsi="宋体" w:cs="宋体"/>
          <w:color w:val="auto"/>
          <w:sz w:val="24"/>
          <w:highlight w:val="none"/>
        </w:rPr>
        <w:t xml:space="preserve">。 </w:t>
      </w:r>
    </w:p>
    <w:p w14:paraId="06E7C2F9">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（2）承包人不能按合同约定的时间最终完成竣工验收的，承包人应承担违约责任，工期延误违约金按1000元/天计。违约金累计限额为</w:t>
      </w:r>
      <w:r>
        <w:rPr>
          <w:rFonts w:hint="eastAsia" w:ascii="宋体" w:hAnsi="宋体" w:cs="宋体"/>
          <w:color w:val="auto"/>
          <w:sz w:val="24"/>
          <w:highlight w:val="none"/>
          <w:u w:val="single"/>
          <w:lang w:val="en-US" w:eastAsia="zh-CN"/>
        </w:rPr>
        <w:t>合同总价</w:t>
      </w:r>
      <w:r>
        <w:rPr>
          <w:rFonts w:hint="eastAsia" w:ascii="宋体" w:hAnsi="宋体" w:cs="宋体"/>
          <w:color w:val="auto"/>
          <w:sz w:val="24"/>
          <w:highlight w:val="none"/>
          <w:u w:val="single"/>
        </w:rPr>
        <w:t>的</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0%，逾期竣工违约金的限额不足时，发包人有权继续向承包人追偿</w:t>
      </w:r>
      <w:r>
        <w:rPr>
          <w:rFonts w:hint="eastAsia" w:ascii="宋体" w:hAnsi="宋体" w:cs="宋体"/>
          <w:color w:val="auto"/>
          <w:sz w:val="24"/>
          <w:highlight w:val="none"/>
        </w:rPr>
        <w:t>。</w:t>
      </w:r>
    </w:p>
    <w:p w14:paraId="6C1C25AA">
      <w:pPr>
        <w:adjustRightInd/>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因承包人原因未履行安全文明施工承诺，在发包人或相关部门组织例行工地检查中，承包人出现未能按规定做好安全文明施工措施的，承包人必须在发包人规定时间内整改完毕，情节严重的发包人有权扣除5000元/次，承包人应承担的违约金为</w:t>
      </w:r>
      <w:r>
        <w:rPr>
          <w:rFonts w:hint="eastAsia" w:ascii="宋体" w:hAnsi="宋体" w:cs="宋体"/>
          <w:color w:val="auto"/>
          <w:sz w:val="24"/>
          <w:highlight w:val="none"/>
          <w:u w:val="single"/>
          <w:lang w:val="en-US" w:eastAsia="zh-CN"/>
        </w:rPr>
        <w:t>合同总价</w:t>
      </w:r>
      <w:r>
        <w:rPr>
          <w:rFonts w:hint="eastAsia" w:ascii="宋体" w:hAnsi="宋体" w:cs="宋体"/>
          <w:color w:val="auto"/>
          <w:sz w:val="24"/>
          <w:highlight w:val="none"/>
          <w:u w:val="single"/>
        </w:rPr>
        <w:t>的10%。若施工过程中发生被上级建设主管部门或区（市）安全监督部门或甲方组织安全检查中（考核）安全生产文明施工未达到合格等级或被通报批评或被责令停止施工，承包人每次支付人民币10000元的违约金，发包人有权在当期工程进度款中扣除</w:t>
      </w:r>
      <w:r>
        <w:rPr>
          <w:rFonts w:hint="eastAsia" w:ascii="宋体" w:hAnsi="宋体" w:cs="宋体"/>
          <w:color w:val="auto"/>
          <w:sz w:val="24"/>
          <w:highlight w:val="none"/>
        </w:rPr>
        <w:t>。</w:t>
      </w:r>
      <w:r>
        <w:rPr>
          <w:rFonts w:hint="eastAsia" w:ascii="宋体" w:hAnsi="宋体" w:cs="宋体"/>
          <w:color w:val="auto"/>
          <w:sz w:val="24"/>
          <w:highlight w:val="none"/>
          <w:u w:val="single"/>
        </w:rPr>
        <w:t>施工期间由于承包人违反安全操作规范的违约责任按专用条款6.1.1执行。</w:t>
      </w:r>
    </w:p>
    <w:p w14:paraId="307EC357">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（4）未履行项目经理及主要施工管理人员到场承诺违约金限额为</w:t>
      </w:r>
      <w:r>
        <w:rPr>
          <w:rFonts w:hint="eastAsia" w:ascii="宋体" w:hAnsi="宋体" w:cs="宋体"/>
          <w:color w:val="auto"/>
          <w:sz w:val="24"/>
          <w:highlight w:val="none"/>
          <w:u w:val="single"/>
          <w:lang w:val="en-US" w:eastAsia="zh-CN"/>
        </w:rPr>
        <w:t>合同总价</w:t>
      </w:r>
      <w:r>
        <w:rPr>
          <w:rFonts w:hint="eastAsia" w:ascii="宋体" w:hAnsi="宋体" w:cs="宋体"/>
          <w:color w:val="auto"/>
          <w:sz w:val="24"/>
          <w:highlight w:val="none"/>
          <w:u w:val="single"/>
        </w:rPr>
        <w:t>的10%，按专用条款3.2.1、3.2.3、3.3.4、3.3.5执行</w:t>
      </w:r>
      <w:r>
        <w:rPr>
          <w:rFonts w:hint="eastAsia" w:ascii="宋体" w:hAnsi="宋体" w:cs="宋体"/>
          <w:color w:val="auto"/>
          <w:sz w:val="24"/>
          <w:highlight w:val="none"/>
        </w:rPr>
        <w:t>。</w:t>
      </w:r>
    </w:p>
    <w:p w14:paraId="317024C6">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（5）未履行主要机械设备到场承诺违约金限额为</w:t>
      </w:r>
      <w:r>
        <w:rPr>
          <w:rFonts w:hint="eastAsia" w:ascii="宋体" w:hAnsi="宋体" w:cs="宋体"/>
          <w:color w:val="auto"/>
          <w:sz w:val="24"/>
          <w:highlight w:val="none"/>
          <w:u w:val="single"/>
          <w:lang w:val="en-US" w:eastAsia="zh-CN"/>
        </w:rPr>
        <w:t>合同总价</w:t>
      </w:r>
      <w:r>
        <w:rPr>
          <w:rFonts w:hint="eastAsia" w:ascii="宋体" w:hAnsi="宋体" w:cs="宋体"/>
          <w:color w:val="auto"/>
          <w:sz w:val="24"/>
          <w:highlight w:val="none"/>
          <w:u w:val="single"/>
        </w:rPr>
        <w:t>的10%</w:t>
      </w:r>
      <w:r>
        <w:rPr>
          <w:rFonts w:hint="eastAsia" w:ascii="宋体" w:hAnsi="宋体" w:cs="宋体"/>
          <w:color w:val="auto"/>
          <w:sz w:val="24"/>
          <w:highlight w:val="none"/>
        </w:rPr>
        <w:t>。</w:t>
      </w:r>
    </w:p>
    <w:p w14:paraId="706D322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（6）未按合同约定及时拨付分包工程款项的，且影响工程的扣2万元/次，违约金限额为</w:t>
      </w:r>
      <w:r>
        <w:rPr>
          <w:rFonts w:hint="eastAsia" w:ascii="宋体" w:hAnsi="宋体" w:cs="宋体"/>
          <w:color w:val="auto"/>
          <w:sz w:val="24"/>
          <w:highlight w:val="none"/>
          <w:u w:val="single"/>
          <w:lang w:val="en-US" w:eastAsia="zh-CN"/>
        </w:rPr>
        <w:t>合同总价</w:t>
      </w:r>
      <w:r>
        <w:rPr>
          <w:rFonts w:hint="eastAsia" w:ascii="宋体" w:hAnsi="宋体" w:cs="宋体"/>
          <w:color w:val="auto"/>
          <w:sz w:val="24"/>
          <w:highlight w:val="none"/>
          <w:u w:val="single"/>
        </w:rPr>
        <w:t>的10%</w:t>
      </w:r>
      <w:r>
        <w:rPr>
          <w:rFonts w:hint="eastAsia" w:ascii="宋体" w:hAnsi="宋体" w:cs="宋体"/>
          <w:color w:val="auto"/>
          <w:sz w:val="24"/>
          <w:highlight w:val="none"/>
        </w:rPr>
        <w:t>。</w:t>
      </w:r>
    </w:p>
    <w:p w14:paraId="1CE9F1BB">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（7）承包人违反合同约定转包的，非法转包或者违法分包的，承包人需向发包人支付</w:t>
      </w:r>
      <w:r>
        <w:rPr>
          <w:rFonts w:hint="eastAsia" w:ascii="宋体" w:hAnsi="宋体" w:cs="宋体"/>
          <w:color w:val="auto"/>
          <w:sz w:val="24"/>
          <w:highlight w:val="none"/>
          <w:u w:val="single"/>
          <w:lang w:val="en-US" w:eastAsia="zh-CN"/>
        </w:rPr>
        <w:t>合同总价的3</w:t>
      </w:r>
      <w:r>
        <w:rPr>
          <w:rFonts w:hint="eastAsia" w:ascii="宋体" w:hAnsi="宋体" w:cs="宋体"/>
          <w:color w:val="auto"/>
          <w:sz w:val="24"/>
          <w:highlight w:val="none"/>
          <w:u w:val="single"/>
        </w:rPr>
        <w:t>0%违约金，且发包人有权解除合同；因解除合同而致使发包人的损失超过违约金的，发包人有权追偿</w:t>
      </w:r>
      <w:r>
        <w:rPr>
          <w:rFonts w:hint="eastAsia" w:ascii="宋体" w:hAnsi="宋体" w:cs="宋体"/>
          <w:color w:val="auto"/>
          <w:sz w:val="24"/>
          <w:highlight w:val="none"/>
        </w:rPr>
        <w:t>。</w:t>
      </w:r>
    </w:p>
    <w:p w14:paraId="1E792CB1">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（8）承包人采购和使用不合格的材料和工程设备的，必须予以纠正，并且每发现一次，承担违约金2万元，发包人有权从进度价款中予以扣除</w:t>
      </w:r>
      <w:r>
        <w:rPr>
          <w:rFonts w:hint="eastAsia" w:ascii="宋体" w:hAnsi="宋体" w:cs="宋体"/>
          <w:color w:val="auto"/>
          <w:sz w:val="24"/>
          <w:highlight w:val="none"/>
        </w:rPr>
        <w:t>。</w:t>
      </w:r>
    </w:p>
    <w:p w14:paraId="38EF8426">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因承包人原因导致工程质量不符合合同要求的，承包人必须立即自负费用整改至合格，整改期间不顺延工期。局部质量下降无法整改但不影响整体验收的，发包人除按招标文件扣除质量违约金外，还有权扣减其相应部位的工程款。重要部位质量不合格可能导致工程竣工无法验收通过的，除全额扣除质量违约金外，发包人有权解除合同；给发包人造成损失的，承包人应对发包人进行赔偿。工程完工后经发包人验收不合格的，发包人有权拒绝接收工程，不支付工程款，并要求承包人赔偿损失</w:t>
      </w:r>
      <w:r>
        <w:rPr>
          <w:rFonts w:hint="eastAsia" w:ascii="宋体" w:hAnsi="宋体" w:cs="宋体"/>
          <w:color w:val="auto"/>
          <w:sz w:val="24"/>
          <w:highlight w:val="none"/>
        </w:rPr>
        <w:t>。</w:t>
      </w:r>
    </w:p>
    <w:p w14:paraId="4EA5CE5B">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（10）承包人私自将已进入现场的材料和设备撤离现场的，必须立即纠正，并且每发现一次，承担违约金2万元，发包人有权从结算价款中予以扣除</w:t>
      </w:r>
      <w:r>
        <w:rPr>
          <w:rFonts w:hint="eastAsia" w:ascii="宋体" w:hAnsi="宋体" w:cs="宋体"/>
          <w:color w:val="auto"/>
          <w:sz w:val="24"/>
          <w:highlight w:val="none"/>
        </w:rPr>
        <w:t>。</w:t>
      </w:r>
    </w:p>
    <w:p w14:paraId="0F3018BA">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（11）承包人不履行合同主要义务的，发包人应通知其立即纠正。承包人未在发包人通知的期限内纠正的，发包人有权解除合同，并通知承包人按未履行合同部分工程款的5%的比例承担违约金</w:t>
      </w:r>
      <w:r>
        <w:rPr>
          <w:rFonts w:hint="eastAsia" w:ascii="宋体" w:hAnsi="宋体" w:cs="宋体"/>
          <w:color w:val="auto"/>
          <w:sz w:val="24"/>
          <w:highlight w:val="none"/>
        </w:rPr>
        <w:t>。</w:t>
      </w:r>
    </w:p>
    <w:p w14:paraId="08EDD4DB">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（12）承包人拒不移交工程资料或逾期移交竣工资料，参照工期逾期违约金的标准计收违约金</w:t>
      </w:r>
      <w:r>
        <w:rPr>
          <w:rFonts w:hint="eastAsia" w:ascii="宋体" w:hAnsi="宋体" w:cs="宋体"/>
          <w:color w:val="auto"/>
          <w:sz w:val="24"/>
          <w:highlight w:val="none"/>
        </w:rPr>
        <w:t>。</w:t>
      </w:r>
    </w:p>
    <w:p w14:paraId="3DF517D8">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16.2.3因承包人违约解除合同</w:t>
      </w:r>
    </w:p>
    <w:p w14:paraId="4FDD094E">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sz w:val="24"/>
          <w:highlight w:val="none"/>
          <w:u w:val="single"/>
        </w:rPr>
        <w:t>自接到发包人进场通知一个月内，承包人因非发包人原因而未能正式进场施工的，发包人有权单方面终止合同，并有权进行索赔。除承包人明确表示或以其行为表明不履行合同主要义务的情形外，发包人行使合同解除权时，应通知承包人在14天内改正。仍不改正的，发包人有权单方决定解除合同，解除合同通知送达给承包人后，合同解除。承包人必须在28天内退出现场，向发包人办理好工程移交及有关工程资料的移交手续。承包人拒绝退场或拒绝移交工程资料的，应当向发包人支付违约金2万元/天。承包人对解除合同有异议的，可以按争议解决途径处理，但应当先退出现场并移交资料。经项目所在地人民法院审判或仲裁机关裁决属于发包人违约解除合同的，由发包人承担不利后果</w:t>
      </w:r>
      <w:r>
        <w:rPr>
          <w:rFonts w:hint="eastAsia" w:ascii="宋体" w:hAnsi="宋体" w:cs="宋体"/>
          <w:color w:val="auto"/>
          <w:sz w:val="24"/>
          <w:highlight w:val="none"/>
        </w:rPr>
        <w:t>。</w:t>
      </w:r>
    </w:p>
    <w:p w14:paraId="1E98A8D0">
      <w:pP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解除合同后，发包人有权继续使用承包人留在现场的材料、设备、临时工程，其费用应当与承包人已提供的材料、设备、临时工程的费用相同，并与已完成工程量同时估价和清算。经清算应付承包人的工程款，发包人可以暂扣25%至出具审核报告后7天内付清。承包人对估价和清算的异议，不得作为拒绝退场和拒绝移交资料的理由。发包人在清算中未列入承包人应承担的违约金及赔偿金，不表示发包人已经放弃</w:t>
      </w:r>
      <w:r>
        <w:rPr>
          <w:rFonts w:hint="eastAsia" w:ascii="宋体" w:hAnsi="宋体" w:cs="宋体"/>
          <w:color w:val="auto"/>
          <w:sz w:val="24"/>
          <w:highlight w:val="none"/>
        </w:rPr>
        <w:t>。</w:t>
      </w:r>
    </w:p>
    <w:p w14:paraId="5DA1AAE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highlight w:val="none"/>
          <w:u w:val="single"/>
        </w:rPr>
        <w:t>材料价、设备租赁费按实支付给承包人，产生的费用未超过承包人应承担的违约赔偿限额的，由承包人承担；产生的费用超出承包人应承担的违约赔偿限额部分，发包人有权从结算价款中予以扣除。由发包人继续使用的临时设施，发包人不承担相关费用</w:t>
      </w:r>
      <w:r>
        <w:rPr>
          <w:rFonts w:hint="eastAsia" w:ascii="宋体" w:hAnsi="宋体" w:cs="宋体"/>
          <w:color w:val="auto"/>
          <w:sz w:val="24"/>
          <w:highlight w:val="none"/>
        </w:rPr>
        <w:t>。</w:t>
      </w:r>
    </w:p>
    <w:p w14:paraId="3F558942">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17.不可抗力 </w:t>
      </w:r>
    </w:p>
    <w:p w14:paraId="1171630B">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17.1不可抗力的确认</w:t>
      </w:r>
    </w:p>
    <w:p w14:paraId="766A315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除通用合同条款约定的不可抗力事件之外，视为不可抗力的其他情形：政府征用、政府禁止令等。</w:t>
      </w:r>
    </w:p>
    <w:p w14:paraId="78D371BD">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17.2因不可抗力解除合同</w:t>
      </w:r>
    </w:p>
    <w:p w14:paraId="2F98ECCF">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合同解除后，发包人应在商定或确定发包人应支付款项后</w:t>
      </w:r>
      <w:r>
        <w:rPr>
          <w:rFonts w:hint="eastAsia" w:ascii="宋体" w:hAnsi="宋体" w:cs="宋体"/>
          <w:color w:val="auto"/>
          <w:kern w:val="0"/>
          <w:sz w:val="24"/>
          <w:highlight w:val="none"/>
          <w:u w:val="single"/>
        </w:rPr>
        <w:t xml:space="preserve">28 </w:t>
      </w:r>
      <w:r>
        <w:rPr>
          <w:rFonts w:hint="eastAsia" w:ascii="宋体" w:hAnsi="宋体" w:cs="宋体"/>
          <w:color w:val="auto"/>
          <w:kern w:val="0"/>
          <w:sz w:val="24"/>
          <w:highlight w:val="none"/>
        </w:rPr>
        <w:t>天内完成款项的支付。</w:t>
      </w:r>
    </w:p>
    <w:p w14:paraId="2A13D56D">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18.保险</w:t>
      </w:r>
    </w:p>
    <w:p w14:paraId="3D3AAB8F">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18.1工程保险</w:t>
      </w:r>
    </w:p>
    <w:p w14:paraId="0CFD3D9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关于工程保险的特别约定：</w:t>
      </w:r>
      <w:r>
        <w:rPr>
          <w:rFonts w:hint="eastAsia" w:ascii="宋体" w:hAnsi="宋体" w:cs="宋体"/>
          <w:color w:val="auto"/>
          <w:kern w:val="0"/>
          <w:sz w:val="24"/>
          <w:highlight w:val="none"/>
          <w:u w:val="single"/>
        </w:rPr>
        <w:t>工程一切险由发包人承担并支付保费；其他工程保险由承包人承担并支付保费</w:t>
      </w:r>
      <w:r>
        <w:rPr>
          <w:rFonts w:hint="eastAsia" w:ascii="宋体" w:hAnsi="宋体" w:cs="宋体"/>
          <w:color w:val="auto"/>
          <w:kern w:val="0"/>
          <w:sz w:val="24"/>
          <w:highlight w:val="none"/>
        </w:rPr>
        <w:t>。</w:t>
      </w:r>
    </w:p>
    <w:p w14:paraId="42ABE39A">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18.2其他保险</w:t>
      </w:r>
    </w:p>
    <w:p w14:paraId="1FFA5D1C">
      <w:pPr>
        <w:pStyle w:val="969"/>
        <w:adjustRightInd/>
        <w:spacing w:line="360" w:lineRule="auto"/>
        <w:ind w:firstLine="480" w:firstLineChars="200"/>
        <w:rPr>
          <w:rFonts w:hAnsi="宋体" w:cs="宋体"/>
          <w:b w:val="0"/>
          <w:bCs/>
          <w:color w:val="auto"/>
          <w:szCs w:val="24"/>
          <w:highlight w:val="none"/>
        </w:rPr>
      </w:pPr>
      <w:r>
        <w:rPr>
          <w:rFonts w:hint="eastAsia" w:hAnsi="宋体" w:cs="宋体"/>
          <w:b w:val="0"/>
          <w:bCs/>
          <w:color w:val="auto"/>
          <w:szCs w:val="24"/>
          <w:highlight w:val="none"/>
        </w:rPr>
        <w:t>关于其他保险的约定：</w:t>
      </w:r>
      <w:r>
        <w:rPr>
          <w:rFonts w:hint="eastAsia" w:hAnsi="宋体" w:cs="宋体"/>
          <w:b w:val="0"/>
          <w:bCs/>
          <w:color w:val="auto"/>
          <w:szCs w:val="24"/>
          <w:highlight w:val="none"/>
          <w:u w:val="single"/>
        </w:rPr>
        <w:t>由承包人承担并支付保费</w:t>
      </w:r>
      <w:r>
        <w:rPr>
          <w:rFonts w:hint="eastAsia" w:hAnsi="宋体" w:cs="宋体"/>
          <w:b w:val="0"/>
          <w:bCs/>
          <w:color w:val="auto"/>
          <w:szCs w:val="24"/>
          <w:highlight w:val="none"/>
        </w:rPr>
        <w:t>。</w:t>
      </w:r>
    </w:p>
    <w:p w14:paraId="4CB8608C">
      <w:pPr>
        <w:pStyle w:val="969"/>
        <w:adjustRightInd/>
        <w:spacing w:line="360" w:lineRule="auto"/>
        <w:ind w:firstLine="480" w:firstLineChars="200"/>
        <w:rPr>
          <w:rFonts w:hAnsi="宋体" w:cs="宋体"/>
          <w:b w:val="0"/>
          <w:bCs/>
          <w:color w:val="auto"/>
          <w:szCs w:val="24"/>
          <w:highlight w:val="none"/>
        </w:rPr>
      </w:pPr>
      <w:r>
        <w:rPr>
          <w:rFonts w:hint="eastAsia" w:hAnsi="宋体" w:cs="宋体"/>
          <w:b w:val="0"/>
          <w:bCs/>
          <w:color w:val="auto"/>
          <w:szCs w:val="24"/>
          <w:highlight w:val="none"/>
        </w:rPr>
        <w:t>承包人是否应为其施工设备等办理财产保险：</w:t>
      </w:r>
      <w:r>
        <w:rPr>
          <w:rFonts w:hint="eastAsia" w:hAnsi="宋体" w:cs="宋体"/>
          <w:b w:val="0"/>
          <w:bCs/>
          <w:color w:val="auto"/>
          <w:szCs w:val="24"/>
          <w:highlight w:val="none"/>
          <w:u w:val="single"/>
        </w:rPr>
        <w:t>由承包人自行负责，并在保险后到发包人处备案</w:t>
      </w:r>
      <w:r>
        <w:rPr>
          <w:rFonts w:hint="eastAsia" w:hAnsi="宋体" w:cs="宋体"/>
          <w:b w:val="0"/>
          <w:bCs/>
          <w:color w:val="auto"/>
          <w:szCs w:val="24"/>
          <w:highlight w:val="none"/>
        </w:rPr>
        <w:t>。</w:t>
      </w:r>
    </w:p>
    <w:p w14:paraId="673C72B5">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18.3通知义务</w:t>
      </w:r>
    </w:p>
    <w:p w14:paraId="781E7324">
      <w:pPr>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kern w:val="0"/>
          <w:sz w:val="24"/>
          <w:highlight w:val="none"/>
          <w:u w:val="single"/>
        </w:rPr>
        <w:t>执行通用条款</w:t>
      </w:r>
      <w:r>
        <w:rPr>
          <w:rFonts w:hint="eastAsia" w:ascii="宋体" w:hAnsi="宋体" w:cs="宋体"/>
          <w:color w:val="auto"/>
          <w:kern w:val="0"/>
          <w:sz w:val="24"/>
          <w:highlight w:val="none"/>
        </w:rPr>
        <w:t>。</w:t>
      </w:r>
    </w:p>
    <w:p w14:paraId="1F2E3BE5">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19.争议解决</w:t>
      </w:r>
    </w:p>
    <w:p w14:paraId="3E626C88">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19.1争议评审</w:t>
      </w:r>
    </w:p>
    <w:p w14:paraId="7DD695B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合同当事人</w:t>
      </w:r>
      <w:r>
        <w:rPr>
          <w:rFonts w:hint="eastAsia" w:ascii="宋体" w:hAnsi="宋体" w:cs="宋体"/>
          <w:color w:val="auto"/>
          <w:kern w:val="0"/>
          <w:sz w:val="24"/>
          <w:highlight w:val="none"/>
          <w:u w:val="single"/>
        </w:rPr>
        <w:t>不同意</w:t>
      </w:r>
      <w:r>
        <w:rPr>
          <w:rFonts w:hint="eastAsia" w:ascii="宋体" w:hAnsi="宋体" w:cs="宋体"/>
          <w:color w:val="auto"/>
          <w:kern w:val="0"/>
          <w:sz w:val="24"/>
          <w:highlight w:val="none"/>
        </w:rPr>
        <w:t xml:space="preserve">将工程争议提交争议评审小组决定。  </w:t>
      </w:r>
    </w:p>
    <w:p w14:paraId="14FE5CFD">
      <w:pPr>
        <w:pStyle w:val="969"/>
        <w:adjustRightInd/>
        <w:spacing w:line="360" w:lineRule="auto"/>
        <w:ind w:firstLine="482" w:firstLineChars="200"/>
        <w:rPr>
          <w:rFonts w:hAnsi="宋体" w:cs="宋体"/>
          <w:color w:val="auto"/>
          <w:szCs w:val="24"/>
          <w:highlight w:val="none"/>
        </w:rPr>
      </w:pPr>
      <w:r>
        <w:rPr>
          <w:rFonts w:hint="eastAsia" w:hAnsi="宋体" w:cs="宋体"/>
          <w:color w:val="auto"/>
          <w:szCs w:val="24"/>
          <w:highlight w:val="none"/>
        </w:rPr>
        <w:t>19.2仲裁或诉讼</w:t>
      </w:r>
    </w:p>
    <w:p w14:paraId="2907E9C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因合同及合同有关事项发生的争议，双方友好协商解决，如不能协商解决的请主管部门调解，调解不成的，按下列第</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种方式解决：</w:t>
      </w:r>
    </w:p>
    <w:p w14:paraId="3C5298C7">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（1）向仲裁委员会申请仲裁；</w:t>
      </w:r>
    </w:p>
    <w:p w14:paraId="1544ABC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工程所在地</w:t>
      </w:r>
      <w:r>
        <w:rPr>
          <w:rFonts w:hint="eastAsia" w:ascii="宋体" w:hAnsi="宋体" w:cs="宋体"/>
          <w:color w:val="auto"/>
          <w:kern w:val="0"/>
          <w:sz w:val="24"/>
          <w:highlight w:val="none"/>
        </w:rPr>
        <w:t>人民法院起诉。</w:t>
      </w:r>
    </w:p>
    <w:p w14:paraId="166610BD">
      <w:pPr>
        <w:pStyle w:val="970"/>
        <w:adjustRightInd/>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20.补充条款</w:t>
      </w:r>
    </w:p>
    <w:p w14:paraId="6AB4A49D">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档案归档及产生的费用由承包人承担</w:t>
      </w:r>
      <w:r>
        <w:rPr>
          <w:rFonts w:hint="eastAsia" w:ascii="宋体" w:hAnsi="宋体" w:cs="宋体"/>
          <w:color w:val="auto"/>
          <w:kern w:val="0"/>
          <w:sz w:val="24"/>
          <w:highlight w:val="none"/>
        </w:rPr>
        <w:t>。</w:t>
      </w:r>
    </w:p>
    <w:p w14:paraId="4C4E6039">
      <w:pP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100868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工程质量保修书</w:t>
      </w:r>
    </w:p>
    <w:p w14:paraId="49481AFC">
      <w:pPr>
        <w:widowControl/>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mc:AlternateContent>
          <mc:Choice Requires="wps">
            <w:drawing>
              <wp:anchor distT="0" distB="0" distL="114300" distR="114300" simplePos="0" relativeHeight="251662336" behindDoc="1" locked="0" layoutInCell="0" allowOverlap="1">
                <wp:simplePos x="0" y="0"/>
                <wp:positionH relativeFrom="column">
                  <wp:posOffset>1645920</wp:posOffset>
                </wp:positionH>
                <wp:positionV relativeFrom="paragraph">
                  <wp:posOffset>257810</wp:posOffset>
                </wp:positionV>
                <wp:extent cx="223456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7619">
                          <a:solidFill>
                            <a:srgbClr val="000000"/>
                          </a:solidFill>
                          <a:round/>
                        </a:ln>
                        <a:effectLst/>
                      </wps:spPr>
                      <wps:bodyPr/>
                    </wps:wsp>
                  </a:graphicData>
                </a:graphic>
              </wp:anchor>
            </w:drawing>
          </mc:Choice>
          <mc:Fallback>
            <w:pict>
              <v:line id="_x0000_s1026" o:spid="_x0000_s1026" o:spt="20" style="position:absolute;left:0pt;margin-left:129.6pt;margin-top:20.3pt;height:0pt;width:175.95pt;z-index:-251654144;mso-width-relative:page;mso-height-relative:page;" filled="f" stroked="t" coordsize="21600,21600" o:allowincell="f" o:gfxdata="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lvL&#10;G9cAAAAJAQAADwAAAAAAAAABACAAAAAiAAAAZHJzL2Rvd25yZXYueG1sUEsBAhQAFAAAAAgAh07i&#10;QIkVX3/qAQAAugMAAA4AAAAAAAAAAQAgAAAAJgEAAGRycy9lMm9Eb2MueG1sUEsFBgAAAAAGAAYA&#10;WQEAAIIFAAAAAA==&#10;">
                <v:fill on="f" focussize="0,0"/>
                <v:stroke weight="0.59992125984252pt" color="#000000" joinstyle="round"/>
                <v:imagedata o:title=""/>
                <o:lock v:ext="edit" aspectratio="f"/>
              </v:line>
            </w:pict>
          </mc:Fallback>
        </mc:AlternateContent>
      </w:r>
      <w:r>
        <w:rPr>
          <w:rFonts w:hint="eastAsia" w:ascii="宋体" w:hAnsi="宋体" w:cs="宋体"/>
          <w:color w:val="auto"/>
          <w:sz w:val="24"/>
          <w:highlight w:val="none"/>
        </w:rPr>
        <w:t>发包人（全称）：</w:t>
      </w:r>
    </w:p>
    <w:p w14:paraId="6692A460">
      <w:pPr>
        <w:widowControl/>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mc:AlternateContent>
          <mc:Choice Requires="wps">
            <w:drawing>
              <wp:anchor distT="0" distB="0" distL="114300" distR="114300" simplePos="0" relativeHeight="251663360" behindDoc="1" locked="0" layoutInCell="0" allowOverlap="1">
                <wp:simplePos x="0" y="0"/>
                <wp:positionH relativeFrom="column">
                  <wp:posOffset>1675130</wp:posOffset>
                </wp:positionH>
                <wp:positionV relativeFrom="paragraph">
                  <wp:posOffset>239395</wp:posOffset>
                </wp:positionV>
                <wp:extent cx="2234565"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7619">
                          <a:solidFill>
                            <a:srgbClr val="000000"/>
                          </a:solidFill>
                          <a:round/>
                        </a:ln>
                        <a:effectLst/>
                      </wps:spPr>
                      <wps:bodyPr/>
                    </wps:wsp>
                  </a:graphicData>
                </a:graphic>
              </wp:anchor>
            </w:drawing>
          </mc:Choice>
          <mc:Fallback>
            <w:pict>
              <v:line id="_x0000_s1026" o:spid="_x0000_s1026" o:spt="20" style="position:absolute;left:0pt;margin-left:131.9pt;margin-top:18.85pt;height:0pt;width:175.95pt;z-index:-251653120;mso-width-relative:page;mso-height-relative:page;" filled="f" stroked="t" coordsize="21600,21600" o:allowincell="f" o:gfxdata="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gyf&#10;l9gAAAAJAQAADwAAAAAAAAABACAAAAAiAAAAZHJzL2Rvd25yZXYueG1sUEsBAhQAFAAAAAgAh07i&#10;QE0dM8DpAQAAuAMAAA4AAAAAAAAAAQAgAAAAJwEAAGRycy9lMm9Eb2MueG1sUEsFBgAAAAAGAAYA&#10;WQEAAIIFAAAAAA==&#10;">
                <v:fill on="f" focussize="0,0"/>
                <v:stroke weight="0.59992125984252pt" color="#000000" joinstyle="round"/>
                <v:imagedata o:title=""/>
                <o:lock v:ext="edit" aspectratio="f"/>
              </v:line>
            </w:pict>
          </mc:Fallback>
        </mc:AlternateContent>
      </w:r>
      <w:r>
        <w:rPr>
          <w:rFonts w:hint="eastAsia" w:ascii="宋体" w:hAnsi="宋体" w:cs="宋体"/>
          <w:color w:val="auto"/>
          <w:sz w:val="24"/>
          <w:highlight w:val="none"/>
        </w:rPr>
        <w:t>承包人（全称）：</w:t>
      </w:r>
    </w:p>
    <w:p w14:paraId="339D36FB">
      <w:pPr>
        <w:widowControl/>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发包人和承包人根据《中华人民共和国建筑法》和《建设工程质量管理条例》，经协商一致就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签订工程质量保修书。</w:t>
      </w:r>
    </w:p>
    <w:p w14:paraId="3D163B1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一、工程质量保修范围和内容</w:t>
      </w:r>
    </w:p>
    <w:p w14:paraId="30FB21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承包人在质量保修期内，按照有关法律规定和合同约定，承担工程质量保修责任。</w:t>
      </w:r>
    </w:p>
    <w:p w14:paraId="2624F1D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highlight w:val="none"/>
          <w:u w:val="single"/>
        </w:rPr>
        <w:t>所有由承包人施工的工程内容</w:t>
      </w:r>
      <w:r>
        <w:rPr>
          <w:rFonts w:hint="eastAsia" w:ascii="宋体" w:hAnsi="宋体" w:cs="宋体"/>
          <w:color w:val="auto"/>
          <w:sz w:val="24"/>
          <w:highlight w:val="none"/>
        </w:rPr>
        <w:t>。</w:t>
      </w:r>
    </w:p>
    <w:p w14:paraId="625BF57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二、质量保修期</w:t>
      </w:r>
    </w:p>
    <w:p w14:paraId="4D5331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根据《建设工程质量管理条例》及有关规定，结合招标人要求，工程的质量保修期如下：</w:t>
      </w:r>
    </w:p>
    <w:p w14:paraId="0432A544">
      <w:pPr>
        <w:tabs>
          <w:tab w:val="left" w:pos="756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1．屋面防水工程、有防水要求的卫生间、房间和外墙面的防渗为5年；</w:t>
      </w:r>
    </w:p>
    <w:p w14:paraId="49ABAA99">
      <w:pPr>
        <w:tabs>
          <w:tab w:val="left" w:pos="2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2．装修工程为2年；</w:t>
      </w:r>
    </w:p>
    <w:p w14:paraId="6B2C08A9">
      <w:pPr>
        <w:tabs>
          <w:tab w:val="left" w:pos="57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3．电气管线、给排水管道、设备安装工程为2年；</w:t>
      </w:r>
    </w:p>
    <w:p w14:paraId="7C5366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4．其他项目保修期限约定如下：2年。</w:t>
      </w:r>
    </w:p>
    <w:p w14:paraId="4EAA8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质量保修期自工程竣工验收合格之日起计算。</w:t>
      </w:r>
    </w:p>
    <w:p w14:paraId="3B225C9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三、缺陷责任期</w:t>
      </w:r>
    </w:p>
    <w:p w14:paraId="74A2CF5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rPr>
        <w:t>24</w:t>
      </w:r>
      <w:r>
        <w:rPr>
          <w:rFonts w:hint="eastAsia" w:ascii="宋体" w:hAnsi="宋体" w:cs="宋体"/>
          <w:color w:val="auto"/>
          <w:sz w:val="24"/>
          <w:highlight w:val="none"/>
        </w:rPr>
        <w:t>个月，缺陷责任期自工程竣工验收合格之日起计算。单位工</w:t>
      </w:r>
    </w:p>
    <w:p w14:paraId="2CDC53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程先于全部工程进行验收，单位工程缺陷责任期自单位工程验收合格之日起算。缺陷责任期终止后，发包人在完成最终结清后应退还承包人的质量保证金保函或剩余的质量保证金。</w:t>
      </w:r>
    </w:p>
    <w:p w14:paraId="0C5EF61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四、质量保修责任</w:t>
      </w:r>
    </w:p>
    <w:p w14:paraId="2A2BD1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 7 天内派人保修。</w:t>
      </w:r>
    </w:p>
    <w:p w14:paraId="463E48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承包人不在约定期限内派人保修的，发包人可以委托他人修理。</w:t>
      </w:r>
    </w:p>
    <w:p w14:paraId="0475C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14:paraId="05C0B7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CDAA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4．质量保修完成后，由发包人组织验收。</w:t>
      </w:r>
    </w:p>
    <w:p w14:paraId="46037DD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五、保修费用</w:t>
      </w:r>
    </w:p>
    <w:p w14:paraId="05A776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保修费用由造成质量缺陷的责任方承担。</w:t>
      </w:r>
    </w:p>
    <w:p w14:paraId="214EDB0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六、双方约定的其他工程质量保修事项：</w:t>
      </w:r>
    </w:p>
    <w:p w14:paraId="28C061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4384" behindDoc="1" locked="0" layoutInCell="0" allowOverlap="1">
                <wp:simplePos x="0" y="0"/>
                <wp:positionH relativeFrom="column">
                  <wp:posOffset>284480</wp:posOffset>
                </wp:positionH>
                <wp:positionV relativeFrom="paragraph">
                  <wp:posOffset>153670</wp:posOffset>
                </wp:positionV>
                <wp:extent cx="54489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7619">
                          <a:solidFill>
                            <a:srgbClr val="000000"/>
                          </a:solidFill>
                          <a:round/>
                        </a:ln>
                        <a:effectLst/>
                      </wps:spPr>
                      <wps:bodyPr/>
                    </wps:wsp>
                  </a:graphicData>
                </a:graphic>
              </wp:anchor>
            </w:drawing>
          </mc:Choice>
          <mc:Fallback>
            <w:pict>
              <v:line id="_x0000_s1026" o:spid="_x0000_s1026" o:spt="20" style="position:absolute;left:0pt;margin-left:22.4pt;margin-top:12.1pt;height:0pt;width:429.05pt;z-index:-251652096;mso-width-relative:page;mso-height-relative:page;" filled="f" stroked="t" coordsize="21600,21600" o:allowincell="f" o:gfxdata="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vfd7&#10;1gAAAAgBAAAPAAAAAAAAAAEAIAAAACIAAABkcnMvZG93bnJldi54bWxQSwECFAAUAAAACACHTuJA&#10;EjgcsOoBAAC4AwAADgAAAAAAAAABACAAAAAlAQAAZHJzL2Uyb0RvYy54bWxQSwUGAAAAAAYABgBZ&#10;AQAAgQUAAAAA&#10;">
                <v:fill on="f" focussize="0,0"/>
                <v:stroke weight="0.59992125984252pt" color="#000000" joinstyle="round"/>
                <v:imagedata o:title=""/>
                <o:lock v:ext="edit" aspectratio="f"/>
              </v:line>
            </w:pict>
          </mc:Fallback>
        </mc:AlternateContent>
      </w:r>
    </w:p>
    <w:p w14:paraId="3AFA7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工程质量保修书由发包人、承包人在工程竣工验收前共同签署，作为施工合同附件，其有效期限至保修期满。</w:t>
      </w:r>
    </w:p>
    <w:p w14:paraId="3E40FD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 包 人（法人章）：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承包人（法人章）：</w:t>
      </w:r>
      <w:r>
        <w:rPr>
          <w:rFonts w:hint="eastAsia" w:ascii="宋体" w:hAnsi="宋体" w:cs="宋体"/>
          <w:color w:val="auto"/>
          <w:kern w:val="0"/>
          <w:sz w:val="24"/>
          <w:highlight w:val="none"/>
          <w:u w:val="single"/>
        </w:rPr>
        <w:t xml:space="preserve">                   </w:t>
      </w:r>
    </w:p>
    <w:p w14:paraId="5362CD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地         址：</w:t>
      </w:r>
      <w:r>
        <w:rPr>
          <w:rFonts w:hint="eastAsia" w:ascii="宋体" w:hAnsi="宋体" w:cs="宋体"/>
          <w:color w:val="auto"/>
          <w:kern w:val="0"/>
          <w:sz w:val="24"/>
          <w:highlight w:val="none"/>
          <w:u w:val="single"/>
        </w:rPr>
        <w:t xml:space="preserve">                       </w:t>
      </w:r>
    </w:p>
    <w:p w14:paraId="7EEA07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法定代表人（签章）：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法定代表人（签章）：</w:t>
      </w:r>
      <w:r>
        <w:rPr>
          <w:rFonts w:hint="eastAsia" w:ascii="宋体" w:hAnsi="宋体" w:cs="宋体"/>
          <w:color w:val="auto"/>
          <w:kern w:val="0"/>
          <w:sz w:val="24"/>
          <w:highlight w:val="none"/>
          <w:u w:val="single"/>
        </w:rPr>
        <w:t xml:space="preserve">                   </w:t>
      </w:r>
    </w:p>
    <w:p w14:paraId="3C5E48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委托代理人（签章）：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委托代理人（签章）：</w:t>
      </w:r>
      <w:r>
        <w:rPr>
          <w:rFonts w:hint="eastAsia" w:ascii="宋体" w:hAnsi="宋体" w:cs="宋体"/>
          <w:color w:val="auto"/>
          <w:kern w:val="0"/>
          <w:sz w:val="24"/>
          <w:highlight w:val="none"/>
          <w:u w:val="single"/>
        </w:rPr>
        <w:t xml:space="preserve">                   </w:t>
      </w:r>
    </w:p>
    <w:p w14:paraId="15994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07DA5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传真：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E62D0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开户银行：</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1699F4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账号：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账号：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674DCB52">
      <w:pPr>
        <w:adjustRightInd/>
        <w:spacing w:line="360" w:lineRule="auto"/>
        <w:ind w:firstLine="480" w:firstLineChars="200"/>
        <w:rPr>
          <w:rFonts w:ascii="宋体" w:hAnsi="宋体" w:cs="宋体"/>
          <w:color w:val="auto"/>
          <w:sz w:val="24"/>
          <w:highlight w:val="none"/>
          <w:u w:val="single"/>
        </w:rPr>
        <w:sectPr>
          <w:headerReference r:id="rId7" w:type="default"/>
          <w:footerReference r:id="rId8" w:type="default"/>
          <w:footerReference r:id="rId9" w:type="even"/>
          <w:pgSz w:w="11905" w:h="16838"/>
          <w:pgMar w:top="1417" w:right="1417" w:bottom="1417" w:left="1417" w:header="850" w:footer="992" w:gutter="0"/>
          <w:cols w:space="0" w:num="1"/>
          <w:titlePg/>
          <w:rtlGutter w:val="0"/>
          <w:docGrid w:linePitch="360" w:charSpace="0"/>
        </w:sect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邮政编码：</w:t>
      </w:r>
      <w:r>
        <w:rPr>
          <w:rFonts w:hint="eastAsia" w:ascii="宋体" w:hAnsi="宋体" w:cs="宋体"/>
          <w:color w:val="auto"/>
          <w:kern w:val="0"/>
          <w:sz w:val="24"/>
          <w:highlight w:val="none"/>
          <w:u w:val="single"/>
        </w:rPr>
        <w:t xml:space="preserve">               </w:t>
      </w:r>
      <w:r>
        <w:rPr>
          <w:rFonts w:hint="eastAsia" w:ascii="宋体" w:hAnsi="宋体" w:cs="宋体"/>
          <w:color w:val="auto"/>
          <w:sz w:val="28"/>
          <w:szCs w:val="28"/>
          <w:highlight w:val="none"/>
        </w:rPr>
        <w:br w:type="page"/>
      </w:r>
    </w:p>
    <w:p w14:paraId="5C949C0A">
      <w:pPr>
        <w:keepNext w:val="0"/>
        <w:keepLines w:val="0"/>
        <w:pageBreakBefore w:val="0"/>
        <w:widowControl/>
        <w:tabs>
          <w:tab w:val="left" w:pos="3234"/>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bookmarkStart w:id="717" w:name="_Toc10046"/>
      <w:r>
        <w:rPr>
          <w:rFonts w:hint="eastAsia" w:asciiTheme="minorEastAsia" w:hAnsiTheme="minorEastAsia" w:eastAsiaTheme="minorEastAsia" w:cstheme="minorEastAsia"/>
          <w:b/>
          <w:color w:val="auto"/>
          <w:sz w:val="24"/>
          <w:szCs w:val="24"/>
          <w:highlight w:val="none"/>
        </w:rPr>
        <w:t>安全生产目标管理责任书</w:t>
      </w:r>
    </w:p>
    <w:p w14:paraId="6E26C2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工程项目名称：</w:t>
      </w:r>
    </w:p>
    <w:p w14:paraId="3B345DD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工程项目地址：</w:t>
      </w:r>
    </w:p>
    <w:p w14:paraId="5C346B1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建设单位（甲方）：       </w:t>
      </w:r>
    </w:p>
    <w:p w14:paraId="0CDBA9D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施工单位（乙方）：</w:t>
      </w:r>
    </w:p>
    <w:p w14:paraId="5996375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认真贯彻落实《中华人民共和国安全生产法》、《建设工程安全生产管理条例》，切实防止重大恶性事故，避免和减少各类事故发生，保证工程建设项目质量安全和施工过程安全。根据市、区委、区府关于安全生产目标管理的要求，甲、乙双方订立本安全生产目标管理责任书。</w:t>
      </w:r>
    </w:p>
    <w:p w14:paraId="0AF50F4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一、安全生产管理目标责任期</w:t>
      </w:r>
    </w:p>
    <w:p w14:paraId="4C0369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整个工程施工期。</w:t>
      </w:r>
    </w:p>
    <w:p w14:paraId="4CDFBC3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二、安全生产管理目标</w:t>
      </w:r>
    </w:p>
    <w:p w14:paraId="743ED058">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1.施工单位项目部施工期内不发生职工和外来人员的工伤死亡事故（含重大机械设备、重大火灾、在建工程倒塌等死亡事故）。</w:t>
      </w:r>
    </w:p>
    <w:p w14:paraId="7B0E22DB">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2.施工单位项目部职工工伤事故频率控制在2‰（月均）以下。</w:t>
      </w:r>
    </w:p>
    <w:p w14:paraId="22B71A6D">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3.施工单位项目部经区（市）安全监督部门检查，施工现场安全生产管理、文明施工达到合格等级及以上（如合同有承诺的必须达到合同承诺规定及以上）。</w:t>
      </w:r>
    </w:p>
    <w:p w14:paraId="325537E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三、实施安全生产目标管理双方责任</w:t>
      </w:r>
    </w:p>
    <w:p w14:paraId="6C0ACFB4">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A、甲方责任</w:t>
      </w:r>
    </w:p>
    <w:p w14:paraId="6DA006FB">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1.及时传达国家和上级部门有关安全生产会议和文件精神。</w:t>
      </w:r>
    </w:p>
    <w:p w14:paraId="4DA17CF7">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2.及时解决影响工程项目施工安全涉及到的外部环境条件协调。</w:t>
      </w:r>
    </w:p>
    <w:p w14:paraId="6A39C523">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3.采取定期和不定期相结合，对工程项目现场施工安全生产、文明施工进行检查。发现问题，及时提出整改意见，并监督重大安全隐患整改。</w:t>
      </w:r>
    </w:p>
    <w:p w14:paraId="578F7D37">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4.组织对施工单位项目部安全生产管理目标实施考核评比。</w:t>
      </w:r>
    </w:p>
    <w:p w14:paraId="6CC8A699">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B、乙方责任</w:t>
      </w:r>
    </w:p>
    <w:p w14:paraId="3FCDAF27">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单位项目部负责人是工程项目安全生产第一责任者。必须认真贯彻执行国家省、市、区安全生产法律、法规、规范、强制性标准、落实安全责任制，确保安全生产必要经费，及时解决安全生产、文明施工存在问题，保证施工安全。</w:t>
      </w:r>
    </w:p>
    <w:p w14:paraId="09D113E0">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2.施工单位项目部要全面实施安全生产目标管理责任制，项目与管理人员、作业班组必须签订安全生产责任书，逐级分解目标，落实到每一个部门、班组、职工。</w:t>
      </w:r>
    </w:p>
    <w:p w14:paraId="73283261">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3.施工单位项目部必须建立安全生产管理网络组织，配专职（具安全管理资格）安全管理人员，对现场安全生产、文明施工进行监督和检查，消除事故隐患，制止违章指挥、违章作业。</w:t>
      </w:r>
    </w:p>
    <w:p w14:paraId="0112A4C2">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4.施工单位项目部必须认真、及时编制施工组织设计及各项施工安全专项方案，办妥审批手续。作业班组在施工作业前，项目部应进行分部、分项、分工种安全交底并办理签字手续。</w:t>
      </w:r>
    </w:p>
    <w:p w14:paraId="4CAED92E">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施工单位项目部必须组织有关部门（单位）人员对施工机械设备、用电、井架、塔吊（施工电梯）、模板承重架、脚手架及其它安全防护设施等进行严格的检查验收，并加强日常的检查、维修、保养，确保符合安全要求。</w:t>
      </w:r>
    </w:p>
    <w:p w14:paraId="7F6BD27C">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施工现场电工、焊工、登高架设（架子搭设、模板承重架搭设等）、塔吊司机、指挥、施工电梯司机等特种作业人员必须由经国家安全培训、取得特种作业操作证人员担任。特种作业人员、施工机械操作人员必须持证上岗。</w:t>
      </w:r>
    </w:p>
    <w:p w14:paraId="2E037A10">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施工单位项目部必须按《中华人民共和国安全生产法》《中华人民共和国建筑法》《建设工程安全管理条例》规定进行施工现场安全生产、文明施工、防火安全管理，严格执行安全自查自纠检查制度，对施工现场安全隐患、不安全因素，必须按“定人、定时间、定措施”要求落实整改，并建立完整的符合要求的施工现场安全技术台帐资料。</w:t>
      </w:r>
    </w:p>
    <w:p w14:paraId="7C5F6C1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四、奖罚措施</w:t>
      </w:r>
    </w:p>
    <w:p w14:paraId="04CAE2F6">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1.乙方未达到本管理目标要求的，甲方将在今后工程发包时按安全生产一票否决办法限制乙方单位参与甲方一年内的工程建设。</w:t>
      </w:r>
    </w:p>
    <w:p w14:paraId="1FFB37F6">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2.乙方施工单位项目部在区（市）或本公司组织安全检查中（考核）安全生产文明施工未达到合格等级或责令停止施工，甲方将给予通报批评并按工程合同规定进行处罚。</w:t>
      </w:r>
    </w:p>
    <w:p w14:paraId="27A5B825">
      <w:pPr>
        <w:keepNext w:val="0"/>
        <w:keepLines w:val="0"/>
        <w:pageBreakBefore w:val="0"/>
        <w:widowControl w:val="0"/>
        <w:kinsoku/>
        <w:wordWrap/>
        <w:overflowPunct/>
        <w:topLinePunct w:val="0"/>
        <w:autoSpaceDE/>
        <w:autoSpaceDN/>
        <w:bidi w:val="0"/>
        <w:adjustRightInd/>
        <w:spacing w:line="360" w:lineRule="auto"/>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3.乙方施工单位项目部在区（市）或本公司组织的安全检查中（考核）安全生产文明施工达到优良等级或评为（区）市安全文明标化工地，甲方将给予通报表扬和评为（年度）安全生产管理先进项目部。</w:t>
      </w:r>
    </w:p>
    <w:p w14:paraId="598738A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p>
    <w:p w14:paraId="2E62FC4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发包人：（公章）                      承包人：（公章）</w:t>
      </w:r>
    </w:p>
    <w:p w14:paraId="4AE71D5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            法定代表人或其委托代理人：</w:t>
      </w:r>
    </w:p>
    <w:p w14:paraId="0150D1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（签字或盖章）                       （签字或盖章）</w:t>
      </w:r>
    </w:p>
    <w:p w14:paraId="3766D65B">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55EE3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工程建设项目廉政合同</w:t>
      </w:r>
    </w:p>
    <w:p w14:paraId="207FB3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words"/>
        </w:rPr>
      </w:pPr>
      <w:r>
        <w:rPr>
          <w:rFonts w:hint="eastAsia" w:asciiTheme="minorEastAsia" w:hAnsiTheme="minorEastAsia" w:eastAsiaTheme="minorEastAsia" w:cstheme="minorEastAsia"/>
          <w:color w:val="auto"/>
          <w:sz w:val="24"/>
          <w:szCs w:val="24"/>
          <w:highlight w:val="none"/>
        </w:rPr>
        <w:t>为严格执行《建筑法》、《招标投标法》、《反不正当竞争法》以及有关工程建设、廉政建设的规定，做好工程建设中的党风廉政建设，保证工程建设高效优质，保证建设资金的安全和有效使用以及投资效益，</w:t>
      </w:r>
      <w:r>
        <w:rPr>
          <w:rFonts w:hint="eastAsia" w:asciiTheme="minorEastAsia" w:hAnsiTheme="minorEastAsia" w:eastAsiaTheme="minorEastAsia" w:cstheme="minorEastAsia"/>
          <w:color w:val="auto"/>
          <w:kern w:val="0"/>
          <w:sz w:val="24"/>
          <w:szCs w:val="24"/>
          <w:highlight w:val="none"/>
          <w:u w:val="single"/>
          <w:lang w:val="en-US" w:eastAsia="zh-CN"/>
        </w:rPr>
        <w:t xml:space="preserve">           项目</w:t>
      </w:r>
      <w:r>
        <w:rPr>
          <w:rFonts w:hint="eastAsia" w:asciiTheme="minorEastAsia" w:hAnsiTheme="minorEastAsia" w:eastAsiaTheme="minorEastAsia" w:cstheme="minorEastAsia"/>
          <w:color w:val="auto"/>
          <w:sz w:val="24"/>
          <w:szCs w:val="24"/>
          <w:highlight w:val="none"/>
        </w:rPr>
        <w:t>的建设单位</w:t>
      </w:r>
      <w:r>
        <w:rPr>
          <w:rFonts w:hint="eastAsia" w:asciiTheme="minorEastAsia" w:hAnsiTheme="minorEastAsia" w:eastAsiaTheme="minorEastAsia" w:cstheme="minorEastAsia"/>
          <w:color w:val="auto"/>
          <w:sz w:val="24"/>
          <w:szCs w:val="24"/>
          <w:highlight w:val="none"/>
          <w:u w:val="single"/>
        </w:rPr>
        <w:t>浙江万里学院</w:t>
      </w:r>
      <w:r>
        <w:rPr>
          <w:rFonts w:hint="eastAsia" w:asciiTheme="minorEastAsia" w:hAnsiTheme="minorEastAsia" w:eastAsiaTheme="minorEastAsia" w:cstheme="minorEastAsia"/>
          <w:color w:val="auto"/>
          <w:sz w:val="24"/>
          <w:szCs w:val="24"/>
          <w:highlight w:val="none"/>
        </w:rPr>
        <w:t>（以下简称甲方）与施工单位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（以下简称乙方），特订立如下合同。</w:t>
      </w:r>
    </w:p>
    <w:p w14:paraId="5104FC9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第一条  甲乙双方的权利和义务</w:t>
      </w:r>
    </w:p>
    <w:p w14:paraId="75882B4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（一）严格遵守党和国家有关法律法规及建筑部的有关廉政规定。</w:t>
      </w:r>
    </w:p>
    <w:p w14:paraId="58B0D72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（二）双方的业务活动坚持公开、公平、公正、诚信、透明的原则（除法律认定的商业秘密和合同文件另有规定之外），不得损害国家和集体利益，违反工程建设管理规章制度。</w:t>
      </w:r>
    </w:p>
    <w:p w14:paraId="674E5AE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（三）建立健全廉政制度，开展廉政教育，设立廉政告示牌，公布举报电话，监督并认真查处违法违纪行为。</w:t>
      </w:r>
    </w:p>
    <w:p w14:paraId="4C893B18">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（四）发现对方在业务活动中有违反廉政规定的行为，有及时提醒对方纠正的权利和义务。</w:t>
      </w:r>
    </w:p>
    <w:p w14:paraId="4CD51568">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（五）发现对方严重违反本合同义务条款的行为，有向其上级有关部门举报、建议给予处理并要求告知处理结果的权利。</w:t>
      </w:r>
    </w:p>
    <w:p w14:paraId="7842604A">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第二条  甲方的义务</w:t>
      </w:r>
    </w:p>
    <w:p w14:paraId="2E85396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（一）甲方及其工作人员不得索要或接受乙方的礼金、礼券、有价证券和物品，不得在乙方报销任何应由甲方或个人支付的费用等。</w:t>
      </w:r>
    </w:p>
    <w:p w14:paraId="5C79CDEA">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（二）甲方工作人员不得参加乙方安排的宴请和娱乐活动；不得接受乙方提供的通讯工具、交通工具和高档办公用品等。</w:t>
      </w:r>
    </w:p>
    <w:p w14:paraId="112A1A87">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（三）甲方及其工作人员不得要求或者接受乙方为其住房装修、操办婚丧嫁娶、安排配偶子女的工作以及出国出境、旅游等。</w:t>
      </w:r>
    </w:p>
    <w:p w14:paraId="452C2A8D">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（四）甲方工作人员的配偶、子女及下属单位不得从事与甲方工程有关的材料设备供应、工程分包、劳务等经济活动。</w:t>
      </w:r>
    </w:p>
    <w:p w14:paraId="400969C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（五）甲方及其工作人员不得经任何理由向乙方推荐分包单位，不得要求乙方购买合同规定外的材料和设备。</w:t>
      </w:r>
    </w:p>
    <w:p w14:paraId="1ED480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第三条  乙方义务</w:t>
      </w:r>
    </w:p>
    <w:p w14:paraId="2ABC1F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（一）乙方不得以任何理由向甲方及其工作人员行贿或馈赠礼金、有价证券、贵重礼品。</w:t>
      </w:r>
    </w:p>
    <w:p w14:paraId="4A1A22D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（二）乙方不得以任何名义为甲方及其工作人员报销应由甲方单位或个人支付的任何费用。</w:t>
      </w:r>
    </w:p>
    <w:p w14:paraId="73A4DAC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（三）乙方不得以任何理由安排甲方工作人员参加宴请及娱乐活动。</w:t>
      </w:r>
    </w:p>
    <w:p w14:paraId="4601E3F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（四）乙方不得为甲方单位和个人购置或提供通讯工具、交通工具和高档办公用品等。</w:t>
      </w:r>
    </w:p>
    <w:p w14:paraId="73E7B57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第四条  违约责任</w:t>
      </w:r>
    </w:p>
    <w:p w14:paraId="4FD2150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（一）甲方及其工作人员违反本合同第一、二条，按管理权限，依据有关规定给予党纪、政纪或组织处理；涉嫌犯罪的，移送司法机关追究刑事责任；给乙方单位造成经济损失的，应予以赔偿。</w:t>
      </w:r>
    </w:p>
    <w:p w14:paraId="60CB111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36A72D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第五条  双方约定</w:t>
      </w:r>
    </w:p>
    <w:p w14:paraId="2F5954D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0CD92C0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第六条  本合同有效期为甲乙双方签暑之日起至该工程项目工程款支付完结时止。</w:t>
      </w:r>
    </w:p>
    <w:p w14:paraId="0639800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第七条  本合同共六份，经合同双方签署立即生效。</w:t>
      </w:r>
    </w:p>
    <w:p w14:paraId="154C9FD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p>
    <w:p w14:paraId="25DEC14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p>
    <w:p w14:paraId="594F4DF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发包人：（公章）                      承包人：（公章）</w:t>
      </w:r>
    </w:p>
    <w:p w14:paraId="3DFF2F8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p>
    <w:p w14:paraId="0897FF4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            法定代表人或其委托代理人：</w:t>
      </w:r>
    </w:p>
    <w:p w14:paraId="51F1675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（签字或盖章）                       （签字或盖章）</w:t>
      </w:r>
    </w:p>
    <w:p w14:paraId="5CF58ED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5C5C3F2E">
      <w:pPr>
        <w:rPr>
          <w:rFonts w:hint="eastAsia" w:asciiTheme="minorEastAsia" w:hAnsiTheme="minorEastAsia" w:eastAsiaTheme="minorEastAsia" w:cstheme="minorEastAsia"/>
          <w:color w:val="auto"/>
          <w:sz w:val="24"/>
          <w:szCs w:val="24"/>
          <w:highlight w:val="none"/>
        </w:rPr>
      </w:pPr>
    </w:p>
    <w:p w14:paraId="48E9E1E1">
      <w:pPr>
        <w:snapToGrid w:val="0"/>
        <w:spacing w:line="360" w:lineRule="auto"/>
        <w:ind w:firstLine="723" w:firstLineChars="20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8"/>
      <w:r>
        <w:rPr>
          <w:rFonts w:hint="eastAsia" w:ascii="宋体" w:hAnsi="宋体" w:cs="宋体"/>
          <w:b/>
          <w:color w:val="auto"/>
          <w:sz w:val="36"/>
          <w:szCs w:val="20"/>
          <w:highlight w:val="none"/>
        </w:rPr>
        <w:t xml:space="preserve"> </w:t>
      </w:r>
      <w:bookmarkEnd w:id="419"/>
      <w:r>
        <w:rPr>
          <w:rFonts w:hint="eastAsia" w:ascii="宋体" w:hAnsi="宋体" w:cs="宋体"/>
          <w:b/>
          <w:color w:val="auto"/>
          <w:sz w:val="36"/>
          <w:szCs w:val="20"/>
          <w:highlight w:val="none"/>
        </w:rPr>
        <w:t>应提交的有关格式范例</w:t>
      </w:r>
      <w:bookmarkEnd w:id="717"/>
    </w:p>
    <w:p w14:paraId="32149B28">
      <w:pPr>
        <w:spacing w:line="360" w:lineRule="auto"/>
        <w:ind w:firstLine="723" w:firstLineChars="200"/>
        <w:jc w:val="center"/>
        <w:outlineLvl w:val="0"/>
        <w:rPr>
          <w:rFonts w:ascii="宋体" w:hAnsi="宋体" w:cs="宋体"/>
          <w:b/>
          <w:color w:val="auto"/>
          <w:kern w:val="0"/>
          <w:sz w:val="36"/>
          <w:szCs w:val="36"/>
          <w:highlight w:val="none"/>
        </w:rPr>
      </w:pPr>
      <w:bookmarkStart w:id="718" w:name="_Toc12223"/>
      <w:r>
        <w:rPr>
          <w:rFonts w:hint="eastAsia" w:ascii="宋体" w:hAnsi="宋体" w:cs="宋体"/>
          <w:b/>
          <w:color w:val="auto"/>
          <w:kern w:val="0"/>
          <w:sz w:val="36"/>
          <w:szCs w:val="36"/>
          <w:highlight w:val="none"/>
        </w:rPr>
        <w:t>资格文件部分</w:t>
      </w:r>
      <w:bookmarkEnd w:id="718"/>
    </w:p>
    <w:p w14:paraId="6F362659">
      <w:pPr>
        <w:spacing w:line="360" w:lineRule="auto"/>
        <w:ind w:firstLine="723" w:firstLineChars="200"/>
        <w:jc w:val="center"/>
        <w:outlineLvl w:val="0"/>
        <w:rPr>
          <w:rFonts w:ascii="宋体" w:hAnsi="宋体" w:cs="宋体"/>
          <w:b/>
          <w:color w:val="auto"/>
          <w:kern w:val="0"/>
          <w:sz w:val="36"/>
          <w:szCs w:val="36"/>
          <w:highlight w:val="none"/>
        </w:rPr>
      </w:pPr>
      <w:bookmarkStart w:id="719" w:name="_Toc26485"/>
      <w:r>
        <w:rPr>
          <w:rFonts w:hint="eastAsia" w:ascii="宋体" w:hAnsi="宋体" w:cs="宋体"/>
          <w:b/>
          <w:color w:val="auto"/>
          <w:kern w:val="0"/>
          <w:sz w:val="36"/>
          <w:szCs w:val="36"/>
          <w:highlight w:val="none"/>
        </w:rPr>
        <w:t>目录</w:t>
      </w:r>
      <w:bookmarkEnd w:id="719"/>
    </w:p>
    <w:p w14:paraId="3C5A2886">
      <w:pPr>
        <w:spacing w:line="360" w:lineRule="auto"/>
        <w:ind w:firstLine="723" w:firstLineChars="200"/>
        <w:jc w:val="center"/>
        <w:rPr>
          <w:rFonts w:ascii="宋体" w:hAnsi="宋体" w:cs="宋体"/>
          <w:b/>
          <w:color w:val="auto"/>
          <w:kern w:val="0"/>
          <w:sz w:val="36"/>
          <w:szCs w:val="36"/>
          <w:highlight w:val="none"/>
        </w:rPr>
      </w:pPr>
    </w:p>
    <w:p w14:paraId="6AD1E5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F9577C7">
      <w:pPr>
        <w:snapToGri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C0444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492608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3F799A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）中小企业声明函………………………………………………………（页码）</w:t>
      </w:r>
    </w:p>
    <w:p w14:paraId="446E5DBB">
      <w:pPr>
        <w:pStyle w:val="28"/>
        <w:ind w:right="-512" w:firstLine="717"/>
        <w:rPr>
          <w:color w:val="auto"/>
          <w:highlight w:val="none"/>
        </w:rPr>
      </w:pPr>
    </w:p>
    <w:p w14:paraId="541A7266">
      <w:pPr>
        <w:snapToGrid w:val="0"/>
        <w:spacing w:line="360" w:lineRule="auto"/>
        <w:ind w:firstLine="480" w:firstLineChars="200"/>
        <w:rPr>
          <w:rFonts w:ascii="宋体" w:hAnsi="宋体" w:cs="宋体"/>
          <w:color w:val="auto"/>
          <w:sz w:val="24"/>
          <w:highlight w:val="none"/>
        </w:rPr>
      </w:pPr>
    </w:p>
    <w:p w14:paraId="7B85C958">
      <w:pPr>
        <w:spacing w:line="360" w:lineRule="auto"/>
        <w:ind w:firstLine="480" w:firstLineChars="200"/>
        <w:rPr>
          <w:rFonts w:ascii="宋体" w:hAnsi="宋体" w:cs="宋体"/>
          <w:color w:val="auto"/>
          <w:sz w:val="24"/>
          <w:highlight w:val="none"/>
        </w:rPr>
      </w:pPr>
    </w:p>
    <w:p w14:paraId="2AB454FD">
      <w:pPr>
        <w:snapToGrid w:val="0"/>
        <w:spacing w:line="360" w:lineRule="auto"/>
        <w:ind w:right="480" w:firstLine="480" w:firstLineChars="20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w:t>
      </w:r>
    </w:p>
    <w:p w14:paraId="3EDC538F">
      <w:pPr>
        <w:snapToGrid w:val="0"/>
        <w:spacing w:line="360" w:lineRule="auto"/>
        <w:ind w:right="480"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承诺函</w:t>
      </w:r>
    </w:p>
    <w:p w14:paraId="1A271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w:t>
      </w:r>
    </w:p>
    <w:p w14:paraId="1538F4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】政府采购活动，郑重承诺：</w:t>
      </w:r>
    </w:p>
    <w:p w14:paraId="393471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B46D4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B25EA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01388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98919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84B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001D7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C357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rPr>
        <w:t>未被信用中国（www.creditchina.gov.cn）、中国政府采购网（www.ccgp.gov.cn）列入失信被执行人、重大税收违法案件当事人名单（即：重大税收违法失信主体）、政府采购严重违法失信行为记录名单。</w:t>
      </w:r>
    </w:p>
    <w:p w14:paraId="3206FB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A801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E16F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4BB57EC">
      <w:pPr>
        <w:snapToGrid w:val="0"/>
        <w:spacing w:line="360" w:lineRule="auto"/>
        <w:ind w:firstLine="480" w:firstLineChars="200"/>
        <w:rPr>
          <w:rFonts w:hint="eastAsia" w:ascii="宋体" w:hAnsi="宋体" w:cs="宋体"/>
          <w:color w:val="auto"/>
          <w:kern w:val="0"/>
          <w:sz w:val="24"/>
          <w:highlight w:val="none"/>
          <w:lang w:val="zh-CN"/>
        </w:rPr>
      </w:pPr>
    </w:p>
    <w:p w14:paraId="5FD4FFE0">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lang w:val="zh-CN"/>
        </w:rPr>
        <w:t>供应商（盖章）：</w:t>
      </w:r>
    </w:p>
    <w:p w14:paraId="1AC053B6">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lang w:val="zh-CN"/>
        </w:rPr>
        <w:t>日</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lang w:val="zh-CN"/>
        </w:rPr>
        <w:t>期</w:t>
      </w:r>
      <w:r>
        <w:rPr>
          <w:rFonts w:hint="eastAsia" w:ascii="宋体" w:hAnsi="宋体" w:cs="宋体"/>
          <w:b/>
          <w:bCs/>
          <w:color w:val="auto"/>
          <w:kern w:val="0"/>
          <w:sz w:val="24"/>
          <w:highlight w:val="none"/>
        </w:rPr>
        <w:t>：</w:t>
      </w:r>
    </w:p>
    <w:p w14:paraId="462D07E4">
      <w:pPr>
        <w:snapToGrid w:val="0"/>
        <w:spacing w:line="360" w:lineRule="auto"/>
        <w:ind w:right="480" w:firstLine="643" w:firstLineChars="200"/>
        <w:jc w:val="center"/>
        <w:rPr>
          <w:rFonts w:ascii="宋体" w:hAnsi="宋体" w:cs="宋体"/>
          <w:b/>
          <w:color w:val="auto"/>
          <w:kern w:val="0"/>
          <w:sz w:val="32"/>
          <w:szCs w:val="32"/>
          <w:highlight w:val="none"/>
        </w:rPr>
        <w:sectPr>
          <w:headerReference r:id="rId10" w:type="first"/>
          <w:footerReference r:id="rId12" w:type="first"/>
          <w:footerReference r:id="rId11" w:type="default"/>
          <w:pgSz w:w="11905" w:h="16838"/>
          <w:pgMar w:top="1417" w:right="1417" w:bottom="1417" w:left="1417" w:header="850" w:footer="992" w:gutter="0"/>
          <w:cols w:space="0" w:num="1"/>
          <w:titlePg/>
          <w:rtlGutter w:val="0"/>
          <w:docGrid w:linePitch="312" w:charSpace="0"/>
        </w:sectPr>
      </w:pPr>
    </w:p>
    <w:p w14:paraId="331E195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DD868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[以联合体形式参与的，提供联合协议（附件5）；本项目不接受联合体或者供应商不以联合体形式参与的，则不需要提供]</w:t>
      </w:r>
    </w:p>
    <w:p w14:paraId="44960430">
      <w:pPr>
        <w:snapToGrid w:val="0"/>
        <w:spacing w:line="360" w:lineRule="auto"/>
        <w:ind w:right="480" w:firstLine="643" w:firstLineChars="200"/>
        <w:jc w:val="center"/>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6F795FE2">
      <w:pPr>
        <w:snapToGrid w:val="0"/>
        <w:spacing w:line="360" w:lineRule="auto"/>
        <w:ind w:right="480"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22D81DF">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B6D9983">
      <w:pPr>
        <w:snapToGrid w:val="0"/>
        <w:spacing w:before="50" w:after="50"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.专门面向中小企业，工程全部由符合政策要求的中小企业（或小微企业）承建的，提供相应的中小企业声明函（附件7）。 </w:t>
      </w:r>
    </w:p>
    <w:p w14:paraId="4F0ADC05">
      <w:pPr>
        <w:widowControl/>
        <w:spacing w:line="360" w:lineRule="auto"/>
        <w:ind w:firstLine="480" w:firstLineChars="200"/>
        <w:jc w:val="left"/>
        <w:rPr>
          <w:rFonts w:ascii="宋体" w:hAnsi="宋体" w:cs="宋体"/>
          <w:color w:val="auto"/>
          <w:sz w:val="24"/>
          <w:highlight w:val="none"/>
        </w:rPr>
      </w:pPr>
    </w:p>
    <w:p w14:paraId="09BCDA61">
      <w:pPr>
        <w:widowControl/>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D90BA0E">
      <w:pPr>
        <w:snapToGrid w:val="0"/>
        <w:spacing w:before="50" w:after="50" w:line="360" w:lineRule="auto"/>
        <w:ind w:firstLine="482" w:firstLineChars="200"/>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B600B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BD6699A">
      <w:pPr>
        <w:widowControl/>
        <w:spacing w:line="360" w:lineRule="auto"/>
        <w:ind w:left="150"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E3F1CC2">
      <w:pPr>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w:t>
      </w:r>
    </w:p>
    <w:p w14:paraId="2E6DE48E">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无需提供）</w:t>
      </w:r>
    </w:p>
    <w:p w14:paraId="5429F20B">
      <w:pPr>
        <w:widowControl/>
        <w:spacing w:line="360" w:lineRule="auto"/>
        <w:ind w:left="150"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、中小企业声明函</w:t>
      </w:r>
    </w:p>
    <w:p w14:paraId="2B79B9D2">
      <w:pPr>
        <w:pStyle w:val="28"/>
        <w:ind w:right="-512" w:firstLine="717"/>
        <w:rPr>
          <w:color w:val="auto"/>
          <w:highlight w:val="none"/>
        </w:rPr>
        <w:sectPr>
          <w:pgSz w:w="11905" w:h="16838"/>
          <w:pgMar w:top="1417" w:right="1417" w:bottom="1417" w:left="1417" w:header="850" w:footer="992" w:gutter="0"/>
          <w:cols w:space="0" w:num="1"/>
          <w:titlePg/>
          <w:rtlGutter w:val="0"/>
          <w:docGrid w:linePitch="312" w:charSpace="0"/>
        </w:sectPr>
      </w:pPr>
    </w:p>
    <w:p w14:paraId="12031CCA">
      <w:pPr>
        <w:spacing w:line="360" w:lineRule="auto"/>
        <w:ind w:right="420" w:firstLine="723" w:firstLineChars="20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B1F4F1">
      <w:pPr>
        <w:spacing w:line="360" w:lineRule="auto"/>
        <w:ind w:firstLine="562" w:firstLineChars="200"/>
        <w:jc w:val="center"/>
        <w:outlineLvl w:val="0"/>
        <w:rPr>
          <w:rFonts w:ascii="宋体" w:hAnsi="宋体" w:cs="宋体"/>
          <w:b/>
          <w:color w:val="auto"/>
          <w:kern w:val="0"/>
          <w:sz w:val="28"/>
          <w:szCs w:val="28"/>
          <w:highlight w:val="none"/>
        </w:rPr>
      </w:pPr>
      <w:bookmarkStart w:id="720" w:name="_Toc22165"/>
      <w:r>
        <w:rPr>
          <w:rFonts w:hint="eastAsia" w:ascii="宋体" w:hAnsi="宋体" w:cs="宋体"/>
          <w:b/>
          <w:color w:val="auto"/>
          <w:kern w:val="0"/>
          <w:sz w:val="28"/>
          <w:szCs w:val="28"/>
          <w:highlight w:val="none"/>
        </w:rPr>
        <w:t>目录</w:t>
      </w:r>
      <w:bookmarkEnd w:id="720"/>
    </w:p>
    <w:p w14:paraId="76E3A984">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（1）响应函………………………………………………………………………（页码）</w:t>
      </w:r>
    </w:p>
    <w:p w14:paraId="5D1D5673">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4C4977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（3）分包意向协议………………………………………………………………（页码）</w:t>
      </w:r>
    </w:p>
    <w:p w14:paraId="35D0C7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（4）符合性审查资料……………………………………………………………（页码）</w:t>
      </w:r>
    </w:p>
    <w:p w14:paraId="39CEDF1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（5）评审标准相应的商务技术资料……………………………………………（页码）（6）商务技术偏离表……………………………………………………………（页码）</w:t>
      </w:r>
    </w:p>
    <w:p w14:paraId="650080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D210DAB">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主要材料品牌约定一览表</w:t>
      </w:r>
      <w:r>
        <w:rPr>
          <w:rFonts w:hint="eastAsia" w:ascii="宋体" w:hAnsi="宋体" w:eastAsia="宋体" w:cs="宋体"/>
          <w:color w:val="auto"/>
          <w:sz w:val="24"/>
          <w:highlight w:val="none"/>
          <w:lang w:val="zh-CN"/>
        </w:rPr>
        <w:t>…………………………………………………（页码）</w:t>
      </w:r>
    </w:p>
    <w:p w14:paraId="7B120B30">
      <w:pPr>
        <w:snapToGrid w:val="0"/>
        <w:spacing w:line="360" w:lineRule="auto"/>
        <w:ind w:firstLine="482" w:firstLineChars="200"/>
        <w:jc w:val="center"/>
        <w:rPr>
          <w:rFonts w:ascii="宋体" w:hAnsi="宋体" w:cs="宋体"/>
          <w:b/>
          <w:color w:val="auto"/>
          <w:kern w:val="0"/>
          <w:sz w:val="24"/>
          <w:szCs w:val="32"/>
          <w:highlight w:val="none"/>
          <w:lang w:val="zh-CN"/>
        </w:rPr>
      </w:pPr>
    </w:p>
    <w:p w14:paraId="7F346A45">
      <w:pPr>
        <w:snapToGrid w:val="0"/>
        <w:spacing w:line="360" w:lineRule="auto"/>
        <w:ind w:firstLine="482" w:firstLineChars="200"/>
        <w:jc w:val="center"/>
        <w:rPr>
          <w:rFonts w:ascii="宋体" w:hAnsi="宋体" w:cs="宋体"/>
          <w:b/>
          <w:color w:val="auto"/>
          <w:kern w:val="0"/>
          <w:sz w:val="24"/>
          <w:szCs w:val="32"/>
          <w:highlight w:val="none"/>
          <w:lang w:val="zh-CN"/>
        </w:rPr>
        <w:sectPr>
          <w:pgSz w:w="11905" w:h="16838"/>
          <w:pgMar w:top="1417" w:right="1417" w:bottom="1417" w:left="1417" w:header="850" w:footer="992" w:gutter="0"/>
          <w:cols w:space="0" w:num="1"/>
          <w:titlePg/>
          <w:rtlGutter w:val="0"/>
          <w:docGrid w:linePitch="312" w:charSpace="0"/>
        </w:sectPr>
      </w:pPr>
    </w:p>
    <w:p w14:paraId="07C89F20">
      <w:pPr>
        <w:snapToGrid w:val="0"/>
        <w:spacing w:line="360" w:lineRule="auto"/>
        <w:ind w:firstLine="643" w:firstLineChars="20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E93BA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w:t>
      </w:r>
    </w:p>
    <w:p w14:paraId="4B0303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】采购的有关活动，并对此项目提交响应文件及报价。为此：</w:t>
      </w:r>
    </w:p>
    <w:p w14:paraId="213C0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1BF9F63">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2、我方的响应文件</w:t>
      </w:r>
      <w:r>
        <w:rPr>
          <w:rFonts w:hint="eastAsia" w:ascii="宋体" w:hAnsi="宋体" w:cs="宋体"/>
          <w:color w:val="auto"/>
          <w:sz w:val="24"/>
          <w:highlight w:val="none"/>
          <w:lang w:val="en-US" w:eastAsia="zh-CN"/>
        </w:rPr>
        <w:t>满足招标文件要求。</w:t>
      </w:r>
    </w:p>
    <w:p w14:paraId="0B6CE1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的全部要求。</w:t>
      </w:r>
    </w:p>
    <w:p w14:paraId="1612EB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5FDFC2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78EC94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014DD2">
      <w:pPr>
        <w:snapToGrid w:val="0"/>
        <w:spacing w:line="360" w:lineRule="auto"/>
        <w:ind w:left="210" w:leftChars="1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r>
        <w:rPr>
          <w:rFonts w:hint="eastAsia" w:ascii="宋体" w:hAnsi="宋体" w:cs="宋体"/>
          <w:color w:val="auto"/>
          <w:sz w:val="24"/>
          <w:highlight w:val="none"/>
          <w:lang w:eastAsia="zh-CN"/>
        </w:rPr>
        <w:t>。</w:t>
      </w:r>
    </w:p>
    <w:p w14:paraId="7F67A130">
      <w:pPr>
        <w:numPr>
          <w:ilvl w:val="0"/>
          <w:numId w:val="6"/>
        </w:numPr>
        <w:snapToGrid w:val="0"/>
        <w:spacing w:line="360" w:lineRule="auto"/>
        <w:ind w:left="210" w:leftChars="100" w:firstLine="480" w:firstLineChars="200"/>
        <w:rPr>
          <w:rFonts w:ascii="宋体" w:hAnsi="宋体" w:cs="宋体"/>
          <w:b/>
          <w:bCs/>
          <w:color w:val="auto"/>
          <w:sz w:val="24"/>
          <w:highlight w:val="none"/>
        </w:rPr>
      </w:pPr>
      <w:r>
        <w:rPr>
          <w:rFonts w:hint="eastAsia" w:ascii="宋体" w:hAnsi="宋体" w:cs="宋体"/>
          <w:color w:val="auto"/>
          <w:sz w:val="24"/>
          <w:highlight w:val="none"/>
        </w:rPr>
        <w:t>其他补充说明</w:t>
      </w:r>
      <w:r>
        <w:rPr>
          <w:rFonts w:hint="eastAsia" w:ascii="宋体" w:hAnsi="宋体" w:cs="宋体"/>
          <w:b/>
          <w:bCs/>
          <w:color w:val="auto"/>
          <w:sz w:val="24"/>
          <w:highlight w:val="none"/>
        </w:rPr>
        <w:t>：</w:t>
      </w:r>
    </w:p>
    <w:p w14:paraId="125D2E81">
      <w:pPr>
        <w:snapToGrid w:val="0"/>
        <w:spacing w:line="360" w:lineRule="auto"/>
        <w:ind w:firstLine="723" w:firstLineChars="3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拟派项目</w:t>
      </w:r>
      <w:r>
        <w:rPr>
          <w:rFonts w:hint="eastAsia" w:ascii="宋体" w:hAnsi="宋体" w:cs="宋体"/>
          <w:b/>
          <w:bCs/>
          <w:color w:val="auto"/>
          <w:sz w:val="24"/>
          <w:highlight w:val="none"/>
          <w:u w:val="single"/>
          <w:lang w:val="en-US" w:eastAsia="zh-CN"/>
        </w:rPr>
        <w:t>经理</w:t>
      </w:r>
      <w:r>
        <w:rPr>
          <w:rFonts w:hint="eastAsia" w:ascii="宋体" w:hAnsi="宋体" w:cs="宋体"/>
          <w:b/>
          <w:bCs/>
          <w:color w:val="auto"/>
          <w:sz w:val="24"/>
          <w:highlight w:val="none"/>
          <w:u w:val="single"/>
        </w:rPr>
        <w:t>承诺在投标截止日无在其他任何在建合同工程上担任项目负责人的情形。如在其他在建合同工程中担任项目负责人职位的，本项目中标后从其他项目中撤离职位，否则同意取消中标资格；如我公司在本项目及其他工程中同时被确定为中标候选人且拟派项目负责人为同一人的，我公司将积极配合采购人解决，包括同意取消中标资格。</w:t>
      </w:r>
    </w:p>
    <w:p w14:paraId="23A8AEE0">
      <w:pPr>
        <w:snapToGrid w:val="0"/>
        <w:spacing w:line="360" w:lineRule="auto"/>
        <w:ind w:firstLine="723" w:firstLineChars="300"/>
        <w:rPr>
          <w:rFonts w:hint="eastAsia" w:asciiTheme="minorEastAsia" w:hAnsiTheme="minorEastAsia" w:eastAsiaTheme="minorEastAsia" w:cstheme="minorEastAsia"/>
          <w:b/>
          <w:bCs/>
          <w:color w:val="auto"/>
          <w:sz w:val="24"/>
          <w:szCs w:val="24"/>
          <w:highlight w:val="none"/>
          <w:u w:val="single"/>
          <w:lang w:val="en-US" w:eastAsia="zh-CN"/>
        </w:rPr>
      </w:pPr>
      <w:r>
        <w:rPr>
          <w:rFonts w:hint="eastAsia" w:cs="宋体"/>
          <w:b/>
          <w:bCs/>
          <w:color w:val="auto"/>
          <w:sz w:val="24"/>
          <w:highlight w:val="none"/>
          <w:u w:val="single"/>
          <w:lang w:val="en-US" w:eastAsia="zh-CN"/>
        </w:rPr>
        <w:t>5.2</w:t>
      </w:r>
      <w:r>
        <w:rPr>
          <w:rFonts w:hint="eastAsia" w:asciiTheme="minorEastAsia" w:hAnsiTheme="minorEastAsia" w:eastAsiaTheme="minorEastAsia" w:cstheme="minorEastAsia"/>
          <w:b/>
          <w:bCs/>
          <w:color w:val="auto"/>
          <w:sz w:val="24"/>
          <w:szCs w:val="24"/>
          <w:highlight w:val="none"/>
          <w:u w:val="single"/>
          <w:lang w:val="en-US" w:eastAsia="zh-CN"/>
        </w:rPr>
        <w:t xml:space="preserve">拟派项目经理到位率承诺达到      </w:t>
      </w:r>
      <w:r>
        <w:rPr>
          <w:rFonts w:hint="eastAsia" w:asciiTheme="minorEastAsia" w:hAnsiTheme="minorEastAsia" w:eastAsiaTheme="minorEastAsia" w:cstheme="minorEastAsia"/>
          <w:b/>
          <w:bCs/>
          <w:color w:val="auto"/>
          <w:sz w:val="24"/>
          <w:szCs w:val="24"/>
          <w:highlight w:val="none"/>
          <w:u w:val="none"/>
          <w:lang w:val="en-US" w:eastAsia="zh-CN"/>
        </w:rPr>
        <w:t>。</w:t>
      </w:r>
    </w:p>
    <w:p w14:paraId="78AA3226">
      <w:pPr>
        <w:pStyle w:val="2"/>
        <w:rPr>
          <w:rFonts w:hint="default" w:eastAsia="宋体"/>
          <w:color w:val="auto"/>
          <w:highlight w:val="none"/>
          <w:lang w:val="en-US" w:eastAsia="zh-CN"/>
        </w:rPr>
      </w:pPr>
    </w:p>
    <w:p w14:paraId="7AC710D8">
      <w:pPr>
        <w:spacing w:line="360" w:lineRule="auto"/>
        <w:ind w:firstLine="480" w:firstLineChars="200"/>
        <w:rPr>
          <w:rFonts w:ascii="宋体" w:hAnsi="宋体" w:cs="宋体"/>
          <w:color w:val="auto"/>
          <w:sz w:val="24"/>
          <w:highlight w:val="none"/>
        </w:rPr>
      </w:pPr>
    </w:p>
    <w:p w14:paraId="53F86BC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供应商（盖章）：                          </w:t>
      </w:r>
    </w:p>
    <w:p w14:paraId="7DB67970">
      <w:pPr>
        <w:spacing w:line="360" w:lineRule="auto"/>
        <w:jc w:val="both"/>
        <w:rPr>
          <w:rFonts w:ascii="宋体" w:hAnsi="宋体" w:cs="宋体"/>
          <w:b/>
          <w:bCs/>
          <w:color w:val="auto"/>
          <w:sz w:val="24"/>
          <w:highlight w:val="none"/>
        </w:rPr>
      </w:pPr>
      <w:r>
        <w:rPr>
          <w:rFonts w:hint="eastAsia" w:ascii="宋体" w:hAnsi="宋体" w:cs="宋体"/>
          <w:b/>
          <w:bCs/>
          <w:color w:val="auto"/>
          <w:sz w:val="24"/>
          <w:highlight w:val="none"/>
        </w:rPr>
        <w:t>日期：</w:t>
      </w:r>
    </w:p>
    <w:p w14:paraId="4F7312AB">
      <w:pPr>
        <w:snapToGrid w:val="0"/>
        <w:spacing w:line="360" w:lineRule="auto"/>
        <w:ind w:left="420" w:leftChars="200" w:firstLine="480" w:firstLineChars="200"/>
        <w:rPr>
          <w:rFonts w:ascii="宋体" w:hAnsi="宋体" w:cs="宋体"/>
          <w:color w:val="auto"/>
          <w:kern w:val="0"/>
          <w:sz w:val="24"/>
          <w:highlight w:val="none"/>
          <w:u w:val="single"/>
        </w:rPr>
      </w:pPr>
    </w:p>
    <w:p w14:paraId="023BEA71">
      <w:pPr>
        <w:spacing w:line="360" w:lineRule="auto"/>
        <w:ind w:right="420" w:firstLine="480" w:firstLineChars="20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63567246">
      <w:pPr>
        <w:spacing w:line="360" w:lineRule="auto"/>
        <w:ind w:firstLine="643" w:firstLineChars="200"/>
        <w:jc w:val="center"/>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56F65848">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353D2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32B46EB2">
      <w:pPr>
        <w:snapToGrid w:val="0"/>
        <w:spacing w:line="360" w:lineRule="auto"/>
        <w:ind w:firstLine="643" w:firstLineChars="20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2E4DA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w:t>
      </w:r>
    </w:p>
    <w:p w14:paraId="1F2BB3A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923CE0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56EA7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CAEFCA">
      <w:pPr>
        <w:snapToGrid w:val="0"/>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lang w:val="zh-CN"/>
        </w:rPr>
        <w:t>供应商（盖章）：</w:t>
      </w:r>
    </w:p>
    <w:p w14:paraId="16210F24">
      <w:pPr>
        <w:snapToGrid w:val="0"/>
        <w:spacing w:line="360" w:lineRule="auto"/>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日期：</w:t>
      </w:r>
    </w:p>
    <w:p w14:paraId="6A69A0AD">
      <w:pPr>
        <w:snapToGrid w:val="0"/>
        <w:spacing w:line="360" w:lineRule="auto"/>
        <w:ind w:firstLine="480" w:firstLineChars="200"/>
        <w:rPr>
          <w:rFonts w:ascii="宋体" w:hAnsi="宋体" w:cs="宋体"/>
          <w:color w:val="auto"/>
          <w:sz w:val="24"/>
          <w:highlight w:val="none"/>
        </w:rPr>
      </w:pPr>
    </w:p>
    <w:p w14:paraId="1066B551">
      <w:pPr>
        <w:snapToGrid w:val="0"/>
        <w:spacing w:line="360" w:lineRule="auto"/>
        <w:ind w:firstLine="480" w:firstLineChars="200"/>
        <w:rPr>
          <w:rFonts w:ascii="宋体" w:hAnsi="宋体" w:cs="宋体"/>
          <w:color w:val="auto"/>
          <w:sz w:val="24"/>
          <w:highlight w:val="none"/>
        </w:rPr>
      </w:pPr>
    </w:p>
    <w:p w14:paraId="60C65A31">
      <w:pPr>
        <w:snapToGrid w:val="0"/>
        <w:spacing w:line="360" w:lineRule="auto"/>
        <w:ind w:firstLine="480" w:firstLineChars="200"/>
        <w:rPr>
          <w:rFonts w:ascii="宋体" w:hAnsi="宋体" w:cs="宋体"/>
          <w:color w:val="auto"/>
          <w:sz w:val="24"/>
          <w:highlight w:val="none"/>
        </w:rPr>
      </w:pPr>
    </w:p>
    <w:p w14:paraId="0451DB78">
      <w:pPr>
        <w:snapToGrid w:val="0"/>
        <w:spacing w:line="360" w:lineRule="auto"/>
        <w:ind w:firstLine="643" w:firstLineChars="20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4A429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w:t>
      </w:r>
    </w:p>
    <w:p w14:paraId="5E33746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77138F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4494A9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E45A97">
      <w:pPr>
        <w:spacing w:line="360" w:lineRule="auto"/>
        <w:ind w:firstLine="643" w:firstLineChars="200"/>
        <w:jc w:val="center"/>
        <w:rPr>
          <w:rFonts w:ascii="宋体" w:hAnsi="宋体" w:cs="宋体"/>
          <w:b/>
          <w:color w:val="auto"/>
          <w:kern w:val="0"/>
          <w:sz w:val="32"/>
          <w:szCs w:val="32"/>
          <w:highlight w:val="none"/>
        </w:rPr>
      </w:pPr>
    </w:p>
    <w:p w14:paraId="7720248B">
      <w:pPr>
        <w:spacing w:line="360" w:lineRule="auto"/>
        <w:ind w:firstLine="643" w:firstLineChars="200"/>
        <w:jc w:val="center"/>
        <w:rPr>
          <w:rFonts w:ascii="宋体" w:hAnsi="宋体" w:cs="宋体"/>
          <w:b/>
          <w:color w:val="auto"/>
          <w:kern w:val="0"/>
          <w:sz w:val="32"/>
          <w:szCs w:val="32"/>
          <w:highlight w:val="none"/>
        </w:rPr>
      </w:pPr>
    </w:p>
    <w:p w14:paraId="28931078">
      <w:pPr>
        <w:spacing w:line="360" w:lineRule="auto"/>
        <w:ind w:firstLine="420" w:firstLineChars="200"/>
        <w:rPr>
          <w:rFonts w:ascii="宋体" w:hAnsi="宋体" w:cs="宋体"/>
          <w:color w:val="auto"/>
          <w:highlight w:val="none"/>
        </w:rPr>
      </w:pPr>
    </w:p>
    <w:p w14:paraId="6C38492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联合体成员（盖章）：</w:t>
      </w:r>
    </w:p>
    <w:p w14:paraId="3E6127C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联合体成员（盖章）：</w:t>
      </w:r>
    </w:p>
    <w:p w14:paraId="093ECE5A">
      <w:pPr>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lang w:val="zh-CN"/>
        </w:rPr>
        <w:t>……</w:t>
      </w:r>
    </w:p>
    <w:p w14:paraId="7EFC154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B49DEB">
      <w:pPr>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1371FE0">
      <w:pPr>
        <w:pStyle w:val="147"/>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3E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6D308B">
            <w:pPr>
              <w:pStyle w:val="147"/>
              <w:adjustRightInd w:val="0"/>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正面：                                 反面：</w:t>
            </w:r>
          </w:p>
          <w:p w14:paraId="45054AC8">
            <w:pPr>
              <w:pStyle w:val="147"/>
              <w:adjustRightInd w:val="0"/>
              <w:spacing w:line="360" w:lineRule="auto"/>
              <w:ind w:firstLine="480" w:firstLineChars="200"/>
              <w:rPr>
                <w:rFonts w:hAnsi="宋体" w:cs="宋体"/>
                <w:bCs/>
                <w:color w:val="auto"/>
                <w:sz w:val="24"/>
                <w:highlight w:val="none"/>
              </w:rPr>
            </w:pPr>
          </w:p>
        </w:tc>
      </w:tr>
    </w:tbl>
    <w:p w14:paraId="6FF9EC70">
      <w:pPr>
        <w:snapToGrid w:val="0"/>
        <w:spacing w:line="360" w:lineRule="auto"/>
        <w:ind w:firstLine="480" w:firstLineChars="20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1481F1">
      <w:pPr>
        <w:snapToGrid w:val="0"/>
        <w:spacing w:line="360" w:lineRule="auto"/>
        <w:jc w:val="both"/>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 xml:space="preserve">供应商（盖章）：                              </w:t>
      </w:r>
    </w:p>
    <w:p w14:paraId="276196D8">
      <w:pPr>
        <w:spacing w:line="360" w:lineRule="auto"/>
        <w:jc w:val="both"/>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日期：</w:t>
      </w:r>
    </w:p>
    <w:p w14:paraId="1270D75F">
      <w:pPr>
        <w:spacing w:line="360" w:lineRule="auto"/>
        <w:ind w:firstLine="643" w:firstLineChars="200"/>
        <w:jc w:val="center"/>
        <w:rPr>
          <w:rFonts w:ascii="宋体" w:hAnsi="宋体" w:cs="宋体"/>
          <w:b/>
          <w:color w:val="auto"/>
          <w:kern w:val="0"/>
          <w:sz w:val="32"/>
          <w:szCs w:val="32"/>
          <w:highlight w:val="none"/>
        </w:rPr>
      </w:pPr>
    </w:p>
    <w:p w14:paraId="0FCD6031">
      <w:pPr>
        <w:spacing w:line="360" w:lineRule="auto"/>
        <w:ind w:firstLine="643" w:firstLineChars="200"/>
        <w:jc w:val="center"/>
        <w:rPr>
          <w:rFonts w:ascii="宋体" w:hAnsi="宋体" w:cs="宋体"/>
          <w:b/>
          <w:color w:val="auto"/>
          <w:kern w:val="0"/>
          <w:sz w:val="32"/>
          <w:szCs w:val="32"/>
          <w:highlight w:val="none"/>
        </w:rPr>
      </w:pPr>
    </w:p>
    <w:p w14:paraId="5DCC4ECF">
      <w:pPr>
        <w:spacing w:line="360" w:lineRule="auto"/>
        <w:ind w:firstLine="643" w:firstLineChars="200"/>
        <w:jc w:val="center"/>
        <w:rPr>
          <w:rFonts w:ascii="宋体" w:hAnsi="宋体" w:cs="宋体"/>
          <w:b/>
          <w:color w:val="auto"/>
          <w:kern w:val="0"/>
          <w:sz w:val="32"/>
          <w:szCs w:val="32"/>
          <w:highlight w:val="none"/>
        </w:rPr>
      </w:pPr>
    </w:p>
    <w:p w14:paraId="25BE221C">
      <w:pPr>
        <w:spacing w:line="360" w:lineRule="auto"/>
        <w:ind w:firstLine="643" w:firstLineChars="200"/>
        <w:jc w:val="center"/>
        <w:rPr>
          <w:rFonts w:ascii="宋体" w:hAnsi="宋体" w:cs="宋体"/>
          <w:b/>
          <w:color w:val="auto"/>
          <w:kern w:val="0"/>
          <w:sz w:val="32"/>
          <w:szCs w:val="32"/>
          <w:highlight w:val="none"/>
        </w:rPr>
      </w:pPr>
    </w:p>
    <w:p w14:paraId="0275B7EB">
      <w:pPr>
        <w:spacing w:line="360" w:lineRule="auto"/>
        <w:ind w:firstLine="643" w:firstLineChars="200"/>
        <w:jc w:val="center"/>
        <w:rPr>
          <w:rFonts w:ascii="宋体" w:hAnsi="宋体" w:cs="宋体"/>
          <w:b/>
          <w:color w:val="auto"/>
          <w:kern w:val="0"/>
          <w:sz w:val="32"/>
          <w:szCs w:val="32"/>
          <w:highlight w:val="none"/>
        </w:rPr>
      </w:pPr>
    </w:p>
    <w:p w14:paraId="4F9CF275">
      <w:pPr>
        <w:spacing w:line="360" w:lineRule="auto"/>
        <w:ind w:firstLine="643" w:firstLineChars="200"/>
        <w:jc w:val="center"/>
        <w:rPr>
          <w:rFonts w:ascii="宋体" w:hAnsi="宋体" w:cs="宋体"/>
          <w:b/>
          <w:color w:val="auto"/>
          <w:kern w:val="0"/>
          <w:sz w:val="32"/>
          <w:szCs w:val="32"/>
          <w:highlight w:val="none"/>
        </w:rPr>
      </w:pPr>
    </w:p>
    <w:p w14:paraId="12E35379">
      <w:pPr>
        <w:spacing w:line="360" w:lineRule="auto"/>
        <w:ind w:firstLine="643" w:firstLineChars="200"/>
        <w:jc w:val="center"/>
        <w:rPr>
          <w:rFonts w:ascii="宋体" w:hAnsi="宋体" w:cs="宋体"/>
          <w:b/>
          <w:color w:val="auto"/>
          <w:kern w:val="0"/>
          <w:sz w:val="32"/>
          <w:szCs w:val="32"/>
          <w:highlight w:val="none"/>
        </w:rPr>
      </w:pPr>
    </w:p>
    <w:p w14:paraId="03949116">
      <w:pPr>
        <w:spacing w:line="360" w:lineRule="auto"/>
        <w:ind w:firstLine="643" w:firstLineChars="200"/>
        <w:jc w:val="center"/>
        <w:rPr>
          <w:rFonts w:ascii="宋体" w:hAnsi="宋体" w:cs="宋体"/>
          <w:b/>
          <w:color w:val="auto"/>
          <w:kern w:val="0"/>
          <w:sz w:val="32"/>
          <w:szCs w:val="32"/>
          <w:highlight w:val="none"/>
        </w:rPr>
      </w:pPr>
    </w:p>
    <w:p w14:paraId="33640662">
      <w:pPr>
        <w:spacing w:line="360" w:lineRule="auto"/>
        <w:ind w:firstLine="643" w:firstLineChars="200"/>
        <w:jc w:val="center"/>
        <w:rPr>
          <w:rFonts w:ascii="宋体" w:hAnsi="宋体" w:cs="宋体"/>
          <w:b/>
          <w:color w:val="auto"/>
          <w:kern w:val="0"/>
          <w:sz w:val="32"/>
          <w:szCs w:val="32"/>
          <w:highlight w:val="none"/>
        </w:rPr>
      </w:pPr>
    </w:p>
    <w:p w14:paraId="2722D324">
      <w:pPr>
        <w:snapToGrid w:val="0"/>
        <w:spacing w:line="360" w:lineRule="auto"/>
        <w:ind w:right="480" w:firstLine="643" w:firstLineChars="200"/>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74AC7987">
      <w:pPr>
        <w:snapToGrid w:val="0"/>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21A24264">
      <w:pPr>
        <w:widowControl/>
        <w:spacing w:line="360" w:lineRule="auto"/>
        <w:ind w:firstLine="480" w:firstLineChars="200"/>
        <w:jc w:val="left"/>
        <w:rPr>
          <w:rFonts w:ascii="宋体" w:hAnsi="宋体" w:cs="宋体"/>
          <w:color w:val="auto"/>
          <w:sz w:val="24"/>
          <w:highlight w:val="none"/>
        </w:rPr>
      </w:pPr>
      <w:bookmarkStart w:id="721"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721"/>
    <w:p w14:paraId="2D4DBCF2">
      <w:pPr>
        <w:snapToGrid w:val="0"/>
        <w:spacing w:line="360" w:lineRule="auto"/>
        <w:ind w:firstLine="480" w:firstLineChars="200"/>
        <w:rPr>
          <w:rFonts w:ascii="宋体" w:hAnsi="宋体" w:cs="宋体"/>
          <w:color w:val="auto"/>
          <w:kern w:val="0"/>
          <w:sz w:val="24"/>
          <w:highlight w:val="none"/>
        </w:rPr>
      </w:pPr>
    </w:p>
    <w:p w14:paraId="56A0717C">
      <w:pPr>
        <w:snapToGrid w:val="0"/>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tbl>
      <w:tblPr>
        <w:tblStyle w:val="62"/>
        <w:tblW w:w="910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729"/>
        <w:gridCol w:w="2349"/>
        <w:gridCol w:w="2145"/>
      </w:tblGrid>
      <w:tr w14:paraId="2CF1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4" w:type="dxa"/>
            <w:vAlign w:val="center"/>
          </w:tcPr>
          <w:p w14:paraId="61FE5625">
            <w:pPr>
              <w:jc w:val="center"/>
              <w:rPr>
                <w:color w:val="auto"/>
                <w:sz w:val="24"/>
                <w:szCs w:val="32"/>
                <w:highlight w:val="none"/>
              </w:rPr>
            </w:pPr>
            <w:r>
              <w:rPr>
                <w:rFonts w:hint="eastAsia"/>
                <w:color w:val="auto"/>
                <w:sz w:val="24"/>
                <w:szCs w:val="32"/>
                <w:highlight w:val="none"/>
              </w:rPr>
              <w:t>序号</w:t>
            </w:r>
          </w:p>
        </w:tc>
        <w:tc>
          <w:tcPr>
            <w:tcW w:w="3729" w:type="dxa"/>
            <w:vAlign w:val="center"/>
          </w:tcPr>
          <w:p w14:paraId="3D1ECCF3">
            <w:pPr>
              <w:jc w:val="center"/>
              <w:rPr>
                <w:color w:val="auto"/>
                <w:sz w:val="24"/>
                <w:szCs w:val="32"/>
                <w:highlight w:val="none"/>
              </w:rPr>
            </w:pPr>
            <w:r>
              <w:rPr>
                <w:rFonts w:hint="eastAsia"/>
                <w:color w:val="auto"/>
                <w:sz w:val="24"/>
                <w:szCs w:val="32"/>
                <w:highlight w:val="none"/>
              </w:rPr>
              <w:t>实质性要求</w:t>
            </w:r>
          </w:p>
        </w:tc>
        <w:tc>
          <w:tcPr>
            <w:tcW w:w="2349" w:type="dxa"/>
            <w:vAlign w:val="center"/>
          </w:tcPr>
          <w:p w14:paraId="5E5465EB">
            <w:pPr>
              <w:jc w:val="center"/>
              <w:rPr>
                <w:color w:val="auto"/>
                <w:sz w:val="24"/>
                <w:szCs w:val="32"/>
                <w:highlight w:val="none"/>
              </w:rPr>
            </w:pPr>
            <w:r>
              <w:rPr>
                <w:rFonts w:hint="eastAsia"/>
                <w:color w:val="auto"/>
                <w:sz w:val="24"/>
                <w:szCs w:val="32"/>
                <w:highlight w:val="none"/>
              </w:rPr>
              <w:t>需要提供的符合性审查资料</w:t>
            </w:r>
          </w:p>
        </w:tc>
        <w:tc>
          <w:tcPr>
            <w:tcW w:w="2145" w:type="dxa"/>
            <w:vAlign w:val="center"/>
          </w:tcPr>
          <w:p w14:paraId="584DEDD1">
            <w:pPr>
              <w:jc w:val="center"/>
              <w:rPr>
                <w:color w:val="auto"/>
                <w:sz w:val="24"/>
                <w:szCs w:val="32"/>
                <w:highlight w:val="none"/>
              </w:rPr>
            </w:pPr>
            <w:r>
              <w:rPr>
                <w:rFonts w:hint="eastAsia"/>
                <w:color w:val="auto"/>
                <w:sz w:val="24"/>
                <w:szCs w:val="32"/>
                <w:highlight w:val="none"/>
              </w:rPr>
              <w:t>响应文件中的</w:t>
            </w:r>
          </w:p>
          <w:p w14:paraId="64855111">
            <w:pPr>
              <w:jc w:val="center"/>
              <w:rPr>
                <w:color w:val="auto"/>
                <w:sz w:val="24"/>
                <w:szCs w:val="32"/>
                <w:highlight w:val="none"/>
              </w:rPr>
            </w:pPr>
            <w:r>
              <w:rPr>
                <w:rFonts w:hint="eastAsia"/>
                <w:color w:val="auto"/>
                <w:sz w:val="24"/>
                <w:szCs w:val="32"/>
                <w:highlight w:val="none"/>
              </w:rPr>
              <w:t>页码位置</w:t>
            </w:r>
          </w:p>
        </w:tc>
      </w:tr>
      <w:tr w14:paraId="0422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4" w:type="dxa"/>
            <w:vAlign w:val="center"/>
          </w:tcPr>
          <w:p w14:paraId="43C8DCD6">
            <w:pPr>
              <w:jc w:val="center"/>
              <w:rPr>
                <w:color w:val="auto"/>
                <w:sz w:val="24"/>
                <w:szCs w:val="32"/>
                <w:highlight w:val="none"/>
              </w:rPr>
            </w:pPr>
            <w:r>
              <w:rPr>
                <w:rFonts w:hint="eastAsia"/>
                <w:color w:val="auto"/>
                <w:sz w:val="24"/>
                <w:szCs w:val="32"/>
                <w:highlight w:val="none"/>
              </w:rPr>
              <w:t>1</w:t>
            </w:r>
          </w:p>
        </w:tc>
        <w:tc>
          <w:tcPr>
            <w:tcW w:w="3729" w:type="dxa"/>
            <w:vAlign w:val="center"/>
          </w:tcPr>
          <w:p w14:paraId="33E4DF52">
            <w:pPr>
              <w:jc w:val="center"/>
              <w:rPr>
                <w:color w:val="auto"/>
                <w:sz w:val="24"/>
                <w:szCs w:val="32"/>
                <w:highlight w:val="none"/>
              </w:rPr>
            </w:pPr>
            <w:r>
              <w:rPr>
                <w:rFonts w:hint="eastAsia"/>
                <w:color w:val="auto"/>
                <w:sz w:val="24"/>
                <w:szCs w:val="32"/>
                <w:highlight w:val="none"/>
              </w:rPr>
              <w:t>响应文件按照</w:t>
            </w:r>
            <w:r>
              <w:rPr>
                <w:rFonts w:hint="eastAsia"/>
                <w:color w:val="auto"/>
                <w:sz w:val="24"/>
                <w:szCs w:val="32"/>
                <w:highlight w:val="none"/>
                <w:lang w:eastAsia="zh-CN"/>
              </w:rPr>
              <w:t>招标文件</w:t>
            </w:r>
            <w:r>
              <w:rPr>
                <w:rFonts w:hint="eastAsia"/>
                <w:color w:val="auto"/>
                <w:sz w:val="24"/>
                <w:szCs w:val="32"/>
                <w:highlight w:val="none"/>
              </w:rPr>
              <w:t>要求签署、盖章。</w:t>
            </w:r>
          </w:p>
        </w:tc>
        <w:tc>
          <w:tcPr>
            <w:tcW w:w="2349" w:type="dxa"/>
            <w:vAlign w:val="center"/>
          </w:tcPr>
          <w:p w14:paraId="7DD610C2">
            <w:pPr>
              <w:jc w:val="center"/>
              <w:rPr>
                <w:color w:val="auto"/>
                <w:sz w:val="24"/>
                <w:szCs w:val="32"/>
                <w:highlight w:val="none"/>
              </w:rPr>
            </w:pPr>
            <w:r>
              <w:rPr>
                <w:rFonts w:hint="eastAsia"/>
                <w:color w:val="auto"/>
                <w:sz w:val="24"/>
                <w:szCs w:val="32"/>
                <w:highlight w:val="none"/>
              </w:rPr>
              <w:t>需要使用电子签名或者签字盖章的响应文件的组成部分</w:t>
            </w:r>
          </w:p>
        </w:tc>
        <w:tc>
          <w:tcPr>
            <w:tcW w:w="2145" w:type="dxa"/>
            <w:vAlign w:val="center"/>
          </w:tcPr>
          <w:p w14:paraId="062683FA">
            <w:pPr>
              <w:jc w:val="center"/>
              <w:rPr>
                <w:color w:val="auto"/>
                <w:sz w:val="24"/>
                <w:szCs w:val="32"/>
                <w:highlight w:val="none"/>
              </w:rPr>
            </w:pPr>
            <w:r>
              <w:rPr>
                <w:rFonts w:hint="eastAsia"/>
                <w:color w:val="auto"/>
                <w:sz w:val="24"/>
                <w:szCs w:val="32"/>
                <w:highlight w:val="none"/>
              </w:rPr>
              <w:t>见响应文件</w:t>
            </w:r>
          </w:p>
          <w:p w14:paraId="40BF3BBD">
            <w:pPr>
              <w:jc w:val="center"/>
              <w:rPr>
                <w:color w:val="auto"/>
                <w:sz w:val="24"/>
                <w:szCs w:val="32"/>
                <w:highlight w:val="none"/>
              </w:rPr>
            </w:pPr>
            <w:r>
              <w:rPr>
                <w:rFonts w:hint="eastAsia"/>
                <w:color w:val="auto"/>
                <w:sz w:val="24"/>
                <w:szCs w:val="32"/>
                <w:highlight w:val="none"/>
              </w:rPr>
              <w:t>第  页</w:t>
            </w:r>
          </w:p>
        </w:tc>
      </w:tr>
      <w:tr w14:paraId="52EB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4" w:type="dxa"/>
            <w:vAlign w:val="center"/>
          </w:tcPr>
          <w:p w14:paraId="62A8BDD0">
            <w:pPr>
              <w:jc w:val="center"/>
              <w:rPr>
                <w:color w:val="auto"/>
                <w:sz w:val="24"/>
                <w:szCs w:val="32"/>
                <w:highlight w:val="none"/>
              </w:rPr>
            </w:pPr>
            <w:r>
              <w:rPr>
                <w:rFonts w:hint="eastAsia"/>
                <w:color w:val="auto"/>
                <w:sz w:val="24"/>
                <w:szCs w:val="32"/>
                <w:highlight w:val="none"/>
              </w:rPr>
              <w:t>2</w:t>
            </w:r>
          </w:p>
        </w:tc>
        <w:tc>
          <w:tcPr>
            <w:tcW w:w="3729" w:type="dxa"/>
            <w:vAlign w:val="center"/>
          </w:tcPr>
          <w:p w14:paraId="3C034897">
            <w:pPr>
              <w:jc w:val="center"/>
              <w:rPr>
                <w:color w:val="auto"/>
                <w:sz w:val="24"/>
                <w:szCs w:val="32"/>
                <w:highlight w:val="none"/>
              </w:rPr>
            </w:pPr>
            <w:r>
              <w:rPr>
                <w:rFonts w:hint="eastAsia"/>
                <w:color w:val="auto"/>
                <w:sz w:val="24"/>
                <w:szCs w:val="32"/>
                <w:highlight w:val="none"/>
              </w:rPr>
              <w:t>响应文件中承诺的响应文件有效期不少于</w:t>
            </w:r>
            <w:r>
              <w:rPr>
                <w:rFonts w:hint="eastAsia"/>
                <w:color w:val="auto"/>
                <w:sz w:val="24"/>
                <w:szCs w:val="32"/>
                <w:highlight w:val="none"/>
                <w:lang w:eastAsia="zh-CN"/>
              </w:rPr>
              <w:t>招标文件</w:t>
            </w:r>
            <w:r>
              <w:rPr>
                <w:rFonts w:hint="eastAsia"/>
                <w:color w:val="auto"/>
                <w:sz w:val="24"/>
                <w:szCs w:val="32"/>
                <w:highlight w:val="none"/>
              </w:rPr>
              <w:t>中载明的响应文件有效期。</w:t>
            </w:r>
          </w:p>
        </w:tc>
        <w:tc>
          <w:tcPr>
            <w:tcW w:w="2349" w:type="dxa"/>
            <w:vAlign w:val="center"/>
          </w:tcPr>
          <w:p w14:paraId="2753545D">
            <w:pPr>
              <w:jc w:val="center"/>
              <w:rPr>
                <w:color w:val="auto"/>
                <w:sz w:val="24"/>
                <w:szCs w:val="32"/>
                <w:highlight w:val="none"/>
              </w:rPr>
            </w:pPr>
            <w:r>
              <w:rPr>
                <w:rFonts w:hint="eastAsia"/>
                <w:color w:val="auto"/>
                <w:sz w:val="24"/>
                <w:szCs w:val="32"/>
                <w:highlight w:val="none"/>
              </w:rPr>
              <w:t>响应函</w:t>
            </w:r>
          </w:p>
        </w:tc>
        <w:tc>
          <w:tcPr>
            <w:tcW w:w="2145" w:type="dxa"/>
            <w:vAlign w:val="center"/>
          </w:tcPr>
          <w:p w14:paraId="4F88453E">
            <w:pPr>
              <w:jc w:val="center"/>
              <w:rPr>
                <w:color w:val="auto"/>
                <w:sz w:val="24"/>
                <w:szCs w:val="32"/>
                <w:highlight w:val="none"/>
              </w:rPr>
            </w:pPr>
            <w:r>
              <w:rPr>
                <w:rFonts w:hint="eastAsia"/>
                <w:color w:val="auto"/>
                <w:sz w:val="24"/>
                <w:szCs w:val="32"/>
                <w:highlight w:val="none"/>
              </w:rPr>
              <w:t>见响应文件第  页</w:t>
            </w:r>
          </w:p>
        </w:tc>
      </w:tr>
      <w:tr w14:paraId="1187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84" w:type="dxa"/>
            <w:vAlign w:val="center"/>
          </w:tcPr>
          <w:p w14:paraId="51577780">
            <w:pPr>
              <w:jc w:val="center"/>
              <w:rPr>
                <w:color w:val="auto"/>
                <w:sz w:val="24"/>
                <w:szCs w:val="32"/>
                <w:highlight w:val="none"/>
              </w:rPr>
            </w:pPr>
            <w:r>
              <w:rPr>
                <w:rFonts w:hint="eastAsia"/>
                <w:color w:val="auto"/>
                <w:sz w:val="24"/>
                <w:szCs w:val="32"/>
                <w:highlight w:val="none"/>
              </w:rPr>
              <w:t>3</w:t>
            </w:r>
          </w:p>
        </w:tc>
        <w:tc>
          <w:tcPr>
            <w:tcW w:w="3729" w:type="dxa"/>
            <w:vAlign w:val="center"/>
          </w:tcPr>
          <w:p w14:paraId="4564B48B">
            <w:pPr>
              <w:jc w:val="center"/>
              <w:rPr>
                <w:color w:val="auto"/>
                <w:sz w:val="24"/>
                <w:szCs w:val="32"/>
                <w:highlight w:val="none"/>
              </w:rPr>
            </w:pPr>
            <w:r>
              <w:rPr>
                <w:rFonts w:hint="eastAsia"/>
                <w:color w:val="auto"/>
                <w:sz w:val="24"/>
                <w:szCs w:val="32"/>
                <w:highlight w:val="none"/>
              </w:rPr>
              <w:t>响应文件满足</w:t>
            </w:r>
            <w:r>
              <w:rPr>
                <w:rFonts w:hint="eastAsia"/>
                <w:color w:val="auto"/>
                <w:sz w:val="24"/>
                <w:szCs w:val="32"/>
                <w:highlight w:val="none"/>
                <w:lang w:eastAsia="zh-CN"/>
              </w:rPr>
              <w:t>招标文件</w:t>
            </w:r>
            <w:r>
              <w:rPr>
                <w:rFonts w:hint="eastAsia"/>
                <w:color w:val="auto"/>
                <w:sz w:val="24"/>
                <w:szCs w:val="32"/>
                <w:highlight w:val="none"/>
              </w:rPr>
              <w:t>的其他实质性要求。</w:t>
            </w:r>
          </w:p>
        </w:tc>
        <w:tc>
          <w:tcPr>
            <w:tcW w:w="2349" w:type="dxa"/>
            <w:vAlign w:val="center"/>
          </w:tcPr>
          <w:p w14:paraId="3A20ED00">
            <w:pPr>
              <w:jc w:val="center"/>
              <w:rPr>
                <w:color w:val="auto"/>
                <w:sz w:val="24"/>
                <w:szCs w:val="32"/>
                <w:highlight w:val="none"/>
              </w:rPr>
            </w:pPr>
            <w:r>
              <w:rPr>
                <w:rFonts w:hint="eastAsia"/>
                <w:color w:val="auto"/>
                <w:sz w:val="24"/>
                <w:szCs w:val="32"/>
                <w:highlight w:val="none"/>
                <w:lang w:eastAsia="zh-CN"/>
              </w:rPr>
              <w:t>招标文件</w:t>
            </w:r>
            <w:r>
              <w:rPr>
                <w:rFonts w:hint="eastAsia"/>
                <w:color w:val="auto"/>
                <w:sz w:val="24"/>
                <w:szCs w:val="32"/>
                <w:highlight w:val="none"/>
              </w:rPr>
              <w:t>其它实质性要求相应的材料（“★” 系指实质性要求条款，</w:t>
            </w:r>
            <w:r>
              <w:rPr>
                <w:rFonts w:hint="eastAsia"/>
                <w:color w:val="auto"/>
                <w:sz w:val="24"/>
                <w:szCs w:val="32"/>
                <w:highlight w:val="none"/>
                <w:lang w:eastAsia="zh-CN"/>
              </w:rPr>
              <w:t>招标文件</w:t>
            </w:r>
            <w:r>
              <w:rPr>
                <w:rFonts w:hint="eastAsia"/>
                <w:color w:val="auto"/>
                <w:sz w:val="24"/>
                <w:szCs w:val="32"/>
                <w:highlight w:val="none"/>
              </w:rPr>
              <w:t>无其他实质性要求的，无需提供）</w:t>
            </w:r>
          </w:p>
        </w:tc>
        <w:tc>
          <w:tcPr>
            <w:tcW w:w="2145" w:type="dxa"/>
            <w:vAlign w:val="center"/>
          </w:tcPr>
          <w:p w14:paraId="6EC467D3">
            <w:pPr>
              <w:jc w:val="center"/>
              <w:rPr>
                <w:color w:val="auto"/>
                <w:sz w:val="24"/>
                <w:szCs w:val="32"/>
                <w:highlight w:val="none"/>
              </w:rPr>
            </w:pPr>
            <w:r>
              <w:rPr>
                <w:rFonts w:hint="eastAsia"/>
                <w:color w:val="auto"/>
                <w:sz w:val="24"/>
                <w:szCs w:val="32"/>
                <w:highlight w:val="none"/>
              </w:rPr>
              <w:t>见响应文件第  页</w:t>
            </w:r>
          </w:p>
        </w:tc>
      </w:tr>
    </w:tbl>
    <w:p w14:paraId="35E5FF7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BC1B8E">
      <w:pPr>
        <w:snapToGrid w:val="0"/>
        <w:spacing w:line="360" w:lineRule="auto"/>
        <w:ind w:firstLine="643" w:firstLineChars="200"/>
        <w:jc w:val="center"/>
        <w:rPr>
          <w:rFonts w:ascii="宋体" w:hAnsi="宋体" w:cs="宋体"/>
          <w:b/>
          <w:bCs/>
          <w:color w:val="auto"/>
          <w:sz w:val="32"/>
          <w:szCs w:val="32"/>
          <w:highlight w:val="none"/>
        </w:rPr>
      </w:pPr>
    </w:p>
    <w:p w14:paraId="00E13651">
      <w:pPr>
        <w:snapToGrid w:val="0"/>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72E084B6">
      <w:pPr>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招标文件</w:t>
      </w:r>
      <w:r>
        <w:rPr>
          <w:rFonts w:hint="eastAsia" w:ascii="宋体" w:hAnsi="宋体" w:cs="宋体"/>
          <w:b/>
          <w:color w:val="auto"/>
          <w:sz w:val="24"/>
          <w:highlight w:val="none"/>
        </w:rPr>
        <w:t>第四部分评审办法前附表中“响应文件中评审标准相应的商务技术资料目录”提供资料。）</w:t>
      </w:r>
    </w:p>
    <w:p w14:paraId="20DFF912">
      <w:pPr>
        <w:spacing w:line="360" w:lineRule="auto"/>
        <w:ind w:firstLine="643" w:firstLineChars="200"/>
        <w:jc w:val="center"/>
        <w:rPr>
          <w:rFonts w:ascii="宋体" w:hAnsi="宋体" w:cs="宋体"/>
          <w:b/>
          <w:color w:val="auto"/>
          <w:kern w:val="0"/>
          <w:sz w:val="32"/>
          <w:szCs w:val="32"/>
          <w:highlight w:val="none"/>
        </w:rPr>
      </w:pPr>
    </w:p>
    <w:p w14:paraId="68B56562">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89FFC4D">
      <w:pPr>
        <w:snapToGrid w:val="0"/>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0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56"/>
        <w:gridCol w:w="2988"/>
        <w:gridCol w:w="2314"/>
      </w:tblGrid>
      <w:tr w14:paraId="409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651C9C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756" w:type="dxa"/>
          </w:tcPr>
          <w:p w14:paraId="7CF52A1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eastAsia="zh-CN"/>
              </w:rPr>
              <w:t>招标文件</w:t>
            </w:r>
            <w:r>
              <w:rPr>
                <w:rFonts w:hint="eastAsia" w:ascii="宋体" w:hAnsi="宋体" w:cs="宋体"/>
                <w:b/>
                <w:bCs/>
                <w:color w:val="auto"/>
                <w:sz w:val="24"/>
                <w:highlight w:val="none"/>
              </w:rPr>
              <w:t>章节及具体内容</w:t>
            </w:r>
          </w:p>
        </w:tc>
        <w:tc>
          <w:tcPr>
            <w:tcW w:w="2988" w:type="dxa"/>
          </w:tcPr>
          <w:p w14:paraId="7570D1E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2314" w:type="dxa"/>
          </w:tcPr>
          <w:p w14:paraId="236CF33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CE4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752ACB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756" w:type="dxa"/>
          </w:tcPr>
          <w:p w14:paraId="7B850EA3">
            <w:pPr>
              <w:spacing w:line="360" w:lineRule="auto"/>
              <w:ind w:firstLine="643" w:firstLineChars="200"/>
              <w:jc w:val="center"/>
              <w:rPr>
                <w:rFonts w:ascii="宋体" w:hAnsi="宋体" w:cs="宋体"/>
                <w:b/>
                <w:color w:val="auto"/>
                <w:kern w:val="0"/>
                <w:sz w:val="32"/>
                <w:szCs w:val="32"/>
                <w:highlight w:val="none"/>
              </w:rPr>
            </w:pPr>
          </w:p>
        </w:tc>
        <w:tc>
          <w:tcPr>
            <w:tcW w:w="2988" w:type="dxa"/>
          </w:tcPr>
          <w:p w14:paraId="641E60AB">
            <w:pPr>
              <w:spacing w:line="360" w:lineRule="auto"/>
              <w:ind w:firstLine="643" w:firstLineChars="200"/>
              <w:jc w:val="center"/>
              <w:rPr>
                <w:rFonts w:ascii="宋体" w:hAnsi="宋体" w:cs="宋体"/>
                <w:b/>
                <w:color w:val="auto"/>
                <w:kern w:val="0"/>
                <w:sz w:val="32"/>
                <w:szCs w:val="32"/>
                <w:highlight w:val="none"/>
              </w:rPr>
            </w:pPr>
          </w:p>
        </w:tc>
        <w:tc>
          <w:tcPr>
            <w:tcW w:w="2314" w:type="dxa"/>
          </w:tcPr>
          <w:p w14:paraId="354F13DB">
            <w:pPr>
              <w:spacing w:line="360" w:lineRule="auto"/>
              <w:ind w:firstLine="643" w:firstLineChars="200"/>
              <w:jc w:val="center"/>
              <w:rPr>
                <w:rFonts w:ascii="宋体" w:hAnsi="宋体" w:cs="宋体"/>
                <w:b/>
                <w:color w:val="auto"/>
                <w:kern w:val="0"/>
                <w:sz w:val="32"/>
                <w:szCs w:val="32"/>
                <w:highlight w:val="none"/>
              </w:rPr>
            </w:pPr>
          </w:p>
        </w:tc>
      </w:tr>
      <w:tr w14:paraId="05E7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811563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756" w:type="dxa"/>
          </w:tcPr>
          <w:p w14:paraId="23DDF9D6">
            <w:pPr>
              <w:spacing w:line="360" w:lineRule="auto"/>
              <w:ind w:firstLine="643" w:firstLineChars="200"/>
              <w:jc w:val="center"/>
              <w:rPr>
                <w:rFonts w:ascii="宋体" w:hAnsi="宋体" w:cs="宋体"/>
                <w:b/>
                <w:color w:val="auto"/>
                <w:kern w:val="0"/>
                <w:sz w:val="32"/>
                <w:szCs w:val="32"/>
                <w:highlight w:val="none"/>
              </w:rPr>
            </w:pPr>
          </w:p>
        </w:tc>
        <w:tc>
          <w:tcPr>
            <w:tcW w:w="2988" w:type="dxa"/>
          </w:tcPr>
          <w:p w14:paraId="61DB385A">
            <w:pPr>
              <w:spacing w:line="360" w:lineRule="auto"/>
              <w:ind w:firstLine="643" w:firstLineChars="200"/>
              <w:jc w:val="center"/>
              <w:rPr>
                <w:rFonts w:ascii="宋体" w:hAnsi="宋体" w:cs="宋体"/>
                <w:b/>
                <w:color w:val="auto"/>
                <w:kern w:val="0"/>
                <w:sz w:val="32"/>
                <w:szCs w:val="32"/>
                <w:highlight w:val="none"/>
              </w:rPr>
            </w:pPr>
          </w:p>
        </w:tc>
        <w:tc>
          <w:tcPr>
            <w:tcW w:w="2314" w:type="dxa"/>
          </w:tcPr>
          <w:p w14:paraId="4958BFFB">
            <w:pPr>
              <w:spacing w:line="360" w:lineRule="auto"/>
              <w:ind w:firstLine="643" w:firstLineChars="200"/>
              <w:jc w:val="center"/>
              <w:rPr>
                <w:rFonts w:ascii="宋体" w:hAnsi="宋体" w:cs="宋体"/>
                <w:b/>
                <w:color w:val="auto"/>
                <w:kern w:val="0"/>
                <w:sz w:val="32"/>
                <w:szCs w:val="32"/>
                <w:highlight w:val="none"/>
              </w:rPr>
            </w:pPr>
          </w:p>
        </w:tc>
      </w:tr>
      <w:tr w14:paraId="51CF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0D3DE6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w:t>
            </w:r>
          </w:p>
        </w:tc>
        <w:tc>
          <w:tcPr>
            <w:tcW w:w="2756" w:type="dxa"/>
          </w:tcPr>
          <w:p w14:paraId="7AA69B59">
            <w:pPr>
              <w:spacing w:line="360" w:lineRule="auto"/>
              <w:ind w:firstLine="643" w:firstLineChars="200"/>
              <w:jc w:val="center"/>
              <w:rPr>
                <w:rFonts w:ascii="宋体" w:hAnsi="宋体" w:cs="宋体"/>
                <w:b/>
                <w:color w:val="auto"/>
                <w:kern w:val="0"/>
                <w:sz w:val="32"/>
                <w:szCs w:val="32"/>
                <w:highlight w:val="none"/>
              </w:rPr>
            </w:pPr>
          </w:p>
        </w:tc>
        <w:tc>
          <w:tcPr>
            <w:tcW w:w="2988" w:type="dxa"/>
          </w:tcPr>
          <w:p w14:paraId="53D2F743">
            <w:pPr>
              <w:spacing w:line="360" w:lineRule="auto"/>
              <w:ind w:firstLine="643" w:firstLineChars="200"/>
              <w:jc w:val="center"/>
              <w:rPr>
                <w:rFonts w:ascii="宋体" w:hAnsi="宋体" w:cs="宋体"/>
                <w:b/>
                <w:color w:val="auto"/>
                <w:kern w:val="0"/>
                <w:sz w:val="32"/>
                <w:szCs w:val="32"/>
                <w:highlight w:val="none"/>
              </w:rPr>
            </w:pPr>
          </w:p>
        </w:tc>
        <w:tc>
          <w:tcPr>
            <w:tcW w:w="2314" w:type="dxa"/>
          </w:tcPr>
          <w:p w14:paraId="405D0CB9">
            <w:pPr>
              <w:spacing w:line="360" w:lineRule="auto"/>
              <w:ind w:firstLine="643" w:firstLineChars="200"/>
              <w:jc w:val="center"/>
              <w:rPr>
                <w:rFonts w:ascii="宋体" w:hAnsi="宋体" w:cs="宋体"/>
                <w:b/>
                <w:color w:val="auto"/>
                <w:kern w:val="0"/>
                <w:sz w:val="32"/>
                <w:szCs w:val="32"/>
                <w:highlight w:val="none"/>
              </w:rPr>
            </w:pPr>
          </w:p>
        </w:tc>
      </w:tr>
    </w:tbl>
    <w:p w14:paraId="286B096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的全部要求</w:t>
      </w:r>
    </w:p>
    <w:p w14:paraId="7B22198E">
      <w:pPr>
        <w:spacing w:line="360" w:lineRule="auto"/>
        <w:ind w:firstLine="643" w:firstLineChars="200"/>
        <w:jc w:val="center"/>
        <w:rPr>
          <w:rFonts w:ascii="宋体" w:hAnsi="宋体" w:cs="宋体"/>
          <w:b/>
          <w:color w:val="auto"/>
          <w:kern w:val="0"/>
          <w:sz w:val="32"/>
          <w:szCs w:val="32"/>
          <w:highlight w:val="none"/>
        </w:rPr>
      </w:pPr>
    </w:p>
    <w:p w14:paraId="449B035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F9965B">
      <w:pPr>
        <w:spacing w:line="360" w:lineRule="auto"/>
        <w:ind w:firstLine="643" w:firstLineChars="200"/>
        <w:rPr>
          <w:rFonts w:ascii="宋体" w:hAnsi="宋体" w:cs="宋体"/>
          <w:b/>
          <w:bCs/>
          <w:color w:val="auto"/>
          <w:sz w:val="32"/>
          <w:szCs w:val="32"/>
          <w:highlight w:val="none"/>
        </w:rPr>
        <w:sectPr>
          <w:footerReference r:id="rId14" w:type="first"/>
          <w:footerReference r:id="rId13" w:type="default"/>
          <w:pgSz w:w="11905" w:h="16838"/>
          <w:pgMar w:top="1417" w:right="1417" w:bottom="1417" w:left="1417" w:header="850" w:footer="992" w:gutter="0"/>
          <w:cols w:space="0" w:num="1"/>
          <w:titlePg/>
          <w:rtlGutter w:val="0"/>
          <w:docGrid w:linePitch="312" w:charSpace="0"/>
        </w:sectPr>
      </w:pPr>
    </w:p>
    <w:p w14:paraId="081428B1">
      <w:pPr>
        <w:snapToGrid w:val="0"/>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2A53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w:t>
      </w:r>
    </w:p>
    <w:p w14:paraId="0C1B07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8A591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86CB4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EDB30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1D312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5F895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94AAD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2E02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18663A5">
      <w:pPr>
        <w:autoSpaceDE w:val="0"/>
        <w:autoSpaceDN w:val="0"/>
        <w:spacing w:line="360" w:lineRule="auto"/>
        <w:ind w:left="2" w:firstLine="480" w:firstLineChars="200"/>
        <w:jc w:val="left"/>
        <w:rPr>
          <w:rFonts w:ascii="宋体" w:hAnsi="宋体" w:cs="宋体"/>
          <w:color w:val="auto"/>
          <w:kern w:val="0"/>
          <w:sz w:val="24"/>
          <w:highlight w:val="none"/>
          <w:lang w:val="zh-CN"/>
        </w:rPr>
      </w:pPr>
    </w:p>
    <w:p w14:paraId="346928AC">
      <w:pPr>
        <w:autoSpaceDE w:val="0"/>
        <w:autoSpaceDN w:val="0"/>
        <w:spacing w:line="360" w:lineRule="auto"/>
        <w:ind w:left="2" w:firstLine="480" w:firstLineChars="200"/>
        <w:jc w:val="left"/>
        <w:rPr>
          <w:rFonts w:ascii="宋体" w:hAnsi="宋体" w:cs="宋体"/>
          <w:color w:val="auto"/>
          <w:kern w:val="0"/>
          <w:sz w:val="24"/>
          <w:highlight w:val="none"/>
          <w:lang w:val="zh-CN"/>
        </w:rPr>
      </w:pPr>
    </w:p>
    <w:p w14:paraId="2F1D9F4B">
      <w:pPr>
        <w:autoSpaceDE w:val="0"/>
        <w:autoSpaceDN w:val="0"/>
        <w:spacing w:line="360" w:lineRule="auto"/>
        <w:ind w:left="2" w:firstLine="480" w:firstLineChars="200"/>
        <w:jc w:val="left"/>
        <w:rPr>
          <w:rFonts w:ascii="宋体" w:hAnsi="宋体" w:cs="宋体"/>
          <w:color w:val="auto"/>
          <w:kern w:val="0"/>
          <w:sz w:val="24"/>
          <w:highlight w:val="none"/>
          <w:lang w:val="zh-CN"/>
        </w:rPr>
      </w:pPr>
    </w:p>
    <w:p w14:paraId="1C4A7887">
      <w:pPr>
        <w:autoSpaceDE w:val="0"/>
        <w:autoSpaceDN w:val="0"/>
        <w:spacing w:line="360" w:lineRule="auto"/>
        <w:ind w:right="1120"/>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供应商（</w:t>
      </w:r>
      <w:r>
        <w:rPr>
          <w:rFonts w:hint="eastAsia" w:ascii="宋体" w:hAnsi="宋体" w:cs="宋体"/>
          <w:b/>
          <w:bCs/>
          <w:color w:val="auto"/>
          <w:sz w:val="24"/>
          <w:highlight w:val="none"/>
        </w:rPr>
        <w:t>盖章</w:t>
      </w:r>
      <w:r>
        <w:rPr>
          <w:rFonts w:hint="eastAsia" w:ascii="宋体" w:hAnsi="宋体" w:cs="宋体"/>
          <w:b/>
          <w:bCs/>
          <w:color w:val="auto"/>
          <w:kern w:val="0"/>
          <w:sz w:val="24"/>
          <w:highlight w:val="none"/>
          <w:lang w:val="zh-CN"/>
        </w:rPr>
        <w:t xml:space="preserve">）：                                                                                                                                                                                                               </w:t>
      </w:r>
    </w:p>
    <w:p w14:paraId="5DDB140D">
      <w:pPr>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lang w:val="zh-CN"/>
        </w:rPr>
        <w:t>日期</w:t>
      </w:r>
      <w:r>
        <w:rPr>
          <w:rFonts w:hint="eastAsia" w:ascii="宋体" w:hAnsi="宋体" w:cs="宋体"/>
          <w:b/>
          <w:bCs/>
          <w:color w:val="auto"/>
          <w:kern w:val="0"/>
          <w:sz w:val="24"/>
          <w:highlight w:val="none"/>
        </w:rPr>
        <w:t>：</w:t>
      </w:r>
    </w:p>
    <w:p w14:paraId="6231A184">
      <w:pPr>
        <w:spacing w:line="360" w:lineRule="auto"/>
        <w:ind w:firstLine="482" w:firstLineChars="200"/>
        <w:jc w:val="center"/>
        <w:rPr>
          <w:rFonts w:ascii="宋体" w:hAnsi="宋体" w:cs="宋体"/>
          <w:b/>
          <w:bCs/>
          <w:color w:val="auto"/>
          <w:sz w:val="24"/>
          <w:highlight w:val="none"/>
        </w:rPr>
      </w:pPr>
    </w:p>
    <w:p w14:paraId="7A18377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52A924">
      <w:pPr>
        <w:rPr>
          <w:rFonts w:ascii="宋体" w:hAnsi="宋体" w:cs="宋体"/>
          <w:b/>
          <w:bCs/>
          <w:color w:val="auto"/>
          <w:sz w:val="24"/>
          <w:highlight w:val="none"/>
        </w:rPr>
      </w:pPr>
      <w:r>
        <w:rPr>
          <w:rFonts w:ascii="宋体" w:hAnsi="宋体" w:cs="宋体"/>
          <w:b/>
          <w:bCs/>
          <w:color w:val="auto"/>
          <w:sz w:val="24"/>
          <w:highlight w:val="none"/>
        </w:rPr>
        <w:br w:type="page"/>
      </w:r>
    </w:p>
    <w:p w14:paraId="5C41AD56">
      <w:pPr>
        <w:numPr>
          <w:ilvl w:val="0"/>
          <w:numId w:val="7"/>
        </w:numPr>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主要材料品牌约定一览表</w:t>
      </w:r>
    </w:p>
    <w:tbl>
      <w:tblPr>
        <w:tblStyle w:val="62"/>
        <w:tblpPr w:leftFromText="180" w:rightFromText="180" w:vertAnchor="text" w:horzAnchor="page" w:tblpX="1536" w:tblpY="307"/>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313"/>
        <w:gridCol w:w="1239"/>
        <w:gridCol w:w="1203"/>
        <w:gridCol w:w="1292"/>
        <w:gridCol w:w="1360"/>
        <w:gridCol w:w="1074"/>
      </w:tblGrid>
      <w:tr w14:paraId="5EC9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590" w:type="dxa"/>
            <w:vMerge w:val="restart"/>
            <w:tcBorders>
              <w:top w:val="single" w:color="auto" w:sz="4" w:space="0"/>
              <w:left w:val="single" w:color="auto" w:sz="4" w:space="0"/>
              <w:bottom w:val="single" w:color="auto" w:sz="4" w:space="0"/>
              <w:right w:val="single" w:color="auto" w:sz="4" w:space="0"/>
            </w:tcBorders>
            <w:noWrap/>
            <w:vAlign w:val="center"/>
          </w:tcPr>
          <w:p w14:paraId="4DE626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313" w:type="dxa"/>
            <w:vMerge w:val="restart"/>
            <w:tcBorders>
              <w:top w:val="single" w:color="auto" w:sz="4" w:space="0"/>
              <w:left w:val="single" w:color="auto" w:sz="4" w:space="0"/>
              <w:bottom w:val="single" w:color="auto" w:sz="4" w:space="0"/>
              <w:right w:val="single" w:color="auto" w:sz="4" w:space="0"/>
            </w:tcBorders>
            <w:noWrap/>
            <w:vAlign w:val="center"/>
          </w:tcPr>
          <w:p w14:paraId="0E312E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材料名称</w:t>
            </w:r>
          </w:p>
        </w:tc>
        <w:tc>
          <w:tcPr>
            <w:tcW w:w="3734" w:type="dxa"/>
            <w:gridSpan w:val="3"/>
            <w:tcBorders>
              <w:top w:val="single" w:color="auto" w:sz="4" w:space="0"/>
              <w:left w:val="single" w:color="auto" w:sz="4" w:space="0"/>
              <w:bottom w:val="single" w:color="auto" w:sz="4" w:space="0"/>
              <w:right w:val="single" w:color="auto" w:sz="4" w:space="0"/>
            </w:tcBorders>
            <w:noWrap/>
            <w:vAlign w:val="center"/>
          </w:tcPr>
          <w:p w14:paraId="286D08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参考</w:t>
            </w:r>
            <w:r>
              <w:rPr>
                <w:rFonts w:hint="eastAsia" w:ascii="宋体" w:hAnsi="宋体" w:eastAsia="宋体" w:cs="宋体"/>
                <w:b/>
                <w:bCs/>
                <w:color w:val="auto"/>
                <w:kern w:val="0"/>
                <w:sz w:val="21"/>
                <w:szCs w:val="21"/>
                <w:highlight w:val="none"/>
              </w:rPr>
              <w:t>品牌</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14:paraId="62FC5B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c>
          <w:tcPr>
            <w:tcW w:w="1074" w:type="dxa"/>
            <w:vMerge w:val="restart"/>
            <w:tcBorders>
              <w:top w:val="single" w:color="auto" w:sz="4" w:space="0"/>
              <w:left w:val="single" w:color="auto" w:sz="4" w:space="0"/>
              <w:right w:val="single" w:color="auto" w:sz="4" w:space="0"/>
            </w:tcBorders>
            <w:noWrap/>
            <w:vAlign w:val="center"/>
          </w:tcPr>
          <w:p w14:paraId="4EDF8E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投标人选择的品牌</w:t>
            </w:r>
          </w:p>
        </w:tc>
      </w:tr>
      <w:tr w14:paraId="60E6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90" w:type="dxa"/>
            <w:vMerge w:val="continue"/>
            <w:tcBorders>
              <w:top w:val="single" w:color="auto" w:sz="4" w:space="0"/>
              <w:left w:val="single" w:color="auto" w:sz="4" w:space="0"/>
              <w:bottom w:val="single" w:color="auto" w:sz="4" w:space="0"/>
              <w:right w:val="single" w:color="auto" w:sz="4" w:space="0"/>
            </w:tcBorders>
            <w:noWrap/>
            <w:vAlign w:val="center"/>
          </w:tcPr>
          <w:p w14:paraId="5EEB00C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313" w:type="dxa"/>
            <w:vMerge w:val="continue"/>
            <w:tcBorders>
              <w:top w:val="single" w:color="auto" w:sz="4" w:space="0"/>
              <w:left w:val="single" w:color="auto" w:sz="4" w:space="0"/>
              <w:bottom w:val="single" w:color="auto" w:sz="4" w:space="0"/>
              <w:right w:val="single" w:color="auto" w:sz="4" w:space="0"/>
            </w:tcBorders>
            <w:noWrap/>
            <w:vAlign w:val="center"/>
          </w:tcPr>
          <w:p w14:paraId="0D9E4AF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ign w:val="center"/>
          </w:tcPr>
          <w:p w14:paraId="689A9A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品牌1</w:t>
            </w:r>
          </w:p>
        </w:tc>
        <w:tc>
          <w:tcPr>
            <w:tcW w:w="1203" w:type="dxa"/>
            <w:tcBorders>
              <w:top w:val="single" w:color="auto" w:sz="4" w:space="0"/>
              <w:left w:val="single" w:color="auto" w:sz="4" w:space="0"/>
              <w:bottom w:val="single" w:color="auto" w:sz="4" w:space="0"/>
              <w:right w:val="single" w:color="auto" w:sz="4" w:space="0"/>
            </w:tcBorders>
            <w:noWrap/>
            <w:vAlign w:val="center"/>
          </w:tcPr>
          <w:p w14:paraId="5EE8E5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品牌2</w:t>
            </w:r>
          </w:p>
        </w:tc>
        <w:tc>
          <w:tcPr>
            <w:tcW w:w="1292" w:type="dxa"/>
            <w:tcBorders>
              <w:top w:val="single" w:color="auto" w:sz="4" w:space="0"/>
              <w:left w:val="single" w:color="auto" w:sz="4" w:space="0"/>
              <w:bottom w:val="single" w:color="auto" w:sz="4" w:space="0"/>
              <w:right w:val="single" w:color="auto" w:sz="4" w:space="0"/>
            </w:tcBorders>
            <w:noWrap/>
            <w:vAlign w:val="center"/>
          </w:tcPr>
          <w:p w14:paraId="332218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品牌3</w:t>
            </w: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14:paraId="79B4AEC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74" w:type="dxa"/>
            <w:vMerge w:val="continue"/>
            <w:tcBorders>
              <w:left w:val="single" w:color="auto" w:sz="4" w:space="0"/>
              <w:bottom w:val="single" w:color="auto" w:sz="4" w:space="0"/>
              <w:right w:val="single" w:color="auto" w:sz="4" w:space="0"/>
            </w:tcBorders>
            <w:noWrap/>
            <w:vAlign w:val="center"/>
          </w:tcPr>
          <w:p w14:paraId="225A5DC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38E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noWrap/>
            <w:vAlign w:val="center"/>
          </w:tcPr>
          <w:p w14:paraId="732222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w:t>
            </w:r>
          </w:p>
        </w:tc>
        <w:tc>
          <w:tcPr>
            <w:tcW w:w="2313" w:type="dxa"/>
            <w:tcBorders>
              <w:top w:val="single" w:color="auto" w:sz="4" w:space="0"/>
              <w:left w:val="single" w:color="auto" w:sz="4" w:space="0"/>
              <w:bottom w:val="single" w:color="auto" w:sz="4" w:space="0"/>
              <w:right w:val="single" w:color="auto" w:sz="4" w:space="0"/>
            </w:tcBorders>
            <w:noWrap/>
            <w:vAlign w:val="center"/>
          </w:tcPr>
          <w:p w14:paraId="28CCD7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装饰工程</w:t>
            </w:r>
          </w:p>
        </w:tc>
        <w:tc>
          <w:tcPr>
            <w:tcW w:w="1239" w:type="dxa"/>
            <w:tcBorders>
              <w:top w:val="single" w:color="auto" w:sz="4" w:space="0"/>
              <w:left w:val="single" w:color="auto" w:sz="4" w:space="0"/>
              <w:bottom w:val="single" w:color="auto" w:sz="4" w:space="0"/>
              <w:right w:val="single" w:color="auto" w:sz="4" w:space="0"/>
            </w:tcBorders>
            <w:noWrap/>
            <w:vAlign w:val="center"/>
          </w:tcPr>
          <w:p w14:paraId="261C9E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203" w:type="dxa"/>
            <w:tcBorders>
              <w:top w:val="single" w:color="auto" w:sz="4" w:space="0"/>
              <w:left w:val="single" w:color="auto" w:sz="4" w:space="0"/>
              <w:bottom w:val="single" w:color="auto" w:sz="4" w:space="0"/>
              <w:right w:val="single" w:color="auto" w:sz="4" w:space="0"/>
            </w:tcBorders>
            <w:noWrap/>
            <w:vAlign w:val="center"/>
          </w:tcPr>
          <w:p w14:paraId="4B5156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292" w:type="dxa"/>
            <w:tcBorders>
              <w:top w:val="single" w:color="auto" w:sz="4" w:space="0"/>
              <w:left w:val="single" w:color="auto" w:sz="4" w:space="0"/>
              <w:bottom w:val="single" w:color="auto" w:sz="4" w:space="0"/>
              <w:right w:val="single" w:color="auto" w:sz="4" w:space="0"/>
            </w:tcBorders>
            <w:noWrap/>
            <w:vAlign w:val="center"/>
          </w:tcPr>
          <w:p w14:paraId="5FF733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309EC5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ign w:val="center"/>
          </w:tcPr>
          <w:p w14:paraId="11101E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C2F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3F64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FF53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石膏板/轻钢龙骨</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93FF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龙牌/北新建材</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CC98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可耐福</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6EA1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杰科/圣戈班</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7754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13C6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CE5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020B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ECBA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乳胶漆/外墙弹性涂料</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A0F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立邦</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0C71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华润</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CE59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多乐士</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3D51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AA22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44F9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288B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4646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腻子粉</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E62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多乐士</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267A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立邦</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44BC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三棵树</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C761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B8D9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6BBD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50AA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D489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901建筑胶</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5432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绿松林</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281F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上海/中南</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4BE7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绿尔雅</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D246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62C1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75E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A043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BBBE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净味环保油漆</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8698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华润</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8B66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三棵树</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2116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立邦</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99DE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818C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49F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A8CB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2D6D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防霉玻璃胶/结构胶</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67CB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杭州之江</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B80E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三棵树</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BBE7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成都硅宝</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56A4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065E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A2F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8F8D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4540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发泡胶</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3444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杭州之江</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2859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三棵树</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56F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三和</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E15C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93AB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B94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05FC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5870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SPC锁扣地板厚度5mm（耐磨层0.5mm）</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21D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宝丽龙：宝林</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D107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LX：系列RCB</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01BA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莎富乐</w:t>
            </w:r>
            <w:r>
              <w:rPr>
                <w:rFonts w:hint="eastAsia" w:ascii="宋体" w:hAnsi="宋体" w:eastAsia="宋体" w:cs="宋体"/>
                <w:color w:val="auto"/>
                <w:kern w:val="0"/>
                <w:sz w:val="21"/>
                <w:szCs w:val="21"/>
                <w:highlight w:val="none"/>
              </w:rPr>
              <w:t>:锁扣系列</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44C5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表面具有A级抗污，清水可以清洗</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EBF0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17B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339A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17F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PVC同质透心卷材地板克重2750厚度2mm</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E78D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宝丽龙：PP</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1B5B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LX：系列优澜</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88A7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莎富乐:新佳美系列</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9F7F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表面具有A级抗污，清水可以清洗</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1A7C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31A1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2786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2D3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LVT弹性地板地板厚度2mm耐磨层：0.3mm</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8F27D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宝丽龙：创兴</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39C7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欧宝：维迈</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1E5E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莎富乐:精选系列</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8B7B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表面具有A级抗污，清水可以清洗</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C07C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69DB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2BE7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75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非吸收性界面剂</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8295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上海/耐齐</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026E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湖北/美圣雅恒</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B857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上海/优成</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7838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920E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66D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7CC7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61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自流平水泥</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B6C7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上海/耐齐</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2ED3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湖北/美圣雅恒</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6ADE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上海/优成</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02C7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A18D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169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1A93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839500">
            <w:pPr>
              <w:keepNext w:val="0"/>
              <w:keepLines w:val="0"/>
              <w:pageBreakBefore w:val="0"/>
              <w:widowControl/>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环保胶水</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B8CC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上海/耐齐</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730D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湖北/美圣雅恒</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88F2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上海/优成</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E482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FC56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F2A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8E48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0697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墙面/地面砖</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6776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马可波罗</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2D55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东鹏</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A51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诺贝尔</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0A65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36F7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F54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B49B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502E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长条木纹地板砖</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8DBA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马可波罗</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3433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萨米特</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64A1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诺贝尔</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32D6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070C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6649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B1A4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7423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木纹楼梯砖</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CEC3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马可波罗</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EF89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萨米特</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FF5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诺贝尔</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0A8C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C3FD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44B7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80EA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4E66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钢质门</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2F94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三荣/武义</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DE50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王力门业/永康</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7B97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金凯德/永康</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88A1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316A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56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CB73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7387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铝合金门</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88DC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格得/缙云</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F30F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惠美/武义</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F171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金凯德/永康</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F648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D15D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5E07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88A8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4C6E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Pvc实芯隔断</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55EB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广东穗丽特</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2168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同和丽家</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12CE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广州金发</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C5F2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Pvc实芯板</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019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p>
        </w:tc>
      </w:tr>
      <w:tr w14:paraId="4821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ED2A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57CA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隔断、门窗不锈钢五金件</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A44F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佛山奥高</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1AF8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盛浩</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62D5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广东坚朗</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DAC5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不锈钢或铝合金</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A665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49D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55D4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E8F8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防水涂料/防水卷材</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B036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东方雨虹</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6CB1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华美/潍坊</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1649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科顺/佛山</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4CE5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6649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44DF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9B5D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496E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防水填缝剂</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BFC0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黄氏工匠</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DBD9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三棵树</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1A07E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科顺/佛山</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7507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813C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3E62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5C1F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23</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C706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(E0级)8mm竹木纤维板</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4AFB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海之派</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5D59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嘉尚</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62C2E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爱尔菲</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9374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77E3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5DFA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1A5A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102A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镜柜E0级直贴多层板</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7F10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莫干山/浙江</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7FA5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千年舟/浙江</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086D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春之森</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40A4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背板、柜体16mm</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2301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5F8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3617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98B5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细木工板、多层板、阻燃板(E0级)</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F73B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莫干山/浙江</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A9BC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千年舟/浙江</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984E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春之森</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9DAB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BE74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E64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B78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4C37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铝合金扣板0.7mm穿孔铝合金板</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E7C3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雷特斯/广东</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AF36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佳斯宝</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9F94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金色尚顶</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B07A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FBCA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38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3E21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FB7E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平板玻璃、钢化玻璃</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285B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南玻</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386D7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杭玻</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9708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江花</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A8DB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C29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7DA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F15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28</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5D4E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8"/>
                <w:sz w:val="21"/>
                <w:szCs w:val="21"/>
                <w:highlight w:val="none"/>
              </w:rPr>
            </w:pPr>
            <w:r>
              <w:rPr>
                <w:rFonts w:hint="eastAsia" w:ascii="宋体" w:hAnsi="宋体" w:eastAsia="宋体" w:cs="宋体"/>
                <w:color w:val="auto"/>
                <w:kern w:val="28"/>
                <w:sz w:val="21"/>
                <w:szCs w:val="21"/>
                <w:highlight w:val="none"/>
              </w:rPr>
              <w:t>镜子玻璃</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DB2C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成泰镜业</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1479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大河镜业</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EAA6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江花玻璃</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6BBA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D10F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26D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7199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66C1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水泥</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62AC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海螺</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97D5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三狮</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37DD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南方</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4D96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9965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CA6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1F53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30</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2F2F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铝合金型材</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312E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广东凤铝</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8182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浙江栋梁</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125E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广东兴发</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C0B0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5A33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91B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4A09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31</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3A8F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t>热镀锌角钢</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BDBD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宝武钢铁</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CB01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沙钢</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F89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唐钢</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59A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热镀锌角钢</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118E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8F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C722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DB33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t>铝合金窗帘轨道</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2A1B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创明</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775C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德裕</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D5FD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金富源</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274A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壁厚1.3MM</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9B4F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49A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0997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23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ACF2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color w:val="auto"/>
                <w:kern w:val="28"/>
                <w:sz w:val="21"/>
                <w:szCs w:val="21"/>
                <w:highlight w:val="none"/>
                <w:lang w:eastAsia="zh-CN"/>
              </w:rPr>
              <w:t>智能门锁系统</w:t>
            </w:r>
          </w:p>
        </w:tc>
        <w:tc>
          <w:tcPr>
            <w:tcW w:w="12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752E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正元智慧</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FBAE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color w:val="auto"/>
                <w:kern w:val="28"/>
                <w:sz w:val="21"/>
                <w:szCs w:val="21"/>
                <w:highlight w:val="none"/>
                <w:lang w:eastAsia="zh-CN"/>
              </w:rPr>
              <w:t>海康威视</w:t>
            </w: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B59B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color w:val="auto"/>
                <w:kern w:val="28"/>
                <w:sz w:val="21"/>
                <w:szCs w:val="21"/>
                <w:highlight w:val="none"/>
                <w:lang w:eastAsia="zh-CN"/>
              </w:rPr>
              <w:t>英杰电子</w:t>
            </w:r>
          </w:p>
        </w:tc>
        <w:tc>
          <w:tcPr>
            <w:tcW w:w="13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3EFA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07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33D3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p>
        </w:tc>
      </w:tr>
      <w:tr w14:paraId="506C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4417F7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w:t>
            </w:r>
          </w:p>
        </w:tc>
        <w:tc>
          <w:tcPr>
            <w:tcW w:w="2313" w:type="dxa"/>
            <w:shd w:val="clear" w:color="auto" w:fill="FFFFFF"/>
            <w:noWrap/>
            <w:vAlign w:val="center"/>
          </w:tcPr>
          <w:p w14:paraId="76DF8F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安装工程</w:t>
            </w:r>
          </w:p>
        </w:tc>
        <w:tc>
          <w:tcPr>
            <w:tcW w:w="1239" w:type="dxa"/>
            <w:shd w:val="clear" w:color="auto" w:fill="FFFFFF"/>
            <w:noWrap/>
            <w:vAlign w:val="center"/>
          </w:tcPr>
          <w:p w14:paraId="4605D9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203" w:type="dxa"/>
            <w:shd w:val="clear" w:color="auto" w:fill="FFFFFF"/>
            <w:noWrap/>
            <w:vAlign w:val="center"/>
          </w:tcPr>
          <w:p w14:paraId="03A8B7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292" w:type="dxa"/>
            <w:shd w:val="clear" w:color="auto" w:fill="FFFFFF"/>
            <w:noWrap/>
            <w:vAlign w:val="center"/>
          </w:tcPr>
          <w:p w14:paraId="298A8E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360" w:type="dxa"/>
            <w:shd w:val="clear" w:color="auto" w:fill="FFFFFF"/>
            <w:noWrap/>
            <w:vAlign w:val="center"/>
          </w:tcPr>
          <w:p w14:paraId="0A1C43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782C9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522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7ABE69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313" w:type="dxa"/>
            <w:shd w:val="clear" w:color="auto" w:fill="FFFFFF"/>
            <w:noWrap/>
            <w:vAlign w:val="center"/>
          </w:tcPr>
          <w:p w14:paraId="0D757E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UPVC电线管</w:t>
            </w:r>
          </w:p>
        </w:tc>
        <w:tc>
          <w:tcPr>
            <w:tcW w:w="1239" w:type="dxa"/>
            <w:shd w:val="clear" w:color="auto" w:fill="FFFFFF"/>
            <w:noWrap/>
            <w:vAlign w:val="center"/>
          </w:tcPr>
          <w:p w14:paraId="6D72A6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中财</w:t>
            </w:r>
          </w:p>
        </w:tc>
        <w:tc>
          <w:tcPr>
            <w:tcW w:w="1203" w:type="dxa"/>
            <w:shd w:val="clear" w:color="auto" w:fill="FFFFFF"/>
            <w:noWrap/>
            <w:vAlign w:val="center"/>
          </w:tcPr>
          <w:p w14:paraId="7FD02B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鸿雁</w:t>
            </w:r>
          </w:p>
        </w:tc>
        <w:tc>
          <w:tcPr>
            <w:tcW w:w="1292" w:type="dxa"/>
            <w:shd w:val="clear" w:color="auto" w:fill="FFFFFF"/>
            <w:noWrap/>
            <w:vAlign w:val="center"/>
          </w:tcPr>
          <w:p w14:paraId="6E081F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亚通</w:t>
            </w:r>
          </w:p>
        </w:tc>
        <w:tc>
          <w:tcPr>
            <w:tcW w:w="1360" w:type="dxa"/>
            <w:shd w:val="clear" w:color="auto" w:fill="FFFFFF"/>
            <w:noWrap/>
            <w:vAlign w:val="center"/>
          </w:tcPr>
          <w:p w14:paraId="3067F2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5D4483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E10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6B1C2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313" w:type="dxa"/>
            <w:shd w:val="clear" w:color="auto" w:fill="FFFFFF"/>
            <w:noWrap/>
            <w:vAlign w:val="center"/>
          </w:tcPr>
          <w:p w14:paraId="50802E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电线电缆</w:t>
            </w:r>
          </w:p>
        </w:tc>
        <w:tc>
          <w:tcPr>
            <w:tcW w:w="1239" w:type="dxa"/>
            <w:shd w:val="clear" w:color="auto" w:fill="FFFFFF"/>
            <w:noWrap/>
            <w:vAlign w:val="center"/>
          </w:tcPr>
          <w:p w14:paraId="51D317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球冠/宁波</w:t>
            </w:r>
          </w:p>
        </w:tc>
        <w:tc>
          <w:tcPr>
            <w:tcW w:w="1203" w:type="dxa"/>
            <w:shd w:val="clear" w:color="auto" w:fill="FFFFFF"/>
            <w:noWrap/>
            <w:vAlign w:val="center"/>
          </w:tcPr>
          <w:p w14:paraId="65F8CB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东方/宁波</w:t>
            </w:r>
          </w:p>
        </w:tc>
        <w:tc>
          <w:tcPr>
            <w:tcW w:w="1292" w:type="dxa"/>
            <w:shd w:val="clear" w:color="auto" w:fill="FFFFFF"/>
            <w:noWrap/>
            <w:vAlign w:val="center"/>
          </w:tcPr>
          <w:p w14:paraId="72D2BE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上上电缆</w:t>
            </w:r>
          </w:p>
        </w:tc>
        <w:tc>
          <w:tcPr>
            <w:tcW w:w="1360" w:type="dxa"/>
            <w:shd w:val="clear" w:color="auto" w:fill="FFFFFF"/>
            <w:noWrap/>
            <w:vAlign w:val="center"/>
          </w:tcPr>
          <w:p w14:paraId="01C6FE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12B8F7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B0E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204F63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313" w:type="dxa"/>
            <w:shd w:val="clear" w:color="auto" w:fill="FFFFFF"/>
            <w:noWrap/>
            <w:vAlign w:val="center"/>
          </w:tcPr>
          <w:p w14:paraId="20367C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照明灯具</w:t>
            </w:r>
          </w:p>
        </w:tc>
        <w:tc>
          <w:tcPr>
            <w:tcW w:w="1239" w:type="dxa"/>
            <w:shd w:val="clear" w:color="auto" w:fill="FFFFFF"/>
            <w:noWrap/>
            <w:vAlign w:val="center"/>
          </w:tcPr>
          <w:p w14:paraId="3DF760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三雄极光</w:t>
            </w:r>
          </w:p>
        </w:tc>
        <w:tc>
          <w:tcPr>
            <w:tcW w:w="1203" w:type="dxa"/>
            <w:shd w:val="clear" w:color="auto" w:fill="FFFFFF"/>
            <w:noWrap/>
            <w:vAlign w:val="center"/>
          </w:tcPr>
          <w:p w14:paraId="265228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飞利浦</w:t>
            </w:r>
          </w:p>
        </w:tc>
        <w:tc>
          <w:tcPr>
            <w:tcW w:w="1292" w:type="dxa"/>
            <w:shd w:val="clear" w:color="auto" w:fill="FFFFFF"/>
            <w:noWrap/>
            <w:vAlign w:val="center"/>
          </w:tcPr>
          <w:p w14:paraId="3E1E04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欧普</w:t>
            </w:r>
          </w:p>
        </w:tc>
        <w:tc>
          <w:tcPr>
            <w:tcW w:w="1360" w:type="dxa"/>
            <w:shd w:val="clear" w:color="auto" w:fill="FFFFFF"/>
            <w:noWrap/>
            <w:vAlign w:val="center"/>
          </w:tcPr>
          <w:p w14:paraId="146DB7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72627E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679C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4B02EE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313" w:type="dxa"/>
            <w:shd w:val="clear" w:color="auto" w:fill="FFFFFF"/>
            <w:noWrap/>
            <w:vAlign w:val="center"/>
          </w:tcPr>
          <w:p w14:paraId="200CB0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开关插座面板</w:t>
            </w:r>
          </w:p>
        </w:tc>
        <w:tc>
          <w:tcPr>
            <w:tcW w:w="1239" w:type="dxa"/>
            <w:shd w:val="clear" w:color="auto" w:fill="FFFFFF"/>
            <w:noWrap/>
            <w:vAlign w:val="center"/>
          </w:tcPr>
          <w:p w14:paraId="0802E6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鸿雁</w:t>
            </w:r>
          </w:p>
        </w:tc>
        <w:tc>
          <w:tcPr>
            <w:tcW w:w="1203" w:type="dxa"/>
            <w:shd w:val="clear" w:color="auto" w:fill="FFFFFF"/>
            <w:noWrap/>
            <w:vAlign w:val="center"/>
          </w:tcPr>
          <w:p w14:paraId="28399E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TCL</w:t>
            </w:r>
          </w:p>
        </w:tc>
        <w:tc>
          <w:tcPr>
            <w:tcW w:w="1292" w:type="dxa"/>
            <w:shd w:val="clear" w:color="auto" w:fill="FFFFFF"/>
            <w:noWrap/>
            <w:vAlign w:val="center"/>
          </w:tcPr>
          <w:p w14:paraId="5FA974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公牛</w:t>
            </w:r>
          </w:p>
        </w:tc>
        <w:tc>
          <w:tcPr>
            <w:tcW w:w="1360" w:type="dxa"/>
            <w:shd w:val="clear" w:color="auto" w:fill="FFFFFF"/>
            <w:noWrap/>
            <w:vAlign w:val="center"/>
          </w:tcPr>
          <w:p w14:paraId="4802F7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354DBB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8E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484B6D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313" w:type="dxa"/>
            <w:shd w:val="clear" w:color="auto" w:fill="FFFFFF"/>
            <w:noWrap/>
            <w:vAlign w:val="center"/>
          </w:tcPr>
          <w:p w14:paraId="5553C7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排气扇</w:t>
            </w:r>
          </w:p>
        </w:tc>
        <w:tc>
          <w:tcPr>
            <w:tcW w:w="1239" w:type="dxa"/>
            <w:shd w:val="clear" w:color="auto" w:fill="FFFFFF"/>
            <w:noWrap/>
            <w:vAlign w:val="center"/>
          </w:tcPr>
          <w:p w14:paraId="5C0C5E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鸿雁</w:t>
            </w:r>
          </w:p>
        </w:tc>
        <w:tc>
          <w:tcPr>
            <w:tcW w:w="1203" w:type="dxa"/>
            <w:shd w:val="clear" w:color="auto" w:fill="FFFFFF"/>
            <w:noWrap/>
            <w:vAlign w:val="center"/>
          </w:tcPr>
          <w:p w14:paraId="61DB3D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奥普</w:t>
            </w:r>
          </w:p>
        </w:tc>
        <w:tc>
          <w:tcPr>
            <w:tcW w:w="1292" w:type="dxa"/>
            <w:shd w:val="clear" w:color="auto" w:fill="FFFFFF"/>
            <w:noWrap/>
            <w:vAlign w:val="center"/>
          </w:tcPr>
          <w:p w14:paraId="687932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松下</w:t>
            </w:r>
          </w:p>
        </w:tc>
        <w:tc>
          <w:tcPr>
            <w:tcW w:w="1360" w:type="dxa"/>
            <w:shd w:val="clear" w:color="auto" w:fill="FFFFFF"/>
            <w:noWrap/>
            <w:vAlign w:val="center"/>
          </w:tcPr>
          <w:p w14:paraId="2ED58A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铜芯电机滚珠轴承</w:t>
            </w:r>
          </w:p>
        </w:tc>
        <w:tc>
          <w:tcPr>
            <w:tcW w:w="1074" w:type="dxa"/>
            <w:shd w:val="clear" w:color="auto" w:fill="FFFFFF"/>
            <w:noWrap/>
            <w:vAlign w:val="center"/>
          </w:tcPr>
          <w:p w14:paraId="44ED90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FD9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48DDA1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313" w:type="dxa"/>
            <w:shd w:val="clear" w:color="auto" w:fill="FFFFFF"/>
            <w:noWrap/>
            <w:vAlign w:val="center"/>
          </w:tcPr>
          <w:p w14:paraId="132210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吸顶风扇</w:t>
            </w:r>
          </w:p>
        </w:tc>
        <w:tc>
          <w:tcPr>
            <w:tcW w:w="1239" w:type="dxa"/>
            <w:shd w:val="clear" w:color="auto" w:fill="FFFFFF"/>
            <w:noWrap/>
            <w:vAlign w:val="center"/>
          </w:tcPr>
          <w:p w14:paraId="586620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美的</w:t>
            </w:r>
          </w:p>
        </w:tc>
        <w:tc>
          <w:tcPr>
            <w:tcW w:w="1203" w:type="dxa"/>
            <w:shd w:val="clear" w:color="auto" w:fill="FFFFFF"/>
            <w:noWrap/>
            <w:vAlign w:val="center"/>
          </w:tcPr>
          <w:p w14:paraId="7CA4A8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格力</w:t>
            </w:r>
          </w:p>
        </w:tc>
        <w:tc>
          <w:tcPr>
            <w:tcW w:w="1292" w:type="dxa"/>
            <w:shd w:val="clear" w:color="auto" w:fill="FFFFFF"/>
            <w:noWrap/>
            <w:vAlign w:val="center"/>
          </w:tcPr>
          <w:p w14:paraId="43FCE5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艾美特</w:t>
            </w:r>
          </w:p>
        </w:tc>
        <w:tc>
          <w:tcPr>
            <w:tcW w:w="1360" w:type="dxa"/>
            <w:shd w:val="clear" w:color="auto" w:fill="FFFFFF"/>
            <w:noWrap/>
            <w:vAlign w:val="center"/>
          </w:tcPr>
          <w:p w14:paraId="307259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铜芯电机</w:t>
            </w:r>
          </w:p>
        </w:tc>
        <w:tc>
          <w:tcPr>
            <w:tcW w:w="1074" w:type="dxa"/>
            <w:shd w:val="clear" w:color="auto" w:fill="FFFFFF"/>
            <w:noWrap/>
            <w:vAlign w:val="center"/>
          </w:tcPr>
          <w:p w14:paraId="2B5AF8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524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1AEF92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313" w:type="dxa"/>
            <w:shd w:val="clear" w:color="auto" w:fill="FFFFFF"/>
            <w:noWrap/>
            <w:vAlign w:val="center"/>
          </w:tcPr>
          <w:p w14:paraId="2A4D16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PPR热水管</w:t>
            </w:r>
          </w:p>
        </w:tc>
        <w:tc>
          <w:tcPr>
            <w:tcW w:w="1239" w:type="dxa"/>
            <w:shd w:val="clear" w:color="auto" w:fill="FFFFFF"/>
            <w:noWrap/>
            <w:vAlign w:val="center"/>
          </w:tcPr>
          <w:p w14:paraId="2F339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中财/浙江</w:t>
            </w:r>
          </w:p>
        </w:tc>
        <w:tc>
          <w:tcPr>
            <w:tcW w:w="1203" w:type="dxa"/>
            <w:shd w:val="clear" w:color="auto" w:fill="FFFFFF"/>
            <w:noWrap/>
            <w:vAlign w:val="center"/>
          </w:tcPr>
          <w:p w14:paraId="791F6B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公元/上海</w:t>
            </w:r>
          </w:p>
        </w:tc>
        <w:tc>
          <w:tcPr>
            <w:tcW w:w="1292" w:type="dxa"/>
            <w:shd w:val="clear" w:color="auto" w:fill="FFFFFF"/>
            <w:noWrap/>
            <w:vAlign w:val="center"/>
          </w:tcPr>
          <w:p w14:paraId="2E0F3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日丰</w:t>
            </w:r>
          </w:p>
        </w:tc>
        <w:tc>
          <w:tcPr>
            <w:tcW w:w="1360" w:type="dxa"/>
            <w:shd w:val="clear" w:color="auto" w:fill="FFFFFF"/>
            <w:noWrap/>
            <w:vAlign w:val="center"/>
          </w:tcPr>
          <w:p w14:paraId="7F1BC0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6分＞3.5；1寸＞4.4</w:t>
            </w:r>
          </w:p>
        </w:tc>
        <w:tc>
          <w:tcPr>
            <w:tcW w:w="1074" w:type="dxa"/>
            <w:shd w:val="clear" w:color="auto" w:fill="FFFFFF"/>
            <w:noWrap/>
            <w:vAlign w:val="center"/>
          </w:tcPr>
          <w:p w14:paraId="039909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31F8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0D4961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313" w:type="dxa"/>
            <w:shd w:val="clear" w:color="auto" w:fill="FFFFFF"/>
            <w:noWrap/>
            <w:vAlign w:val="center"/>
          </w:tcPr>
          <w:p w14:paraId="4B14D3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UPVC排水管</w:t>
            </w:r>
          </w:p>
        </w:tc>
        <w:tc>
          <w:tcPr>
            <w:tcW w:w="1239" w:type="dxa"/>
            <w:shd w:val="clear" w:color="auto" w:fill="FFFFFF"/>
            <w:noWrap/>
            <w:vAlign w:val="center"/>
          </w:tcPr>
          <w:p w14:paraId="3CB520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中财/浙江</w:t>
            </w:r>
          </w:p>
        </w:tc>
        <w:tc>
          <w:tcPr>
            <w:tcW w:w="1203" w:type="dxa"/>
            <w:shd w:val="clear" w:color="auto" w:fill="FFFFFF"/>
            <w:noWrap/>
            <w:vAlign w:val="center"/>
          </w:tcPr>
          <w:p w14:paraId="225DA3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鸿雁</w:t>
            </w:r>
          </w:p>
        </w:tc>
        <w:tc>
          <w:tcPr>
            <w:tcW w:w="1292" w:type="dxa"/>
            <w:shd w:val="clear" w:color="auto" w:fill="FFFFFF"/>
            <w:noWrap/>
            <w:vAlign w:val="center"/>
          </w:tcPr>
          <w:p w14:paraId="70882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公元/上海</w:t>
            </w:r>
          </w:p>
        </w:tc>
        <w:tc>
          <w:tcPr>
            <w:tcW w:w="1360" w:type="dxa"/>
            <w:shd w:val="clear" w:color="auto" w:fill="FFFFFF"/>
            <w:noWrap/>
            <w:vAlign w:val="center"/>
          </w:tcPr>
          <w:p w14:paraId="2338C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4F384C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4BBE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347C61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313" w:type="dxa"/>
            <w:shd w:val="clear" w:color="auto" w:fill="FFFFFF"/>
            <w:noWrap/>
            <w:vAlign w:val="center"/>
          </w:tcPr>
          <w:p w14:paraId="5C9EA8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SC、JDG钢管含线盒及管件</w:t>
            </w:r>
          </w:p>
        </w:tc>
        <w:tc>
          <w:tcPr>
            <w:tcW w:w="1239" w:type="dxa"/>
            <w:shd w:val="clear" w:color="auto" w:fill="FFFFFF"/>
            <w:noWrap/>
            <w:vAlign w:val="center"/>
          </w:tcPr>
          <w:p w14:paraId="5FA861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金洲/湖州</w:t>
            </w:r>
          </w:p>
        </w:tc>
        <w:tc>
          <w:tcPr>
            <w:tcW w:w="1203" w:type="dxa"/>
            <w:shd w:val="clear" w:color="auto" w:fill="FFFFFF"/>
            <w:noWrap/>
            <w:vAlign w:val="center"/>
          </w:tcPr>
          <w:p w14:paraId="1E54AB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国强/溧阳</w:t>
            </w:r>
          </w:p>
        </w:tc>
        <w:tc>
          <w:tcPr>
            <w:tcW w:w="1292" w:type="dxa"/>
            <w:shd w:val="clear" w:color="auto" w:fill="FFFFFF"/>
            <w:noWrap/>
            <w:vAlign w:val="center"/>
          </w:tcPr>
          <w:p w14:paraId="58E2ED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利达/天津</w:t>
            </w:r>
          </w:p>
        </w:tc>
        <w:tc>
          <w:tcPr>
            <w:tcW w:w="1360" w:type="dxa"/>
            <w:shd w:val="clear" w:color="auto" w:fill="FFFFFF"/>
            <w:noWrap/>
            <w:vAlign w:val="center"/>
          </w:tcPr>
          <w:p w14:paraId="210CF0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01B5BB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8A0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53A481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313" w:type="dxa"/>
            <w:shd w:val="clear" w:color="auto" w:fill="FFFFFF"/>
            <w:noWrap/>
            <w:vAlign w:val="center"/>
          </w:tcPr>
          <w:p w14:paraId="4A4112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毛巾架、浴巾架，钩、二层篮/纸巾，手机架</w:t>
            </w:r>
          </w:p>
        </w:tc>
        <w:tc>
          <w:tcPr>
            <w:tcW w:w="1239" w:type="dxa"/>
            <w:shd w:val="clear" w:color="auto" w:fill="FFFFFF"/>
            <w:noWrap/>
            <w:vAlign w:val="center"/>
          </w:tcPr>
          <w:p w14:paraId="34A52F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浩厨</w:t>
            </w:r>
          </w:p>
        </w:tc>
        <w:tc>
          <w:tcPr>
            <w:tcW w:w="1203" w:type="dxa"/>
            <w:shd w:val="clear" w:color="auto" w:fill="FFFFFF"/>
            <w:noWrap/>
            <w:vAlign w:val="center"/>
          </w:tcPr>
          <w:p w14:paraId="14BB04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恒洁</w:t>
            </w:r>
          </w:p>
        </w:tc>
        <w:tc>
          <w:tcPr>
            <w:tcW w:w="1292" w:type="dxa"/>
            <w:shd w:val="clear" w:color="auto" w:fill="FFFFFF"/>
            <w:noWrap/>
            <w:vAlign w:val="center"/>
          </w:tcPr>
          <w:p w14:paraId="6C374C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啄木鸟</w:t>
            </w:r>
          </w:p>
        </w:tc>
        <w:tc>
          <w:tcPr>
            <w:tcW w:w="1360" w:type="dxa"/>
            <w:shd w:val="clear" w:color="auto" w:fill="FFFFFF"/>
            <w:noWrap/>
            <w:vAlign w:val="center"/>
          </w:tcPr>
          <w:p w14:paraId="270048C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太空铝材质1.2mm厚，</w:t>
            </w:r>
            <w:r>
              <w:rPr>
                <w:rFonts w:hint="eastAsia" w:ascii="宋体" w:hAnsi="宋体" w:eastAsia="宋体" w:cs="宋体"/>
                <w:color w:val="auto"/>
                <w:kern w:val="28"/>
                <w:sz w:val="21"/>
                <w:szCs w:val="21"/>
                <w:highlight w:val="none"/>
              </w:rPr>
              <w:t>毛巾、浴巾架螺丝固定</w:t>
            </w:r>
          </w:p>
        </w:tc>
        <w:tc>
          <w:tcPr>
            <w:tcW w:w="1074" w:type="dxa"/>
            <w:shd w:val="clear" w:color="auto" w:fill="FFFFFF"/>
            <w:noWrap/>
            <w:vAlign w:val="center"/>
          </w:tcPr>
          <w:p w14:paraId="68CE43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p>
        </w:tc>
      </w:tr>
      <w:tr w14:paraId="5212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380D27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313" w:type="dxa"/>
            <w:shd w:val="clear" w:color="auto" w:fill="FFFFFF"/>
            <w:noWrap/>
            <w:vAlign w:val="center"/>
          </w:tcPr>
          <w:p w14:paraId="044172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卫生洁具</w:t>
            </w:r>
          </w:p>
        </w:tc>
        <w:tc>
          <w:tcPr>
            <w:tcW w:w="1239" w:type="dxa"/>
            <w:shd w:val="clear" w:color="auto" w:fill="FFFFFF"/>
            <w:noWrap/>
            <w:vAlign w:val="center"/>
          </w:tcPr>
          <w:p w14:paraId="58ECBA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恒洁</w:t>
            </w:r>
          </w:p>
        </w:tc>
        <w:tc>
          <w:tcPr>
            <w:tcW w:w="1203" w:type="dxa"/>
            <w:shd w:val="clear" w:color="auto" w:fill="FFFFFF"/>
            <w:noWrap/>
            <w:vAlign w:val="center"/>
          </w:tcPr>
          <w:p w14:paraId="622033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rPr>
              <w:t>九牧</w:t>
            </w:r>
            <w:r>
              <w:rPr>
                <w:rFonts w:hint="eastAsia" w:ascii="宋体" w:hAnsi="宋体" w:eastAsia="宋体" w:cs="宋体"/>
                <w:color w:val="auto"/>
                <w:kern w:val="28"/>
                <w:sz w:val="21"/>
                <w:szCs w:val="21"/>
                <w:highlight w:val="none"/>
                <w:lang w:eastAsia="zh-CN"/>
              </w:rPr>
              <w:t>王</w:t>
            </w:r>
          </w:p>
        </w:tc>
        <w:tc>
          <w:tcPr>
            <w:tcW w:w="1292" w:type="dxa"/>
            <w:shd w:val="clear" w:color="auto" w:fill="FFFFFF"/>
            <w:noWrap/>
            <w:vAlign w:val="center"/>
          </w:tcPr>
          <w:p w14:paraId="12031D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箭牌</w:t>
            </w:r>
          </w:p>
        </w:tc>
        <w:tc>
          <w:tcPr>
            <w:tcW w:w="1360" w:type="dxa"/>
            <w:shd w:val="clear" w:color="auto" w:fill="FFFFFF"/>
            <w:noWrap/>
            <w:vAlign w:val="center"/>
          </w:tcPr>
          <w:p w14:paraId="6B1F64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马桶需一级节水</w:t>
            </w:r>
          </w:p>
        </w:tc>
        <w:tc>
          <w:tcPr>
            <w:tcW w:w="1074" w:type="dxa"/>
            <w:shd w:val="clear" w:color="auto" w:fill="FFFFFF"/>
            <w:noWrap/>
            <w:vAlign w:val="center"/>
          </w:tcPr>
          <w:p w14:paraId="61D9EB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57EE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728FC7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313" w:type="dxa"/>
            <w:shd w:val="clear" w:color="auto" w:fill="FFFFFF"/>
            <w:noWrap/>
            <w:vAlign w:val="center"/>
          </w:tcPr>
          <w:p w14:paraId="767339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淋浴器、花洒、龙头</w:t>
            </w:r>
          </w:p>
        </w:tc>
        <w:tc>
          <w:tcPr>
            <w:tcW w:w="1239" w:type="dxa"/>
            <w:shd w:val="clear" w:color="auto" w:fill="FFFFFF"/>
            <w:noWrap/>
            <w:vAlign w:val="center"/>
          </w:tcPr>
          <w:p w14:paraId="43A9BB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恒洁</w:t>
            </w:r>
          </w:p>
        </w:tc>
        <w:tc>
          <w:tcPr>
            <w:tcW w:w="1203" w:type="dxa"/>
            <w:shd w:val="clear" w:color="auto" w:fill="FFFFFF"/>
            <w:noWrap/>
            <w:vAlign w:val="center"/>
          </w:tcPr>
          <w:p w14:paraId="14A116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浩</w:t>
            </w:r>
            <w:r>
              <w:rPr>
                <w:rFonts w:hint="eastAsia" w:ascii="宋体" w:hAnsi="宋体" w:eastAsia="宋体" w:cs="宋体"/>
                <w:color w:val="auto"/>
                <w:sz w:val="21"/>
                <w:szCs w:val="21"/>
                <w:highlight w:val="none"/>
              </w:rPr>
              <w:t>厨</w:t>
            </w:r>
          </w:p>
        </w:tc>
        <w:tc>
          <w:tcPr>
            <w:tcW w:w="1292" w:type="dxa"/>
            <w:shd w:val="clear" w:color="auto" w:fill="FFFFFF"/>
            <w:noWrap/>
            <w:vAlign w:val="center"/>
          </w:tcPr>
          <w:p w14:paraId="33DC92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九牧</w:t>
            </w:r>
          </w:p>
        </w:tc>
        <w:tc>
          <w:tcPr>
            <w:tcW w:w="1360" w:type="dxa"/>
            <w:shd w:val="clear" w:color="auto" w:fill="FFFFFF"/>
            <w:noWrap/>
            <w:vAlign w:val="center"/>
          </w:tcPr>
          <w:p w14:paraId="6538B6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龙头枪灰一级节水</w:t>
            </w:r>
          </w:p>
        </w:tc>
        <w:tc>
          <w:tcPr>
            <w:tcW w:w="1074" w:type="dxa"/>
            <w:shd w:val="clear" w:color="auto" w:fill="FFFFFF"/>
            <w:noWrap/>
            <w:vAlign w:val="center"/>
          </w:tcPr>
          <w:p w14:paraId="4653B7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5D8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2CAD06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313" w:type="dxa"/>
            <w:shd w:val="clear" w:color="auto" w:fill="FFFFFF"/>
            <w:noWrap/>
            <w:vAlign w:val="center"/>
          </w:tcPr>
          <w:p w14:paraId="7A4F0C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不锈钢台中盆（枪色）</w:t>
            </w:r>
          </w:p>
        </w:tc>
        <w:tc>
          <w:tcPr>
            <w:tcW w:w="1239" w:type="dxa"/>
            <w:shd w:val="clear" w:color="auto" w:fill="FFFFFF"/>
            <w:noWrap/>
            <w:vAlign w:val="center"/>
          </w:tcPr>
          <w:p w14:paraId="7D90BB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埃美柯</w:t>
            </w:r>
          </w:p>
        </w:tc>
        <w:tc>
          <w:tcPr>
            <w:tcW w:w="1203" w:type="dxa"/>
            <w:shd w:val="clear" w:color="auto" w:fill="FFFFFF"/>
            <w:noWrap/>
            <w:vAlign w:val="center"/>
          </w:tcPr>
          <w:p w14:paraId="18BE64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浩厨</w:t>
            </w:r>
          </w:p>
        </w:tc>
        <w:tc>
          <w:tcPr>
            <w:tcW w:w="1292" w:type="dxa"/>
            <w:shd w:val="clear" w:color="auto" w:fill="FFFFFF"/>
            <w:noWrap/>
            <w:vAlign w:val="center"/>
          </w:tcPr>
          <w:p w14:paraId="2F7362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欧琳</w:t>
            </w:r>
          </w:p>
        </w:tc>
        <w:tc>
          <w:tcPr>
            <w:tcW w:w="1360" w:type="dxa"/>
            <w:shd w:val="clear" w:color="auto" w:fill="FFFFFF"/>
            <w:noWrap/>
            <w:vAlign w:val="center"/>
          </w:tcPr>
          <w:p w14:paraId="7545CD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304不锈钢3mm厚</w:t>
            </w:r>
          </w:p>
        </w:tc>
        <w:tc>
          <w:tcPr>
            <w:tcW w:w="1074" w:type="dxa"/>
            <w:shd w:val="clear" w:color="auto" w:fill="FFFFFF"/>
            <w:noWrap/>
            <w:vAlign w:val="center"/>
          </w:tcPr>
          <w:p w14:paraId="435832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3C1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2A957E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2313" w:type="dxa"/>
            <w:shd w:val="clear" w:color="auto" w:fill="FFFFFF"/>
            <w:noWrap/>
            <w:vAlign w:val="center"/>
          </w:tcPr>
          <w:p w14:paraId="75CD90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配电箱元器件</w:t>
            </w:r>
          </w:p>
        </w:tc>
        <w:tc>
          <w:tcPr>
            <w:tcW w:w="1239" w:type="dxa"/>
            <w:shd w:val="clear" w:color="auto" w:fill="FFFFFF"/>
            <w:noWrap/>
            <w:vAlign w:val="center"/>
          </w:tcPr>
          <w:p w14:paraId="2E64C4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正泰</w:t>
            </w:r>
          </w:p>
        </w:tc>
        <w:tc>
          <w:tcPr>
            <w:tcW w:w="1203" w:type="dxa"/>
            <w:shd w:val="clear" w:color="auto" w:fill="FFFFFF"/>
            <w:noWrap/>
            <w:vAlign w:val="center"/>
          </w:tcPr>
          <w:p w14:paraId="490205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德力西</w:t>
            </w:r>
          </w:p>
        </w:tc>
        <w:tc>
          <w:tcPr>
            <w:tcW w:w="1292" w:type="dxa"/>
            <w:shd w:val="clear" w:color="auto" w:fill="FFFFFF"/>
            <w:noWrap/>
            <w:vAlign w:val="center"/>
          </w:tcPr>
          <w:p w14:paraId="3D2151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人民电气</w:t>
            </w:r>
          </w:p>
        </w:tc>
        <w:tc>
          <w:tcPr>
            <w:tcW w:w="1360" w:type="dxa"/>
            <w:shd w:val="clear" w:color="auto" w:fill="FFFFFF"/>
            <w:noWrap/>
            <w:vAlign w:val="center"/>
          </w:tcPr>
          <w:p w14:paraId="45B03C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79A3FB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07C4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3D6F35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2313" w:type="dxa"/>
            <w:shd w:val="clear" w:color="auto" w:fill="FFFFFF"/>
            <w:noWrap/>
            <w:vAlign w:val="center"/>
          </w:tcPr>
          <w:p w14:paraId="728CE7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阀门</w:t>
            </w:r>
          </w:p>
        </w:tc>
        <w:tc>
          <w:tcPr>
            <w:tcW w:w="1239" w:type="dxa"/>
            <w:shd w:val="clear" w:color="auto" w:fill="FFFFFF"/>
            <w:noWrap/>
            <w:vAlign w:val="center"/>
          </w:tcPr>
          <w:p w14:paraId="51BC97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宁波埃美柯</w:t>
            </w:r>
          </w:p>
        </w:tc>
        <w:tc>
          <w:tcPr>
            <w:tcW w:w="1203" w:type="dxa"/>
            <w:shd w:val="clear" w:color="auto" w:fill="FFFFFF"/>
            <w:noWrap/>
            <w:vAlign w:val="center"/>
          </w:tcPr>
          <w:p w14:paraId="68B203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浙江春江</w:t>
            </w:r>
          </w:p>
        </w:tc>
        <w:tc>
          <w:tcPr>
            <w:tcW w:w="1292" w:type="dxa"/>
            <w:shd w:val="clear" w:color="auto" w:fill="FFFFFF"/>
            <w:noWrap/>
            <w:vAlign w:val="center"/>
          </w:tcPr>
          <w:p w14:paraId="7FC99C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广东联塑</w:t>
            </w:r>
          </w:p>
        </w:tc>
        <w:tc>
          <w:tcPr>
            <w:tcW w:w="1360" w:type="dxa"/>
            <w:shd w:val="clear" w:color="auto" w:fill="FFFFFF"/>
            <w:noWrap/>
            <w:vAlign w:val="center"/>
          </w:tcPr>
          <w:p w14:paraId="6B7684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0562FD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3B6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1CC80A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2313" w:type="dxa"/>
            <w:shd w:val="clear" w:color="auto" w:fill="FFFFFF"/>
            <w:noWrap/>
            <w:vAlign w:val="center"/>
          </w:tcPr>
          <w:p w14:paraId="37EE5D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LED应急照明及疏散指示灯</w:t>
            </w:r>
          </w:p>
        </w:tc>
        <w:tc>
          <w:tcPr>
            <w:tcW w:w="1239" w:type="dxa"/>
            <w:shd w:val="clear" w:color="auto" w:fill="FFFFFF"/>
            <w:noWrap/>
            <w:vAlign w:val="center"/>
          </w:tcPr>
          <w:p w14:paraId="3E409F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月波</w:t>
            </w:r>
          </w:p>
        </w:tc>
        <w:tc>
          <w:tcPr>
            <w:tcW w:w="1203" w:type="dxa"/>
            <w:shd w:val="clear" w:color="auto" w:fill="FFFFFF"/>
            <w:noWrap/>
            <w:vAlign w:val="center"/>
          </w:tcPr>
          <w:p w14:paraId="6AABB0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台谊</w:t>
            </w:r>
          </w:p>
        </w:tc>
        <w:tc>
          <w:tcPr>
            <w:tcW w:w="1292" w:type="dxa"/>
            <w:shd w:val="clear" w:color="auto" w:fill="FFFFFF"/>
            <w:noWrap/>
            <w:vAlign w:val="center"/>
          </w:tcPr>
          <w:p w14:paraId="5BAF6C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振辉</w:t>
            </w:r>
          </w:p>
        </w:tc>
        <w:tc>
          <w:tcPr>
            <w:tcW w:w="1360" w:type="dxa"/>
            <w:shd w:val="clear" w:color="auto" w:fill="FFFFFF"/>
            <w:noWrap/>
            <w:vAlign w:val="center"/>
          </w:tcPr>
          <w:p w14:paraId="6890D7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嵌入平板式</w:t>
            </w:r>
          </w:p>
        </w:tc>
        <w:tc>
          <w:tcPr>
            <w:tcW w:w="1074" w:type="dxa"/>
            <w:shd w:val="clear" w:color="auto" w:fill="FFFFFF"/>
            <w:noWrap/>
            <w:vAlign w:val="center"/>
          </w:tcPr>
          <w:p w14:paraId="0DDA03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1EA8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7C452B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2313" w:type="dxa"/>
            <w:shd w:val="clear" w:color="auto" w:fill="FFFFFF"/>
            <w:noWrap/>
            <w:vAlign w:val="center"/>
          </w:tcPr>
          <w:p w14:paraId="7053DB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桥架（厚度1.2mm）</w:t>
            </w:r>
          </w:p>
        </w:tc>
        <w:tc>
          <w:tcPr>
            <w:tcW w:w="1239" w:type="dxa"/>
            <w:shd w:val="clear" w:color="auto" w:fill="FFFFFF"/>
            <w:noWrap/>
            <w:vAlign w:val="center"/>
          </w:tcPr>
          <w:p w14:paraId="02F20D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宁波吉宁</w:t>
            </w:r>
          </w:p>
        </w:tc>
        <w:tc>
          <w:tcPr>
            <w:tcW w:w="1203" w:type="dxa"/>
            <w:shd w:val="clear" w:color="auto" w:fill="FFFFFF"/>
            <w:noWrap/>
            <w:vAlign w:val="center"/>
          </w:tcPr>
          <w:p w14:paraId="19B16F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天津萧通</w:t>
            </w:r>
          </w:p>
        </w:tc>
        <w:tc>
          <w:tcPr>
            <w:tcW w:w="1292" w:type="dxa"/>
            <w:shd w:val="clear" w:color="auto" w:fill="FFFFFF"/>
            <w:noWrap/>
            <w:vAlign w:val="center"/>
          </w:tcPr>
          <w:p w14:paraId="4DBBDB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杭州天一</w:t>
            </w:r>
          </w:p>
        </w:tc>
        <w:tc>
          <w:tcPr>
            <w:tcW w:w="1360" w:type="dxa"/>
            <w:shd w:val="clear" w:color="auto" w:fill="FFFFFF"/>
            <w:noWrap/>
            <w:vAlign w:val="center"/>
          </w:tcPr>
          <w:p w14:paraId="36FA60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704BAE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256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5F3029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c>
          <w:tcPr>
            <w:tcW w:w="2313" w:type="dxa"/>
            <w:shd w:val="clear" w:color="auto" w:fill="FFFFFF"/>
            <w:noWrap/>
            <w:vAlign w:val="center"/>
          </w:tcPr>
          <w:p w14:paraId="0DECD1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w:t>
            </w:r>
            <w:r>
              <w:rPr>
                <w:rFonts w:hint="eastAsia" w:ascii="宋体" w:hAnsi="宋体" w:eastAsia="宋体" w:cs="宋体"/>
                <w:color w:val="auto"/>
                <w:kern w:val="0"/>
                <w:sz w:val="21"/>
                <w:szCs w:val="21"/>
                <w:highlight w:val="none"/>
                <w:lang w:eastAsia="zh-CN"/>
              </w:rPr>
              <w:t>智能</w:t>
            </w:r>
            <w:r>
              <w:rPr>
                <w:rFonts w:hint="eastAsia" w:ascii="宋体" w:hAnsi="宋体" w:eastAsia="宋体" w:cs="宋体"/>
                <w:color w:val="auto"/>
                <w:kern w:val="0"/>
                <w:sz w:val="21"/>
                <w:szCs w:val="21"/>
                <w:highlight w:val="none"/>
              </w:rPr>
              <w:t>表</w:t>
            </w:r>
          </w:p>
        </w:tc>
        <w:tc>
          <w:tcPr>
            <w:tcW w:w="1239" w:type="dxa"/>
            <w:shd w:val="clear" w:color="auto" w:fill="FFFFFF"/>
            <w:noWrap/>
            <w:vAlign w:val="center"/>
          </w:tcPr>
          <w:p w14:paraId="78651C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埃美柯</w:t>
            </w:r>
          </w:p>
        </w:tc>
        <w:tc>
          <w:tcPr>
            <w:tcW w:w="1203" w:type="dxa"/>
            <w:shd w:val="clear" w:color="auto" w:fill="FFFFFF"/>
            <w:noWrap/>
            <w:vAlign w:val="center"/>
          </w:tcPr>
          <w:p w14:paraId="3E1AF7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东港</w:t>
            </w:r>
          </w:p>
        </w:tc>
        <w:tc>
          <w:tcPr>
            <w:tcW w:w="1292" w:type="dxa"/>
            <w:shd w:val="clear" w:color="auto" w:fill="FFFFFF"/>
            <w:noWrap/>
            <w:vAlign w:val="center"/>
          </w:tcPr>
          <w:p w14:paraId="64D742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常工电子</w:t>
            </w:r>
          </w:p>
        </w:tc>
        <w:tc>
          <w:tcPr>
            <w:tcW w:w="1360" w:type="dxa"/>
            <w:shd w:val="clear" w:color="auto" w:fill="FFFFFF"/>
            <w:noWrap/>
            <w:vAlign w:val="center"/>
          </w:tcPr>
          <w:p w14:paraId="7A2A7F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接入校园系统</w:t>
            </w:r>
          </w:p>
        </w:tc>
        <w:tc>
          <w:tcPr>
            <w:tcW w:w="1074" w:type="dxa"/>
            <w:shd w:val="clear" w:color="auto" w:fill="FFFFFF"/>
            <w:noWrap/>
            <w:vAlign w:val="center"/>
          </w:tcPr>
          <w:p w14:paraId="089CCE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p>
        </w:tc>
      </w:tr>
      <w:tr w14:paraId="47F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4A6ED2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2313" w:type="dxa"/>
            <w:shd w:val="clear" w:color="auto" w:fill="FFFFFF"/>
            <w:noWrap/>
            <w:vAlign w:val="center"/>
          </w:tcPr>
          <w:p w14:paraId="5E4EB6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六类网线</w:t>
            </w:r>
          </w:p>
        </w:tc>
        <w:tc>
          <w:tcPr>
            <w:tcW w:w="1239" w:type="dxa"/>
            <w:shd w:val="clear" w:color="auto" w:fill="FFFFFF"/>
            <w:noWrap/>
            <w:vAlign w:val="center"/>
          </w:tcPr>
          <w:p w14:paraId="6C393F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一舟</w:t>
            </w:r>
          </w:p>
        </w:tc>
        <w:tc>
          <w:tcPr>
            <w:tcW w:w="1203" w:type="dxa"/>
            <w:shd w:val="clear" w:color="auto" w:fill="FFFFFF"/>
            <w:noWrap/>
            <w:vAlign w:val="center"/>
          </w:tcPr>
          <w:p w14:paraId="7F5713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爱谱华顿</w:t>
            </w:r>
          </w:p>
        </w:tc>
        <w:tc>
          <w:tcPr>
            <w:tcW w:w="1292" w:type="dxa"/>
            <w:shd w:val="clear" w:color="auto" w:fill="FFFFFF"/>
            <w:noWrap/>
            <w:vAlign w:val="center"/>
          </w:tcPr>
          <w:p w14:paraId="324CA1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赛格</w:t>
            </w:r>
          </w:p>
        </w:tc>
        <w:tc>
          <w:tcPr>
            <w:tcW w:w="1360" w:type="dxa"/>
            <w:shd w:val="clear" w:color="auto" w:fill="FFFFFF"/>
            <w:noWrap/>
            <w:vAlign w:val="center"/>
          </w:tcPr>
          <w:p w14:paraId="35EAF3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755502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4B79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69DA88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0</w:t>
            </w:r>
          </w:p>
        </w:tc>
        <w:tc>
          <w:tcPr>
            <w:tcW w:w="2313" w:type="dxa"/>
            <w:shd w:val="clear" w:color="auto" w:fill="FFFFFF"/>
            <w:noWrap/>
            <w:vAlign w:val="center"/>
          </w:tcPr>
          <w:p w14:paraId="00E50C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一体化卫浴</w:t>
            </w:r>
          </w:p>
        </w:tc>
        <w:tc>
          <w:tcPr>
            <w:tcW w:w="1239" w:type="dxa"/>
            <w:shd w:val="clear" w:color="auto" w:fill="FFFFFF"/>
            <w:noWrap/>
            <w:vAlign w:val="center"/>
          </w:tcPr>
          <w:p w14:paraId="657FEF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苏州科逸</w:t>
            </w:r>
          </w:p>
        </w:tc>
        <w:tc>
          <w:tcPr>
            <w:tcW w:w="1203" w:type="dxa"/>
            <w:shd w:val="clear" w:color="auto" w:fill="FFFFFF"/>
            <w:noWrap/>
            <w:vAlign w:val="center"/>
          </w:tcPr>
          <w:p w14:paraId="387A47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常州润发</w:t>
            </w:r>
          </w:p>
        </w:tc>
        <w:tc>
          <w:tcPr>
            <w:tcW w:w="1292" w:type="dxa"/>
            <w:shd w:val="clear" w:color="auto" w:fill="FFFFFF"/>
            <w:noWrap/>
            <w:vAlign w:val="center"/>
          </w:tcPr>
          <w:p w14:paraId="6EF00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eastAsia="zh-CN"/>
              </w:rPr>
              <w:t>浙江凯玛</w:t>
            </w:r>
          </w:p>
        </w:tc>
        <w:tc>
          <w:tcPr>
            <w:tcW w:w="1360" w:type="dxa"/>
            <w:shd w:val="clear" w:color="auto" w:fill="FFFFFF"/>
            <w:noWrap/>
            <w:vAlign w:val="center"/>
          </w:tcPr>
          <w:p w14:paraId="14EC8A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2C6509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7E1D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0897E3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2313" w:type="dxa"/>
            <w:shd w:val="clear" w:color="auto" w:fill="FFFFFF"/>
            <w:noWrap/>
            <w:vAlign w:val="center"/>
          </w:tcPr>
          <w:p w14:paraId="26D58E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信息面板含模块</w:t>
            </w:r>
          </w:p>
        </w:tc>
        <w:tc>
          <w:tcPr>
            <w:tcW w:w="1239" w:type="dxa"/>
            <w:shd w:val="clear" w:color="auto" w:fill="FFFFFF"/>
            <w:noWrap/>
            <w:vAlign w:val="center"/>
          </w:tcPr>
          <w:p w14:paraId="18B080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鸿雁</w:t>
            </w:r>
          </w:p>
        </w:tc>
        <w:tc>
          <w:tcPr>
            <w:tcW w:w="1203" w:type="dxa"/>
            <w:shd w:val="clear" w:color="auto" w:fill="FFFFFF"/>
            <w:noWrap/>
            <w:vAlign w:val="center"/>
          </w:tcPr>
          <w:p w14:paraId="7A2F24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TCL</w:t>
            </w:r>
          </w:p>
        </w:tc>
        <w:tc>
          <w:tcPr>
            <w:tcW w:w="1292" w:type="dxa"/>
            <w:shd w:val="clear" w:color="auto" w:fill="FFFFFF"/>
            <w:noWrap/>
            <w:vAlign w:val="center"/>
          </w:tcPr>
          <w:p w14:paraId="15708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公牛</w:t>
            </w:r>
          </w:p>
        </w:tc>
        <w:tc>
          <w:tcPr>
            <w:tcW w:w="1360" w:type="dxa"/>
            <w:shd w:val="clear" w:color="auto" w:fill="FFFFFF"/>
            <w:noWrap/>
            <w:vAlign w:val="center"/>
          </w:tcPr>
          <w:p w14:paraId="38819C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3637DE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26D9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90" w:type="dxa"/>
            <w:shd w:val="clear" w:color="auto" w:fill="FFFFFF"/>
            <w:noWrap/>
            <w:vAlign w:val="center"/>
          </w:tcPr>
          <w:p w14:paraId="32FC46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2313" w:type="dxa"/>
            <w:shd w:val="clear" w:color="auto" w:fill="FFFFFF"/>
            <w:noWrap/>
            <w:vAlign w:val="center"/>
          </w:tcPr>
          <w:p w14:paraId="2D0456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网络水晶头</w:t>
            </w:r>
          </w:p>
        </w:tc>
        <w:tc>
          <w:tcPr>
            <w:tcW w:w="1239" w:type="dxa"/>
            <w:shd w:val="clear" w:color="auto" w:fill="FFFFFF"/>
            <w:noWrap/>
            <w:vAlign w:val="center"/>
          </w:tcPr>
          <w:p w14:paraId="54540D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安普</w:t>
            </w:r>
          </w:p>
        </w:tc>
        <w:tc>
          <w:tcPr>
            <w:tcW w:w="1203" w:type="dxa"/>
            <w:shd w:val="clear" w:color="auto" w:fill="FFFFFF"/>
            <w:noWrap/>
            <w:vAlign w:val="center"/>
          </w:tcPr>
          <w:p w14:paraId="00BD74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绿联</w:t>
            </w:r>
          </w:p>
        </w:tc>
        <w:tc>
          <w:tcPr>
            <w:tcW w:w="1292" w:type="dxa"/>
            <w:shd w:val="clear" w:color="auto" w:fill="FFFFFF"/>
            <w:noWrap/>
            <w:vAlign w:val="center"/>
          </w:tcPr>
          <w:p w14:paraId="139211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赛格</w:t>
            </w:r>
          </w:p>
        </w:tc>
        <w:tc>
          <w:tcPr>
            <w:tcW w:w="1360" w:type="dxa"/>
            <w:shd w:val="clear" w:color="auto" w:fill="FFFFFF"/>
            <w:noWrap/>
            <w:vAlign w:val="center"/>
          </w:tcPr>
          <w:p w14:paraId="6AA202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c>
          <w:tcPr>
            <w:tcW w:w="1074" w:type="dxa"/>
            <w:shd w:val="clear" w:color="auto" w:fill="FFFFFF"/>
            <w:noWrap/>
            <w:vAlign w:val="center"/>
          </w:tcPr>
          <w:p w14:paraId="702024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p>
        </w:tc>
      </w:tr>
      <w:tr w14:paraId="5A1C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71" w:type="dxa"/>
            <w:gridSpan w:val="7"/>
            <w:shd w:val="clear" w:color="auto" w:fill="FFFFFF"/>
            <w:noWrap/>
            <w:vAlign w:val="center"/>
          </w:tcPr>
          <w:p w14:paraId="15CAD3DF">
            <w:pPr>
              <w:widowControl/>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w:t>
            </w:r>
          </w:p>
          <w:p w14:paraId="52CE33C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人在招标文件中确认的材料品牌是招标人认为适合本工程，投标人应积极响应，品牌投标时应三者选其一。投标人也可以选择材料品牌及材料性能不低于招标人选用的其他品牌的材料进行报价，应在技术标中详细说明偏离情况并提供有关技术参数对照资料。如经评标委员会三分之二以上评标委员会认定投标人响应的材料品牌及材料性能低于招标人要求的材料品牌，则作否决投标处理。（若投标人在投标文件中只填写“响应招标要求”或并没有明确选用一个品牌，中标后，由招标人选择品牌）</w:t>
            </w:r>
            <w:r>
              <w:rPr>
                <w:rFonts w:hint="eastAsia" w:ascii="宋体" w:hAnsi="宋体" w:eastAsia="宋体" w:cs="宋体"/>
                <w:color w:val="auto"/>
                <w:kern w:val="0"/>
                <w:sz w:val="21"/>
                <w:szCs w:val="21"/>
                <w:highlight w:val="none"/>
                <w:lang w:eastAsia="zh-CN"/>
              </w:rPr>
              <w:t>。</w:t>
            </w:r>
          </w:p>
        </w:tc>
      </w:tr>
    </w:tbl>
    <w:p w14:paraId="5B36D009">
      <w:pPr>
        <w:snapToGrid w:val="0"/>
        <w:spacing w:line="360" w:lineRule="auto"/>
        <w:ind w:firstLine="480" w:firstLineChars="200"/>
        <w:jc w:val="center"/>
        <w:rPr>
          <w:rFonts w:hint="eastAsia" w:ascii="宋体" w:hAnsi="宋体" w:cs="宋体"/>
          <w:color w:val="auto"/>
          <w:kern w:val="0"/>
          <w:sz w:val="24"/>
          <w:highlight w:val="none"/>
          <w:lang w:val="zh-CN"/>
        </w:rPr>
      </w:pPr>
    </w:p>
    <w:p w14:paraId="59050330">
      <w:pPr>
        <w:snapToGrid w:val="0"/>
        <w:spacing w:line="360" w:lineRule="auto"/>
        <w:jc w:val="both"/>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 xml:space="preserve">供应商（盖章）：                              </w:t>
      </w:r>
    </w:p>
    <w:p w14:paraId="35A94F63">
      <w:pPr>
        <w:spacing w:line="360" w:lineRule="auto"/>
        <w:jc w:val="both"/>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 xml:space="preserve">日期： </w:t>
      </w:r>
    </w:p>
    <w:p w14:paraId="29C38676">
      <w:pPr>
        <w:widowControl w:val="0"/>
        <w:numPr>
          <w:ilvl w:val="0"/>
          <w:numId w:val="0"/>
        </w:numPr>
        <w:adjustRightInd w:val="0"/>
        <w:jc w:val="both"/>
        <w:rPr>
          <w:rFonts w:hint="default" w:ascii="宋体" w:hAnsi="宋体" w:cs="宋体"/>
          <w:b/>
          <w:color w:val="auto"/>
          <w:kern w:val="0"/>
          <w:sz w:val="32"/>
          <w:szCs w:val="32"/>
          <w:highlight w:val="none"/>
          <w:lang w:val="en-US" w:eastAsia="zh-CN"/>
        </w:rPr>
        <w:sectPr>
          <w:pgSz w:w="11905" w:h="16838"/>
          <w:pgMar w:top="1417" w:right="1417" w:bottom="1417" w:left="1417" w:header="850" w:footer="992" w:gutter="0"/>
          <w:cols w:space="0" w:num="1"/>
          <w:titlePg/>
          <w:rtlGutter w:val="0"/>
          <w:docGrid w:linePitch="312" w:charSpace="0"/>
        </w:sectPr>
      </w:pPr>
    </w:p>
    <w:p w14:paraId="241F9AFD">
      <w:pPr>
        <w:spacing w:line="360" w:lineRule="auto"/>
        <w:ind w:firstLine="723" w:firstLineChars="200"/>
        <w:jc w:val="center"/>
        <w:outlineLvl w:val="0"/>
        <w:rPr>
          <w:rFonts w:ascii="宋体" w:hAnsi="宋体" w:cs="宋体"/>
          <w:b/>
          <w:color w:val="auto"/>
          <w:kern w:val="0"/>
          <w:sz w:val="36"/>
          <w:szCs w:val="36"/>
          <w:highlight w:val="none"/>
        </w:rPr>
      </w:pPr>
      <w:bookmarkStart w:id="722" w:name="_Toc26780"/>
      <w:r>
        <w:rPr>
          <w:rFonts w:hint="eastAsia" w:ascii="宋体" w:hAnsi="宋体" w:cs="宋体"/>
          <w:b/>
          <w:color w:val="auto"/>
          <w:kern w:val="0"/>
          <w:sz w:val="36"/>
          <w:szCs w:val="36"/>
          <w:highlight w:val="none"/>
        </w:rPr>
        <w:t>报价文件部分</w:t>
      </w:r>
      <w:bookmarkEnd w:id="722"/>
    </w:p>
    <w:p w14:paraId="395416AE">
      <w:pPr>
        <w:spacing w:line="360" w:lineRule="auto"/>
        <w:ind w:firstLine="723" w:firstLineChars="200"/>
        <w:jc w:val="center"/>
        <w:outlineLvl w:val="0"/>
        <w:rPr>
          <w:rFonts w:ascii="宋体" w:hAnsi="宋体" w:cs="宋体"/>
          <w:b/>
          <w:color w:val="auto"/>
          <w:kern w:val="0"/>
          <w:sz w:val="36"/>
          <w:szCs w:val="36"/>
          <w:highlight w:val="none"/>
        </w:rPr>
      </w:pPr>
      <w:bookmarkStart w:id="723" w:name="_Toc28096"/>
      <w:r>
        <w:rPr>
          <w:rFonts w:hint="eastAsia" w:ascii="宋体" w:hAnsi="宋体" w:cs="宋体"/>
          <w:b/>
          <w:color w:val="auto"/>
          <w:kern w:val="0"/>
          <w:sz w:val="36"/>
          <w:szCs w:val="36"/>
          <w:highlight w:val="none"/>
        </w:rPr>
        <w:t>目录</w:t>
      </w:r>
      <w:bookmarkEnd w:id="723"/>
    </w:p>
    <w:p w14:paraId="093158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（1）报价单…………………………………………………………………（页码）</w:t>
      </w:r>
    </w:p>
    <w:p w14:paraId="590212B8">
      <w:pPr>
        <w:snapToGrid w:val="0"/>
        <w:spacing w:line="360" w:lineRule="auto"/>
        <w:ind w:right="480" w:firstLine="643" w:firstLineChars="200"/>
        <w:jc w:val="both"/>
        <w:rPr>
          <w:rFonts w:ascii="宋体" w:hAnsi="宋体" w:cs="宋体"/>
          <w:b/>
          <w:color w:val="auto"/>
          <w:kern w:val="0"/>
          <w:sz w:val="32"/>
          <w:szCs w:val="32"/>
          <w:highlight w:val="none"/>
        </w:rPr>
      </w:pPr>
    </w:p>
    <w:p w14:paraId="55F731C0">
      <w:pPr>
        <w:snapToGrid w:val="0"/>
        <w:spacing w:line="360" w:lineRule="auto"/>
        <w:ind w:right="480" w:firstLine="643" w:firstLineChars="200"/>
        <w:jc w:val="center"/>
        <w:rPr>
          <w:rFonts w:ascii="宋体" w:hAnsi="宋体" w:cs="宋体"/>
          <w:b/>
          <w:color w:val="auto"/>
          <w:kern w:val="0"/>
          <w:sz w:val="32"/>
          <w:szCs w:val="32"/>
          <w:highlight w:val="none"/>
        </w:rPr>
      </w:pPr>
    </w:p>
    <w:p w14:paraId="10415293">
      <w:pPr>
        <w:snapToGrid w:val="0"/>
        <w:spacing w:line="360" w:lineRule="auto"/>
        <w:ind w:right="480" w:firstLine="643" w:firstLineChars="200"/>
        <w:jc w:val="center"/>
        <w:rPr>
          <w:rFonts w:ascii="宋体" w:hAnsi="宋体" w:cs="宋体"/>
          <w:b/>
          <w:color w:val="auto"/>
          <w:kern w:val="0"/>
          <w:sz w:val="32"/>
          <w:szCs w:val="32"/>
          <w:highlight w:val="none"/>
        </w:rPr>
      </w:pPr>
    </w:p>
    <w:p w14:paraId="67D22545">
      <w:pPr>
        <w:snapToGrid w:val="0"/>
        <w:spacing w:line="360" w:lineRule="auto"/>
        <w:ind w:right="480" w:firstLine="643" w:firstLineChars="200"/>
        <w:jc w:val="center"/>
        <w:rPr>
          <w:rFonts w:ascii="宋体" w:hAnsi="宋体" w:cs="宋体"/>
          <w:b/>
          <w:color w:val="auto"/>
          <w:kern w:val="0"/>
          <w:sz w:val="32"/>
          <w:szCs w:val="32"/>
          <w:highlight w:val="none"/>
        </w:rPr>
      </w:pPr>
    </w:p>
    <w:p w14:paraId="7534692E">
      <w:pPr>
        <w:snapToGrid w:val="0"/>
        <w:spacing w:line="360" w:lineRule="auto"/>
        <w:ind w:right="480" w:firstLine="643" w:firstLineChars="200"/>
        <w:jc w:val="center"/>
        <w:rPr>
          <w:rFonts w:ascii="宋体" w:hAnsi="宋体" w:cs="宋体"/>
          <w:b/>
          <w:color w:val="auto"/>
          <w:kern w:val="0"/>
          <w:sz w:val="32"/>
          <w:szCs w:val="32"/>
          <w:highlight w:val="none"/>
        </w:rPr>
      </w:pPr>
    </w:p>
    <w:p w14:paraId="360EB1E0">
      <w:pPr>
        <w:snapToGrid w:val="0"/>
        <w:spacing w:line="360" w:lineRule="auto"/>
        <w:ind w:right="480" w:firstLine="643" w:firstLineChars="200"/>
        <w:jc w:val="center"/>
        <w:rPr>
          <w:rFonts w:ascii="宋体" w:hAnsi="宋体" w:cs="宋体"/>
          <w:b/>
          <w:color w:val="auto"/>
          <w:kern w:val="0"/>
          <w:sz w:val="32"/>
          <w:szCs w:val="32"/>
          <w:highlight w:val="none"/>
        </w:rPr>
      </w:pPr>
    </w:p>
    <w:p w14:paraId="51D9B23A">
      <w:pPr>
        <w:snapToGrid w:val="0"/>
        <w:spacing w:line="360" w:lineRule="auto"/>
        <w:ind w:right="480" w:firstLine="643" w:firstLineChars="200"/>
        <w:jc w:val="center"/>
        <w:rPr>
          <w:rFonts w:ascii="宋体" w:hAnsi="宋体" w:cs="宋体"/>
          <w:b/>
          <w:color w:val="auto"/>
          <w:kern w:val="0"/>
          <w:sz w:val="32"/>
          <w:szCs w:val="32"/>
          <w:highlight w:val="none"/>
        </w:rPr>
      </w:pPr>
    </w:p>
    <w:p w14:paraId="1700B4F3">
      <w:pPr>
        <w:snapToGrid w:val="0"/>
        <w:spacing w:line="360" w:lineRule="auto"/>
        <w:ind w:right="480" w:firstLine="643" w:firstLineChars="200"/>
        <w:jc w:val="center"/>
        <w:rPr>
          <w:rFonts w:ascii="宋体" w:hAnsi="宋体" w:cs="宋体"/>
          <w:b/>
          <w:color w:val="auto"/>
          <w:kern w:val="0"/>
          <w:sz w:val="32"/>
          <w:szCs w:val="32"/>
          <w:highlight w:val="none"/>
        </w:rPr>
      </w:pPr>
    </w:p>
    <w:p w14:paraId="40CD79B1">
      <w:pPr>
        <w:snapToGrid w:val="0"/>
        <w:spacing w:line="360" w:lineRule="auto"/>
        <w:ind w:right="480" w:firstLine="643" w:firstLineChars="200"/>
        <w:jc w:val="center"/>
        <w:rPr>
          <w:rFonts w:ascii="宋体" w:hAnsi="宋体" w:cs="宋体"/>
          <w:b/>
          <w:color w:val="auto"/>
          <w:kern w:val="0"/>
          <w:sz w:val="32"/>
          <w:szCs w:val="32"/>
          <w:highlight w:val="none"/>
        </w:rPr>
      </w:pPr>
    </w:p>
    <w:p w14:paraId="50E3F96D">
      <w:pPr>
        <w:snapToGrid w:val="0"/>
        <w:spacing w:line="360" w:lineRule="auto"/>
        <w:ind w:right="480" w:firstLine="643" w:firstLineChars="200"/>
        <w:jc w:val="center"/>
        <w:rPr>
          <w:rFonts w:ascii="宋体" w:hAnsi="宋体" w:cs="宋体"/>
          <w:b/>
          <w:color w:val="auto"/>
          <w:kern w:val="0"/>
          <w:sz w:val="32"/>
          <w:szCs w:val="32"/>
          <w:highlight w:val="none"/>
        </w:rPr>
      </w:pPr>
    </w:p>
    <w:p w14:paraId="6EAFDB81">
      <w:pPr>
        <w:snapToGrid w:val="0"/>
        <w:spacing w:line="360" w:lineRule="auto"/>
        <w:ind w:right="480" w:firstLine="643" w:firstLineChars="200"/>
        <w:jc w:val="center"/>
        <w:rPr>
          <w:rFonts w:ascii="宋体" w:hAnsi="宋体" w:cs="宋体"/>
          <w:b/>
          <w:color w:val="auto"/>
          <w:kern w:val="0"/>
          <w:sz w:val="32"/>
          <w:szCs w:val="32"/>
          <w:highlight w:val="none"/>
        </w:rPr>
      </w:pPr>
    </w:p>
    <w:p w14:paraId="5D66586E">
      <w:pPr>
        <w:snapToGrid w:val="0"/>
        <w:spacing w:line="360" w:lineRule="auto"/>
        <w:ind w:right="480" w:firstLine="643" w:firstLineChars="200"/>
        <w:jc w:val="center"/>
        <w:rPr>
          <w:rFonts w:ascii="宋体" w:hAnsi="宋体" w:cs="宋体"/>
          <w:b/>
          <w:color w:val="auto"/>
          <w:kern w:val="0"/>
          <w:sz w:val="32"/>
          <w:szCs w:val="32"/>
          <w:highlight w:val="none"/>
        </w:rPr>
      </w:pPr>
    </w:p>
    <w:p w14:paraId="49BEB0C1">
      <w:pPr>
        <w:snapToGrid w:val="0"/>
        <w:spacing w:line="360" w:lineRule="auto"/>
        <w:ind w:right="480" w:firstLine="643" w:firstLineChars="200"/>
        <w:jc w:val="center"/>
        <w:rPr>
          <w:rFonts w:ascii="宋体" w:hAnsi="宋体" w:cs="宋体"/>
          <w:b/>
          <w:color w:val="auto"/>
          <w:kern w:val="0"/>
          <w:sz w:val="32"/>
          <w:szCs w:val="32"/>
          <w:highlight w:val="none"/>
        </w:rPr>
      </w:pPr>
    </w:p>
    <w:p w14:paraId="51A05B20">
      <w:pPr>
        <w:snapToGrid w:val="0"/>
        <w:spacing w:line="360" w:lineRule="auto"/>
        <w:ind w:right="480" w:firstLine="643" w:firstLineChars="200"/>
        <w:jc w:val="center"/>
        <w:rPr>
          <w:rFonts w:ascii="宋体" w:hAnsi="宋体" w:cs="宋体"/>
          <w:b/>
          <w:color w:val="auto"/>
          <w:kern w:val="0"/>
          <w:sz w:val="32"/>
          <w:szCs w:val="32"/>
          <w:highlight w:val="none"/>
        </w:rPr>
      </w:pPr>
    </w:p>
    <w:p w14:paraId="1760EAA4">
      <w:pPr>
        <w:pStyle w:val="691"/>
        <w:keepNext w:val="0"/>
        <w:pageBreakBefore w:val="0"/>
        <w:tabs>
          <w:tab w:val="clear" w:pos="720"/>
        </w:tabs>
        <w:snapToGrid w:val="0"/>
        <w:spacing w:before="120" w:after="120"/>
        <w:ind w:firstLine="643" w:firstLineChars="200"/>
        <w:outlineLvl w:val="9"/>
        <w:rPr>
          <w:rFonts w:ascii="宋体" w:hAnsi="宋体" w:eastAsia="宋体" w:cs="宋体"/>
          <w:color w:val="auto"/>
          <w:kern w:val="2"/>
          <w:sz w:val="32"/>
          <w:szCs w:val="32"/>
          <w:highlight w:val="none"/>
        </w:rPr>
        <w:sectPr>
          <w:footerReference r:id="rId17" w:type="first"/>
          <w:headerReference r:id="rId15" w:type="default"/>
          <w:footerReference r:id="rId16" w:type="default"/>
          <w:pgSz w:w="11905" w:h="16838"/>
          <w:pgMar w:top="1417" w:right="1417" w:bottom="1417" w:left="1417" w:header="850" w:footer="992" w:gutter="0"/>
          <w:cols w:space="0" w:num="1"/>
          <w:titlePg/>
          <w:rtlGutter w:val="0"/>
          <w:docGrid w:linePitch="312" w:charSpace="0"/>
        </w:sectPr>
      </w:pPr>
    </w:p>
    <w:p w14:paraId="60B3E9CE">
      <w:pPr>
        <w:pStyle w:val="691"/>
        <w:keepNext w:val="0"/>
        <w:pageBreakBefore w:val="0"/>
        <w:tabs>
          <w:tab w:val="clear" w:pos="720"/>
        </w:tabs>
        <w:snapToGrid w:val="0"/>
        <w:spacing w:before="120" w:after="120"/>
        <w:ind w:firstLine="643" w:firstLineChars="200"/>
        <w:outlineLvl w:val="9"/>
        <w:rPr>
          <w:rFonts w:ascii="宋体" w:hAnsi="宋体" w:eastAsia="宋体" w:cs="宋体"/>
          <w:color w:val="auto"/>
          <w:kern w:val="2"/>
          <w:sz w:val="32"/>
          <w:szCs w:val="32"/>
          <w:highlight w:val="none"/>
        </w:rPr>
      </w:pPr>
      <w:bookmarkStart w:id="724" w:name="_Toc24666"/>
      <w:r>
        <w:rPr>
          <w:rFonts w:hint="eastAsia" w:ascii="宋体" w:hAnsi="宋体" w:eastAsia="宋体" w:cs="宋体"/>
          <w:color w:val="auto"/>
          <w:kern w:val="2"/>
          <w:sz w:val="32"/>
          <w:szCs w:val="32"/>
          <w:highlight w:val="none"/>
        </w:rPr>
        <w:t>一、报价单（初次报价）</w:t>
      </w:r>
      <w:bookmarkEnd w:id="724"/>
    </w:p>
    <w:p w14:paraId="37CD9CD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59E8C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按你方招标文件要求，我们，本响应文件签字方，谨此向你方发出要约如下：如你方接受本投标，我方承诺按照如下报价单的价格完成</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610"/>
        <w:gridCol w:w="1554"/>
        <w:gridCol w:w="1795"/>
        <w:gridCol w:w="1699"/>
      </w:tblGrid>
      <w:tr w14:paraId="7921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8" w:type="dxa"/>
            <w:vAlign w:val="center"/>
          </w:tcPr>
          <w:p w14:paraId="08974175">
            <w:pPr>
              <w:spacing w:line="360" w:lineRule="auto"/>
              <w:jc w:val="center"/>
              <w:rPr>
                <w:rFonts w:ascii="宋体" w:hAnsi="宋体"/>
                <w:b/>
                <w:bCs/>
                <w:color w:val="auto"/>
                <w:sz w:val="24"/>
                <w:highlight w:val="none"/>
              </w:rPr>
            </w:pPr>
            <w:r>
              <w:rPr>
                <w:rFonts w:hint="eastAsia" w:ascii="宋体" w:hAnsi="宋体"/>
                <w:b/>
                <w:bCs/>
                <w:color w:val="auto"/>
                <w:sz w:val="24"/>
                <w:highlight w:val="none"/>
              </w:rPr>
              <w:t>项目内容</w:t>
            </w:r>
          </w:p>
        </w:tc>
        <w:tc>
          <w:tcPr>
            <w:tcW w:w="1610" w:type="dxa"/>
            <w:vAlign w:val="center"/>
          </w:tcPr>
          <w:p w14:paraId="6D7B314F">
            <w:pPr>
              <w:spacing w:line="360" w:lineRule="auto"/>
              <w:jc w:val="center"/>
              <w:rPr>
                <w:rFonts w:ascii="宋体" w:hAnsi="宋体"/>
                <w:b/>
                <w:bCs/>
                <w:color w:val="auto"/>
                <w:sz w:val="24"/>
                <w:highlight w:val="none"/>
              </w:rPr>
            </w:pPr>
            <w:r>
              <w:rPr>
                <w:rFonts w:hint="eastAsia" w:ascii="宋体" w:hAnsi="宋体"/>
                <w:b/>
                <w:bCs/>
                <w:color w:val="auto"/>
                <w:sz w:val="24"/>
                <w:highlight w:val="none"/>
              </w:rPr>
              <w:t>报价（万元）</w:t>
            </w:r>
          </w:p>
        </w:tc>
        <w:tc>
          <w:tcPr>
            <w:tcW w:w="1554" w:type="dxa"/>
            <w:vAlign w:val="center"/>
          </w:tcPr>
          <w:p w14:paraId="5D4623DF">
            <w:pPr>
              <w:spacing w:line="360" w:lineRule="auto"/>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投标折扣率</w:t>
            </w:r>
          </w:p>
        </w:tc>
        <w:tc>
          <w:tcPr>
            <w:tcW w:w="1795" w:type="dxa"/>
            <w:vAlign w:val="center"/>
          </w:tcPr>
          <w:p w14:paraId="4EB3B3AD">
            <w:pPr>
              <w:spacing w:line="360" w:lineRule="auto"/>
              <w:jc w:val="center"/>
              <w:rPr>
                <w:rFonts w:ascii="宋体" w:hAnsi="宋体"/>
                <w:b/>
                <w:bCs/>
                <w:color w:val="auto"/>
                <w:sz w:val="24"/>
                <w:highlight w:val="none"/>
              </w:rPr>
            </w:pPr>
            <w:r>
              <w:rPr>
                <w:rFonts w:hint="eastAsia" w:ascii="宋体" w:hAnsi="宋体"/>
                <w:b/>
                <w:bCs/>
                <w:color w:val="auto"/>
                <w:sz w:val="24"/>
                <w:highlight w:val="none"/>
              </w:rPr>
              <w:t>报价（万元）</w:t>
            </w:r>
          </w:p>
        </w:tc>
        <w:tc>
          <w:tcPr>
            <w:tcW w:w="1699" w:type="dxa"/>
            <w:vAlign w:val="center"/>
          </w:tcPr>
          <w:p w14:paraId="66310894">
            <w:pPr>
              <w:spacing w:line="360" w:lineRule="auto"/>
              <w:jc w:val="center"/>
              <w:rPr>
                <w:rFonts w:ascii="宋体" w:hAnsi="宋体"/>
                <w:b/>
                <w:bCs/>
                <w:color w:val="auto"/>
                <w:sz w:val="24"/>
                <w:highlight w:val="none"/>
              </w:rPr>
            </w:pPr>
            <w:r>
              <w:rPr>
                <w:rFonts w:hint="eastAsia" w:ascii="宋体" w:hAnsi="宋体"/>
                <w:b/>
                <w:bCs/>
                <w:color w:val="auto"/>
                <w:sz w:val="24"/>
                <w:highlight w:val="none"/>
              </w:rPr>
              <w:t>备注</w:t>
            </w:r>
          </w:p>
        </w:tc>
      </w:tr>
      <w:tr w14:paraId="2EA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18" w:type="dxa"/>
            <w:vAlign w:val="center"/>
          </w:tcPr>
          <w:p w14:paraId="18E25353">
            <w:pPr>
              <w:spacing w:line="360" w:lineRule="auto"/>
              <w:rPr>
                <w:rFonts w:ascii="宋体" w:hAnsi="宋体"/>
                <w:color w:val="auto"/>
                <w:sz w:val="24"/>
                <w:highlight w:val="none"/>
              </w:rPr>
            </w:pPr>
            <w:r>
              <w:rPr>
                <w:rFonts w:hint="eastAsia" w:ascii="宋体" w:hAnsi="宋体"/>
                <w:bCs/>
                <w:color w:val="auto"/>
                <w:sz w:val="24"/>
                <w:highlight w:val="none"/>
              </w:rPr>
              <w:t>1.最高投标限价（扣除</w:t>
            </w:r>
            <w:r>
              <w:rPr>
                <w:rFonts w:hint="eastAsia" w:ascii="宋体" w:hAnsi="宋体"/>
                <w:color w:val="auto"/>
                <w:sz w:val="24"/>
                <w:highlight w:val="none"/>
              </w:rPr>
              <w:t>暂估价、暂列金额、不可竞争费</w:t>
            </w:r>
            <w:r>
              <w:rPr>
                <w:rFonts w:hint="eastAsia" w:ascii="宋体" w:hAnsi="宋体"/>
                <w:bCs/>
                <w:color w:val="auto"/>
                <w:sz w:val="24"/>
                <w:highlight w:val="none"/>
              </w:rPr>
              <w:t>）</w:t>
            </w:r>
          </w:p>
        </w:tc>
        <w:tc>
          <w:tcPr>
            <w:tcW w:w="1610" w:type="dxa"/>
            <w:vAlign w:val="center"/>
          </w:tcPr>
          <w:p w14:paraId="34381192">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344.0108</w:t>
            </w:r>
          </w:p>
        </w:tc>
        <w:tc>
          <w:tcPr>
            <w:tcW w:w="1554" w:type="dxa"/>
            <w:vAlign w:val="center"/>
          </w:tcPr>
          <w:p w14:paraId="283FA5E5">
            <w:pPr>
              <w:spacing w:line="360" w:lineRule="auto"/>
              <w:jc w:val="center"/>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1795" w:type="dxa"/>
            <w:vAlign w:val="center"/>
          </w:tcPr>
          <w:p w14:paraId="64898534">
            <w:pPr>
              <w:spacing w:line="360" w:lineRule="auto"/>
              <w:jc w:val="center"/>
              <w:rPr>
                <w:rFonts w:ascii="宋体" w:hAnsi="宋体"/>
                <w:color w:val="auto"/>
                <w:sz w:val="24"/>
                <w:highlight w:val="none"/>
              </w:rPr>
            </w:pPr>
          </w:p>
        </w:tc>
        <w:tc>
          <w:tcPr>
            <w:tcW w:w="1699" w:type="dxa"/>
            <w:vAlign w:val="center"/>
          </w:tcPr>
          <w:p w14:paraId="78B02FAA">
            <w:pPr>
              <w:spacing w:line="360" w:lineRule="auto"/>
              <w:rPr>
                <w:rFonts w:hint="default" w:ascii="宋体" w:hAnsi="宋体" w:eastAsia="宋体"/>
                <w:color w:val="auto"/>
                <w:sz w:val="24"/>
                <w:highlight w:val="none"/>
                <w:lang w:val="en-US" w:eastAsia="zh-CN"/>
              </w:rPr>
            </w:pPr>
            <w:r>
              <w:rPr>
                <w:rFonts w:hint="eastAsia" w:ascii="宋体" w:hAnsi="宋体"/>
                <w:b/>
                <w:bCs/>
                <w:color w:val="auto"/>
                <w:sz w:val="24"/>
                <w:highlight w:val="none"/>
                <w:lang w:val="en-US" w:eastAsia="zh-CN"/>
              </w:rPr>
              <w:t>按采购人提供的预算书为基础。</w:t>
            </w:r>
          </w:p>
        </w:tc>
      </w:tr>
      <w:tr w14:paraId="780C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418" w:type="dxa"/>
            <w:vAlign w:val="center"/>
          </w:tcPr>
          <w:p w14:paraId="6DE22DAF">
            <w:pPr>
              <w:spacing w:line="360" w:lineRule="auto"/>
              <w:rPr>
                <w:rFonts w:ascii="宋体" w:hAnsi="宋体"/>
                <w:bCs/>
                <w:color w:val="auto"/>
                <w:sz w:val="24"/>
                <w:highlight w:val="none"/>
              </w:rPr>
            </w:pPr>
            <w:r>
              <w:rPr>
                <w:rFonts w:hint="eastAsia" w:ascii="宋体" w:hAnsi="宋体"/>
                <w:color w:val="auto"/>
                <w:sz w:val="24"/>
                <w:highlight w:val="none"/>
              </w:rPr>
              <w:t>2.暂估价、暂列金额、不可竞争费</w:t>
            </w:r>
          </w:p>
        </w:tc>
        <w:tc>
          <w:tcPr>
            <w:tcW w:w="1610" w:type="dxa"/>
            <w:tcBorders>
              <w:bottom w:val="nil"/>
            </w:tcBorders>
            <w:vAlign w:val="center"/>
          </w:tcPr>
          <w:p w14:paraId="273988D8">
            <w:pPr>
              <w:spacing w:line="360" w:lineRule="auto"/>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0</w:t>
            </w:r>
          </w:p>
        </w:tc>
        <w:tc>
          <w:tcPr>
            <w:tcW w:w="1554" w:type="dxa"/>
            <w:tcBorders>
              <w:bottom w:val="nil"/>
            </w:tcBorders>
            <w:vAlign w:val="center"/>
          </w:tcPr>
          <w:p w14:paraId="41900EFE">
            <w:pPr>
              <w:spacing w:line="360" w:lineRule="auto"/>
              <w:jc w:val="center"/>
              <w:rPr>
                <w:rFonts w:ascii="宋体" w:hAnsi="宋体"/>
                <w:color w:val="auto"/>
                <w:sz w:val="24"/>
                <w:highlight w:val="none"/>
              </w:rPr>
            </w:pPr>
            <w:r>
              <w:rPr>
                <w:rFonts w:hint="eastAsia" w:ascii="宋体" w:hAnsi="宋体"/>
                <w:color w:val="auto"/>
                <w:sz w:val="24"/>
                <w:highlight w:val="none"/>
              </w:rPr>
              <w:t>不参与下浮</w:t>
            </w:r>
          </w:p>
        </w:tc>
        <w:tc>
          <w:tcPr>
            <w:tcW w:w="1795" w:type="dxa"/>
            <w:tcBorders>
              <w:bottom w:val="nil"/>
            </w:tcBorders>
            <w:vAlign w:val="center"/>
          </w:tcPr>
          <w:p w14:paraId="5887A02A">
            <w:pPr>
              <w:spacing w:line="360" w:lineRule="auto"/>
              <w:jc w:val="center"/>
              <w:rPr>
                <w:rFonts w:ascii="宋体" w:hAnsi="宋体"/>
                <w:color w:val="auto"/>
                <w:sz w:val="24"/>
                <w:highlight w:val="none"/>
              </w:rPr>
            </w:pPr>
          </w:p>
        </w:tc>
        <w:tc>
          <w:tcPr>
            <w:tcW w:w="1699" w:type="dxa"/>
            <w:tcBorders>
              <w:bottom w:val="nil"/>
            </w:tcBorders>
            <w:vAlign w:val="center"/>
          </w:tcPr>
          <w:p w14:paraId="686351F3">
            <w:pPr>
              <w:spacing w:line="360" w:lineRule="auto"/>
              <w:jc w:val="center"/>
              <w:rPr>
                <w:rFonts w:ascii="宋体" w:hAnsi="宋体"/>
                <w:color w:val="auto"/>
                <w:sz w:val="24"/>
                <w:highlight w:val="none"/>
              </w:rPr>
            </w:pPr>
          </w:p>
        </w:tc>
      </w:tr>
      <w:tr w14:paraId="7809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377" w:type="dxa"/>
            <w:gridSpan w:val="4"/>
            <w:vAlign w:val="center"/>
          </w:tcPr>
          <w:p w14:paraId="0DAF5C62">
            <w:pPr>
              <w:spacing w:line="360" w:lineRule="auto"/>
              <w:rPr>
                <w:rFonts w:ascii="宋体" w:hAnsi="宋体"/>
                <w:color w:val="auto"/>
                <w:sz w:val="24"/>
                <w:highlight w:val="none"/>
              </w:rPr>
            </w:pPr>
            <w:r>
              <w:rPr>
                <w:rFonts w:hint="eastAsia" w:ascii="宋体" w:hAnsi="宋体"/>
                <w:color w:val="auto"/>
                <w:sz w:val="24"/>
                <w:highlight w:val="none"/>
                <w:lang w:val="en-US" w:eastAsia="zh-CN"/>
              </w:rPr>
              <w:t>投标</w:t>
            </w:r>
            <w:r>
              <w:rPr>
                <w:rFonts w:hint="eastAsia" w:ascii="宋体" w:hAnsi="宋体"/>
                <w:color w:val="auto"/>
                <w:sz w:val="24"/>
                <w:highlight w:val="none"/>
              </w:rPr>
              <w:t xml:space="preserve">报价（小写）：            </w:t>
            </w:r>
          </w:p>
        </w:tc>
        <w:tc>
          <w:tcPr>
            <w:tcW w:w="1699" w:type="dxa"/>
            <w:tcBorders>
              <w:bottom w:val="nil"/>
            </w:tcBorders>
            <w:vAlign w:val="center"/>
          </w:tcPr>
          <w:p w14:paraId="17556BAE">
            <w:pPr>
              <w:spacing w:line="360" w:lineRule="auto"/>
              <w:jc w:val="center"/>
              <w:rPr>
                <w:rFonts w:ascii="宋体" w:hAnsi="宋体"/>
                <w:color w:val="auto"/>
                <w:sz w:val="24"/>
                <w:highlight w:val="none"/>
              </w:rPr>
            </w:pPr>
          </w:p>
        </w:tc>
      </w:tr>
      <w:tr w14:paraId="4A08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76" w:type="dxa"/>
            <w:gridSpan w:val="5"/>
            <w:vAlign w:val="center"/>
          </w:tcPr>
          <w:p w14:paraId="7181522E">
            <w:pPr>
              <w:snapToGrid w:val="0"/>
              <w:spacing w:line="360" w:lineRule="auto"/>
              <w:rPr>
                <w:rFonts w:ascii="宋体" w:hAnsi="宋体"/>
                <w:color w:val="auto"/>
                <w:sz w:val="24"/>
                <w:highlight w:val="none"/>
              </w:rPr>
            </w:pPr>
            <w:r>
              <w:rPr>
                <w:rFonts w:hint="eastAsia" w:ascii="宋体" w:hAnsi="宋体"/>
                <w:color w:val="auto"/>
                <w:sz w:val="24"/>
                <w:highlight w:val="none"/>
              </w:rPr>
              <w:t>备注：</w:t>
            </w:r>
          </w:p>
          <w:p w14:paraId="6F6C23EC">
            <w:pPr>
              <w:snapToGrid w:val="0"/>
              <w:spacing w:line="360" w:lineRule="auto"/>
              <w:rPr>
                <w:rFonts w:ascii="宋体" w:hAnsi="宋体"/>
                <w:color w:val="auto"/>
                <w:sz w:val="24"/>
                <w:highlight w:val="none"/>
              </w:rPr>
            </w:pPr>
            <w:r>
              <w:rPr>
                <w:rFonts w:hint="eastAsia" w:ascii="宋体" w:hAnsi="宋体"/>
                <w:color w:val="auto"/>
                <w:sz w:val="24"/>
                <w:highlight w:val="none"/>
                <w:lang w:val="en-US" w:eastAsia="zh-CN"/>
              </w:rPr>
              <w:t>投标报价</w:t>
            </w:r>
            <w:r>
              <w:rPr>
                <w:rFonts w:hint="eastAsia" w:ascii="宋体" w:hAnsi="宋体"/>
                <w:color w:val="auto"/>
                <w:sz w:val="24"/>
                <w:highlight w:val="none"/>
              </w:rPr>
              <w:t>=</w:t>
            </w:r>
            <w:r>
              <w:rPr>
                <w:rFonts w:hint="eastAsia" w:ascii="宋体" w:hAnsi="宋体"/>
                <w:bCs/>
                <w:color w:val="auto"/>
                <w:sz w:val="24"/>
                <w:highlight w:val="none"/>
              </w:rPr>
              <w:t>最高投标限价（扣除</w:t>
            </w:r>
            <w:r>
              <w:rPr>
                <w:rFonts w:hint="eastAsia" w:ascii="宋体" w:hAnsi="宋体"/>
                <w:color w:val="auto"/>
                <w:sz w:val="24"/>
                <w:highlight w:val="none"/>
              </w:rPr>
              <w:t>暂估价、暂列金额、不可竞争费</w:t>
            </w:r>
            <w:r>
              <w:rPr>
                <w:rFonts w:hint="eastAsia" w:ascii="宋体" w:hAnsi="宋体"/>
                <w:bCs/>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lang w:val="en-US" w:eastAsia="zh-CN"/>
              </w:rPr>
              <w:t>投标折扣率</w:t>
            </w:r>
            <w:r>
              <w:rPr>
                <w:rFonts w:hint="eastAsia" w:ascii="宋体" w:hAnsi="宋体"/>
                <w:color w:val="auto"/>
                <w:sz w:val="24"/>
                <w:highlight w:val="none"/>
              </w:rPr>
              <w:t>+暂估价、暂列金额、不可竞争费（计算结果以元为单位）</w:t>
            </w:r>
          </w:p>
        </w:tc>
      </w:tr>
    </w:tbl>
    <w:p w14:paraId="0965814B">
      <w:pPr>
        <w:snapToGrid w:val="0"/>
        <w:spacing w:line="360" w:lineRule="auto"/>
        <w:ind w:firstLine="482" w:firstLineChars="200"/>
        <w:jc w:val="left"/>
        <w:rPr>
          <w:rFonts w:hint="default" w:ascii="宋体" w:hAnsi="宋体" w:eastAsia="宋体" w:cs="宋体"/>
          <w:b/>
          <w:bCs/>
          <w:color w:val="auto"/>
          <w:kern w:val="0"/>
          <w:sz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rPr>
        <w:t>说明：</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lang w:val="en-US" w:eastAsia="zh-CN"/>
        </w:rPr>
        <w:t>1</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lang w:val="en-US" w:eastAsia="zh-CN"/>
        </w:rPr>
        <w:t>投标折扣</w:t>
      </w:r>
      <w:r>
        <w:rPr>
          <w:rFonts w:hint="eastAsia" w:asciiTheme="minorEastAsia" w:hAnsiTheme="minorEastAsia" w:eastAsiaTheme="minorEastAsia" w:cstheme="minorEastAsia"/>
          <w:b/>
          <w:bCs/>
          <w:color w:val="auto"/>
          <w:sz w:val="24"/>
          <w:szCs w:val="24"/>
          <w:highlight w:val="none"/>
          <w:u w:val="none"/>
        </w:rPr>
        <w:t>率以%表示，保留小数点后两位，如“</w:t>
      </w:r>
      <w:r>
        <w:rPr>
          <w:rFonts w:hint="eastAsia" w:asciiTheme="minorEastAsia" w:hAnsiTheme="minorEastAsia" w:eastAsiaTheme="minorEastAsia" w:cstheme="minorEastAsia"/>
          <w:b/>
          <w:bCs/>
          <w:color w:val="auto"/>
          <w:sz w:val="24"/>
          <w:szCs w:val="24"/>
          <w:highlight w:val="none"/>
          <w:u w:val="none"/>
          <w:lang w:val="en-US" w:eastAsia="zh-CN"/>
        </w:rPr>
        <w:t>90.12%</w:t>
      </w:r>
      <w:r>
        <w:rPr>
          <w:rFonts w:hint="eastAsia" w:asciiTheme="minorEastAsia" w:hAnsiTheme="minorEastAsia" w:eastAsiaTheme="minorEastAsia" w:cstheme="minorEastAsia"/>
          <w:b/>
          <w:bCs/>
          <w:color w:val="auto"/>
          <w:sz w:val="24"/>
          <w:szCs w:val="24"/>
          <w:highlight w:val="none"/>
          <w:u w:val="none"/>
        </w:rPr>
        <w:t>”；若</w:t>
      </w:r>
      <w:r>
        <w:rPr>
          <w:rFonts w:hint="eastAsia" w:asciiTheme="minorEastAsia" w:hAnsiTheme="minorEastAsia" w:eastAsiaTheme="minorEastAsia" w:cstheme="minorEastAsia"/>
          <w:b/>
          <w:bCs/>
          <w:color w:val="auto"/>
          <w:sz w:val="24"/>
          <w:szCs w:val="24"/>
          <w:highlight w:val="none"/>
          <w:u w:val="none"/>
          <w:lang w:val="en-US" w:eastAsia="zh-CN"/>
        </w:rPr>
        <w:t>投标折扣</w:t>
      </w:r>
      <w:r>
        <w:rPr>
          <w:rFonts w:hint="eastAsia" w:asciiTheme="minorEastAsia" w:hAnsiTheme="minorEastAsia" w:eastAsiaTheme="minorEastAsia" w:cstheme="minorEastAsia"/>
          <w:b/>
          <w:bCs/>
          <w:color w:val="auto"/>
          <w:sz w:val="24"/>
          <w:szCs w:val="24"/>
          <w:highlight w:val="none"/>
          <w:u w:val="none"/>
        </w:rPr>
        <w:t>率与投标报价有矛盾，以投标报价为准，同时调整</w:t>
      </w:r>
      <w:r>
        <w:rPr>
          <w:rFonts w:hint="eastAsia" w:asciiTheme="minorEastAsia" w:hAnsiTheme="minorEastAsia" w:eastAsiaTheme="minorEastAsia" w:cstheme="minorEastAsia"/>
          <w:b/>
          <w:bCs/>
          <w:color w:val="auto"/>
          <w:sz w:val="24"/>
          <w:szCs w:val="24"/>
          <w:highlight w:val="none"/>
          <w:u w:val="none"/>
          <w:lang w:val="en-US" w:eastAsia="zh-CN"/>
        </w:rPr>
        <w:t>投标折扣</w:t>
      </w:r>
      <w:r>
        <w:rPr>
          <w:rFonts w:hint="eastAsia" w:asciiTheme="minorEastAsia" w:hAnsiTheme="minorEastAsia" w:eastAsiaTheme="minorEastAsia" w:cstheme="minorEastAsia"/>
          <w:b/>
          <w:bCs/>
          <w:color w:val="auto"/>
          <w:sz w:val="24"/>
          <w:szCs w:val="24"/>
          <w:highlight w:val="none"/>
          <w:u w:val="none"/>
        </w:rPr>
        <w:t>率。</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lang w:val="en-US" w:eastAsia="zh-CN"/>
        </w:rPr>
        <w:t>2</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宋体" w:hAnsi="宋体" w:cs="宋体"/>
          <w:b/>
          <w:bCs/>
          <w:color w:val="auto"/>
          <w:kern w:val="0"/>
          <w:sz w:val="24"/>
          <w:highlight w:val="none"/>
          <w:u w:val="none"/>
        </w:rPr>
        <w:t>本项目报价方式：投标人</w:t>
      </w:r>
      <w:r>
        <w:rPr>
          <w:rFonts w:hint="eastAsia" w:ascii="宋体" w:hAnsi="宋体" w:cs="宋体"/>
          <w:b/>
          <w:bCs/>
          <w:color w:val="auto"/>
          <w:kern w:val="0"/>
          <w:sz w:val="24"/>
          <w:highlight w:val="none"/>
          <w:u w:val="none"/>
          <w:lang w:val="en-US" w:eastAsia="zh-CN"/>
        </w:rPr>
        <w:t>的投标</w:t>
      </w:r>
      <w:r>
        <w:rPr>
          <w:rFonts w:hint="eastAsia" w:ascii="宋体" w:hAnsi="宋体" w:cs="宋体"/>
          <w:b/>
          <w:bCs/>
          <w:color w:val="auto"/>
          <w:kern w:val="0"/>
          <w:sz w:val="24"/>
          <w:highlight w:val="none"/>
          <w:u w:val="none"/>
        </w:rPr>
        <w:t>报价</w:t>
      </w:r>
      <w:r>
        <w:rPr>
          <w:rFonts w:hint="eastAsia" w:ascii="宋体" w:hAnsi="宋体" w:cs="宋体"/>
          <w:b/>
          <w:bCs/>
          <w:color w:val="auto"/>
          <w:kern w:val="0"/>
          <w:sz w:val="24"/>
          <w:highlight w:val="none"/>
          <w:u w:val="none"/>
          <w:lang w:val="en-US" w:eastAsia="zh-CN"/>
        </w:rPr>
        <w:t>按</w:t>
      </w:r>
      <w:r>
        <w:rPr>
          <w:rFonts w:hint="eastAsia" w:ascii="宋体" w:hAnsi="宋体" w:cs="宋体"/>
          <w:b/>
          <w:bCs/>
          <w:color w:val="auto"/>
          <w:kern w:val="0"/>
          <w:sz w:val="24"/>
          <w:highlight w:val="none"/>
          <w:u w:val="none"/>
        </w:rPr>
        <w:t>采购人提供的</w:t>
      </w:r>
      <w:r>
        <w:rPr>
          <w:rFonts w:hint="eastAsia" w:ascii="宋体" w:hAnsi="宋体" w:cs="宋体"/>
          <w:b/>
          <w:bCs/>
          <w:color w:val="auto"/>
          <w:kern w:val="0"/>
          <w:sz w:val="24"/>
          <w:highlight w:val="none"/>
          <w:u w:val="none"/>
          <w:lang w:val="en-US" w:eastAsia="zh-CN"/>
        </w:rPr>
        <w:t>预算</w:t>
      </w:r>
      <w:r>
        <w:rPr>
          <w:rFonts w:hint="eastAsia" w:ascii="宋体" w:hAnsi="宋体" w:cs="宋体"/>
          <w:b/>
          <w:bCs/>
          <w:color w:val="auto"/>
          <w:kern w:val="0"/>
          <w:sz w:val="24"/>
          <w:highlight w:val="none"/>
          <w:u w:val="none"/>
        </w:rPr>
        <w:t>书</w:t>
      </w:r>
      <w:r>
        <w:rPr>
          <w:rFonts w:hint="eastAsia" w:ascii="宋体" w:hAnsi="宋体" w:cs="宋体"/>
          <w:b/>
          <w:bCs/>
          <w:color w:val="auto"/>
          <w:kern w:val="0"/>
          <w:sz w:val="24"/>
          <w:highlight w:val="none"/>
          <w:u w:val="none"/>
          <w:lang w:val="en-US" w:eastAsia="zh-CN"/>
        </w:rPr>
        <w:t>为</w:t>
      </w:r>
      <w:r>
        <w:rPr>
          <w:rFonts w:hint="eastAsia" w:ascii="宋体" w:hAnsi="宋体" w:cs="宋体"/>
          <w:b/>
          <w:bCs/>
          <w:color w:val="auto"/>
          <w:kern w:val="0"/>
          <w:sz w:val="24"/>
          <w:highlight w:val="none"/>
          <w:u w:val="none"/>
        </w:rPr>
        <w:t>基础，采用</w:t>
      </w:r>
      <w:r>
        <w:rPr>
          <w:rFonts w:hint="eastAsia" w:ascii="宋体" w:hAnsi="宋体" w:cs="宋体"/>
          <w:b/>
          <w:bCs/>
          <w:color w:val="auto"/>
          <w:kern w:val="0"/>
          <w:sz w:val="24"/>
          <w:highlight w:val="none"/>
          <w:u w:val="none"/>
          <w:lang w:val="en-US" w:eastAsia="zh-CN"/>
        </w:rPr>
        <w:t>折扣率</w:t>
      </w:r>
      <w:r>
        <w:rPr>
          <w:rFonts w:hint="eastAsia" w:ascii="宋体" w:hAnsi="宋体" w:cs="宋体"/>
          <w:b/>
          <w:bCs/>
          <w:color w:val="auto"/>
          <w:kern w:val="0"/>
          <w:sz w:val="24"/>
          <w:highlight w:val="none"/>
          <w:u w:val="none"/>
        </w:rPr>
        <w:t>形式</w:t>
      </w:r>
      <w:r>
        <w:rPr>
          <w:rFonts w:hint="eastAsia" w:ascii="宋体" w:hAnsi="宋体" w:cs="宋体"/>
          <w:b/>
          <w:bCs/>
          <w:color w:val="auto"/>
          <w:kern w:val="0"/>
          <w:sz w:val="24"/>
          <w:highlight w:val="none"/>
          <w:u w:val="none"/>
          <w:lang w:val="en-US" w:eastAsia="zh-CN"/>
        </w:rPr>
        <w:t>报价</w:t>
      </w:r>
      <w:r>
        <w:rPr>
          <w:rFonts w:hint="eastAsia" w:ascii="宋体" w:hAnsi="宋体" w:cs="宋体"/>
          <w:b/>
          <w:bCs/>
          <w:color w:val="auto"/>
          <w:kern w:val="0"/>
          <w:sz w:val="24"/>
          <w:highlight w:val="none"/>
          <w:u w:val="none"/>
        </w:rPr>
        <w:t>，以％表示，最多保留两位小数。</w:t>
      </w:r>
      <w:r>
        <w:rPr>
          <w:rFonts w:hint="eastAsia" w:ascii="宋体" w:hAnsi="宋体" w:cs="宋体"/>
          <w:b/>
          <w:bCs/>
          <w:color w:val="auto"/>
          <w:kern w:val="0"/>
          <w:sz w:val="24"/>
          <w:highlight w:val="none"/>
          <w:u w:val="none"/>
          <w:lang w:eastAsia="zh-CN"/>
        </w:rPr>
        <w:t>（</w:t>
      </w:r>
      <w:r>
        <w:rPr>
          <w:rFonts w:hint="eastAsia" w:ascii="宋体" w:hAnsi="宋体" w:cs="宋体"/>
          <w:b/>
          <w:bCs/>
          <w:color w:val="auto"/>
          <w:kern w:val="0"/>
          <w:sz w:val="24"/>
          <w:highlight w:val="none"/>
          <w:u w:val="none"/>
          <w:lang w:val="en-US" w:eastAsia="zh-CN"/>
        </w:rPr>
        <w:t>3</w:t>
      </w:r>
      <w:r>
        <w:rPr>
          <w:rFonts w:hint="eastAsia" w:ascii="宋体" w:hAnsi="宋体" w:cs="宋体"/>
          <w:b/>
          <w:bCs/>
          <w:color w:val="auto"/>
          <w:kern w:val="0"/>
          <w:sz w:val="24"/>
          <w:highlight w:val="none"/>
          <w:u w:val="none"/>
          <w:lang w:eastAsia="zh-CN"/>
        </w:rPr>
        <w:t>）</w:t>
      </w:r>
      <w:r>
        <w:rPr>
          <w:rFonts w:hint="eastAsia" w:ascii="宋体" w:hAnsi="宋体" w:cs="宋体"/>
          <w:b/>
          <w:bCs/>
          <w:color w:val="auto"/>
          <w:kern w:val="0"/>
          <w:sz w:val="24"/>
          <w:highlight w:val="none"/>
          <w:u w:val="none"/>
          <w:lang w:val="en-US" w:eastAsia="zh-CN"/>
        </w:rPr>
        <w:t>投标人无需提供投标报价资料。</w:t>
      </w:r>
    </w:p>
    <w:p w14:paraId="3C20A2DD">
      <w:pPr>
        <w:tabs>
          <w:tab w:val="left" w:pos="4860"/>
        </w:tabs>
        <w:spacing w:line="360" w:lineRule="auto"/>
        <w:ind w:right="1560"/>
        <w:jc w:val="both"/>
        <w:rPr>
          <w:rFonts w:hint="eastAsia" w:ascii="宋体" w:hAnsi="宋体" w:eastAsia="宋体" w:cs="宋体"/>
          <w:color w:val="auto"/>
          <w:sz w:val="24"/>
          <w:highlight w:val="none"/>
          <w:lang w:val="en-US" w:eastAsia="zh-CN"/>
        </w:rPr>
      </w:pPr>
      <w:bookmarkStart w:id="725" w:name="_Toc10094"/>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p>
    <w:p w14:paraId="09D97171">
      <w:pPr>
        <w:tabs>
          <w:tab w:val="left" w:pos="4860"/>
        </w:tabs>
        <w:spacing w:line="360" w:lineRule="auto"/>
        <w:ind w:right="1560"/>
        <w:jc w:val="both"/>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供应商（盖章）</w:t>
      </w:r>
      <w:r>
        <w:rPr>
          <w:rFonts w:hint="eastAsia" w:ascii="宋体" w:hAnsi="宋体" w:eastAsia="宋体" w:cs="宋体"/>
          <w:b/>
          <w:bCs/>
          <w:color w:val="auto"/>
          <w:sz w:val="24"/>
          <w:highlight w:val="none"/>
        </w:rPr>
        <w:t>：</w:t>
      </w:r>
    </w:p>
    <w:p w14:paraId="5D399C6C">
      <w:pPr>
        <w:tabs>
          <w:tab w:val="left" w:pos="4860"/>
        </w:tabs>
        <w:spacing w:line="360" w:lineRule="auto"/>
        <w:ind w:right="1560"/>
        <w:jc w:val="both"/>
        <w:rPr>
          <w:rFonts w:ascii="宋体" w:hAnsi="宋体" w:eastAsia="宋体" w:cs="宋体"/>
          <w:b/>
          <w:bCs/>
          <w:color w:val="auto"/>
          <w:sz w:val="24"/>
          <w:highlight w:val="none"/>
        </w:rPr>
      </w:pPr>
      <w:r>
        <w:rPr>
          <w:rFonts w:hint="eastAsia" w:ascii="宋体" w:hAnsi="宋体" w:eastAsia="宋体" w:cs="宋体"/>
          <w:b/>
          <w:bCs/>
          <w:color w:val="auto"/>
          <w:sz w:val="24"/>
          <w:highlight w:val="none"/>
        </w:rPr>
        <w:t>日  期：</w:t>
      </w:r>
    </w:p>
    <w:p w14:paraId="6E0D05E1">
      <w:pPr>
        <w:rPr>
          <w:rFonts w:ascii="宋体" w:hAnsi="宋体" w:cs="宋体"/>
          <w:color w:val="auto"/>
          <w:sz w:val="32"/>
          <w:szCs w:val="32"/>
          <w:highlight w:val="none"/>
        </w:rPr>
      </w:pPr>
      <w:r>
        <w:rPr>
          <w:rFonts w:hint="eastAsia" w:ascii="宋体" w:hAnsi="宋体" w:cs="宋体"/>
          <w:color w:val="auto"/>
          <w:sz w:val="32"/>
          <w:szCs w:val="32"/>
          <w:highlight w:val="none"/>
        </w:rPr>
        <w:br w:type="page"/>
      </w:r>
    </w:p>
    <w:bookmarkEnd w:id="725"/>
    <w:p w14:paraId="7164F551">
      <w:pPr>
        <w:pStyle w:val="2"/>
        <w:spacing w:line="360" w:lineRule="auto"/>
        <w:ind w:firstLine="480"/>
        <w:rPr>
          <w:rFonts w:cs="宋体"/>
          <w:color w:val="auto"/>
          <w:sz w:val="24"/>
          <w:highlight w:val="none"/>
        </w:rPr>
        <w:sectPr>
          <w:footerReference r:id="rId21" w:type="first"/>
          <w:headerReference r:id="rId18" w:type="default"/>
          <w:footerReference r:id="rId19" w:type="default"/>
          <w:footerReference r:id="rId20" w:type="even"/>
          <w:pgSz w:w="11905" w:h="16838"/>
          <w:pgMar w:top="1417" w:right="1417" w:bottom="1417" w:left="1417" w:header="850" w:footer="992" w:gutter="0"/>
          <w:cols w:space="0" w:num="1"/>
          <w:titlePg/>
          <w:rtlGutter w:val="0"/>
          <w:docGrid w:linePitch="312" w:charSpace="0"/>
        </w:sectPr>
      </w:pPr>
    </w:p>
    <w:p w14:paraId="049ED264">
      <w:pPr>
        <w:pStyle w:val="4"/>
        <w:keepNext w:val="0"/>
        <w:keepLines w:val="0"/>
        <w:pageBreakBefore/>
        <w:widowControl/>
        <w:spacing w:before="100" w:beforeAutospacing="1" w:after="100" w:afterAutospacing="1" w:line="360" w:lineRule="auto"/>
        <w:rPr>
          <w:rFonts w:ascii="宋体" w:hAnsi="宋体" w:cs="宋体"/>
          <w:color w:val="auto"/>
          <w:highlight w:val="none"/>
        </w:rPr>
      </w:pPr>
      <w:bookmarkStart w:id="726" w:name="_Toc22440"/>
      <w:bookmarkStart w:id="727" w:name="_Toc465665161"/>
      <w:r>
        <w:rPr>
          <w:rFonts w:hint="eastAsia" w:ascii="宋体" w:hAnsi="宋体" w:cs="宋体"/>
          <w:color w:val="auto"/>
          <w:highlight w:val="none"/>
        </w:rPr>
        <w:t>附件</w:t>
      </w:r>
      <w:bookmarkEnd w:id="726"/>
      <w:bookmarkEnd w:id="727"/>
    </w:p>
    <w:p w14:paraId="50E6598E">
      <w:pPr>
        <w:spacing w:line="360" w:lineRule="auto"/>
        <w:ind w:firstLine="667" w:firstLineChars="200"/>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A513558">
      <w:pPr>
        <w:spacing w:line="360" w:lineRule="auto"/>
        <w:ind w:firstLine="667" w:firstLineChars="200"/>
        <w:jc w:val="center"/>
        <w:rPr>
          <w:rFonts w:ascii="宋体" w:hAnsi="宋体" w:cs="宋体"/>
          <w:b/>
          <w:color w:val="auto"/>
          <w:spacing w:val="6"/>
          <w:sz w:val="32"/>
          <w:szCs w:val="32"/>
          <w:highlight w:val="none"/>
        </w:rPr>
      </w:pPr>
      <w:bookmarkStart w:id="728" w:name="OLE_LINK13"/>
      <w:bookmarkStart w:id="729" w:name="OLE_LINK14"/>
      <w:r>
        <w:rPr>
          <w:rFonts w:hint="eastAsia" w:ascii="宋体" w:hAnsi="宋体" w:cs="宋体"/>
          <w:b/>
          <w:color w:val="auto"/>
          <w:spacing w:val="6"/>
          <w:sz w:val="32"/>
          <w:szCs w:val="32"/>
          <w:highlight w:val="none"/>
        </w:rPr>
        <w:t>残疾人福利性单位声明函</w:t>
      </w:r>
    </w:p>
    <w:bookmarkEnd w:id="728"/>
    <w:bookmarkEnd w:id="729"/>
    <w:p w14:paraId="62493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B1B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BE75040">
      <w:pPr>
        <w:spacing w:line="360" w:lineRule="auto"/>
        <w:ind w:firstLine="482" w:firstLineChars="200"/>
        <w:rPr>
          <w:rFonts w:ascii="宋体" w:hAnsi="宋体" w:cs="宋体"/>
          <w:b/>
          <w:bCs/>
          <w:color w:val="auto"/>
          <w:sz w:val="24"/>
          <w:highlight w:val="none"/>
        </w:rPr>
      </w:pPr>
    </w:p>
    <w:p w14:paraId="7DD83512">
      <w:pPr>
        <w:tabs>
          <w:tab w:val="left" w:pos="4860"/>
        </w:tabs>
        <w:spacing w:line="360" w:lineRule="auto"/>
        <w:ind w:right="1560"/>
        <w:jc w:val="both"/>
        <w:rPr>
          <w:rFonts w:ascii="宋体" w:hAnsi="宋体" w:cs="宋体"/>
          <w:b/>
          <w:bCs/>
          <w:color w:val="auto"/>
          <w:sz w:val="24"/>
          <w:highlight w:val="none"/>
        </w:rPr>
      </w:pPr>
      <w:r>
        <w:rPr>
          <w:rFonts w:hint="eastAsia" w:ascii="宋体" w:hAnsi="宋体" w:cs="宋体"/>
          <w:b/>
          <w:bCs/>
          <w:color w:val="auto"/>
          <w:kern w:val="0"/>
          <w:sz w:val="24"/>
          <w:highlight w:val="none"/>
          <w:lang w:val="zh-CN"/>
        </w:rPr>
        <w:t>供应商（盖章）</w:t>
      </w:r>
      <w:r>
        <w:rPr>
          <w:rFonts w:hint="eastAsia" w:ascii="宋体" w:hAnsi="宋体" w:cs="宋体"/>
          <w:b/>
          <w:bCs/>
          <w:color w:val="auto"/>
          <w:sz w:val="24"/>
          <w:highlight w:val="none"/>
        </w:rPr>
        <w:t>：</w:t>
      </w:r>
    </w:p>
    <w:p w14:paraId="5A5A589A">
      <w:pPr>
        <w:tabs>
          <w:tab w:val="left" w:pos="4860"/>
        </w:tabs>
        <w:spacing w:line="360" w:lineRule="auto"/>
        <w:ind w:right="1560"/>
        <w:jc w:val="both"/>
        <w:rPr>
          <w:rFonts w:ascii="宋体" w:hAnsi="宋体" w:cs="宋体"/>
          <w:b/>
          <w:bCs/>
          <w:color w:val="auto"/>
          <w:sz w:val="24"/>
          <w:highlight w:val="none"/>
        </w:rPr>
      </w:pPr>
      <w:r>
        <w:rPr>
          <w:rFonts w:hint="eastAsia" w:ascii="宋体" w:hAnsi="宋体" w:cs="宋体"/>
          <w:b/>
          <w:bCs/>
          <w:color w:val="auto"/>
          <w:sz w:val="24"/>
          <w:highlight w:val="none"/>
        </w:rPr>
        <w:t>日  期：</w:t>
      </w:r>
    </w:p>
    <w:p w14:paraId="72E51B79">
      <w:pPr>
        <w:spacing w:line="360" w:lineRule="auto"/>
        <w:ind w:firstLine="480" w:firstLineChars="200"/>
        <w:rPr>
          <w:rFonts w:ascii="宋体" w:hAnsi="宋体" w:cs="宋体"/>
          <w:color w:val="auto"/>
          <w:sz w:val="24"/>
          <w:highlight w:val="none"/>
        </w:rPr>
      </w:pPr>
    </w:p>
    <w:p w14:paraId="56F7B66F">
      <w:pPr>
        <w:spacing w:line="360" w:lineRule="auto"/>
        <w:ind w:firstLine="420" w:firstLineChars="200"/>
        <w:rPr>
          <w:rFonts w:ascii="宋体" w:hAnsi="宋体" w:cs="宋体"/>
          <w:color w:val="auto"/>
          <w:highlight w:val="none"/>
        </w:rPr>
      </w:pPr>
    </w:p>
    <w:p w14:paraId="3B37480B">
      <w:pPr>
        <w:spacing w:line="360" w:lineRule="auto"/>
        <w:ind w:firstLine="420" w:firstLineChars="200"/>
        <w:rPr>
          <w:rFonts w:ascii="宋体" w:hAnsi="宋体" w:cs="宋体"/>
          <w:color w:val="auto"/>
          <w:highlight w:val="none"/>
        </w:rPr>
      </w:pPr>
    </w:p>
    <w:p w14:paraId="6A627352">
      <w:pPr>
        <w:spacing w:line="360" w:lineRule="auto"/>
        <w:ind w:firstLine="420" w:firstLineChars="200"/>
        <w:rPr>
          <w:rFonts w:ascii="宋体" w:hAnsi="宋体" w:cs="宋体"/>
          <w:color w:val="auto"/>
          <w:highlight w:val="none"/>
        </w:rPr>
      </w:pPr>
    </w:p>
    <w:p w14:paraId="36E09B9B">
      <w:pPr>
        <w:spacing w:line="360" w:lineRule="auto"/>
        <w:ind w:firstLine="420" w:firstLineChars="200"/>
        <w:rPr>
          <w:rFonts w:ascii="宋体" w:hAnsi="宋体" w:cs="宋体"/>
          <w:color w:val="auto"/>
          <w:highlight w:val="none"/>
        </w:rPr>
      </w:pPr>
    </w:p>
    <w:p w14:paraId="0735EB5C">
      <w:pPr>
        <w:spacing w:line="360" w:lineRule="auto"/>
        <w:ind w:firstLine="482" w:firstLineChars="200"/>
        <w:rPr>
          <w:rFonts w:ascii="宋体" w:hAnsi="宋体" w:cs="宋体"/>
          <w:b/>
          <w:color w:val="auto"/>
          <w:sz w:val="24"/>
          <w:highlight w:val="none"/>
        </w:rPr>
      </w:pPr>
    </w:p>
    <w:p w14:paraId="1ADFC3FC">
      <w:pPr>
        <w:spacing w:line="360" w:lineRule="auto"/>
        <w:ind w:firstLine="482" w:firstLineChars="200"/>
        <w:rPr>
          <w:rFonts w:ascii="宋体" w:hAnsi="宋体" w:cs="宋体"/>
          <w:b/>
          <w:color w:val="auto"/>
          <w:sz w:val="24"/>
          <w:highlight w:val="none"/>
        </w:rPr>
      </w:pPr>
    </w:p>
    <w:p w14:paraId="01764A22">
      <w:pPr>
        <w:spacing w:line="360" w:lineRule="auto"/>
        <w:ind w:firstLine="482" w:firstLineChars="200"/>
        <w:rPr>
          <w:rFonts w:ascii="宋体" w:hAnsi="宋体" w:cs="宋体"/>
          <w:b/>
          <w:color w:val="auto"/>
          <w:sz w:val="24"/>
          <w:highlight w:val="none"/>
        </w:rPr>
      </w:pPr>
    </w:p>
    <w:p w14:paraId="1BA45BA3">
      <w:pPr>
        <w:spacing w:line="360" w:lineRule="auto"/>
        <w:ind w:firstLine="482" w:firstLineChars="200"/>
        <w:rPr>
          <w:rFonts w:ascii="宋体" w:hAnsi="宋体" w:cs="宋体"/>
          <w:b/>
          <w:color w:val="auto"/>
          <w:sz w:val="24"/>
          <w:highlight w:val="none"/>
        </w:rPr>
      </w:pPr>
    </w:p>
    <w:p w14:paraId="6344ADE4">
      <w:pPr>
        <w:spacing w:line="360" w:lineRule="auto"/>
        <w:ind w:firstLine="482" w:firstLineChars="200"/>
        <w:rPr>
          <w:rFonts w:ascii="宋体" w:hAnsi="宋体" w:cs="宋体"/>
          <w:b/>
          <w:color w:val="auto"/>
          <w:sz w:val="24"/>
          <w:highlight w:val="none"/>
        </w:rPr>
      </w:pPr>
    </w:p>
    <w:p w14:paraId="0ADB9A2E">
      <w:pPr>
        <w:spacing w:line="360" w:lineRule="auto"/>
        <w:ind w:firstLine="482" w:firstLineChars="200"/>
        <w:rPr>
          <w:rFonts w:ascii="宋体" w:hAnsi="宋体" w:cs="宋体"/>
          <w:b/>
          <w:color w:val="auto"/>
          <w:sz w:val="24"/>
          <w:highlight w:val="none"/>
        </w:rPr>
      </w:pPr>
    </w:p>
    <w:p w14:paraId="47CC4442">
      <w:pPr>
        <w:spacing w:line="360" w:lineRule="auto"/>
        <w:ind w:firstLine="482" w:firstLineChars="200"/>
        <w:rPr>
          <w:rFonts w:ascii="宋体" w:hAnsi="宋体" w:cs="宋体"/>
          <w:b/>
          <w:color w:val="auto"/>
          <w:sz w:val="24"/>
          <w:highlight w:val="none"/>
        </w:rPr>
      </w:pPr>
    </w:p>
    <w:p w14:paraId="57E401C2">
      <w:pPr>
        <w:spacing w:line="360" w:lineRule="auto"/>
        <w:ind w:firstLine="482" w:firstLineChars="200"/>
        <w:rPr>
          <w:rFonts w:ascii="宋体" w:hAnsi="宋体" w:cs="宋体"/>
          <w:b/>
          <w:color w:val="auto"/>
          <w:sz w:val="24"/>
          <w:highlight w:val="none"/>
        </w:rPr>
      </w:pPr>
    </w:p>
    <w:p w14:paraId="3F051C8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58A634C">
      <w:pPr>
        <w:spacing w:line="360" w:lineRule="auto"/>
        <w:ind w:firstLine="667" w:firstLineChars="20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7F91865">
      <w:pPr>
        <w:spacing w:line="360" w:lineRule="auto"/>
        <w:ind w:firstLine="667" w:firstLineChars="20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1D974F6">
      <w:pPr>
        <w:snapToGrid w:val="0"/>
        <w:spacing w:before="240" w:beforeLines="10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317540">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B3E8A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DAB5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E877FC0">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D72C2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08EB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58575F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0FD9F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55F5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61DC359">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673AD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0B43435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8E93FA6">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FAC84BE">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BD51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BC63C38">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EFEA20">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FEC019">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质疑事项2</w:t>
      </w:r>
    </w:p>
    <w:p w14:paraId="782B2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D77772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FE359D1">
      <w:pPr>
        <w:snapToGrid w:val="0"/>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68499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27BA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p>
    <w:p w14:paraId="6B9CD677">
      <w:pPr>
        <w:spacing w:line="360" w:lineRule="auto"/>
        <w:ind w:firstLine="482" w:firstLineChars="200"/>
        <w:jc w:val="center"/>
        <w:rPr>
          <w:rFonts w:ascii="宋体" w:hAnsi="宋体" w:cs="宋体"/>
          <w:b/>
          <w:bCs/>
          <w:color w:val="auto"/>
          <w:sz w:val="24"/>
          <w:highlight w:val="none"/>
        </w:rPr>
      </w:pPr>
    </w:p>
    <w:p w14:paraId="3506E1FC">
      <w:pPr>
        <w:spacing w:line="360" w:lineRule="auto"/>
        <w:ind w:firstLine="482" w:firstLineChars="200"/>
        <w:rPr>
          <w:rFonts w:ascii="宋体" w:hAnsi="宋体" w:cs="宋体"/>
          <w:b/>
          <w:color w:val="auto"/>
          <w:sz w:val="24"/>
          <w:highlight w:val="none"/>
        </w:rPr>
      </w:pPr>
    </w:p>
    <w:p w14:paraId="78A498CB">
      <w:pPr>
        <w:spacing w:line="360" w:lineRule="auto"/>
        <w:ind w:firstLine="482" w:firstLineChars="200"/>
        <w:rPr>
          <w:rFonts w:ascii="宋体" w:hAnsi="宋体" w:cs="宋体"/>
          <w:b/>
          <w:color w:val="auto"/>
          <w:sz w:val="24"/>
          <w:highlight w:val="none"/>
        </w:rPr>
      </w:pPr>
    </w:p>
    <w:p w14:paraId="5D5EA67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质疑函制作说明：</w:t>
      </w:r>
    </w:p>
    <w:p w14:paraId="1F03A4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7C594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7827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967F1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2256C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9C664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40CE2F">
      <w:pPr>
        <w:widowControl/>
        <w:spacing w:line="360" w:lineRule="auto"/>
        <w:ind w:firstLine="600" w:firstLineChars="200"/>
        <w:jc w:val="left"/>
        <w:rPr>
          <w:rFonts w:ascii="宋体" w:hAnsi="宋体" w:cs="宋体"/>
          <w:color w:val="auto"/>
          <w:sz w:val="30"/>
          <w:szCs w:val="30"/>
          <w:highlight w:val="none"/>
        </w:rPr>
      </w:pPr>
    </w:p>
    <w:p w14:paraId="6E25525F">
      <w:pPr>
        <w:spacing w:line="360" w:lineRule="auto"/>
        <w:ind w:firstLine="667" w:firstLineChars="200"/>
        <w:jc w:val="center"/>
        <w:rPr>
          <w:rFonts w:ascii="宋体" w:hAnsi="宋体" w:cs="宋体"/>
          <w:b/>
          <w:color w:val="auto"/>
          <w:spacing w:val="6"/>
          <w:sz w:val="32"/>
          <w:szCs w:val="32"/>
          <w:highlight w:val="none"/>
        </w:rPr>
      </w:pPr>
    </w:p>
    <w:p w14:paraId="2305FEA0">
      <w:pPr>
        <w:spacing w:line="360" w:lineRule="auto"/>
        <w:ind w:firstLine="667" w:firstLineChars="200"/>
        <w:jc w:val="center"/>
        <w:rPr>
          <w:rFonts w:ascii="宋体" w:hAnsi="宋体" w:cs="宋体"/>
          <w:b/>
          <w:color w:val="auto"/>
          <w:spacing w:val="6"/>
          <w:sz w:val="32"/>
          <w:szCs w:val="32"/>
          <w:highlight w:val="none"/>
        </w:rPr>
      </w:pPr>
    </w:p>
    <w:p w14:paraId="4E566425">
      <w:pPr>
        <w:spacing w:line="360" w:lineRule="auto"/>
        <w:ind w:firstLine="667" w:firstLineChars="200"/>
        <w:jc w:val="center"/>
        <w:rPr>
          <w:rFonts w:ascii="宋体" w:hAnsi="宋体" w:cs="宋体"/>
          <w:b/>
          <w:color w:val="auto"/>
          <w:spacing w:val="6"/>
          <w:sz w:val="32"/>
          <w:szCs w:val="32"/>
          <w:highlight w:val="none"/>
        </w:rPr>
      </w:pPr>
    </w:p>
    <w:p w14:paraId="6D0BECB5">
      <w:pPr>
        <w:spacing w:line="360" w:lineRule="auto"/>
        <w:ind w:firstLine="667" w:firstLineChars="200"/>
        <w:jc w:val="center"/>
        <w:rPr>
          <w:rFonts w:ascii="宋体" w:hAnsi="宋体" w:cs="宋体"/>
          <w:b/>
          <w:color w:val="auto"/>
          <w:spacing w:val="6"/>
          <w:sz w:val="32"/>
          <w:szCs w:val="32"/>
          <w:highlight w:val="none"/>
        </w:rPr>
      </w:pPr>
    </w:p>
    <w:p w14:paraId="436AD955">
      <w:pPr>
        <w:spacing w:line="360" w:lineRule="auto"/>
        <w:ind w:firstLine="667" w:firstLineChars="200"/>
        <w:jc w:val="center"/>
        <w:rPr>
          <w:rFonts w:ascii="宋体" w:hAnsi="宋体" w:cs="宋体"/>
          <w:b/>
          <w:color w:val="auto"/>
          <w:spacing w:val="6"/>
          <w:sz w:val="32"/>
          <w:szCs w:val="32"/>
          <w:highlight w:val="none"/>
        </w:rPr>
      </w:pPr>
    </w:p>
    <w:p w14:paraId="5046710B">
      <w:pPr>
        <w:spacing w:line="360" w:lineRule="auto"/>
        <w:ind w:firstLine="667" w:firstLineChars="200"/>
        <w:jc w:val="center"/>
        <w:rPr>
          <w:rFonts w:ascii="宋体" w:hAnsi="宋体" w:cs="宋体"/>
          <w:b/>
          <w:color w:val="auto"/>
          <w:spacing w:val="6"/>
          <w:sz w:val="32"/>
          <w:szCs w:val="32"/>
          <w:highlight w:val="none"/>
        </w:rPr>
      </w:pPr>
    </w:p>
    <w:p w14:paraId="575AF3D3">
      <w:pPr>
        <w:spacing w:line="360" w:lineRule="auto"/>
        <w:ind w:firstLine="667" w:firstLineChars="200"/>
        <w:jc w:val="center"/>
        <w:rPr>
          <w:rFonts w:ascii="宋体" w:hAnsi="宋体" w:cs="宋体"/>
          <w:b/>
          <w:color w:val="auto"/>
          <w:spacing w:val="6"/>
          <w:sz w:val="32"/>
          <w:szCs w:val="32"/>
          <w:highlight w:val="none"/>
        </w:rPr>
      </w:pPr>
    </w:p>
    <w:p w14:paraId="32B75621">
      <w:pPr>
        <w:spacing w:line="360" w:lineRule="auto"/>
        <w:ind w:firstLine="667" w:firstLineChars="200"/>
        <w:jc w:val="center"/>
        <w:rPr>
          <w:rFonts w:ascii="宋体" w:hAnsi="宋体" w:cs="宋体"/>
          <w:b/>
          <w:color w:val="auto"/>
          <w:spacing w:val="6"/>
          <w:sz w:val="32"/>
          <w:szCs w:val="32"/>
          <w:highlight w:val="none"/>
        </w:rPr>
      </w:pPr>
    </w:p>
    <w:p w14:paraId="2B43075A">
      <w:pPr>
        <w:spacing w:line="360" w:lineRule="auto"/>
        <w:ind w:firstLine="667" w:firstLineChars="200"/>
        <w:jc w:val="center"/>
        <w:rPr>
          <w:rFonts w:ascii="宋体" w:hAnsi="宋体" w:cs="宋体"/>
          <w:b/>
          <w:color w:val="auto"/>
          <w:spacing w:val="6"/>
          <w:sz w:val="32"/>
          <w:szCs w:val="32"/>
          <w:highlight w:val="none"/>
        </w:rPr>
      </w:pPr>
    </w:p>
    <w:p w14:paraId="61B4AAE9">
      <w:pPr>
        <w:spacing w:line="360" w:lineRule="auto"/>
        <w:ind w:firstLine="667" w:firstLineChars="200"/>
        <w:jc w:val="center"/>
        <w:rPr>
          <w:rFonts w:ascii="宋体" w:hAnsi="宋体" w:cs="宋体"/>
          <w:b/>
          <w:color w:val="auto"/>
          <w:spacing w:val="6"/>
          <w:sz w:val="32"/>
          <w:szCs w:val="32"/>
          <w:highlight w:val="none"/>
        </w:rPr>
      </w:pPr>
    </w:p>
    <w:p w14:paraId="5FC2318A">
      <w:pPr>
        <w:spacing w:line="360" w:lineRule="auto"/>
        <w:ind w:firstLine="667" w:firstLineChars="200"/>
        <w:jc w:val="center"/>
        <w:rPr>
          <w:rFonts w:ascii="宋体" w:hAnsi="宋体" w:cs="宋体"/>
          <w:b/>
          <w:color w:val="auto"/>
          <w:spacing w:val="6"/>
          <w:sz w:val="32"/>
          <w:szCs w:val="32"/>
          <w:highlight w:val="none"/>
        </w:rPr>
      </w:pPr>
    </w:p>
    <w:p w14:paraId="3C827B98">
      <w:pPr>
        <w:spacing w:line="360" w:lineRule="auto"/>
        <w:ind w:firstLine="667" w:firstLineChars="200"/>
        <w:jc w:val="center"/>
        <w:rPr>
          <w:rFonts w:ascii="宋体" w:hAnsi="宋体" w:cs="宋体"/>
          <w:b/>
          <w:color w:val="auto"/>
          <w:spacing w:val="6"/>
          <w:sz w:val="32"/>
          <w:szCs w:val="32"/>
          <w:highlight w:val="none"/>
        </w:rPr>
      </w:pPr>
    </w:p>
    <w:p w14:paraId="7435BB0A">
      <w:pPr>
        <w:spacing w:line="360" w:lineRule="auto"/>
        <w:ind w:firstLine="667" w:firstLineChars="200"/>
        <w:jc w:val="left"/>
        <w:rPr>
          <w:rFonts w:ascii="宋体" w:hAnsi="宋体" w:cs="宋体"/>
          <w:b/>
          <w:color w:val="auto"/>
          <w:spacing w:val="6"/>
          <w:sz w:val="32"/>
          <w:szCs w:val="32"/>
          <w:highlight w:val="none"/>
        </w:rPr>
      </w:pPr>
    </w:p>
    <w:p w14:paraId="2AEC795E">
      <w:pPr>
        <w:spacing w:line="360" w:lineRule="auto"/>
        <w:ind w:firstLine="667" w:firstLineChars="200"/>
        <w:jc w:val="left"/>
        <w:rPr>
          <w:rFonts w:ascii="宋体" w:hAnsi="宋体" w:cs="宋体"/>
          <w:b/>
          <w:color w:val="auto"/>
          <w:spacing w:val="6"/>
          <w:sz w:val="32"/>
          <w:szCs w:val="32"/>
          <w:highlight w:val="none"/>
        </w:rPr>
      </w:pPr>
    </w:p>
    <w:p w14:paraId="1A4532DE">
      <w:pPr>
        <w:spacing w:line="360" w:lineRule="auto"/>
        <w:ind w:firstLine="667" w:firstLineChars="20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B1544C6">
      <w:pPr>
        <w:spacing w:line="360" w:lineRule="auto"/>
        <w:ind w:firstLine="482" w:firstLineChars="200"/>
        <w:jc w:val="center"/>
        <w:rPr>
          <w:rFonts w:ascii="宋体" w:hAnsi="宋体" w:cs="宋体"/>
          <w:b/>
          <w:color w:val="auto"/>
          <w:sz w:val="24"/>
          <w:highlight w:val="none"/>
        </w:rPr>
      </w:pPr>
    </w:p>
    <w:p w14:paraId="36A115E1">
      <w:pPr>
        <w:spacing w:line="360" w:lineRule="auto"/>
        <w:ind w:firstLine="667" w:firstLineChars="20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5BEB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083055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736B48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B6EB09">
      <w:pPr>
        <w:tabs>
          <w:tab w:val="left" w:pos="651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F7AC07">
      <w:pPr>
        <w:tabs>
          <w:tab w:val="left" w:pos="6510"/>
        </w:tabs>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E01A4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FA53E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279C0F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C3689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B26B3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587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被投诉人2</w:t>
      </w:r>
    </w:p>
    <w:p w14:paraId="7631DA7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w:t>
      </w:r>
    </w:p>
    <w:p w14:paraId="1F6A0BE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EA77F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23C79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579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二、投诉项目基本情况</w:t>
      </w:r>
    </w:p>
    <w:p w14:paraId="25BC968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74527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F0C5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ECA96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972FE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F1AD6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F4F8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三、质疑基本情况</w:t>
      </w:r>
    </w:p>
    <w:p w14:paraId="2E18119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14E5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4AC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C585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四、投诉事项具体内容</w:t>
      </w:r>
    </w:p>
    <w:p w14:paraId="4ADC62D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5C68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F32B0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F20BB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3B1781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AD2F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投诉事项2</w:t>
      </w:r>
    </w:p>
    <w:p w14:paraId="34E5DF6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w:t>
      </w:r>
    </w:p>
    <w:p w14:paraId="0C48C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A41E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4ABB2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AE323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F55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p>
    <w:p w14:paraId="4F59BAC7">
      <w:pPr>
        <w:spacing w:line="360" w:lineRule="auto"/>
        <w:ind w:firstLine="482" w:firstLineChars="200"/>
        <w:rPr>
          <w:rFonts w:ascii="宋体" w:hAnsi="宋体" w:cs="宋体"/>
          <w:b/>
          <w:color w:val="auto"/>
          <w:sz w:val="24"/>
          <w:highlight w:val="none"/>
        </w:rPr>
      </w:pPr>
    </w:p>
    <w:p w14:paraId="2EBF8FE9">
      <w:pPr>
        <w:spacing w:line="360" w:lineRule="auto"/>
        <w:ind w:firstLine="482" w:firstLineChars="200"/>
        <w:rPr>
          <w:rFonts w:ascii="宋体" w:hAnsi="宋体" w:cs="宋体"/>
          <w:b/>
          <w:color w:val="auto"/>
          <w:sz w:val="24"/>
          <w:highlight w:val="none"/>
        </w:rPr>
      </w:pPr>
    </w:p>
    <w:p w14:paraId="5CB61F0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投诉书制作说明：</w:t>
      </w:r>
    </w:p>
    <w:p w14:paraId="43F484A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D6ED7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904A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13B77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BC380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FCBF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F66553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ACB92B2">
      <w:pPr>
        <w:spacing w:line="360" w:lineRule="auto"/>
        <w:ind w:firstLine="482" w:firstLineChars="200"/>
        <w:rPr>
          <w:rFonts w:ascii="宋体" w:hAnsi="宋体" w:cs="宋体"/>
          <w:b/>
          <w:color w:val="auto"/>
          <w:sz w:val="24"/>
          <w:highlight w:val="none"/>
        </w:rPr>
      </w:pPr>
    </w:p>
    <w:p w14:paraId="4FD1DEF2">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486A32B0">
      <w:pPr>
        <w:autoSpaceDE w:val="0"/>
        <w:autoSpaceDN w:val="0"/>
        <w:spacing w:line="360" w:lineRule="auto"/>
        <w:ind w:firstLine="667" w:firstLineChars="20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EDC7E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DEFE56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项目编号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1CD9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BB7080A">
      <w:pPr>
        <w:spacing w:line="360" w:lineRule="auto"/>
        <w:ind w:firstLine="480" w:firstLineChars="200"/>
        <w:rPr>
          <w:rFonts w:ascii="宋体" w:hAnsi="宋体" w:cs="宋体"/>
          <w:color w:val="auto"/>
          <w:sz w:val="24"/>
          <w:highlight w:val="none"/>
        </w:rPr>
      </w:pPr>
    </w:p>
    <w:p w14:paraId="2D9DBD99">
      <w:pPr>
        <w:spacing w:line="360" w:lineRule="auto"/>
        <w:ind w:firstLine="480" w:firstLineChars="200"/>
        <w:rPr>
          <w:rFonts w:ascii="宋体" w:hAnsi="宋体" w:cs="宋体"/>
          <w:color w:val="auto"/>
          <w:sz w:val="24"/>
          <w:highlight w:val="none"/>
        </w:rPr>
      </w:pPr>
    </w:p>
    <w:p w14:paraId="0A303E28">
      <w:pPr>
        <w:spacing w:line="360" w:lineRule="auto"/>
        <w:ind w:firstLine="480" w:firstLineChars="200"/>
        <w:rPr>
          <w:rFonts w:ascii="宋体" w:hAnsi="宋体" w:cs="宋体"/>
          <w:color w:val="auto"/>
          <w:sz w:val="24"/>
          <w:highlight w:val="none"/>
        </w:rPr>
      </w:pPr>
    </w:p>
    <w:p w14:paraId="6A33A81F">
      <w:pPr>
        <w:spacing w:line="360" w:lineRule="auto"/>
        <w:ind w:firstLine="480" w:firstLineChars="200"/>
        <w:rPr>
          <w:rFonts w:ascii="宋体" w:hAnsi="宋体" w:cs="宋体"/>
          <w:color w:val="auto"/>
          <w:sz w:val="24"/>
          <w:highlight w:val="none"/>
        </w:rPr>
      </w:pPr>
    </w:p>
    <w:p w14:paraId="5A3C739B">
      <w:pPr>
        <w:spacing w:line="360" w:lineRule="auto"/>
        <w:ind w:right="480" w:firstLine="480" w:firstLineChars="200"/>
        <w:rPr>
          <w:rFonts w:ascii="宋体" w:hAnsi="宋体" w:cs="宋体"/>
          <w:color w:val="auto"/>
          <w:sz w:val="24"/>
          <w:highlight w:val="none"/>
        </w:rPr>
      </w:pPr>
      <w:r>
        <w:rPr>
          <w:rFonts w:hint="eastAsia" w:ascii="宋体" w:hAnsi="宋体" w:cs="宋体"/>
          <w:color w:val="auto"/>
          <w:sz w:val="24"/>
          <w:highlight w:val="none"/>
        </w:rPr>
        <w:t>供应商（盖章）：</w:t>
      </w:r>
    </w:p>
    <w:p w14:paraId="6E1AF2DA">
      <w:pPr>
        <w:spacing w:line="360" w:lineRule="auto"/>
        <w:ind w:right="144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3AE156">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附：</w:t>
      </w:r>
    </w:p>
    <w:p w14:paraId="77DABDE7">
      <w:pPr>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6EF118C">
      <w:pPr>
        <w:autoSpaceDE w:val="0"/>
        <w:autoSpaceDN w:val="0"/>
        <w:spacing w:line="360" w:lineRule="auto"/>
        <w:ind w:firstLine="482" w:firstLineChars="200"/>
        <w:jc w:val="center"/>
        <w:rPr>
          <w:rFonts w:ascii="宋体" w:hAnsi="宋体" w:cs="宋体"/>
          <w:b/>
          <w:color w:val="auto"/>
          <w:spacing w:val="6"/>
          <w:sz w:val="32"/>
          <w:szCs w:val="32"/>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3239770</wp:posOffset>
                </wp:positionH>
                <wp:positionV relativeFrom="paragraph">
                  <wp:posOffset>59690</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26FD31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55.1pt;margin-top:4.7pt;height:177.45pt;width:212.95pt;z-index:-251657216;mso-width-relative:page;mso-height-relative:page;" fillcolor="#FFFFFF" filled="t" stroked="t" coordsize="21600,21600" o:gfxdata="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gVj2vYAAAACQ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26FD31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121920</wp:posOffset>
                </wp:positionH>
                <wp:positionV relativeFrom="paragraph">
                  <wp:posOffset>88265</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45339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9.6pt;margin-top:6.95pt;height:177.45pt;width:208.5pt;z-index:-251656192;mso-width-relative:page;mso-height-relative:page;" fillcolor="#FFFFFF" filled="t" stroked="t" coordsize="21600,21600" o:gfxdata="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WNGq9cAAAAJAQAADwAAAAAAAAABACAAAAAiAAAAZHJzL2Rvd25yZXYueG1sUEsB&#10;AhQAFAAAAAgAh07iQEove4MvAgAAfwQAAA4AAAAAAAAAAQAgAAAAJgEAAGRycy9lMm9Eb2MueG1s&#10;UEsFBgAAAAAGAAYAWQEAAMcFAAAAAA==&#10;">
                <v:fill on="t" focussize="0,0"/>
                <v:stroke color="#000000" miterlimit="2" joinstyle="miter"/>
                <v:imagedata o:title=""/>
                <o:lock v:ext="edit" aspectratio="f"/>
                <v:textbox>
                  <w:txbxContent>
                    <w:p w14:paraId="24533944">
                      <w:pPr>
                        <w:jc w:val="center"/>
                      </w:pPr>
                    </w:p>
                  </w:txbxContent>
                </v:textbox>
              </v:rect>
            </w:pict>
          </mc:Fallback>
        </mc:AlternateContent>
      </w:r>
    </w:p>
    <w:p w14:paraId="5D461AB9">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6C589CA8">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5C630D7A">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17467822">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7A7338C8">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5A476CB3">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03E772F5">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787D80D6">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0B11B1AA">
      <w:pPr>
        <w:autoSpaceDE w:val="0"/>
        <w:autoSpaceDN w:val="0"/>
        <w:spacing w:line="360" w:lineRule="auto"/>
        <w:ind w:firstLine="667" w:firstLineChars="200"/>
        <w:jc w:val="center"/>
        <w:rPr>
          <w:rFonts w:ascii="宋体" w:hAnsi="宋体" w:cs="宋体"/>
          <w:b/>
          <w:color w:val="auto"/>
          <w:spacing w:val="6"/>
          <w:sz w:val="32"/>
          <w:szCs w:val="32"/>
          <w:highlight w:val="none"/>
        </w:rPr>
      </w:pPr>
    </w:p>
    <w:p w14:paraId="58A1635F">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600464F">
      <w:pPr>
        <w:autoSpaceDE w:val="0"/>
        <w:autoSpaceDN w:val="0"/>
        <w:spacing w:line="360" w:lineRule="auto"/>
        <w:ind w:firstLine="667" w:firstLineChars="20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4F7AC49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1A86D1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   】</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31CDB65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7D0D1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而对采购人、采购代理机构所作的任何合法承诺，包括书面澄清及响应等均对联合投标各方产生约束力。</w:t>
      </w:r>
    </w:p>
    <w:p w14:paraId="751D9D50">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A4F50BA">
      <w:pPr>
        <w:snapToGrid w:val="0"/>
        <w:spacing w:line="360" w:lineRule="auto"/>
        <w:ind w:firstLine="480" w:firstLineChars="200"/>
        <w:rPr>
          <w:rFonts w:ascii="宋体" w:hAnsi="宋体" w:cs="宋体"/>
          <w:color w:val="auto"/>
          <w:kern w:val="0"/>
          <w:sz w:val="24"/>
          <w:highlight w:val="none"/>
          <w:lang w:val="zh-CN"/>
        </w:rPr>
      </w:pPr>
      <w:bookmarkStart w:id="73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B6831C">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AE6D6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30"/>
    <w:p w14:paraId="1ECEBC4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96CD3FE">
      <w:pPr>
        <w:snapToGrid w:val="0"/>
        <w:spacing w:line="360" w:lineRule="auto"/>
        <w:ind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32036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w:t>
      </w:r>
      <w:r>
        <w:rPr>
          <w:rFonts w:hint="eastAsia" w:ascii="宋体" w:hAnsi="宋体" w:cs="宋体"/>
          <w:b/>
          <w:bCs/>
          <w:color w:val="auto"/>
          <w:sz w:val="24"/>
          <w:highlight w:val="none"/>
          <w:lang w:eastAsia="zh-CN"/>
        </w:rPr>
        <w:t>招标文件</w:t>
      </w:r>
      <w:r>
        <w:rPr>
          <w:rFonts w:hint="eastAsia" w:ascii="宋体" w:hAnsi="宋体" w:cs="宋体"/>
          <w:b/>
          <w:bCs/>
          <w:color w:val="auto"/>
          <w:sz w:val="24"/>
          <w:highlight w:val="none"/>
        </w:rPr>
        <w:t>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216CA0">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0B0B22F">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0FBED43A">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BD2DAF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AF88DF">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B474C1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联合体成员（盖章）：</w:t>
      </w:r>
    </w:p>
    <w:p w14:paraId="4F182063">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090CC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748BB5">
      <w:pPr>
        <w:autoSpaceDE w:val="0"/>
        <w:autoSpaceDN w:val="0"/>
        <w:spacing w:line="360" w:lineRule="auto"/>
        <w:ind w:firstLine="667" w:firstLineChars="200"/>
        <w:jc w:val="center"/>
        <w:rPr>
          <w:rFonts w:ascii="宋体" w:hAnsi="宋体" w:cs="宋体"/>
          <w:b/>
          <w:color w:val="auto"/>
          <w:spacing w:val="6"/>
          <w:sz w:val="32"/>
          <w:szCs w:val="32"/>
          <w:highlight w:val="none"/>
        </w:rPr>
        <w:sectPr>
          <w:pgSz w:w="11905" w:h="16838"/>
          <w:pgMar w:top="1417" w:right="1417" w:bottom="1417" w:left="1417" w:header="850" w:footer="992" w:gutter="0"/>
          <w:cols w:space="0" w:num="1"/>
          <w:titlePg/>
          <w:rtlGutter w:val="0"/>
          <w:docGrid w:linePitch="312" w:charSpace="0"/>
        </w:sectPr>
      </w:pPr>
    </w:p>
    <w:p w14:paraId="7D6E0561">
      <w:pPr>
        <w:snapToGrid w:val="0"/>
        <w:spacing w:line="360" w:lineRule="auto"/>
        <w:ind w:firstLine="667" w:firstLineChars="200"/>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3C9AE8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4EA1C3E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   】</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654FEF3">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49B1663">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DC32B2D">
      <w:pPr>
        <w:pStyle w:val="5"/>
        <w:ind w:left="664" w:leftChars="316" w:firstLine="482"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1C0106">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80B9461">
      <w:pPr>
        <w:snapToGrid w:val="0"/>
        <w:spacing w:line="360" w:lineRule="auto"/>
        <w:ind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470EE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3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w:t>
      </w:r>
      <w:r>
        <w:rPr>
          <w:rFonts w:hint="eastAsia" w:ascii="宋体" w:hAnsi="宋体" w:cs="宋体"/>
          <w:b/>
          <w:bCs/>
          <w:color w:val="auto"/>
          <w:sz w:val="24"/>
          <w:highlight w:val="none"/>
          <w:lang w:eastAsia="zh-CN"/>
        </w:rPr>
        <w:t>招标文件</w:t>
      </w:r>
      <w:r>
        <w:rPr>
          <w:rFonts w:hint="eastAsia" w:ascii="宋体" w:hAnsi="宋体" w:cs="宋体"/>
          <w:b/>
          <w:bCs/>
          <w:color w:val="auto"/>
          <w:sz w:val="24"/>
          <w:highlight w:val="none"/>
        </w:rPr>
        <w:t>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31"/>
    </w:p>
    <w:p w14:paraId="139CF2C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3462B44">
      <w:pPr>
        <w:snapToGrid w:val="0"/>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 xml:space="preserve">                                                                                  </w:t>
      </w:r>
    </w:p>
    <w:p w14:paraId="5136E92F">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2B4A768">
      <w:pPr>
        <w:snapToGrid w:val="0"/>
        <w:spacing w:line="360" w:lineRule="auto"/>
        <w:ind w:firstLine="420" w:firstLineChars="2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84C86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903B70">
      <w:pPr>
        <w:snapToGrid w:val="0"/>
        <w:spacing w:line="360" w:lineRule="auto"/>
        <w:rPr>
          <w:rFonts w:ascii="宋体" w:hAnsi="宋体" w:cs="宋体"/>
          <w:color w:val="auto"/>
          <w:kern w:val="0"/>
          <w:sz w:val="24"/>
          <w:highlight w:val="none"/>
          <w:lang w:val="zh-CN"/>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14:paraId="44F4EFBA">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DBCC727">
      <w:pPr>
        <w:snapToGrid w:val="0"/>
        <w:spacing w:line="360" w:lineRule="auto"/>
        <w:ind w:firstLine="420" w:firstLineChars="2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80272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77B72C4">
      <w:pPr>
        <w:snapToGrid w:val="0"/>
        <w:spacing w:line="360" w:lineRule="auto"/>
        <w:ind w:firstLine="420" w:firstLineChars="2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8AC27E">
      <w:pPr>
        <w:snapToGrid w:val="0"/>
        <w:spacing w:line="360" w:lineRule="auto"/>
        <w:rPr>
          <w:rFonts w:hint="eastAsia" w:ascii="宋体" w:hAnsi="宋体" w:cs="宋体"/>
          <w:color w:val="auto"/>
          <w:kern w:val="0"/>
          <w:sz w:val="24"/>
          <w:highlight w:val="none"/>
          <w:lang w:val="zh-CN"/>
        </w:rPr>
      </w:pPr>
    </w:p>
    <w:p w14:paraId="7A700996">
      <w:pPr>
        <w:snapToGrid w:val="0"/>
        <w:spacing w:line="360" w:lineRule="auto"/>
        <w:rPr>
          <w:rFonts w:hint="eastAsia" w:ascii="宋体" w:hAnsi="宋体" w:cs="宋体"/>
          <w:color w:val="auto"/>
          <w:kern w:val="0"/>
          <w:sz w:val="24"/>
          <w:highlight w:val="none"/>
          <w:lang w:val="zh-CN"/>
        </w:rPr>
      </w:pPr>
    </w:p>
    <w:p w14:paraId="4E6D512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供应商（盖章）：</w:t>
      </w:r>
    </w:p>
    <w:p w14:paraId="05C888A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w:t>
      </w:r>
    </w:p>
    <w:p w14:paraId="182A4961">
      <w:pPr>
        <w:spacing w:line="360" w:lineRule="auto"/>
        <w:ind w:firstLine="480" w:firstLineChars="200"/>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21BBBB35">
      <w:pPr>
        <w:autoSpaceDE w:val="0"/>
        <w:autoSpaceDN w:val="0"/>
        <w:spacing w:line="360" w:lineRule="auto"/>
        <w:ind w:firstLine="667" w:firstLineChars="200"/>
        <w:jc w:val="center"/>
        <w:rPr>
          <w:rFonts w:ascii="宋体" w:hAnsi="宋体" w:cs="宋体"/>
          <w:b/>
          <w:color w:val="auto"/>
          <w:spacing w:val="6"/>
          <w:sz w:val="32"/>
          <w:szCs w:val="32"/>
          <w:highlight w:val="none"/>
        </w:rPr>
        <w:sectPr>
          <w:pgSz w:w="11905" w:h="16838"/>
          <w:pgMar w:top="1417" w:right="1417" w:bottom="1417" w:left="1417" w:header="850" w:footer="992" w:gutter="0"/>
          <w:cols w:space="0" w:num="1"/>
          <w:titlePg/>
          <w:rtlGutter w:val="0"/>
          <w:docGrid w:linePitch="312" w:charSpace="0"/>
        </w:sectPr>
      </w:pPr>
    </w:p>
    <w:p w14:paraId="1D058949">
      <w:pPr>
        <w:autoSpaceDE w:val="0"/>
        <w:autoSpaceDN w:val="0"/>
        <w:spacing w:line="360" w:lineRule="auto"/>
        <w:ind w:firstLine="667" w:firstLineChars="200"/>
        <w:outlineLvl w:val="0"/>
        <w:rPr>
          <w:rFonts w:ascii="宋体" w:hAnsi="宋体" w:cs="宋体"/>
          <w:b/>
          <w:bCs/>
          <w:color w:val="auto"/>
          <w:sz w:val="32"/>
          <w:szCs w:val="32"/>
          <w:highlight w:val="none"/>
        </w:rPr>
      </w:pPr>
      <w:bookmarkStart w:id="732" w:name="_Toc13069"/>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bookmarkEnd w:id="732"/>
    </w:p>
    <w:p w14:paraId="55021C95">
      <w:pPr>
        <w:spacing w:line="360" w:lineRule="auto"/>
        <w:ind w:firstLine="643" w:firstLineChars="200"/>
        <w:jc w:val="center"/>
        <w:outlineLvl w:val="0"/>
        <w:rPr>
          <w:rFonts w:ascii="宋体" w:hAnsi="宋体" w:cs="宋体"/>
          <w:b/>
          <w:color w:val="auto"/>
          <w:sz w:val="32"/>
          <w:szCs w:val="32"/>
          <w:highlight w:val="none"/>
        </w:rPr>
      </w:pPr>
      <w:bookmarkStart w:id="733" w:name="_Toc9804"/>
      <w:r>
        <w:rPr>
          <w:rFonts w:hint="eastAsia" w:ascii="宋体" w:hAnsi="宋体" w:cs="宋体"/>
          <w:b/>
          <w:color w:val="auto"/>
          <w:sz w:val="32"/>
          <w:szCs w:val="32"/>
          <w:highlight w:val="none"/>
        </w:rPr>
        <w:t>中小企业声明函（工程）</w:t>
      </w:r>
      <w:bookmarkEnd w:id="733"/>
    </w:p>
    <w:p w14:paraId="2DA6BD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02886C">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kern w:val="0"/>
          <w:sz w:val="24"/>
          <w:highlight w:val="none"/>
          <w:u w:val="single"/>
          <w:lang w:eastAsia="zh-CN"/>
        </w:rPr>
        <w:t>浙江万里学院回龙校区8#宿舍楼修缮项目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招标文件</w:t>
      </w:r>
      <w:r>
        <w:rPr>
          <w:rFonts w:hint="eastAsia" w:ascii="宋体" w:hAnsi="宋体" w:cs="宋体"/>
          <w:color w:val="auto"/>
          <w:sz w:val="24"/>
          <w:highlight w:val="none"/>
          <w:u w:val="single"/>
        </w:rPr>
        <w:t>中明确的所属行业：建筑业）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u w:val="none"/>
          <w:lang w:eastAsia="zh-CN"/>
        </w:rPr>
        <w:t>。</w:t>
      </w:r>
    </w:p>
    <w:p w14:paraId="12ECA8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747E0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0C3AF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2E49C57">
      <w:pPr>
        <w:spacing w:line="360" w:lineRule="auto"/>
        <w:ind w:firstLine="480" w:firstLineChars="200"/>
        <w:rPr>
          <w:rFonts w:ascii="宋体" w:hAnsi="宋体" w:cs="宋体"/>
          <w:color w:val="auto"/>
          <w:sz w:val="24"/>
          <w:highlight w:val="none"/>
        </w:rPr>
      </w:pPr>
    </w:p>
    <w:p w14:paraId="0ABD5E9D">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lang w:val="zh-CN"/>
        </w:rPr>
        <w:t>供应商（盖章）：</w:t>
      </w:r>
    </w:p>
    <w:p w14:paraId="5B851251">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zh-CN"/>
        </w:rPr>
        <w:t>日期</w:t>
      </w:r>
      <w:r>
        <w:rPr>
          <w:rFonts w:hint="eastAsia" w:ascii="宋体" w:hAnsi="宋体" w:cs="宋体"/>
          <w:b/>
          <w:bCs/>
          <w:color w:val="auto"/>
          <w:kern w:val="0"/>
          <w:sz w:val="24"/>
          <w:highlight w:val="none"/>
        </w:rPr>
        <w:t>：</w:t>
      </w:r>
    </w:p>
    <w:p w14:paraId="4FCFEF8E">
      <w:pPr>
        <w:snapToGrid w:val="0"/>
        <w:spacing w:line="360" w:lineRule="auto"/>
        <w:ind w:firstLine="482" w:firstLineChars="200"/>
        <w:rPr>
          <w:rFonts w:hint="eastAsia" w:ascii="宋体" w:hAnsi="宋体" w:cs="宋体"/>
          <w:b/>
          <w:bCs/>
          <w:color w:val="auto"/>
          <w:kern w:val="0"/>
          <w:sz w:val="24"/>
          <w:highlight w:val="none"/>
          <w:lang w:val="zh-CN"/>
        </w:rPr>
      </w:pPr>
    </w:p>
    <w:p w14:paraId="2F6831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30F114F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5CBC16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B81540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BB2F7DA">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3、</w:t>
      </w:r>
      <w:r>
        <w:rPr>
          <w:rFonts w:hint="eastAsia" w:ascii="宋体" w:hAnsi="宋体" w:cs="宋体"/>
          <w:color w:val="auto"/>
          <w:sz w:val="24"/>
          <w:highlight w:val="none"/>
          <w:lang w:bidi="ar"/>
        </w:rPr>
        <w:t>本项目对应的中小企业划分标准所属行业：</w:t>
      </w:r>
      <w:r>
        <w:rPr>
          <w:rFonts w:hint="eastAsia" w:ascii="宋体" w:hAnsi="宋体" w:cs="宋体"/>
          <w:b/>
          <w:bCs/>
          <w:color w:val="auto"/>
          <w:sz w:val="24"/>
          <w:highlight w:val="none"/>
          <w:u w:val="single"/>
          <w:lang w:bidi="ar"/>
        </w:rPr>
        <w:t>建筑业</w:t>
      </w:r>
      <w:r>
        <w:rPr>
          <w:rFonts w:hint="eastAsia" w:ascii="宋体" w:hAnsi="宋体" w:cs="宋体"/>
          <w:color w:val="auto"/>
          <w:sz w:val="24"/>
          <w:highlight w:val="none"/>
          <w:lang w:bidi="ar"/>
        </w:rPr>
        <w:t>。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CC7198">
      <w:pPr>
        <w:spacing w:line="360" w:lineRule="auto"/>
        <w:jc w:val="center"/>
        <w:rPr>
          <w:rFonts w:ascii="宋体" w:hAnsi="宋体" w:cs="宋体"/>
          <w:b/>
          <w:color w:val="auto"/>
          <w:sz w:val="32"/>
          <w:szCs w:val="32"/>
          <w:highlight w:val="none"/>
        </w:rPr>
      </w:pPr>
    </w:p>
    <w:p w14:paraId="67C04C47">
      <w:pPr>
        <w:spacing w:line="360" w:lineRule="auto"/>
        <w:jc w:val="center"/>
        <w:rPr>
          <w:rFonts w:ascii="宋体" w:hAnsi="宋体" w:cs="宋体"/>
          <w:b/>
          <w:color w:val="auto"/>
          <w:sz w:val="32"/>
          <w:szCs w:val="32"/>
          <w:highlight w:val="none"/>
        </w:rPr>
      </w:pPr>
    </w:p>
    <w:p w14:paraId="74E9CB7C">
      <w:pPr>
        <w:spacing w:line="360" w:lineRule="auto"/>
        <w:jc w:val="center"/>
        <w:rPr>
          <w:rFonts w:ascii="宋体" w:hAnsi="宋体" w:cs="宋体"/>
          <w:b/>
          <w:color w:val="auto"/>
          <w:sz w:val="32"/>
          <w:szCs w:val="32"/>
          <w:highlight w:val="none"/>
        </w:rPr>
      </w:pPr>
    </w:p>
    <w:p w14:paraId="7DE564CB">
      <w:pPr>
        <w:spacing w:line="360" w:lineRule="auto"/>
        <w:jc w:val="center"/>
        <w:rPr>
          <w:rFonts w:ascii="宋体" w:hAnsi="宋体" w:cs="宋体"/>
          <w:b/>
          <w:color w:val="auto"/>
          <w:sz w:val="32"/>
          <w:szCs w:val="32"/>
          <w:highlight w:val="none"/>
        </w:rPr>
      </w:pPr>
    </w:p>
    <w:p w14:paraId="447660A6">
      <w:pPr>
        <w:spacing w:line="360" w:lineRule="auto"/>
        <w:jc w:val="center"/>
        <w:rPr>
          <w:rFonts w:ascii="宋体" w:hAnsi="宋体" w:cs="宋体"/>
          <w:b/>
          <w:color w:val="auto"/>
          <w:sz w:val="32"/>
          <w:szCs w:val="32"/>
          <w:highlight w:val="none"/>
        </w:rPr>
      </w:pPr>
    </w:p>
    <w:p w14:paraId="61A74E13">
      <w:pPr>
        <w:spacing w:line="360" w:lineRule="auto"/>
        <w:jc w:val="center"/>
        <w:rPr>
          <w:rFonts w:ascii="宋体" w:hAnsi="宋体" w:cs="宋体"/>
          <w:b/>
          <w:color w:val="auto"/>
          <w:sz w:val="32"/>
          <w:szCs w:val="32"/>
          <w:highlight w:val="none"/>
        </w:rPr>
      </w:pPr>
    </w:p>
    <w:p w14:paraId="74C6A311">
      <w:pPr>
        <w:spacing w:line="360" w:lineRule="auto"/>
        <w:jc w:val="center"/>
        <w:rPr>
          <w:rFonts w:ascii="宋体" w:hAnsi="宋体" w:cs="宋体"/>
          <w:b/>
          <w:color w:val="auto"/>
          <w:sz w:val="32"/>
          <w:szCs w:val="32"/>
          <w:highlight w:val="none"/>
        </w:rPr>
      </w:pPr>
    </w:p>
    <w:p w14:paraId="5154BCCE">
      <w:pPr>
        <w:pStyle w:val="3"/>
        <w:rPr>
          <w:rFonts w:cs="宋体"/>
          <w:color w:val="auto"/>
          <w:highlight w:val="none"/>
        </w:rPr>
      </w:pPr>
    </w:p>
    <w:sectPr>
      <w:pgSz w:w="11905" w:h="16838"/>
      <w:pgMar w:top="1417" w:right="1417" w:bottom="1417" w:left="1417" w:header="850"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5C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43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6544A2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E8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F179">
    <w:pPr>
      <w:pStyle w:val="40"/>
      <w:framePr w:wrap="around" w:vAnchor="text" w:hAnchor="margin" w:xAlign="right" w:y="1"/>
      <w:rPr>
        <w:rStyle w:val="72"/>
      </w:rPr>
    </w:pPr>
    <w:r>
      <w:fldChar w:fldCharType="begin"/>
    </w:r>
    <w:r>
      <w:rPr>
        <w:rStyle w:val="72"/>
      </w:rPr>
      <w:instrText xml:space="preserve">PAGE  </w:instrText>
    </w:r>
    <w:r>
      <w:fldChar w:fldCharType="end"/>
    </w:r>
  </w:p>
  <w:p w14:paraId="3F5A90A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4B0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734" w:name="_Toc164085800"/>
    <w:bookmarkStart w:id="735" w:name="_Toc91899912"/>
    <w:bookmarkStart w:id="736" w:name="_Toc131845147"/>
    <w:bookmarkStart w:id="737" w:name="_Toc36110187"/>
    <w:r>
      <w:rPr>
        <w:rFonts w:hint="eastAsia" w:ascii="仿宋_GB2312" w:eastAsia="仿宋_GB2312"/>
        <w:kern w:val="0"/>
        <w:szCs w:val="21"/>
      </w:rPr>
      <w:t xml:space="preserve"> 页</w:t>
    </w:r>
    <w:bookmarkEnd w:id="734"/>
    <w:bookmarkEnd w:id="735"/>
    <w:bookmarkEnd w:id="736"/>
    <w:bookmarkEnd w:id="7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6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330B">
    <w:pPr>
      <w:tabs>
        <w:tab w:val="center" w:pos="4153"/>
        <w:tab w:val="right" w:pos="8306"/>
      </w:tabs>
      <w:snapToGrid w:val="0"/>
      <w:ind w:right="360"/>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B5BC4">
                          <w:pPr>
                            <w:pStyle w:val="40"/>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76B5BC4">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2FCB">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3757295</wp:posOffset>
              </wp:positionH>
              <wp:positionV relativeFrom="page">
                <wp:posOffset>9827260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1A01C0E4">
                          <w:pPr>
                            <w:pStyle w:val="968"/>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95.85pt;margin-top:773.8pt;height:11pt;width:9.15pt;mso-position-horizontal-relative:page;mso-position-vertical-relative:page;mso-wrap-style:none;z-index:-251655168;mso-width-relative:page;mso-height-relative:page;" filled="f" stroked="f" coordsize="21600,21600" o:gfxdata="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&#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rBj82AAAAA0BAAAPAAAAAAAAAAEAIAAAACIAAABk&#10;cnMvZG93bnJldi54bWxQSwECFAAUAAAACACHTuJAZbgl5M0BAACXAwAADgAAAAAAAAABACAAAAAn&#10;AQAAZHJzL2Uyb0RvYy54bWxQSwUGAAAAAAYABgBZAQAAZgUAAAAA&#10;">
              <v:fill on="f" focussize="0,0"/>
              <v:stroke on="f"/>
              <v:imagedata o:title=""/>
              <o:lock v:ext="edit" aspectratio="f"/>
              <v:textbox inset="0mm,0mm,0mm,0mm" style="mso-fit-shape-to-text:t;">
                <w:txbxContent>
                  <w:p w14:paraId="1A01C0E4">
                    <w:pPr>
                      <w:pStyle w:val="96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6B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020EFD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E1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510C3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49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E7FB2C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7C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14:paraId="2A8DE7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87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BED2E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5375">
    <w:pPr>
      <w:pStyle w:val="41"/>
      <w:spacing w:line="360" w:lineRule="auto"/>
      <w:jc w:val="both"/>
      <w:rPr>
        <w:rFonts w:hint="eastAsia" w:eastAsia="宋体"/>
        <w:lang w:eastAsia="zh-CN"/>
      </w:rPr>
    </w:pPr>
    <w:r>
      <w:rPr>
        <w:rFonts w:hint="eastAsia"/>
        <w:sz w:val="24"/>
        <w:szCs w:val="24"/>
        <w:lang w:eastAsia="zh-CN"/>
      </w:rPr>
      <w:t>浙江万里学院回龙校区8#宿舍楼修缮项目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6552">
    <w:pPr>
      <w:pStyle w:val="41"/>
      <w:spacing w:line="360" w:lineRule="auto"/>
      <w:jc w:val="both"/>
      <w:rPr>
        <w:rFonts w:hint="eastAsia" w:eastAsia="宋体"/>
        <w:sz w:val="24"/>
        <w:szCs w:val="24"/>
        <w:lang w:val="en-US" w:eastAsia="zh-CN"/>
      </w:rPr>
    </w:pPr>
    <w:r>
      <w:rPr>
        <w:rFonts w:hint="eastAsia"/>
        <w:sz w:val="24"/>
        <w:szCs w:val="24"/>
        <w:lang w:eastAsia="zh-CN"/>
      </w:rPr>
      <w:t>浙江万里学院回龙校区8#宿舍楼修缮项目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8182">
    <w:pPr>
      <w:pStyle w:val="41"/>
      <w:spacing w:line="360" w:lineRule="auto"/>
      <w:jc w:val="both"/>
      <w:rPr>
        <w:rFonts w:hint="eastAsia" w:eastAsia="宋体"/>
        <w:lang w:eastAsia="zh-CN"/>
      </w:rPr>
    </w:pPr>
    <w:r>
      <w:rPr>
        <w:rFonts w:hint="eastAsia"/>
        <w:sz w:val="24"/>
        <w:szCs w:val="24"/>
        <w:lang w:eastAsia="zh-CN"/>
      </w:rPr>
      <w:t>浙江万里学院回龙校区8#宿舍楼修缮项目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452A">
    <w:pPr>
      <w:pStyle w:val="41"/>
      <w:spacing w:line="360" w:lineRule="auto"/>
      <w:jc w:val="both"/>
      <w:rPr>
        <w:rFonts w:hint="eastAsia" w:eastAsia="宋体"/>
        <w:lang w:eastAsia="zh-CN"/>
      </w:rPr>
    </w:pPr>
    <w:r>
      <w:rPr>
        <w:rFonts w:hint="eastAsia"/>
        <w:sz w:val="24"/>
        <w:szCs w:val="24"/>
        <w:lang w:eastAsia="zh-CN"/>
      </w:rPr>
      <w:t>浙江万里学院回龙校区8#宿舍楼修缮项目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D635">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DF08">
    <w:pPr>
      <w:pStyle w:val="41"/>
      <w:spacing w:line="360" w:lineRule="auto"/>
      <w:jc w:val="both"/>
      <w:rPr>
        <w:rFonts w:hint="eastAsia" w:eastAsia="宋体"/>
        <w:lang w:eastAsia="zh-CN"/>
      </w:rPr>
    </w:pPr>
    <w:r>
      <w:rPr>
        <w:rFonts w:hint="eastAsia"/>
        <w:sz w:val="24"/>
        <w:szCs w:val="24"/>
        <w:lang w:eastAsia="zh-CN"/>
      </w:rPr>
      <w:t>浙江万里学院回龙校区8#宿舍楼修缮项目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3A395"/>
    <w:multiLevelType w:val="singleLevel"/>
    <w:tmpl w:val="97E3A395"/>
    <w:lvl w:ilvl="0" w:tentative="0">
      <w:start w:val="5"/>
      <w:numFmt w:val="decimal"/>
      <w:suff w:val="nothing"/>
      <w:lvlText w:val="%1、"/>
      <w:lvlJc w:val="left"/>
    </w:lvl>
  </w:abstractNum>
  <w:abstractNum w:abstractNumId="1">
    <w:nsid w:val="AE7A2E76"/>
    <w:multiLevelType w:val="singleLevel"/>
    <w:tmpl w:val="AE7A2E76"/>
    <w:lvl w:ilvl="0" w:tentative="0">
      <w:start w:val="3"/>
      <w:numFmt w:val="decimal"/>
      <w:suff w:val="nothing"/>
      <w:lvlText w:val="%1、"/>
      <w:lvlJc w:val="left"/>
    </w:lvl>
  </w:abstractNum>
  <w:abstractNum w:abstractNumId="2">
    <w:nsid w:val="B08C840A"/>
    <w:multiLevelType w:val="multilevel"/>
    <w:tmpl w:val="B08C840A"/>
    <w:lvl w:ilvl="0" w:tentative="0">
      <w:start w:val="1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189DF56F"/>
    <w:multiLevelType w:val="singleLevel"/>
    <w:tmpl w:val="189DF56F"/>
    <w:lvl w:ilvl="0" w:tentative="0">
      <w:start w:val="8"/>
      <w:numFmt w:val="chineseCounting"/>
      <w:suff w:val="nothing"/>
      <w:lvlText w:val="%1、"/>
      <w:lvlJc w:val="left"/>
      <w:rPr>
        <w:rFonts w:hint="eastAsia"/>
      </w:rPr>
    </w:lvl>
  </w:abstractNum>
  <w:abstractNum w:abstractNumId="4">
    <w:nsid w:val="1B710263"/>
    <w:multiLevelType w:val="singleLevel"/>
    <w:tmpl w:val="1B710263"/>
    <w:lvl w:ilvl="0" w:tentative="0">
      <w:start w:val="4"/>
      <w:numFmt w:val="decimal"/>
      <w:lvlText w:val="%1."/>
      <w:lvlJc w:val="left"/>
      <w:pPr>
        <w:tabs>
          <w:tab w:val="left" w:pos="312"/>
        </w:tabs>
      </w:pPr>
    </w:lvl>
  </w:abstractNum>
  <w:abstractNum w:abstractNumId="5">
    <w:nsid w:val="55F05A0F"/>
    <w:multiLevelType w:val="singleLevel"/>
    <w:tmpl w:val="55F05A0F"/>
    <w:lvl w:ilvl="0" w:tentative="0">
      <w:start w:val="3"/>
      <w:numFmt w:val="decimal"/>
      <w:suff w:val="nothing"/>
      <w:lvlText w:val="（%1）"/>
      <w:lvlJc w:val="left"/>
    </w:lvl>
  </w:abstractNum>
  <w:abstractNum w:abstractNumId="6">
    <w:nsid w:val="782E36B1"/>
    <w:multiLevelType w:val="singleLevel"/>
    <w:tmpl w:val="782E36B1"/>
    <w:lvl w:ilvl="0" w:tentative="0">
      <w:start w:val="5"/>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hmYzYxOTYyNjBmNTA4YmQwYTZkMWI2NzJm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BE9"/>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B24"/>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F4F"/>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F2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D8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09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CE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1675"/>
    <w:rsid w:val="011B5A3A"/>
    <w:rsid w:val="011E0236"/>
    <w:rsid w:val="011F6449"/>
    <w:rsid w:val="01236AFB"/>
    <w:rsid w:val="014270DC"/>
    <w:rsid w:val="016C39A2"/>
    <w:rsid w:val="019C468A"/>
    <w:rsid w:val="019F7441"/>
    <w:rsid w:val="01B3097E"/>
    <w:rsid w:val="01B37585"/>
    <w:rsid w:val="01C65DA5"/>
    <w:rsid w:val="01CF1530"/>
    <w:rsid w:val="01D53F5E"/>
    <w:rsid w:val="01D55165"/>
    <w:rsid w:val="01DF6BF8"/>
    <w:rsid w:val="01EC2C57"/>
    <w:rsid w:val="01F57998"/>
    <w:rsid w:val="02337D11"/>
    <w:rsid w:val="024737BC"/>
    <w:rsid w:val="025F0711"/>
    <w:rsid w:val="026B2E25"/>
    <w:rsid w:val="02824D4D"/>
    <w:rsid w:val="029167E5"/>
    <w:rsid w:val="029F53A6"/>
    <w:rsid w:val="02DC4B10"/>
    <w:rsid w:val="02DD76CE"/>
    <w:rsid w:val="02F36323"/>
    <w:rsid w:val="02F5619C"/>
    <w:rsid w:val="0326446A"/>
    <w:rsid w:val="032D5555"/>
    <w:rsid w:val="03370851"/>
    <w:rsid w:val="03433F84"/>
    <w:rsid w:val="036634D2"/>
    <w:rsid w:val="03DD35E4"/>
    <w:rsid w:val="03EF7C67"/>
    <w:rsid w:val="03F040A4"/>
    <w:rsid w:val="04076900"/>
    <w:rsid w:val="041A5A3B"/>
    <w:rsid w:val="042311BA"/>
    <w:rsid w:val="042B157A"/>
    <w:rsid w:val="04372746"/>
    <w:rsid w:val="0473545E"/>
    <w:rsid w:val="048F763B"/>
    <w:rsid w:val="049F330E"/>
    <w:rsid w:val="04AA775C"/>
    <w:rsid w:val="04AF1889"/>
    <w:rsid w:val="04BA231E"/>
    <w:rsid w:val="04C42EA2"/>
    <w:rsid w:val="04C64E6C"/>
    <w:rsid w:val="04E452F2"/>
    <w:rsid w:val="04F66F48"/>
    <w:rsid w:val="05251E14"/>
    <w:rsid w:val="05270823"/>
    <w:rsid w:val="057A37C2"/>
    <w:rsid w:val="05A16594"/>
    <w:rsid w:val="05A6564F"/>
    <w:rsid w:val="05A67044"/>
    <w:rsid w:val="05A7762D"/>
    <w:rsid w:val="05B922DB"/>
    <w:rsid w:val="060E5941"/>
    <w:rsid w:val="06110FAF"/>
    <w:rsid w:val="061E21DC"/>
    <w:rsid w:val="06474C61"/>
    <w:rsid w:val="06493CA7"/>
    <w:rsid w:val="065A6178"/>
    <w:rsid w:val="066F1CF3"/>
    <w:rsid w:val="06930BB8"/>
    <w:rsid w:val="06A9278B"/>
    <w:rsid w:val="06C85192"/>
    <w:rsid w:val="06CD0AE0"/>
    <w:rsid w:val="06F2019A"/>
    <w:rsid w:val="07245D42"/>
    <w:rsid w:val="07264C62"/>
    <w:rsid w:val="0779354C"/>
    <w:rsid w:val="077A1F3E"/>
    <w:rsid w:val="077C5D6C"/>
    <w:rsid w:val="07A46B95"/>
    <w:rsid w:val="07B06896"/>
    <w:rsid w:val="07B8379D"/>
    <w:rsid w:val="08061376"/>
    <w:rsid w:val="0824157E"/>
    <w:rsid w:val="08452D77"/>
    <w:rsid w:val="086401F8"/>
    <w:rsid w:val="08661343"/>
    <w:rsid w:val="08751CAA"/>
    <w:rsid w:val="087E4C40"/>
    <w:rsid w:val="08851E5B"/>
    <w:rsid w:val="088D0E76"/>
    <w:rsid w:val="08923AEE"/>
    <w:rsid w:val="08A5267F"/>
    <w:rsid w:val="08A871D0"/>
    <w:rsid w:val="08D079DD"/>
    <w:rsid w:val="08D66AD6"/>
    <w:rsid w:val="08DA33A3"/>
    <w:rsid w:val="08E80F13"/>
    <w:rsid w:val="090F66D2"/>
    <w:rsid w:val="09175C96"/>
    <w:rsid w:val="091F0FEF"/>
    <w:rsid w:val="09335624"/>
    <w:rsid w:val="0944690F"/>
    <w:rsid w:val="094A0BA1"/>
    <w:rsid w:val="09535675"/>
    <w:rsid w:val="095F057D"/>
    <w:rsid w:val="09642282"/>
    <w:rsid w:val="0969226A"/>
    <w:rsid w:val="09724392"/>
    <w:rsid w:val="09733572"/>
    <w:rsid w:val="09772C16"/>
    <w:rsid w:val="098353B5"/>
    <w:rsid w:val="09A32A97"/>
    <w:rsid w:val="09A92330"/>
    <w:rsid w:val="09B06B87"/>
    <w:rsid w:val="09C13146"/>
    <w:rsid w:val="09E04166"/>
    <w:rsid w:val="0A1C0718"/>
    <w:rsid w:val="0A374F28"/>
    <w:rsid w:val="0A3E7710"/>
    <w:rsid w:val="0A5B7E63"/>
    <w:rsid w:val="0A703465"/>
    <w:rsid w:val="0A73514E"/>
    <w:rsid w:val="0A797E2C"/>
    <w:rsid w:val="0AA374A5"/>
    <w:rsid w:val="0AAB7649"/>
    <w:rsid w:val="0ABC5606"/>
    <w:rsid w:val="0AF049F1"/>
    <w:rsid w:val="0AFA273F"/>
    <w:rsid w:val="0B30404E"/>
    <w:rsid w:val="0B4C6C14"/>
    <w:rsid w:val="0B547599"/>
    <w:rsid w:val="0B631A88"/>
    <w:rsid w:val="0B683D45"/>
    <w:rsid w:val="0B7F3F11"/>
    <w:rsid w:val="0B7F7591"/>
    <w:rsid w:val="0B884417"/>
    <w:rsid w:val="0BF6188C"/>
    <w:rsid w:val="0BF73C91"/>
    <w:rsid w:val="0BF87683"/>
    <w:rsid w:val="0BFE313E"/>
    <w:rsid w:val="0C0544CC"/>
    <w:rsid w:val="0C170175"/>
    <w:rsid w:val="0C2F779B"/>
    <w:rsid w:val="0C50480B"/>
    <w:rsid w:val="0C571A41"/>
    <w:rsid w:val="0C5C1171"/>
    <w:rsid w:val="0C5E1CBC"/>
    <w:rsid w:val="0C615B50"/>
    <w:rsid w:val="0C8445DA"/>
    <w:rsid w:val="0C87121B"/>
    <w:rsid w:val="0C8C0749"/>
    <w:rsid w:val="0C937D2A"/>
    <w:rsid w:val="0CC007F7"/>
    <w:rsid w:val="0CC617AC"/>
    <w:rsid w:val="0CE618DF"/>
    <w:rsid w:val="0CFA1B57"/>
    <w:rsid w:val="0CFE707A"/>
    <w:rsid w:val="0D063BDA"/>
    <w:rsid w:val="0D08375F"/>
    <w:rsid w:val="0D184CFB"/>
    <w:rsid w:val="0D4A7419"/>
    <w:rsid w:val="0D827401"/>
    <w:rsid w:val="0D84094E"/>
    <w:rsid w:val="0D8A00E9"/>
    <w:rsid w:val="0D8D589E"/>
    <w:rsid w:val="0DA01C73"/>
    <w:rsid w:val="0DB8731C"/>
    <w:rsid w:val="0DD63300"/>
    <w:rsid w:val="0DE246BD"/>
    <w:rsid w:val="0DF50604"/>
    <w:rsid w:val="0DF702FE"/>
    <w:rsid w:val="0E060E51"/>
    <w:rsid w:val="0E0A5CF8"/>
    <w:rsid w:val="0E2A498E"/>
    <w:rsid w:val="0E4017EB"/>
    <w:rsid w:val="0E40791B"/>
    <w:rsid w:val="0E5604B2"/>
    <w:rsid w:val="0E6D5D79"/>
    <w:rsid w:val="0E6F3B9D"/>
    <w:rsid w:val="0E9D0089"/>
    <w:rsid w:val="0EB803EE"/>
    <w:rsid w:val="0EBE6BB4"/>
    <w:rsid w:val="0EF94D4B"/>
    <w:rsid w:val="0F4958DC"/>
    <w:rsid w:val="0F515DF7"/>
    <w:rsid w:val="0F5512C6"/>
    <w:rsid w:val="0F596BA8"/>
    <w:rsid w:val="0F6248D2"/>
    <w:rsid w:val="0F693536"/>
    <w:rsid w:val="0F7B0511"/>
    <w:rsid w:val="0F7B76D9"/>
    <w:rsid w:val="0F816ACD"/>
    <w:rsid w:val="0F9832DB"/>
    <w:rsid w:val="0FB33510"/>
    <w:rsid w:val="0FBF3FD2"/>
    <w:rsid w:val="0FBF7FF3"/>
    <w:rsid w:val="0FC50CA3"/>
    <w:rsid w:val="0FED14FF"/>
    <w:rsid w:val="10014FAA"/>
    <w:rsid w:val="100625C1"/>
    <w:rsid w:val="10362B27"/>
    <w:rsid w:val="105B7B98"/>
    <w:rsid w:val="105D0EB6"/>
    <w:rsid w:val="10646583"/>
    <w:rsid w:val="107D4B15"/>
    <w:rsid w:val="10817E99"/>
    <w:rsid w:val="108A3C80"/>
    <w:rsid w:val="10C26171"/>
    <w:rsid w:val="10C27B6C"/>
    <w:rsid w:val="10C3119B"/>
    <w:rsid w:val="10E03FF2"/>
    <w:rsid w:val="10F33360"/>
    <w:rsid w:val="10FC16EA"/>
    <w:rsid w:val="110A27A8"/>
    <w:rsid w:val="110F1D40"/>
    <w:rsid w:val="11266F33"/>
    <w:rsid w:val="114E23AD"/>
    <w:rsid w:val="11653899"/>
    <w:rsid w:val="116C28F7"/>
    <w:rsid w:val="118963A1"/>
    <w:rsid w:val="11BD13A5"/>
    <w:rsid w:val="11C6522A"/>
    <w:rsid w:val="11C94643"/>
    <w:rsid w:val="11D41972"/>
    <w:rsid w:val="11E104CC"/>
    <w:rsid w:val="11E20309"/>
    <w:rsid w:val="120D40DA"/>
    <w:rsid w:val="12255233"/>
    <w:rsid w:val="12374ADD"/>
    <w:rsid w:val="12507A62"/>
    <w:rsid w:val="12530213"/>
    <w:rsid w:val="12681311"/>
    <w:rsid w:val="12744B80"/>
    <w:rsid w:val="127723A9"/>
    <w:rsid w:val="127E28E2"/>
    <w:rsid w:val="12862074"/>
    <w:rsid w:val="12883966"/>
    <w:rsid w:val="129A0566"/>
    <w:rsid w:val="129E45B4"/>
    <w:rsid w:val="12A06CFD"/>
    <w:rsid w:val="12D67250"/>
    <w:rsid w:val="12D81596"/>
    <w:rsid w:val="13072A44"/>
    <w:rsid w:val="134A0092"/>
    <w:rsid w:val="134B1FA7"/>
    <w:rsid w:val="135F4BE2"/>
    <w:rsid w:val="139B1A0A"/>
    <w:rsid w:val="139D25C7"/>
    <w:rsid w:val="13BF3CE4"/>
    <w:rsid w:val="141008D8"/>
    <w:rsid w:val="14125FE6"/>
    <w:rsid w:val="145004C0"/>
    <w:rsid w:val="145F6743"/>
    <w:rsid w:val="146D271E"/>
    <w:rsid w:val="14795A57"/>
    <w:rsid w:val="14961874"/>
    <w:rsid w:val="14982588"/>
    <w:rsid w:val="149A5AD9"/>
    <w:rsid w:val="149E38CE"/>
    <w:rsid w:val="14A7619D"/>
    <w:rsid w:val="14AF1604"/>
    <w:rsid w:val="14B32C2B"/>
    <w:rsid w:val="150536C3"/>
    <w:rsid w:val="150C1963"/>
    <w:rsid w:val="151447A0"/>
    <w:rsid w:val="152B4878"/>
    <w:rsid w:val="152F09E7"/>
    <w:rsid w:val="15322FB0"/>
    <w:rsid w:val="154A6454"/>
    <w:rsid w:val="155F4436"/>
    <w:rsid w:val="15762120"/>
    <w:rsid w:val="15856A7A"/>
    <w:rsid w:val="15943BE4"/>
    <w:rsid w:val="15E31FA2"/>
    <w:rsid w:val="15E61562"/>
    <w:rsid w:val="16155F5D"/>
    <w:rsid w:val="16411399"/>
    <w:rsid w:val="16527BC8"/>
    <w:rsid w:val="16645DAC"/>
    <w:rsid w:val="16A8729C"/>
    <w:rsid w:val="16B33777"/>
    <w:rsid w:val="16BC70A7"/>
    <w:rsid w:val="16C44F84"/>
    <w:rsid w:val="16C47229"/>
    <w:rsid w:val="16C6339E"/>
    <w:rsid w:val="16F3226C"/>
    <w:rsid w:val="170671B4"/>
    <w:rsid w:val="17234980"/>
    <w:rsid w:val="172F2D79"/>
    <w:rsid w:val="17342109"/>
    <w:rsid w:val="17557BEF"/>
    <w:rsid w:val="178070FD"/>
    <w:rsid w:val="17CE32DA"/>
    <w:rsid w:val="17D349C1"/>
    <w:rsid w:val="1830729E"/>
    <w:rsid w:val="1870062C"/>
    <w:rsid w:val="18817102"/>
    <w:rsid w:val="188242E3"/>
    <w:rsid w:val="18830A15"/>
    <w:rsid w:val="18852B28"/>
    <w:rsid w:val="188B5321"/>
    <w:rsid w:val="18BC1320"/>
    <w:rsid w:val="18C165ED"/>
    <w:rsid w:val="18DC7F75"/>
    <w:rsid w:val="19146DE5"/>
    <w:rsid w:val="19232435"/>
    <w:rsid w:val="19641A10"/>
    <w:rsid w:val="19932372"/>
    <w:rsid w:val="19A20DD5"/>
    <w:rsid w:val="19A63842"/>
    <w:rsid w:val="19AE03F1"/>
    <w:rsid w:val="19B85FF0"/>
    <w:rsid w:val="19BE7EBD"/>
    <w:rsid w:val="19D36CAD"/>
    <w:rsid w:val="19FB123B"/>
    <w:rsid w:val="1A071A03"/>
    <w:rsid w:val="1A1F16AE"/>
    <w:rsid w:val="1A2F64A6"/>
    <w:rsid w:val="1A3B5C77"/>
    <w:rsid w:val="1A734CF7"/>
    <w:rsid w:val="1A7935F0"/>
    <w:rsid w:val="1A8707A2"/>
    <w:rsid w:val="1A984BAD"/>
    <w:rsid w:val="1AA276D1"/>
    <w:rsid w:val="1AB8220E"/>
    <w:rsid w:val="1AE4166C"/>
    <w:rsid w:val="1AF06CFB"/>
    <w:rsid w:val="1AF11B8D"/>
    <w:rsid w:val="1B11359C"/>
    <w:rsid w:val="1B1D5396"/>
    <w:rsid w:val="1B2A271F"/>
    <w:rsid w:val="1B2E170C"/>
    <w:rsid w:val="1B417640"/>
    <w:rsid w:val="1B530544"/>
    <w:rsid w:val="1B713184"/>
    <w:rsid w:val="1B852F33"/>
    <w:rsid w:val="1B864A41"/>
    <w:rsid w:val="1B90621C"/>
    <w:rsid w:val="1BA02EBA"/>
    <w:rsid w:val="1BA209CF"/>
    <w:rsid w:val="1BB4777D"/>
    <w:rsid w:val="1BCA69C2"/>
    <w:rsid w:val="1BD75AB8"/>
    <w:rsid w:val="1BDE6F32"/>
    <w:rsid w:val="1BF656CA"/>
    <w:rsid w:val="1C0459C2"/>
    <w:rsid w:val="1C0A3439"/>
    <w:rsid w:val="1C1B3B4A"/>
    <w:rsid w:val="1C47468D"/>
    <w:rsid w:val="1C7725CD"/>
    <w:rsid w:val="1C84143D"/>
    <w:rsid w:val="1C88086E"/>
    <w:rsid w:val="1CA337C8"/>
    <w:rsid w:val="1CFA7A77"/>
    <w:rsid w:val="1D266CE1"/>
    <w:rsid w:val="1D3963AF"/>
    <w:rsid w:val="1D3D0FE5"/>
    <w:rsid w:val="1D662A70"/>
    <w:rsid w:val="1D6A673C"/>
    <w:rsid w:val="1D8F6E06"/>
    <w:rsid w:val="1D9247AE"/>
    <w:rsid w:val="1DA66985"/>
    <w:rsid w:val="1DB567EC"/>
    <w:rsid w:val="1DCE301B"/>
    <w:rsid w:val="1DF51A98"/>
    <w:rsid w:val="1E3D060F"/>
    <w:rsid w:val="1E3F7D2E"/>
    <w:rsid w:val="1E4134E4"/>
    <w:rsid w:val="1E492CB1"/>
    <w:rsid w:val="1E5062B3"/>
    <w:rsid w:val="1E523514"/>
    <w:rsid w:val="1E5B01A1"/>
    <w:rsid w:val="1E641526"/>
    <w:rsid w:val="1E714A66"/>
    <w:rsid w:val="1E802593"/>
    <w:rsid w:val="1E8B6156"/>
    <w:rsid w:val="1E9F18C8"/>
    <w:rsid w:val="1EA703CC"/>
    <w:rsid w:val="1EB7330C"/>
    <w:rsid w:val="1EC73863"/>
    <w:rsid w:val="1ED10655"/>
    <w:rsid w:val="1F0A0FF3"/>
    <w:rsid w:val="1F546D00"/>
    <w:rsid w:val="1F5771FF"/>
    <w:rsid w:val="1F904124"/>
    <w:rsid w:val="1FE868A9"/>
    <w:rsid w:val="20034907"/>
    <w:rsid w:val="20124FB2"/>
    <w:rsid w:val="20173E4B"/>
    <w:rsid w:val="204E48BC"/>
    <w:rsid w:val="208921B3"/>
    <w:rsid w:val="20967C8E"/>
    <w:rsid w:val="20973DEB"/>
    <w:rsid w:val="20B26522"/>
    <w:rsid w:val="20B44310"/>
    <w:rsid w:val="20EF2BFD"/>
    <w:rsid w:val="211116EB"/>
    <w:rsid w:val="2144758E"/>
    <w:rsid w:val="21543588"/>
    <w:rsid w:val="216133FC"/>
    <w:rsid w:val="219F3832"/>
    <w:rsid w:val="21A734D8"/>
    <w:rsid w:val="21B06830"/>
    <w:rsid w:val="21C15C1D"/>
    <w:rsid w:val="21CD2F3E"/>
    <w:rsid w:val="21D56769"/>
    <w:rsid w:val="21E31EDF"/>
    <w:rsid w:val="21E52EF3"/>
    <w:rsid w:val="21FB5D7B"/>
    <w:rsid w:val="22015E94"/>
    <w:rsid w:val="220B1C3D"/>
    <w:rsid w:val="220F3D84"/>
    <w:rsid w:val="221D1D20"/>
    <w:rsid w:val="22334A87"/>
    <w:rsid w:val="22625D7D"/>
    <w:rsid w:val="227F2197"/>
    <w:rsid w:val="22BE6801"/>
    <w:rsid w:val="22DC4F56"/>
    <w:rsid w:val="23072480"/>
    <w:rsid w:val="231E37CF"/>
    <w:rsid w:val="23220B20"/>
    <w:rsid w:val="233500BF"/>
    <w:rsid w:val="23377FF7"/>
    <w:rsid w:val="236B425F"/>
    <w:rsid w:val="23836192"/>
    <w:rsid w:val="23863CED"/>
    <w:rsid w:val="23901F29"/>
    <w:rsid w:val="239720E9"/>
    <w:rsid w:val="239C0061"/>
    <w:rsid w:val="23B908A4"/>
    <w:rsid w:val="23BA5744"/>
    <w:rsid w:val="23E95BEF"/>
    <w:rsid w:val="23FC7BF9"/>
    <w:rsid w:val="23FD0064"/>
    <w:rsid w:val="2403533D"/>
    <w:rsid w:val="24141E2B"/>
    <w:rsid w:val="24414F6B"/>
    <w:rsid w:val="245375B0"/>
    <w:rsid w:val="24642C0A"/>
    <w:rsid w:val="24B22173"/>
    <w:rsid w:val="24B95AD9"/>
    <w:rsid w:val="24BE24DA"/>
    <w:rsid w:val="24CF5825"/>
    <w:rsid w:val="24D663E6"/>
    <w:rsid w:val="24D77F2B"/>
    <w:rsid w:val="256F395D"/>
    <w:rsid w:val="257C53A7"/>
    <w:rsid w:val="258B00E2"/>
    <w:rsid w:val="259B3353"/>
    <w:rsid w:val="25A917A6"/>
    <w:rsid w:val="25AB17E9"/>
    <w:rsid w:val="25BC4323"/>
    <w:rsid w:val="25BE27CC"/>
    <w:rsid w:val="25C03487"/>
    <w:rsid w:val="25CB2FB1"/>
    <w:rsid w:val="25F74A5C"/>
    <w:rsid w:val="25FF6585"/>
    <w:rsid w:val="260809E9"/>
    <w:rsid w:val="2628662C"/>
    <w:rsid w:val="262D45DE"/>
    <w:rsid w:val="26871DC8"/>
    <w:rsid w:val="268B493B"/>
    <w:rsid w:val="26A53EF9"/>
    <w:rsid w:val="26A94201"/>
    <w:rsid w:val="26AC274F"/>
    <w:rsid w:val="26B91E68"/>
    <w:rsid w:val="26FE1C76"/>
    <w:rsid w:val="27044A29"/>
    <w:rsid w:val="271D34C8"/>
    <w:rsid w:val="275D2FB6"/>
    <w:rsid w:val="276142BF"/>
    <w:rsid w:val="27783712"/>
    <w:rsid w:val="278450A3"/>
    <w:rsid w:val="278863D2"/>
    <w:rsid w:val="27907362"/>
    <w:rsid w:val="27B34984"/>
    <w:rsid w:val="281318C7"/>
    <w:rsid w:val="28277120"/>
    <w:rsid w:val="28333E1D"/>
    <w:rsid w:val="28454BD6"/>
    <w:rsid w:val="28455253"/>
    <w:rsid w:val="28551971"/>
    <w:rsid w:val="285B1C53"/>
    <w:rsid w:val="28643ED1"/>
    <w:rsid w:val="289F7086"/>
    <w:rsid w:val="28A625BC"/>
    <w:rsid w:val="28AA4A2E"/>
    <w:rsid w:val="28AF15F0"/>
    <w:rsid w:val="28BE2B42"/>
    <w:rsid w:val="28C32028"/>
    <w:rsid w:val="28CC490F"/>
    <w:rsid w:val="28DE40AA"/>
    <w:rsid w:val="28E765AF"/>
    <w:rsid w:val="2900009D"/>
    <w:rsid w:val="29260D41"/>
    <w:rsid w:val="29345E77"/>
    <w:rsid w:val="294A5C68"/>
    <w:rsid w:val="294C65AD"/>
    <w:rsid w:val="29806583"/>
    <w:rsid w:val="298B3C4C"/>
    <w:rsid w:val="29D94C27"/>
    <w:rsid w:val="29F26D24"/>
    <w:rsid w:val="2A15033F"/>
    <w:rsid w:val="2A1662C1"/>
    <w:rsid w:val="2A1C7367"/>
    <w:rsid w:val="2A2815FA"/>
    <w:rsid w:val="2A2D4EC2"/>
    <w:rsid w:val="2A30050E"/>
    <w:rsid w:val="2A6D6092"/>
    <w:rsid w:val="2A742103"/>
    <w:rsid w:val="2A7D76B4"/>
    <w:rsid w:val="2A81145A"/>
    <w:rsid w:val="2AFC2AE6"/>
    <w:rsid w:val="2B112D1E"/>
    <w:rsid w:val="2B437463"/>
    <w:rsid w:val="2B4A570C"/>
    <w:rsid w:val="2B597F39"/>
    <w:rsid w:val="2B5F33B5"/>
    <w:rsid w:val="2B6A2E42"/>
    <w:rsid w:val="2B7807EE"/>
    <w:rsid w:val="2B822FEC"/>
    <w:rsid w:val="2B914A4A"/>
    <w:rsid w:val="2BA50BF7"/>
    <w:rsid w:val="2BB92785"/>
    <w:rsid w:val="2BBF00EC"/>
    <w:rsid w:val="2BC37CFD"/>
    <w:rsid w:val="2BD5237F"/>
    <w:rsid w:val="2BE536CE"/>
    <w:rsid w:val="2BE758D9"/>
    <w:rsid w:val="2C09049E"/>
    <w:rsid w:val="2C0A653C"/>
    <w:rsid w:val="2C191F85"/>
    <w:rsid w:val="2C482223"/>
    <w:rsid w:val="2CC40089"/>
    <w:rsid w:val="2CD40174"/>
    <w:rsid w:val="2CE35D0C"/>
    <w:rsid w:val="2CE82D6F"/>
    <w:rsid w:val="2CF577ED"/>
    <w:rsid w:val="2D1C3A00"/>
    <w:rsid w:val="2D2D342B"/>
    <w:rsid w:val="2D343236"/>
    <w:rsid w:val="2D3F18BC"/>
    <w:rsid w:val="2D5B3AF4"/>
    <w:rsid w:val="2D821BE6"/>
    <w:rsid w:val="2DB60396"/>
    <w:rsid w:val="2DD15014"/>
    <w:rsid w:val="2DF06932"/>
    <w:rsid w:val="2DF72DE4"/>
    <w:rsid w:val="2DFE26D1"/>
    <w:rsid w:val="2E0220AF"/>
    <w:rsid w:val="2E1B14D5"/>
    <w:rsid w:val="2E2C2597"/>
    <w:rsid w:val="2E4B082A"/>
    <w:rsid w:val="2E5D4E86"/>
    <w:rsid w:val="2E5D790B"/>
    <w:rsid w:val="2E644C2A"/>
    <w:rsid w:val="2E6D4BB5"/>
    <w:rsid w:val="2E9A3C18"/>
    <w:rsid w:val="2EBB0FEE"/>
    <w:rsid w:val="2EC63002"/>
    <w:rsid w:val="2ECB0B52"/>
    <w:rsid w:val="2ED55B28"/>
    <w:rsid w:val="2F0A6B38"/>
    <w:rsid w:val="2F2D14C0"/>
    <w:rsid w:val="2F6F0207"/>
    <w:rsid w:val="2F752057"/>
    <w:rsid w:val="2F946CCB"/>
    <w:rsid w:val="2F990904"/>
    <w:rsid w:val="2FA11189"/>
    <w:rsid w:val="2FD25781"/>
    <w:rsid w:val="2FDC745C"/>
    <w:rsid w:val="2FF81E03"/>
    <w:rsid w:val="2FFD7934"/>
    <w:rsid w:val="2FFF0B41"/>
    <w:rsid w:val="30006BD5"/>
    <w:rsid w:val="302E3742"/>
    <w:rsid w:val="303A2AAD"/>
    <w:rsid w:val="30733ACD"/>
    <w:rsid w:val="308C3862"/>
    <w:rsid w:val="30923A82"/>
    <w:rsid w:val="309379D8"/>
    <w:rsid w:val="30977539"/>
    <w:rsid w:val="30A270F7"/>
    <w:rsid w:val="30B978AD"/>
    <w:rsid w:val="30DF1478"/>
    <w:rsid w:val="30E90273"/>
    <w:rsid w:val="30EC586F"/>
    <w:rsid w:val="313528AE"/>
    <w:rsid w:val="313E24D9"/>
    <w:rsid w:val="319C6071"/>
    <w:rsid w:val="319E7D12"/>
    <w:rsid w:val="31A11ECE"/>
    <w:rsid w:val="31AC537E"/>
    <w:rsid w:val="31E3679B"/>
    <w:rsid w:val="31E732FD"/>
    <w:rsid w:val="320E382B"/>
    <w:rsid w:val="323852FE"/>
    <w:rsid w:val="32517576"/>
    <w:rsid w:val="329C60D9"/>
    <w:rsid w:val="32A30D11"/>
    <w:rsid w:val="32A32A90"/>
    <w:rsid w:val="32B31CDC"/>
    <w:rsid w:val="32BE5C2C"/>
    <w:rsid w:val="32C97752"/>
    <w:rsid w:val="32D63C1D"/>
    <w:rsid w:val="32F138BF"/>
    <w:rsid w:val="32F221BA"/>
    <w:rsid w:val="32FB6478"/>
    <w:rsid w:val="33024A12"/>
    <w:rsid w:val="332410BB"/>
    <w:rsid w:val="33263B3F"/>
    <w:rsid w:val="332E221E"/>
    <w:rsid w:val="33572FB0"/>
    <w:rsid w:val="336963EB"/>
    <w:rsid w:val="33816EEB"/>
    <w:rsid w:val="33EB55CD"/>
    <w:rsid w:val="33EC4C02"/>
    <w:rsid w:val="34012F1B"/>
    <w:rsid w:val="340D2360"/>
    <w:rsid w:val="3410665D"/>
    <w:rsid w:val="34211214"/>
    <w:rsid w:val="342E63AB"/>
    <w:rsid w:val="34362BC5"/>
    <w:rsid w:val="34735BC7"/>
    <w:rsid w:val="347709F4"/>
    <w:rsid w:val="34950E68"/>
    <w:rsid w:val="34986E94"/>
    <w:rsid w:val="34AF62C9"/>
    <w:rsid w:val="34CB4388"/>
    <w:rsid w:val="34CC26AC"/>
    <w:rsid w:val="34FA6E12"/>
    <w:rsid w:val="35111464"/>
    <w:rsid w:val="354D7158"/>
    <w:rsid w:val="358A766C"/>
    <w:rsid w:val="358C2340"/>
    <w:rsid w:val="358D5588"/>
    <w:rsid w:val="35BC70FA"/>
    <w:rsid w:val="35BE7316"/>
    <w:rsid w:val="35CA1D36"/>
    <w:rsid w:val="35F467E3"/>
    <w:rsid w:val="36005E25"/>
    <w:rsid w:val="363A3B40"/>
    <w:rsid w:val="36406FF4"/>
    <w:rsid w:val="365302AE"/>
    <w:rsid w:val="36607A0A"/>
    <w:rsid w:val="366E227C"/>
    <w:rsid w:val="366F2E0D"/>
    <w:rsid w:val="367B6A5C"/>
    <w:rsid w:val="36A74ADA"/>
    <w:rsid w:val="36AD60D5"/>
    <w:rsid w:val="36B224F9"/>
    <w:rsid w:val="36B82E98"/>
    <w:rsid w:val="36D14E27"/>
    <w:rsid w:val="36EC0CC9"/>
    <w:rsid w:val="371F2036"/>
    <w:rsid w:val="372431A9"/>
    <w:rsid w:val="373F410B"/>
    <w:rsid w:val="374214BD"/>
    <w:rsid w:val="375717D0"/>
    <w:rsid w:val="37D1110D"/>
    <w:rsid w:val="37E74D90"/>
    <w:rsid w:val="37EE7094"/>
    <w:rsid w:val="38084E54"/>
    <w:rsid w:val="381A6DCF"/>
    <w:rsid w:val="38296C89"/>
    <w:rsid w:val="383002EB"/>
    <w:rsid w:val="3837515E"/>
    <w:rsid w:val="38455AEA"/>
    <w:rsid w:val="38586797"/>
    <w:rsid w:val="38A30A45"/>
    <w:rsid w:val="38AF3D29"/>
    <w:rsid w:val="38BC0149"/>
    <w:rsid w:val="38C95208"/>
    <w:rsid w:val="38D87D1C"/>
    <w:rsid w:val="38FB43DD"/>
    <w:rsid w:val="392E4C34"/>
    <w:rsid w:val="39636459"/>
    <w:rsid w:val="396B7F6C"/>
    <w:rsid w:val="39B21884"/>
    <w:rsid w:val="39B417A9"/>
    <w:rsid w:val="39D349ED"/>
    <w:rsid w:val="39E656AB"/>
    <w:rsid w:val="39FC5695"/>
    <w:rsid w:val="3A006D8E"/>
    <w:rsid w:val="3A204F94"/>
    <w:rsid w:val="3A2C112E"/>
    <w:rsid w:val="3A3651E5"/>
    <w:rsid w:val="3A744481"/>
    <w:rsid w:val="3A8C7BEF"/>
    <w:rsid w:val="3A900B55"/>
    <w:rsid w:val="3A906246"/>
    <w:rsid w:val="3AB53EA2"/>
    <w:rsid w:val="3ABC506D"/>
    <w:rsid w:val="3ABC7B9C"/>
    <w:rsid w:val="3AED5FA8"/>
    <w:rsid w:val="3B0113FB"/>
    <w:rsid w:val="3B2349B7"/>
    <w:rsid w:val="3B464036"/>
    <w:rsid w:val="3B4C0F20"/>
    <w:rsid w:val="3B616CFF"/>
    <w:rsid w:val="3B6259F6"/>
    <w:rsid w:val="3B847696"/>
    <w:rsid w:val="3B8613A5"/>
    <w:rsid w:val="3B976654"/>
    <w:rsid w:val="3B9F05B7"/>
    <w:rsid w:val="3BC01EFC"/>
    <w:rsid w:val="3BCA786A"/>
    <w:rsid w:val="3BD31E2F"/>
    <w:rsid w:val="3BF15831"/>
    <w:rsid w:val="3C105946"/>
    <w:rsid w:val="3C1B595D"/>
    <w:rsid w:val="3C2E69C1"/>
    <w:rsid w:val="3C471448"/>
    <w:rsid w:val="3C502B29"/>
    <w:rsid w:val="3C577B7C"/>
    <w:rsid w:val="3C5F759A"/>
    <w:rsid w:val="3C6665A1"/>
    <w:rsid w:val="3C6C525A"/>
    <w:rsid w:val="3C8E7B71"/>
    <w:rsid w:val="3C945F12"/>
    <w:rsid w:val="3CCE23CB"/>
    <w:rsid w:val="3CD17D17"/>
    <w:rsid w:val="3CE33DC2"/>
    <w:rsid w:val="3D127F47"/>
    <w:rsid w:val="3D2F373D"/>
    <w:rsid w:val="3D3C7F39"/>
    <w:rsid w:val="3D440F09"/>
    <w:rsid w:val="3D4504A0"/>
    <w:rsid w:val="3D8734BB"/>
    <w:rsid w:val="3D9A11D4"/>
    <w:rsid w:val="3DA16D89"/>
    <w:rsid w:val="3DA364BE"/>
    <w:rsid w:val="3DC01751"/>
    <w:rsid w:val="3DDD2241"/>
    <w:rsid w:val="3DDF36A1"/>
    <w:rsid w:val="3DE041CB"/>
    <w:rsid w:val="3E0D48F6"/>
    <w:rsid w:val="3E1868B4"/>
    <w:rsid w:val="3E377251"/>
    <w:rsid w:val="3E3839DE"/>
    <w:rsid w:val="3E42664B"/>
    <w:rsid w:val="3E5A7334"/>
    <w:rsid w:val="3E7B5D6B"/>
    <w:rsid w:val="3E802A97"/>
    <w:rsid w:val="3E843E66"/>
    <w:rsid w:val="3E8F51FE"/>
    <w:rsid w:val="3E926F87"/>
    <w:rsid w:val="3E930781"/>
    <w:rsid w:val="3E9A59DE"/>
    <w:rsid w:val="3EAF4836"/>
    <w:rsid w:val="3EB968CD"/>
    <w:rsid w:val="3EC33DFA"/>
    <w:rsid w:val="3EF43788"/>
    <w:rsid w:val="3EFC7B0D"/>
    <w:rsid w:val="3F060E16"/>
    <w:rsid w:val="3F1D1096"/>
    <w:rsid w:val="3F2F0234"/>
    <w:rsid w:val="3F4FF949"/>
    <w:rsid w:val="3F6363FE"/>
    <w:rsid w:val="3F756B8F"/>
    <w:rsid w:val="3F76656C"/>
    <w:rsid w:val="3F95482B"/>
    <w:rsid w:val="3F9774E0"/>
    <w:rsid w:val="3FD142E8"/>
    <w:rsid w:val="3FD62458"/>
    <w:rsid w:val="4019356B"/>
    <w:rsid w:val="402921DC"/>
    <w:rsid w:val="40300E10"/>
    <w:rsid w:val="40384169"/>
    <w:rsid w:val="40592157"/>
    <w:rsid w:val="406E1CAE"/>
    <w:rsid w:val="407F76A2"/>
    <w:rsid w:val="408137BC"/>
    <w:rsid w:val="40A0133A"/>
    <w:rsid w:val="40AB3A8B"/>
    <w:rsid w:val="40AD2461"/>
    <w:rsid w:val="40C31A53"/>
    <w:rsid w:val="40FF545D"/>
    <w:rsid w:val="410067C8"/>
    <w:rsid w:val="413F589B"/>
    <w:rsid w:val="416176D3"/>
    <w:rsid w:val="418F0D2A"/>
    <w:rsid w:val="41A51F11"/>
    <w:rsid w:val="41BD66D4"/>
    <w:rsid w:val="41D01505"/>
    <w:rsid w:val="41E0366E"/>
    <w:rsid w:val="422C0B41"/>
    <w:rsid w:val="42474939"/>
    <w:rsid w:val="424B1F31"/>
    <w:rsid w:val="424C3C57"/>
    <w:rsid w:val="42613FF3"/>
    <w:rsid w:val="42660D96"/>
    <w:rsid w:val="428667D2"/>
    <w:rsid w:val="42A87384"/>
    <w:rsid w:val="42CD1CE0"/>
    <w:rsid w:val="42E1381E"/>
    <w:rsid w:val="42ED6459"/>
    <w:rsid w:val="42FE58DD"/>
    <w:rsid w:val="43174B3D"/>
    <w:rsid w:val="434B063B"/>
    <w:rsid w:val="434B790E"/>
    <w:rsid w:val="4360274F"/>
    <w:rsid w:val="43977AB6"/>
    <w:rsid w:val="43A3342B"/>
    <w:rsid w:val="43C77C27"/>
    <w:rsid w:val="43DE09EE"/>
    <w:rsid w:val="43E048FB"/>
    <w:rsid w:val="43E97226"/>
    <w:rsid w:val="43F90AD3"/>
    <w:rsid w:val="44002FAD"/>
    <w:rsid w:val="441C37AA"/>
    <w:rsid w:val="44316F2E"/>
    <w:rsid w:val="444B1484"/>
    <w:rsid w:val="449101DD"/>
    <w:rsid w:val="44CA1CBA"/>
    <w:rsid w:val="44D63DB5"/>
    <w:rsid w:val="44DE1391"/>
    <w:rsid w:val="45132BAB"/>
    <w:rsid w:val="451B225C"/>
    <w:rsid w:val="452410C9"/>
    <w:rsid w:val="452627E2"/>
    <w:rsid w:val="452C31F2"/>
    <w:rsid w:val="45317DFB"/>
    <w:rsid w:val="4555772F"/>
    <w:rsid w:val="456D3CE4"/>
    <w:rsid w:val="4579042C"/>
    <w:rsid w:val="457F0571"/>
    <w:rsid w:val="45851176"/>
    <w:rsid w:val="45904B13"/>
    <w:rsid w:val="45A55DFD"/>
    <w:rsid w:val="45AE76BC"/>
    <w:rsid w:val="45B30F11"/>
    <w:rsid w:val="45C55BC2"/>
    <w:rsid w:val="45C63B94"/>
    <w:rsid w:val="460E7DA5"/>
    <w:rsid w:val="46422483"/>
    <w:rsid w:val="464622B6"/>
    <w:rsid w:val="464E759F"/>
    <w:rsid w:val="4659254A"/>
    <w:rsid w:val="465B0637"/>
    <w:rsid w:val="465E3F0D"/>
    <w:rsid w:val="466A16E6"/>
    <w:rsid w:val="46893F2B"/>
    <w:rsid w:val="46C444E6"/>
    <w:rsid w:val="46C4686E"/>
    <w:rsid w:val="477B778F"/>
    <w:rsid w:val="478203EC"/>
    <w:rsid w:val="47B025FA"/>
    <w:rsid w:val="4809698F"/>
    <w:rsid w:val="4811697D"/>
    <w:rsid w:val="486B3499"/>
    <w:rsid w:val="487A3E25"/>
    <w:rsid w:val="488B5503"/>
    <w:rsid w:val="48937E21"/>
    <w:rsid w:val="489A0361"/>
    <w:rsid w:val="48A8102D"/>
    <w:rsid w:val="48AD6D29"/>
    <w:rsid w:val="48B714F1"/>
    <w:rsid w:val="48B94FF3"/>
    <w:rsid w:val="48E37AAB"/>
    <w:rsid w:val="48FD4B4C"/>
    <w:rsid w:val="490A68E0"/>
    <w:rsid w:val="491055FE"/>
    <w:rsid w:val="494642FF"/>
    <w:rsid w:val="495F5B3E"/>
    <w:rsid w:val="496F77D7"/>
    <w:rsid w:val="497654FD"/>
    <w:rsid w:val="497756A4"/>
    <w:rsid w:val="497A75A0"/>
    <w:rsid w:val="49B64211"/>
    <w:rsid w:val="49CB3958"/>
    <w:rsid w:val="49D41AAC"/>
    <w:rsid w:val="49F6167F"/>
    <w:rsid w:val="49F904C5"/>
    <w:rsid w:val="4A056DB2"/>
    <w:rsid w:val="4A064FA0"/>
    <w:rsid w:val="4A16615C"/>
    <w:rsid w:val="4A4424D7"/>
    <w:rsid w:val="4A6E1654"/>
    <w:rsid w:val="4A884CDB"/>
    <w:rsid w:val="4AB638FD"/>
    <w:rsid w:val="4AB82D0F"/>
    <w:rsid w:val="4AEB7664"/>
    <w:rsid w:val="4AFD7C19"/>
    <w:rsid w:val="4B0567D1"/>
    <w:rsid w:val="4B1872C3"/>
    <w:rsid w:val="4B236AAE"/>
    <w:rsid w:val="4B2F799D"/>
    <w:rsid w:val="4B707271"/>
    <w:rsid w:val="4B7D11FA"/>
    <w:rsid w:val="4B9739F7"/>
    <w:rsid w:val="4BEE2503"/>
    <w:rsid w:val="4BF42C86"/>
    <w:rsid w:val="4BF727EA"/>
    <w:rsid w:val="4C107007"/>
    <w:rsid w:val="4C245A30"/>
    <w:rsid w:val="4C431ECB"/>
    <w:rsid w:val="4C5E0E20"/>
    <w:rsid w:val="4C7E792C"/>
    <w:rsid w:val="4CB6685F"/>
    <w:rsid w:val="4CC367FE"/>
    <w:rsid w:val="4CEE0089"/>
    <w:rsid w:val="4D077F3C"/>
    <w:rsid w:val="4D0912F2"/>
    <w:rsid w:val="4D123355"/>
    <w:rsid w:val="4D2408F7"/>
    <w:rsid w:val="4D2A3B31"/>
    <w:rsid w:val="4D312C52"/>
    <w:rsid w:val="4D905305"/>
    <w:rsid w:val="4D964A72"/>
    <w:rsid w:val="4D9C1254"/>
    <w:rsid w:val="4D9E5B15"/>
    <w:rsid w:val="4DD913BE"/>
    <w:rsid w:val="4DF3347D"/>
    <w:rsid w:val="4DF711BF"/>
    <w:rsid w:val="4E2B70BB"/>
    <w:rsid w:val="4E613784"/>
    <w:rsid w:val="4E720529"/>
    <w:rsid w:val="4E793892"/>
    <w:rsid w:val="4E800872"/>
    <w:rsid w:val="4EC153CA"/>
    <w:rsid w:val="4EC569ED"/>
    <w:rsid w:val="4ED50EA1"/>
    <w:rsid w:val="4EEC050C"/>
    <w:rsid w:val="4F104EC3"/>
    <w:rsid w:val="4F336227"/>
    <w:rsid w:val="4F47354A"/>
    <w:rsid w:val="4F8E16AF"/>
    <w:rsid w:val="4F911C54"/>
    <w:rsid w:val="4F964BD7"/>
    <w:rsid w:val="4FBA7A09"/>
    <w:rsid w:val="4FE625E0"/>
    <w:rsid w:val="500E4637"/>
    <w:rsid w:val="5021480F"/>
    <w:rsid w:val="505C301C"/>
    <w:rsid w:val="50962ECB"/>
    <w:rsid w:val="50A42E38"/>
    <w:rsid w:val="50A4577F"/>
    <w:rsid w:val="50B13D8B"/>
    <w:rsid w:val="50B73D1F"/>
    <w:rsid w:val="50BD5BC9"/>
    <w:rsid w:val="50C11EEE"/>
    <w:rsid w:val="50E97CFC"/>
    <w:rsid w:val="50EE68AA"/>
    <w:rsid w:val="50FA4028"/>
    <w:rsid w:val="510D65B7"/>
    <w:rsid w:val="511157AB"/>
    <w:rsid w:val="5142540C"/>
    <w:rsid w:val="518832C8"/>
    <w:rsid w:val="519D3C50"/>
    <w:rsid w:val="51A0432A"/>
    <w:rsid w:val="51A86090"/>
    <w:rsid w:val="51B7396D"/>
    <w:rsid w:val="51CC4711"/>
    <w:rsid w:val="52076DD7"/>
    <w:rsid w:val="52285DEB"/>
    <w:rsid w:val="522E4CC3"/>
    <w:rsid w:val="52421D16"/>
    <w:rsid w:val="5244713B"/>
    <w:rsid w:val="52615633"/>
    <w:rsid w:val="526F4DE4"/>
    <w:rsid w:val="527977EC"/>
    <w:rsid w:val="52862B12"/>
    <w:rsid w:val="52977FD4"/>
    <w:rsid w:val="52A25790"/>
    <w:rsid w:val="52A96B6F"/>
    <w:rsid w:val="52B45975"/>
    <w:rsid w:val="52D94AA4"/>
    <w:rsid w:val="52DE46FC"/>
    <w:rsid w:val="52E33AC0"/>
    <w:rsid w:val="52EA3A62"/>
    <w:rsid w:val="52F50BB8"/>
    <w:rsid w:val="52FF297D"/>
    <w:rsid w:val="53097272"/>
    <w:rsid w:val="530C74BB"/>
    <w:rsid w:val="534C1537"/>
    <w:rsid w:val="53544462"/>
    <w:rsid w:val="5397158E"/>
    <w:rsid w:val="53C04948"/>
    <w:rsid w:val="53E325D5"/>
    <w:rsid w:val="54013861"/>
    <w:rsid w:val="54226596"/>
    <w:rsid w:val="543970F9"/>
    <w:rsid w:val="54487265"/>
    <w:rsid w:val="544D6070"/>
    <w:rsid w:val="545A6004"/>
    <w:rsid w:val="545F5483"/>
    <w:rsid w:val="54605E1E"/>
    <w:rsid w:val="54770964"/>
    <w:rsid w:val="54931516"/>
    <w:rsid w:val="54B3506A"/>
    <w:rsid w:val="54CA0D16"/>
    <w:rsid w:val="54DD4057"/>
    <w:rsid w:val="54E7490F"/>
    <w:rsid w:val="550764A4"/>
    <w:rsid w:val="550B2BF6"/>
    <w:rsid w:val="55214EB5"/>
    <w:rsid w:val="552D3719"/>
    <w:rsid w:val="55364EFD"/>
    <w:rsid w:val="554A7E27"/>
    <w:rsid w:val="554C731E"/>
    <w:rsid w:val="555D4828"/>
    <w:rsid w:val="55727683"/>
    <w:rsid w:val="557A4C8B"/>
    <w:rsid w:val="558931E1"/>
    <w:rsid w:val="55923347"/>
    <w:rsid w:val="55925180"/>
    <w:rsid w:val="55983B1B"/>
    <w:rsid w:val="55A8376B"/>
    <w:rsid w:val="55C71477"/>
    <w:rsid w:val="55C94D0E"/>
    <w:rsid w:val="55DC29B6"/>
    <w:rsid w:val="55DD4241"/>
    <w:rsid w:val="55F53B68"/>
    <w:rsid w:val="56024BA5"/>
    <w:rsid w:val="564F2794"/>
    <w:rsid w:val="566B6D1E"/>
    <w:rsid w:val="568E6439"/>
    <w:rsid w:val="56C11E16"/>
    <w:rsid w:val="56C72DEF"/>
    <w:rsid w:val="56E6316C"/>
    <w:rsid w:val="56FA60B9"/>
    <w:rsid w:val="57032A2C"/>
    <w:rsid w:val="57066EF8"/>
    <w:rsid w:val="570F5219"/>
    <w:rsid w:val="572E78E5"/>
    <w:rsid w:val="57335763"/>
    <w:rsid w:val="575D12B5"/>
    <w:rsid w:val="57610A87"/>
    <w:rsid w:val="5778442F"/>
    <w:rsid w:val="577B1140"/>
    <w:rsid w:val="577B7F21"/>
    <w:rsid w:val="577F181B"/>
    <w:rsid w:val="57921984"/>
    <w:rsid w:val="579737F0"/>
    <w:rsid w:val="57980616"/>
    <w:rsid w:val="5798639A"/>
    <w:rsid w:val="57AB7B30"/>
    <w:rsid w:val="57AF5251"/>
    <w:rsid w:val="57B26373"/>
    <w:rsid w:val="57B63F04"/>
    <w:rsid w:val="57BE4AFC"/>
    <w:rsid w:val="57CD20C2"/>
    <w:rsid w:val="57D675AB"/>
    <w:rsid w:val="57D95FDD"/>
    <w:rsid w:val="57F53090"/>
    <w:rsid w:val="58024BE5"/>
    <w:rsid w:val="581A61D6"/>
    <w:rsid w:val="58917826"/>
    <w:rsid w:val="58917D2F"/>
    <w:rsid w:val="5894085C"/>
    <w:rsid w:val="58AE4F0C"/>
    <w:rsid w:val="58B85899"/>
    <w:rsid w:val="58C12AF6"/>
    <w:rsid w:val="58E363A9"/>
    <w:rsid w:val="591E264C"/>
    <w:rsid w:val="592D1F39"/>
    <w:rsid w:val="595E1678"/>
    <w:rsid w:val="5960040B"/>
    <w:rsid w:val="596D5BD4"/>
    <w:rsid w:val="597E3DD8"/>
    <w:rsid w:val="598863C7"/>
    <w:rsid w:val="59F80043"/>
    <w:rsid w:val="59FD4DB8"/>
    <w:rsid w:val="5A09252F"/>
    <w:rsid w:val="5A0B2778"/>
    <w:rsid w:val="5A2A7C7B"/>
    <w:rsid w:val="5A395A9B"/>
    <w:rsid w:val="5A3E2560"/>
    <w:rsid w:val="5A5D3B6E"/>
    <w:rsid w:val="5A637A76"/>
    <w:rsid w:val="5A6D33BA"/>
    <w:rsid w:val="5A792B1F"/>
    <w:rsid w:val="5A874767"/>
    <w:rsid w:val="5AA85BE2"/>
    <w:rsid w:val="5AAD6F28"/>
    <w:rsid w:val="5AAF03B6"/>
    <w:rsid w:val="5AB83A84"/>
    <w:rsid w:val="5ABE2749"/>
    <w:rsid w:val="5AD63A24"/>
    <w:rsid w:val="5AE51A4D"/>
    <w:rsid w:val="5B2E1A1D"/>
    <w:rsid w:val="5B44356A"/>
    <w:rsid w:val="5B4D27FB"/>
    <w:rsid w:val="5B5C3E21"/>
    <w:rsid w:val="5B7F05AD"/>
    <w:rsid w:val="5B843A1C"/>
    <w:rsid w:val="5B873E3F"/>
    <w:rsid w:val="5BBD57F6"/>
    <w:rsid w:val="5BD26DC8"/>
    <w:rsid w:val="5BE32176"/>
    <w:rsid w:val="5C02690E"/>
    <w:rsid w:val="5C0D7C82"/>
    <w:rsid w:val="5C196DA7"/>
    <w:rsid w:val="5C2A048C"/>
    <w:rsid w:val="5C2C639A"/>
    <w:rsid w:val="5C3747F9"/>
    <w:rsid w:val="5C4D2220"/>
    <w:rsid w:val="5C611A1C"/>
    <w:rsid w:val="5C722EA9"/>
    <w:rsid w:val="5C80234E"/>
    <w:rsid w:val="5C80637B"/>
    <w:rsid w:val="5C8A680C"/>
    <w:rsid w:val="5D0C4701"/>
    <w:rsid w:val="5D0F0395"/>
    <w:rsid w:val="5D216E63"/>
    <w:rsid w:val="5D221076"/>
    <w:rsid w:val="5D2256EB"/>
    <w:rsid w:val="5D397964"/>
    <w:rsid w:val="5D5A391C"/>
    <w:rsid w:val="5D5F10C0"/>
    <w:rsid w:val="5D790E2F"/>
    <w:rsid w:val="5D793A96"/>
    <w:rsid w:val="5D891B7B"/>
    <w:rsid w:val="5DAD38EE"/>
    <w:rsid w:val="5DB524FD"/>
    <w:rsid w:val="5DD52015"/>
    <w:rsid w:val="5E006862"/>
    <w:rsid w:val="5E0207B9"/>
    <w:rsid w:val="5E1834A1"/>
    <w:rsid w:val="5E261785"/>
    <w:rsid w:val="5E483371"/>
    <w:rsid w:val="5E4A7017"/>
    <w:rsid w:val="5E552BBA"/>
    <w:rsid w:val="5E611C10"/>
    <w:rsid w:val="5E7078FD"/>
    <w:rsid w:val="5E7303EE"/>
    <w:rsid w:val="5E7A0F3F"/>
    <w:rsid w:val="5ED370DF"/>
    <w:rsid w:val="5EFC7377"/>
    <w:rsid w:val="5F06174D"/>
    <w:rsid w:val="5F3A3602"/>
    <w:rsid w:val="5F45733B"/>
    <w:rsid w:val="5F6277C6"/>
    <w:rsid w:val="5F6D0B1D"/>
    <w:rsid w:val="5F8D0B82"/>
    <w:rsid w:val="5FC37153"/>
    <w:rsid w:val="5FCC5339"/>
    <w:rsid w:val="5FCF0AA1"/>
    <w:rsid w:val="5FE34A5B"/>
    <w:rsid w:val="5FE46B5E"/>
    <w:rsid w:val="5FFE1E36"/>
    <w:rsid w:val="60221AE0"/>
    <w:rsid w:val="60232584"/>
    <w:rsid w:val="60320E3A"/>
    <w:rsid w:val="607330CE"/>
    <w:rsid w:val="60825176"/>
    <w:rsid w:val="609F2AC4"/>
    <w:rsid w:val="60C02DBD"/>
    <w:rsid w:val="60C80F39"/>
    <w:rsid w:val="60D158A0"/>
    <w:rsid w:val="60D70747"/>
    <w:rsid w:val="60FA2EE8"/>
    <w:rsid w:val="61054A27"/>
    <w:rsid w:val="610A52BC"/>
    <w:rsid w:val="610D059B"/>
    <w:rsid w:val="611D2366"/>
    <w:rsid w:val="61231622"/>
    <w:rsid w:val="61421856"/>
    <w:rsid w:val="615227C4"/>
    <w:rsid w:val="615D5C3A"/>
    <w:rsid w:val="61654E3F"/>
    <w:rsid w:val="6182292A"/>
    <w:rsid w:val="619F7F92"/>
    <w:rsid w:val="61B50D1E"/>
    <w:rsid w:val="61C3168D"/>
    <w:rsid w:val="61C46412"/>
    <w:rsid w:val="61E0323F"/>
    <w:rsid w:val="61EE4E39"/>
    <w:rsid w:val="61F94C26"/>
    <w:rsid w:val="62000E56"/>
    <w:rsid w:val="62171335"/>
    <w:rsid w:val="62402CDD"/>
    <w:rsid w:val="624F3E49"/>
    <w:rsid w:val="62632286"/>
    <w:rsid w:val="62885958"/>
    <w:rsid w:val="629F1D70"/>
    <w:rsid w:val="62F40B65"/>
    <w:rsid w:val="62FC2CFE"/>
    <w:rsid w:val="63024505"/>
    <w:rsid w:val="63253D89"/>
    <w:rsid w:val="635600A5"/>
    <w:rsid w:val="635B1DB5"/>
    <w:rsid w:val="63711FED"/>
    <w:rsid w:val="63841957"/>
    <w:rsid w:val="63880DDC"/>
    <w:rsid w:val="638A5B2A"/>
    <w:rsid w:val="638D750D"/>
    <w:rsid w:val="63AB23D8"/>
    <w:rsid w:val="63AC6CC0"/>
    <w:rsid w:val="63DF5B7C"/>
    <w:rsid w:val="63F23480"/>
    <w:rsid w:val="64055776"/>
    <w:rsid w:val="641F5B67"/>
    <w:rsid w:val="64240056"/>
    <w:rsid w:val="643E143A"/>
    <w:rsid w:val="64491666"/>
    <w:rsid w:val="64731709"/>
    <w:rsid w:val="648B6EEF"/>
    <w:rsid w:val="64C158BF"/>
    <w:rsid w:val="64CE2EAA"/>
    <w:rsid w:val="653C3090"/>
    <w:rsid w:val="65854376"/>
    <w:rsid w:val="658767BE"/>
    <w:rsid w:val="65892531"/>
    <w:rsid w:val="65C71020"/>
    <w:rsid w:val="65EB2F60"/>
    <w:rsid w:val="66055A2E"/>
    <w:rsid w:val="660760F9"/>
    <w:rsid w:val="66195831"/>
    <w:rsid w:val="662E75B1"/>
    <w:rsid w:val="66342C2E"/>
    <w:rsid w:val="663E784C"/>
    <w:rsid w:val="668B6A45"/>
    <w:rsid w:val="66B43C9A"/>
    <w:rsid w:val="66E55C01"/>
    <w:rsid w:val="66EF082E"/>
    <w:rsid w:val="67112C4A"/>
    <w:rsid w:val="672E57FA"/>
    <w:rsid w:val="672F3F24"/>
    <w:rsid w:val="673D5A3D"/>
    <w:rsid w:val="673E055F"/>
    <w:rsid w:val="6755052A"/>
    <w:rsid w:val="67551CE3"/>
    <w:rsid w:val="678A6772"/>
    <w:rsid w:val="679413D5"/>
    <w:rsid w:val="67A22552"/>
    <w:rsid w:val="67AA0811"/>
    <w:rsid w:val="67B22DCC"/>
    <w:rsid w:val="67B6759E"/>
    <w:rsid w:val="67BE71AA"/>
    <w:rsid w:val="67CF7323"/>
    <w:rsid w:val="67D0065F"/>
    <w:rsid w:val="67D90273"/>
    <w:rsid w:val="67DE5875"/>
    <w:rsid w:val="67E55852"/>
    <w:rsid w:val="67EB1AB4"/>
    <w:rsid w:val="67FA1285"/>
    <w:rsid w:val="683F5125"/>
    <w:rsid w:val="684B418A"/>
    <w:rsid w:val="68551F4F"/>
    <w:rsid w:val="687C10C9"/>
    <w:rsid w:val="687F1367"/>
    <w:rsid w:val="68840C16"/>
    <w:rsid w:val="68876EFB"/>
    <w:rsid w:val="68884654"/>
    <w:rsid w:val="689C18B7"/>
    <w:rsid w:val="689E04E4"/>
    <w:rsid w:val="689F444F"/>
    <w:rsid w:val="68B96DBB"/>
    <w:rsid w:val="68CA2805"/>
    <w:rsid w:val="68E937A3"/>
    <w:rsid w:val="68FB09C9"/>
    <w:rsid w:val="68FB149A"/>
    <w:rsid w:val="69083E29"/>
    <w:rsid w:val="691A5BA5"/>
    <w:rsid w:val="69220E84"/>
    <w:rsid w:val="6922313D"/>
    <w:rsid w:val="693115D2"/>
    <w:rsid w:val="69381BC1"/>
    <w:rsid w:val="693E15D3"/>
    <w:rsid w:val="69627681"/>
    <w:rsid w:val="6977531D"/>
    <w:rsid w:val="69804129"/>
    <w:rsid w:val="699822C8"/>
    <w:rsid w:val="69A9560C"/>
    <w:rsid w:val="69CC2BFF"/>
    <w:rsid w:val="69FD55B8"/>
    <w:rsid w:val="6A0B1C62"/>
    <w:rsid w:val="6A1C5DDE"/>
    <w:rsid w:val="6A2406C8"/>
    <w:rsid w:val="6A401812"/>
    <w:rsid w:val="6A474821"/>
    <w:rsid w:val="6A627569"/>
    <w:rsid w:val="6A6A2B01"/>
    <w:rsid w:val="6A82686F"/>
    <w:rsid w:val="6A9A1ADF"/>
    <w:rsid w:val="6AAF12B5"/>
    <w:rsid w:val="6ADE0BD1"/>
    <w:rsid w:val="6AE54422"/>
    <w:rsid w:val="6AE81378"/>
    <w:rsid w:val="6AE96859"/>
    <w:rsid w:val="6AF12970"/>
    <w:rsid w:val="6AFF2360"/>
    <w:rsid w:val="6B147746"/>
    <w:rsid w:val="6B187F6C"/>
    <w:rsid w:val="6B24787C"/>
    <w:rsid w:val="6B453112"/>
    <w:rsid w:val="6B573233"/>
    <w:rsid w:val="6B595D42"/>
    <w:rsid w:val="6B5B6274"/>
    <w:rsid w:val="6B621F16"/>
    <w:rsid w:val="6B851761"/>
    <w:rsid w:val="6B935D53"/>
    <w:rsid w:val="6BC93D43"/>
    <w:rsid w:val="6BEA3CBA"/>
    <w:rsid w:val="6C1316F7"/>
    <w:rsid w:val="6C196F71"/>
    <w:rsid w:val="6C226FCB"/>
    <w:rsid w:val="6C31226F"/>
    <w:rsid w:val="6C517EC7"/>
    <w:rsid w:val="6C552F0B"/>
    <w:rsid w:val="6C8C67B7"/>
    <w:rsid w:val="6C9500C9"/>
    <w:rsid w:val="6C9D744C"/>
    <w:rsid w:val="6D1159A2"/>
    <w:rsid w:val="6D167928"/>
    <w:rsid w:val="6D170D7B"/>
    <w:rsid w:val="6D26299B"/>
    <w:rsid w:val="6D4772EC"/>
    <w:rsid w:val="6D9078AF"/>
    <w:rsid w:val="6DAA3FEF"/>
    <w:rsid w:val="6DB072EE"/>
    <w:rsid w:val="6DC0172B"/>
    <w:rsid w:val="6DCB690C"/>
    <w:rsid w:val="6DD1111E"/>
    <w:rsid w:val="6DD41A5B"/>
    <w:rsid w:val="6DF43C2E"/>
    <w:rsid w:val="6DF51CA3"/>
    <w:rsid w:val="6E48095A"/>
    <w:rsid w:val="6E672A38"/>
    <w:rsid w:val="6E8335BD"/>
    <w:rsid w:val="6E8E12EF"/>
    <w:rsid w:val="6E956B3B"/>
    <w:rsid w:val="6E972936"/>
    <w:rsid w:val="6ED446C5"/>
    <w:rsid w:val="6ED86C32"/>
    <w:rsid w:val="6EF518D7"/>
    <w:rsid w:val="6F2A7D94"/>
    <w:rsid w:val="6F5C0A2B"/>
    <w:rsid w:val="6F8331F1"/>
    <w:rsid w:val="6FAE1A09"/>
    <w:rsid w:val="6FD75BF8"/>
    <w:rsid w:val="6FFE125C"/>
    <w:rsid w:val="705931BC"/>
    <w:rsid w:val="70606FE4"/>
    <w:rsid w:val="707723D0"/>
    <w:rsid w:val="70953742"/>
    <w:rsid w:val="70B54896"/>
    <w:rsid w:val="70E24A86"/>
    <w:rsid w:val="70F5661B"/>
    <w:rsid w:val="71121489"/>
    <w:rsid w:val="71183764"/>
    <w:rsid w:val="71360107"/>
    <w:rsid w:val="713B688E"/>
    <w:rsid w:val="71445C1A"/>
    <w:rsid w:val="7148279F"/>
    <w:rsid w:val="719153D9"/>
    <w:rsid w:val="71D43752"/>
    <w:rsid w:val="71DE7E1D"/>
    <w:rsid w:val="71F1796A"/>
    <w:rsid w:val="71F80EDE"/>
    <w:rsid w:val="71FB63D5"/>
    <w:rsid w:val="72021E24"/>
    <w:rsid w:val="72154626"/>
    <w:rsid w:val="72262B5D"/>
    <w:rsid w:val="72283FF7"/>
    <w:rsid w:val="7229553C"/>
    <w:rsid w:val="722E7212"/>
    <w:rsid w:val="723A0474"/>
    <w:rsid w:val="725923E4"/>
    <w:rsid w:val="725E4ABA"/>
    <w:rsid w:val="72864BF7"/>
    <w:rsid w:val="729023FC"/>
    <w:rsid w:val="72A02D30"/>
    <w:rsid w:val="72B837DC"/>
    <w:rsid w:val="72F702C9"/>
    <w:rsid w:val="72FC057E"/>
    <w:rsid w:val="734168B5"/>
    <w:rsid w:val="73832A2A"/>
    <w:rsid w:val="73C0646E"/>
    <w:rsid w:val="73C80D84"/>
    <w:rsid w:val="73E159A2"/>
    <w:rsid w:val="73EB5DC0"/>
    <w:rsid w:val="742222F5"/>
    <w:rsid w:val="74454025"/>
    <w:rsid w:val="74476126"/>
    <w:rsid w:val="744A089E"/>
    <w:rsid w:val="746216E7"/>
    <w:rsid w:val="74674930"/>
    <w:rsid w:val="74706664"/>
    <w:rsid w:val="747F3682"/>
    <w:rsid w:val="748F0874"/>
    <w:rsid w:val="749C4185"/>
    <w:rsid w:val="74AF784E"/>
    <w:rsid w:val="74C517D1"/>
    <w:rsid w:val="74DA48CB"/>
    <w:rsid w:val="750202C6"/>
    <w:rsid w:val="75067759"/>
    <w:rsid w:val="752E6DCD"/>
    <w:rsid w:val="7551380D"/>
    <w:rsid w:val="755D394A"/>
    <w:rsid w:val="75600BE5"/>
    <w:rsid w:val="7564475C"/>
    <w:rsid w:val="7583797F"/>
    <w:rsid w:val="759C6025"/>
    <w:rsid w:val="75C335B1"/>
    <w:rsid w:val="75CD2682"/>
    <w:rsid w:val="75CE13D9"/>
    <w:rsid w:val="75D20F1D"/>
    <w:rsid w:val="75DA2C18"/>
    <w:rsid w:val="75F37776"/>
    <w:rsid w:val="75F47C0F"/>
    <w:rsid w:val="75F54412"/>
    <w:rsid w:val="761D08E0"/>
    <w:rsid w:val="765D347C"/>
    <w:rsid w:val="76826699"/>
    <w:rsid w:val="76830F93"/>
    <w:rsid w:val="768C42EB"/>
    <w:rsid w:val="76BD68CA"/>
    <w:rsid w:val="76C375E1"/>
    <w:rsid w:val="76C87133"/>
    <w:rsid w:val="76CA0970"/>
    <w:rsid w:val="76CB340C"/>
    <w:rsid w:val="76CD08D5"/>
    <w:rsid w:val="76D4359C"/>
    <w:rsid w:val="76DB4B92"/>
    <w:rsid w:val="76E063E5"/>
    <w:rsid w:val="76E44AD6"/>
    <w:rsid w:val="76F81FB0"/>
    <w:rsid w:val="77052AA4"/>
    <w:rsid w:val="770D709B"/>
    <w:rsid w:val="77136511"/>
    <w:rsid w:val="771D019A"/>
    <w:rsid w:val="77340A39"/>
    <w:rsid w:val="77351FD0"/>
    <w:rsid w:val="77472422"/>
    <w:rsid w:val="776B5CAF"/>
    <w:rsid w:val="777C4360"/>
    <w:rsid w:val="777F31F2"/>
    <w:rsid w:val="77D1700D"/>
    <w:rsid w:val="77E4422B"/>
    <w:rsid w:val="77E97202"/>
    <w:rsid w:val="77EC04CC"/>
    <w:rsid w:val="78397B5B"/>
    <w:rsid w:val="784B788E"/>
    <w:rsid w:val="78526DDD"/>
    <w:rsid w:val="78775729"/>
    <w:rsid w:val="78A42DB0"/>
    <w:rsid w:val="78A656AB"/>
    <w:rsid w:val="78B2245C"/>
    <w:rsid w:val="78BD078C"/>
    <w:rsid w:val="78D44031"/>
    <w:rsid w:val="78E172CC"/>
    <w:rsid w:val="78EA1D1F"/>
    <w:rsid w:val="79036DC3"/>
    <w:rsid w:val="7904172F"/>
    <w:rsid w:val="790F7E27"/>
    <w:rsid w:val="792A231A"/>
    <w:rsid w:val="79316829"/>
    <w:rsid w:val="795C429D"/>
    <w:rsid w:val="79780F46"/>
    <w:rsid w:val="797E66A9"/>
    <w:rsid w:val="798518A4"/>
    <w:rsid w:val="79A97383"/>
    <w:rsid w:val="79D42FF8"/>
    <w:rsid w:val="79E27E8B"/>
    <w:rsid w:val="79F77CCE"/>
    <w:rsid w:val="79F850CE"/>
    <w:rsid w:val="79FD443C"/>
    <w:rsid w:val="7A042DF2"/>
    <w:rsid w:val="7A042EEF"/>
    <w:rsid w:val="7A1C7C18"/>
    <w:rsid w:val="7A1D1975"/>
    <w:rsid w:val="7A3E5150"/>
    <w:rsid w:val="7A415E0D"/>
    <w:rsid w:val="7A4670D6"/>
    <w:rsid w:val="7A523156"/>
    <w:rsid w:val="7A534B63"/>
    <w:rsid w:val="7A5944E4"/>
    <w:rsid w:val="7A5C1EB5"/>
    <w:rsid w:val="7A615382"/>
    <w:rsid w:val="7A67303B"/>
    <w:rsid w:val="7AAB1D04"/>
    <w:rsid w:val="7AB46E34"/>
    <w:rsid w:val="7ABA4368"/>
    <w:rsid w:val="7ABE2C03"/>
    <w:rsid w:val="7ACB4CB6"/>
    <w:rsid w:val="7AD05746"/>
    <w:rsid w:val="7AFB5DA7"/>
    <w:rsid w:val="7B257FFD"/>
    <w:rsid w:val="7B343476"/>
    <w:rsid w:val="7B487E2F"/>
    <w:rsid w:val="7B53021C"/>
    <w:rsid w:val="7B5A2978"/>
    <w:rsid w:val="7B5A7E4C"/>
    <w:rsid w:val="7B667AF9"/>
    <w:rsid w:val="7B7468F8"/>
    <w:rsid w:val="7B9854E0"/>
    <w:rsid w:val="7BEC1C9F"/>
    <w:rsid w:val="7BEE0103"/>
    <w:rsid w:val="7C0A0FE4"/>
    <w:rsid w:val="7C254906"/>
    <w:rsid w:val="7C296138"/>
    <w:rsid w:val="7C4F2043"/>
    <w:rsid w:val="7C590818"/>
    <w:rsid w:val="7C693261"/>
    <w:rsid w:val="7C732BC9"/>
    <w:rsid w:val="7C7C10F6"/>
    <w:rsid w:val="7C853BEA"/>
    <w:rsid w:val="7C881368"/>
    <w:rsid w:val="7CC320E9"/>
    <w:rsid w:val="7CD564F7"/>
    <w:rsid w:val="7CD70472"/>
    <w:rsid w:val="7CE27788"/>
    <w:rsid w:val="7D065ECB"/>
    <w:rsid w:val="7D0C32F1"/>
    <w:rsid w:val="7D0F408D"/>
    <w:rsid w:val="7D1F7C67"/>
    <w:rsid w:val="7D311748"/>
    <w:rsid w:val="7D46198B"/>
    <w:rsid w:val="7D491C6C"/>
    <w:rsid w:val="7D4E5E48"/>
    <w:rsid w:val="7D5429C0"/>
    <w:rsid w:val="7D5947FB"/>
    <w:rsid w:val="7D6D017E"/>
    <w:rsid w:val="7D6E6D43"/>
    <w:rsid w:val="7DA41F1A"/>
    <w:rsid w:val="7DB57A34"/>
    <w:rsid w:val="7DE60973"/>
    <w:rsid w:val="7DEF0916"/>
    <w:rsid w:val="7DF74740"/>
    <w:rsid w:val="7E1E5218"/>
    <w:rsid w:val="7E492806"/>
    <w:rsid w:val="7E6C679B"/>
    <w:rsid w:val="7E9A4E1F"/>
    <w:rsid w:val="7E9A79FE"/>
    <w:rsid w:val="7E9C7095"/>
    <w:rsid w:val="7EA7723A"/>
    <w:rsid w:val="7EB268B9"/>
    <w:rsid w:val="7ED6278E"/>
    <w:rsid w:val="7EF56FBB"/>
    <w:rsid w:val="7F0768EB"/>
    <w:rsid w:val="7F143BEC"/>
    <w:rsid w:val="7F272E03"/>
    <w:rsid w:val="7F362021"/>
    <w:rsid w:val="7F413799"/>
    <w:rsid w:val="7F547970"/>
    <w:rsid w:val="7F707246"/>
    <w:rsid w:val="7F715AF2"/>
    <w:rsid w:val="7F7B47F9"/>
    <w:rsid w:val="7F886E69"/>
    <w:rsid w:val="7FAF4BA7"/>
    <w:rsid w:val="7FD30895"/>
    <w:rsid w:val="7FDD5BB8"/>
    <w:rsid w:val="7FF03042"/>
    <w:rsid w:val="BB7FA927"/>
    <w:rsid w:val="BE7BF27C"/>
    <w:rsid w:val="EFF72F48"/>
    <w:rsid w:val="F5FFD31F"/>
    <w:rsid w:val="FAB79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autoRedefine/>
    <w:qFormat/>
    <w:uiPriority w:val="0"/>
    <w:pPr>
      <w:adjustRightInd/>
      <w:spacing w:after="120" w:line="240" w:lineRule="auto"/>
      <w:ind w:left="420" w:leftChars="200" w:firstLine="210"/>
    </w:pPr>
    <w:rPr>
      <w:sz w:val="21"/>
    </w:rPr>
  </w:style>
  <w:style w:type="paragraph" w:styleId="3">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7">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next w:val="51"/>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xl53"/>
    <w:basedOn w:val="1"/>
    <w:next w:val="1"/>
    <w:autoRedefine/>
    <w:qFormat/>
    <w:uiPriority w:val="0"/>
    <w:pPr>
      <w:spacing w:before="280" w:after="280" w:line="100" w:lineRule="exact"/>
      <w:jc w:val="center"/>
    </w:pPr>
    <w:rPr>
      <w:b/>
      <w:sz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5"/>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5"/>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空2格  1."/>
    <w:basedOn w:val="1"/>
    <w:autoRedefine/>
    <w:qFormat/>
    <w:uiPriority w:val="0"/>
    <w:pPr>
      <w:spacing w:line="360" w:lineRule="auto"/>
      <w:ind w:firstLine="480" w:firstLineChars="200"/>
      <w:textAlignment w:val="baseline"/>
    </w:pPr>
    <w:rPr>
      <w:rFonts w:cs="宋体"/>
      <w:kern w:val="0"/>
      <w:sz w:val="28"/>
      <w:szCs w:val="20"/>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Body text|1"/>
    <w:basedOn w:val="1"/>
    <w:autoRedefine/>
    <w:qFormat/>
    <w:uiPriority w:val="0"/>
    <w:pPr>
      <w:spacing w:line="430" w:lineRule="auto"/>
      <w:ind w:firstLine="400"/>
    </w:pPr>
    <w:rPr>
      <w:rFonts w:ascii="宋体" w:hAnsi="宋体" w:cs="宋体"/>
      <w:sz w:val="20"/>
      <w:szCs w:val="20"/>
      <w:lang w:val="zh-TW" w:eastAsia="zh-TW" w:bidi="zh-TW"/>
    </w:rPr>
  </w:style>
  <w:style w:type="paragraph" w:customStyle="1" w:styleId="968">
    <w:name w:val="Header or footer|1"/>
    <w:basedOn w:val="1"/>
    <w:autoRedefine/>
    <w:qFormat/>
    <w:uiPriority w:val="0"/>
    <w:rPr>
      <w:rFonts w:ascii="Calibri" w:hAnsi="Calibri"/>
      <w:sz w:val="18"/>
      <w:szCs w:val="18"/>
      <w:lang w:val="zh-TW" w:eastAsia="zh-TW" w:bidi="zh-TW"/>
    </w:rPr>
  </w:style>
  <w:style w:type="paragraph" w:customStyle="1" w:styleId="969">
    <w:name w:val="须知二级小标题"/>
    <w:basedOn w:val="1"/>
    <w:autoRedefine/>
    <w:qFormat/>
    <w:uiPriority w:val="0"/>
    <w:pPr>
      <w:spacing w:line="500" w:lineRule="exact"/>
    </w:pPr>
    <w:rPr>
      <w:rFonts w:ascii="宋体"/>
      <w:b/>
      <w:sz w:val="24"/>
      <w:szCs w:val="20"/>
    </w:rPr>
  </w:style>
  <w:style w:type="paragraph" w:customStyle="1" w:styleId="970">
    <w:name w:val="须知小标题"/>
    <w:basedOn w:val="1"/>
    <w:autoRedefine/>
    <w:qFormat/>
    <w:uiPriority w:val="0"/>
    <w:pPr>
      <w:spacing w:line="500" w:lineRule="exact"/>
    </w:pPr>
    <w:rPr>
      <w:rFonts w:ascii="黑体" w:eastAsia="黑体"/>
      <w:b/>
      <w:kern w:val="0"/>
      <w:sz w:val="28"/>
      <w:szCs w:val="20"/>
    </w:rPr>
  </w:style>
  <w:style w:type="paragraph" w:customStyle="1" w:styleId="971">
    <w:name w:val="_Style 29"/>
    <w:basedOn w:val="1"/>
    <w:next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30272</Words>
  <Characters>32083</Characters>
  <Lines>497</Lines>
  <Paragraphs>140</Paragraphs>
  <TotalTime>89</TotalTime>
  <ScaleCrop>false</ScaleCrop>
  <LinksUpToDate>false</LinksUpToDate>
  <CharactersWithSpaces>33136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2024-07-16T01:55:00Z</dcterms:created>
  <dc:creator>玥</dc:creator>
  <cp:lastModifiedBy>离不开嘚陌生人。</cp:lastModifiedBy>
  <cp:lastPrinted>2024-05-23T05:36:00Z</cp:lastPrinted>
  <dcterms:modified xsi:type="dcterms:W3CDTF">2025-06-25T11:23:27Z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5166041D09E84A01AB06149465EDFDBA_13</vt:lpwstr>
  </property>
  <property fmtid="{D5CDD505-2E9C-101B-9397-08002B2CF9AE}" pid="5" name="commondata">
    <vt:lpwstr>eyJoZGlkIjoiNGNlMmFkMDQ1NDY0ZmRiM2Q0NjY4NTFjN2IwMTllYjMifQ==</vt:lpwstr>
  </property>
  <property fmtid="{D5CDD505-2E9C-101B-9397-08002B2CF9AE}" pid="6" name="KSOTemplateDocerSaveRecord">
    <vt:lpwstr>eyJoZGlkIjoiMjk5YzljZWQxY2M4YTBiZTUwNmVhZDI0NmVhNDIzNDEiLCJ1c2VySWQiOiI1MzkwOTQ3ODUifQ==</vt:lpwstr>
  </property>
</Properties>
</file>