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4"/>
          <w:highlight w:val="none"/>
          <w14:textFill>
            <w14:solidFill>
              <w14:schemeClr w14:val="tx1"/>
            </w14:solidFill>
          </w14:textFill>
        </w:rPr>
      </w:pPr>
    </w:p>
    <w:p>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p>
    <w:p>
      <w:pPr>
        <w:spacing w:line="360" w:lineRule="auto"/>
        <w:jc w:val="center"/>
        <w:rPr>
          <w:rFonts w:ascii="宋体" w:hAnsi="宋体" w:cs="宋体"/>
          <w:b/>
          <w:color w:val="000000" w:themeColor="text1"/>
          <w:sz w:val="44"/>
          <w:szCs w:val="44"/>
          <w:highlight w:val="none"/>
          <w14:textFill>
            <w14:solidFill>
              <w14:schemeClr w14:val="tx1"/>
            </w14:solidFill>
          </w14:textFill>
        </w:rPr>
      </w:pPr>
    </w:p>
    <w:p>
      <w:pPr>
        <w:adjustRightInd/>
        <w:spacing w:line="360" w:lineRule="auto"/>
        <w:jc w:val="center"/>
        <w:rPr>
          <w:rFonts w:ascii="宋体" w:hAnsi="宋体" w:cs="宋体"/>
          <w:b/>
          <w:color w:val="000000" w:themeColor="text1"/>
          <w:sz w:val="48"/>
          <w:szCs w:val="48"/>
          <w:highlight w:val="none"/>
          <w14:textFill>
            <w14:solidFill>
              <w14:schemeClr w14:val="tx1"/>
            </w14:solidFill>
          </w14:textFill>
        </w:rPr>
      </w:pPr>
      <w:bookmarkStart w:id="0" w:name="OLE_LINK115"/>
    </w:p>
    <w:p>
      <w:pPr>
        <w:adjustRightInd/>
        <w:spacing w:line="360" w:lineRule="auto"/>
        <w:jc w:val="center"/>
        <w:rPr>
          <w:rFonts w:hint="eastAsia" w:ascii="宋体" w:hAnsi="宋体" w:cs="宋体"/>
          <w:color w:val="000000" w:themeColor="text1"/>
          <w:sz w:val="44"/>
          <w:szCs w:val="44"/>
          <w:lang w:eastAsia="zh-CN"/>
          <w14:textFill>
            <w14:solidFill>
              <w14:schemeClr w14:val="tx1"/>
            </w14:solidFill>
          </w14:textFill>
        </w:rPr>
      </w:pPr>
      <w:bookmarkStart w:id="1" w:name="OLE_LINK12"/>
      <w:bookmarkStart w:id="2" w:name="OLE_LINK120"/>
      <w:bookmarkStart w:id="3" w:name="OLE_LINK102"/>
      <w:r>
        <w:rPr>
          <w:rFonts w:hint="eastAsia" w:ascii="宋体" w:hAnsi="宋体" w:cs="宋体"/>
          <w:color w:val="000000" w:themeColor="text1"/>
          <w:sz w:val="44"/>
          <w:szCs w:val="44"/>
          <w:lang w:eastAsia="zh-CN"/>
          <w14:textFill>
            <w14:solidFill>
              <w14:schemeClr w14:val="tx1"/>
            </w14:solidFill>
          </w14:textFill>
        </w:rPr>
        <w:t>长江南翼经钱塘江航运通江达海工程研究</w:t>
      </w:r>
    </w:p>
    <w:p>
      <w:pPr>
        <w:adjustRightInd/>
        <w:spacing w:line="360" w:lineRule="auto"/>
        <w:jc w:val="center"/>
        <w:rPr>
          <w:rFonts w:hint="eastAsia" w:ascii="宋体" w:hAnsi="宋体" w:cs="宋体"/>
          <w:color w:val="000000" w:themeColor="text1"/>
          <w:sz w:val="44"/>
          <w:szCs w:val="44"/>
          <w:lang w:eastAsia="zh-CN"/>
          <w14:textFill>
            <w14:solidFill>
              <w14:schemeClr w14:val="tx1"/>
            </w14:solidFill>
          </w14:textFill>
        </w:rPr>
      </w:pPr>
      <w:r>
        <w:rPr>
          <w:rFonts w:hint="eastAsia" w:ascii="宋体" w:hAnsi="宋体" w:cs="宋体"/>
          <w:color w:val="000000" w:themeColor="text1"/>
          <w:sz w:val="44"/>
          <w:szCs w:val="44"/>
          <w:lang w:eastAsia="zh-CN"/>
          <w14:textFill>
            <w14:solidFill>
              <w14:schemeClr w14:val="tx1"/>
            </w14:solidFill>
          </w14:textFill>
        </w:rPr>
        <w:t>（运输</w:t>
      </w:r>
      <w:bookmarkStart w:id="4" w:name="OLE_LINK4"/>
      <w:r>
        <w:rPr>
          <w:rFonts w:hint="eastAsia" w:ascii="宋体" w:hAnsi="宋体" w:cs="宋体"/>
          <w:color w:val="000000" w:themeColor="text1"/>
          <w:sz w:val="44"/>
          <w:szCs w:val="44"/>
          <w:lang w:eastAsia="zh-CN"/>
          <w14:textFill>
            <w14:solidFill>
              <w14:schemeClr w14:val="tx1"/>
            </w14:solidFill>
          </w14:textFill>
        </w:rPr>
        <w:t>需求分析</w:t>
      </w:r>
      <w:bookmarkEnd w:id="1"/>
      <w:bookmarkEnd w:id="4"/>
      <w:r>
        <w:rPr>
          <w:rFonts w:hint="eastAsia" w:ascii="宋体" w:hAnsi="宋体" w:cs="宋体"/>
          <w:color w:val="000000" w:themeColor="text1"/>
          <w:sz w:val="44"/>
          <w:szCs w:val="44"/>
          <w:lang w:eastAsia="zh-CN"/>
          <w14:textFill>
            <w14:solidFill>
              <w14:schemeClr w14:val="tx1"/>
            </w14:solidFill>
          </w14:textFill>
        </w:rPr>
        <w:t>）</w:t>
      </w:r>
      <w:bookmarkEnd w:id="2"/>
    </w:p>
    <w:bookmarkEnd w:id="0"/>
    <w:bookmarkEnd w:id="3"/>
    <w:p>
      <w:pPr>
        <w:adjustRightInd/>
        <w:spacing w:line="360" w:lineRule="auto"/>
        <w:jc w:val="center"/>
        <w:rPr>
          <w:rFonts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 xml:space="preserve">招标文件 </w:t>
      </w:r>
    </w:p>
    <w:p>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（电子招投标）</w:t>
      </w:r>
    </w:p>
    <w:p>
      <w:pPr>
        <w:snapToGrid w:val="0"/>
        <w:spacing w:line="360" w:lineRule="auto"/>
        <w:jc w:val="center"/>
        <w:rPr>
          <w:rFonts w:hint="eastAsia" w:ascii="宋体" w:hAnsi="宋体" w:eastAsia="宋体" w:cs="宋体"/>
          <w:color w:val="000000" w:themeColor="text1"/>
          <w:sz w:val="30"/>
          <w:szCs w:val="30"/>
          <w:highlight w:val="none"/>
          <w:lang w:eastAsia="zh-CN"/>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编号:</w:t>
      </w:r>
      <w:bookmarkStart w:id="5" w:name="OLE_LINK117"/>
      <w:r>
        <w:rPr>
          <w:rFonts w:hint="eastAsia" w:ascii="宋体" w:hAnsi="宋体" w:cs="宋体"/>
          <w:color w:val="000000" w:themeColor="text1"/>
          <w:sz w:val="30"/>
          <w:szCs w:val="30"/>
          <w:highlight w:val="none"/>
          <w:lang w:eastAsia="zh-CN"/>
          <w14:textFill>
            <w14:solidFill>
              <w14:schemeClr w14:val="tx1"/>
            </w14:solidFill>
          </w14:textFill>
        </w:rPr>
        <w:t>ZJWS2025-GK-HZGGZX004</w:t>
      </w:r>
    </w:p>
    <w:bookmarkEnd w:id="5"/>
    <w:p>
      <w:pPr>
        <w:adjustRightInd/>
        <w:spacing w:line="360" w:lineRule="auto"/>
        <w:rPr>
          <w:rFonts w:ascii="宋体" w:hAnsi="宋体" w:cs="宋体"/>
          <w:color w:val="000000" w:themeColor="text1"/>
          <w:sz w:val="28"/>
          <w:szCs w:val="20"/>
          <w:highlight w:val="none"/>
          <w14:textFill>
            <w14:solidFill>
              <w14:schemeClr w14:val="tx1"/>
            </w14:solidFill>
          </w14:textFill>
        </w:rPr>
      </w:pPr>
    </w:p>
    <w:p>
      <w:pPr>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p>
    <w:p>
      <w:pPr>
        <w:spacing w:line="360" w:lineRule="auto"/>
        <w:jc w:val="center"/>
        <w:rPr>
          <w:rFonts w:ascii="宋体" w:hAnsi="宋体" w:cs="宋体"/>
          <w:b/>
          <w:color w:val="000000" w:themeColor="text1"/>
          <w:sz w:val="44"/>
          <w:szCs w:val="44"/>
          <w:highlight w:val="none"/>
          <w14:textFill>
            <w14:solidFill>
              <w14:schemeClr w14:val="tx1"/>
            </w14:solidFill>
          </w14:textFill>
        </w:rPr>
      </w:pPr>
    </w:p>
    <w:p>
      <w:pPr>
        <w:spacing w:line="360" w:lineRule="auto"/>
        <w:jc w:val="center"/>
        <w:rPr>
          <w:rFonts w:ascii="宋体" w:hAnsi="宋体" w:cs="宋体"/>
          <w:color w:val="000000" w:themeColor="text1"/>
          <w:sz w:val="24"/>
          <w:highlight w:val="none"/>
          <w14:textFill>
            <w14:solidFill>
              <w14:schemeClr w14:val="tx1"/>
            </w14:solidFill>
          </w14:textFill>
        </w:rPr>
      </w:pPr>
    </w:p>
    <w:p>
      <w:pPr>
        <w:spacing w:line="360" w:lineRule="auto"/>
        <w:jc w:val="center"/>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32"/>
          <w:szCs w:val="32"/>
          <w:highlight w:val="none"/>
          <w14:textFill>
            <w14:solidFill>
              <w14:schemeClr w14:val="tx1"/>
            </w14:solidFill>
          </w14:textFill>
        </w:rPr>
      </w:pPr>
    </w:p>
    <w:p>
      <w:pPr>
        <w:spacing w:line="360" w:lineRule="auto"/>
        <w:jc w:val="center"/>
        <w:rPr>
          <w:rFonts w:ascii="宋体" w:hAnsi="宋体"/>
          <w:color w:val="000000" w:themeColor="text1"/>
          <w:sz w:val="32"/>
          <w:szCs w:val="32"/>
          <w14:textFill>
            <w14:solidFill>
              <w14:schemeClr w14:val="tx1"/>
            </w14:solidFill>
          </w14:textFill>
        </w:rPr>
      </w:pPr>
      <w:bookmarkStart w:id="6" w:name="OLE_LINK72"/>
      <w:r>
        <w:rPr>
          <w:rFonts w:hint="eastAsia" w:ascii="宋体" w:hAnsi="宋体"/>
          <w:color w:val="000000" w:themeColor="text1"/>
          <w:sz w:val="32"/>
          <w:szCs w:val="32"/>
          <w14:textFill>
            <w14:solidFill>
              <w14:schemeClr w14:val="tx1"/>
            </w14:solidFill>
          </w14:textFill>
        </w:rPr>
        <w:t>杭州市公路与港航管理服务中心</w:t>
      </w:r>
    </w:p>
    <w:bookmarkEnd w:id="6"/>
    <w:p>
      <w:pPr>
        <w:snapToGrid w:val="0"/>
        <w:spacing w:line="360" w:lineRule="auto"/>
        <w:jc w:val="center"/>
        <w:rPr>
          <w:color w:val="000000" w:themeColor="text1"/>
          <w:sz w:val="32"/>
          <w:szCs w:val="32"/>
          <w14:textFill>
            <w14:solidFill>
              <w14:schemeClr w14:val="tx1"/>
            </w14:solidFill>
          </w14:textFill>
        </w:rPr>
      </w:pPr>
      <w:bookmarkStart w:id="7" w:name="OLE_LINK118"/>
      <w:r>
        <w:rPr>
          <w:rFonts w:hint="eastAsia"/>
          <w:color w:val="000000" w:themeColor="text1"/>
          <w:sz w:val="32"/>
          <w:szCs w:val="32"/>
          <w14:textFill>
            <w14:solidFill>
              <w14:schemeClr w14:val="tx1"/>
            </w14:solidFill>
          </w14:textFill>
        </w:rPr>
        <w:t>浙江五石中正工程咨询有限公司</w:t>
      </w:r>
    </w:p>
    <w:bookmarkEnd w:id="7"/>
    <w:p>
      <w:pPr>
        <w:snapToGrid w:val="0"/>
        <w:spacing w:line="360" w:lineRule="auto"/>
        <w:jc w:val="center"/>
        <w:rPr>
          <w:rFonts w:hint="default" w:ascii="宋体" w:hAnsi="宋体" w:cs="宋体"/>
          <w:bCs/>
          <w:color w:val="000000" w:themeColor="text1"/>
          <w:sz w:val="32"/>
          <w:szCs w:val="32"/>
          <w:highlight w:val="none"/>
          <w:lang w:val="en-US"/>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二〇二</w:t>
      </w:r>
      <w:r>
        <w:rPr>
          <w:rFonts w:hint="eastAsia" w:ascii="宋体" w:hAnsi="宋体" w:cs="宋体"/>
          <w:bCs/>
          <w:color w:val="000000" w:themeColor="text1"/>
          <w:sz w:val="32"/>
          <w:szCs w:val="32"/>
          <w:highlight w:val="none"/>
          <w:lang w:val="en-US" w:eastAsia="zh-CN"/>
          <w14:textFill>
            <w14:solidFill>
              <w14:schemeClr w14:val="tx1"/>
            </w14:solidFill>
          </w14:textFill>
        </w:rPr>
        <w:t>五</w:t>
      </w:r>
      <w:r>
        <w:rPr>
          <w:rFonts w:hint="eastAsia" w:ascii="宋体" w:hAnsi="宋体" w:cs="宋体"/>
          <w:bCs/>
          <w:color w:val="000000" w:themeColor="text1"/>
          <w:sz w:val="32"/>
          <w:szCs w:val="32"/>
          <w:highlight w:val="none"/>
          <w14:textFill>
            <w14:solidFill>
              <w14:schemeClr w14:val="tx1"/>
            </w14:solidFill>
          </w14:textFill>
        </w:rPr>
        <w:t>年</w:t>
      </w:r>
      <w:r>
        <w:rPr>
          <w:rFonts w:hint="eastAsia" w:ascii="宋体" w:hAnsi="宋体" w:cs="宋体"/>
          <w:bCs/>
          <w:color w:val="000000" w:themeColor="text1"/>
          <w:sz w:val="32"/>
          <w:szCs w:val="32"/>
          <w:highlight w:val="none"/>
          <w:lang w:val="en-US" w:eastAsia="zh-CN"/>
          <w14:textFill>
            <w14:solidFill>
              <w14:schemeClr w14:val="tx1"/>
            </w14:solidFill>
          </w14:textFill>
        </w:rPr>
        <w:t>七月二日</w:t>
      </w: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8" w:name="_Hlt67893495"/>
      <w:bookmarkEnd w:id="8"/>
    </w:p>
    <w:p>
      <w:pPr>
        <w:pStyle w:val="637"/>
        <w:rPr>
          <w:color w:val="000000" w:themeColor="text1"/>
          <w:highlight w:val="none"/>
          <w14:textFill>
            <w14:solidFill>
              <w14:schemeClr w14:val="tx1"/>
            </w14:solidFill>
          </w14:textFill>
        </w:rPr>
      </w:pPr>
    </w:p>
    <w:p>
      <w:pPr>
        <w:spacing w:line="360" w:lineRule="auto"/>
        <w:jc w:val="center"/>
        <w:rPr>
          <w:rFonts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pPr>
        <w:spacing w:line="360" w:lineRule="auto"/>
        <w:rPr>
          <w:rFonts w:ascii="宋体" w:hAnsi="宋体" w:cs="宋体"/>
          <w:color w:val="000000" w:themeColor="text1"/>
          <w:sz w:val="32"/>
          <w:szCs w:val="32"/>
          <w:highlight w:val="none"/>
          <w14:textFill>
            <w14:solidFill>
              <w14:schemeClr w14:val="tx1"/>
            </w14:solidFill>
          </w14:textFill>
        </w:rPr>
      </w:pPr>
    </w:p>
    <w:p>
      <w:pPr>
        <w:spacing w:line="360" w:lineRule="auto"/>
        <w:rPr>
          <w:rFonts w:ascii="宋体" w:hAnsi="宋体" w:cs="宋体"/>
          <w:color w:val="000000" w:themeColor="text1"/>
          <w:sz w:val="32"/>
          <w:szCs w:val="32"/>
          <w:highlight w:val="none"/>
          <w14:textFill>
            <w14:solidFill>
              <w14:schemeClr w14:val="tx1"/>
            </w14:solidFill>
          </w14:textFill>
        </w:rPr>
      </w:pP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第一部分      招标公告</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第二部分      投标人须知</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第三部分      采购需求</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第四部分      评标办法</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第五部分      拟签订的合同文本</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第六部分      应提交的有关格式范例</w:t>
      </w: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bookmarkStart w:id="9" w:name="_Hlt91233176"/>
      <w:bookmarkEnd w:id="9"/>
      <w:bookmarkStart w:id="10" w:name="_Toc91899869"/>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bookmarkStart w:id="11" w:name="第一部分"/>
      <w:r>
        <w:rPr>
          <w:rFonts w:hint="eastAsia" w:ascii="宋体" w:hAnsi="宋体" w:cs="宋体"/>
          <w:b/>
          <w:color w:val="000000" w:themeColor="text1"/>
          <w:sz w:val="36"/>
          <w:szCs w:val="36"/>
          <w:highlight w:val="none"/>
          <w14:textFill>
            <w14:solidFill>
              <w14:schemeClr w14:val="tx1"/>
            </w14:solidFill>
          </w14:textFill>
        </w:rPr>
        <w:br w:type="page"/>
      </w:r>
      <w:bookmarkEnd w:id="10"/>
      <w:bookmarkEnd w:id="11"/>
      <w:bookmarkStart w:id="12" w:name="_Hlt74649545"/>
      <w:bookmarkEnd w:id="12"/>
      <w:bookmarkStart w:id="13" w:name="_Hlt74729822"/>
      <w:bookmarkEnd w:id="13"/>
      <w:bookmarkStart w:id="14" w:name="_Hlt74707423"/>
      <w:bookmarkEnd w:id="14"/>
      <w:bookmarkStart w:id="15" w:name="_Hlt74728647"/>
      <w:bookmarkEnd w:id="15"/>
      <w:bookmarkStart w:id="16" w:name="第二部分"/>
      <w:bookmarkStart w:id="17" w:name="_Toc91899870"/>
      <w:bookmarkStart w:id="18" w:name="_Toc91899871"/>
      <w:r>
        <w:rPr>
          <w:rFonts w:hint="eastAsia" w:ascii="宋体" w:hAnsi="宋体" w:cs="宋体"/>
          <w:b/>
          <w:color w:val="000000" w:themeColor="text1"/>
          <w:sz w:val="36"/>
          <w:szCs w:val="20"/>
          <w:highlight w:val="none"/>
          <w14:textFill>
            <w14:solidFill>
              <w14:schemeClr w14:val="tx1"/>
            </w14:solidFill>
          </w14:textFill>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长江南翼经钱塘江航运通江达海工程研究（运输需求分析）</w:t>
      </w:r>
      <w:r>
        <w:rPr>
          <w:rFonts w:hint="eastAsia" w:ascii="宋体" w:hAnsi="宋体" w:cs="宋体"/>
          <w:color w:val="000000" w:themeColor="text1"/>
          <w:sz w:val="24"/>
          <w:highlight w:val="none"/>
          <w14:textFill>
            <w14:solidFill>
              <w14:schemeClr w14:val="tx1"/>
            </w14:solidFill>
          </w14:textFill>
        </w:rPr>
        <w:t>招标项目的潜在投标人应在政采云平台（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"https://www.zcygov.cn/）获取（下载）招标文件，并于202%20年%20月%20日%20点%20分00秒" </w:instrText>
      </w:r>
      <w:r>
        <w:rPr>
          <w:color w:val="000000" w:themeColor="text1"/>
          <w:highlight w:val="none"/>
          <w14:textFill>
            <w14:solidFill>
              <w14:schemeClr w14:val="tx1"/>
            </w14:solidFill>
          </w14:textFill>
        </w:rPr>
        <w:fldChar w:fldCharType="separate"/>
      </w:r>
      <w:r>
        <w:rPr>
          <w:rStyle w:val="77"/>
          <w:rFonts w:hint="eastAsia" w:ascii="宋体" w:hAnsi="宋体" w:eastAsia="宋体" w:cs="宋体"/>
          <w:snapToGrid/>
          <w:color w:val="000000" w:themeColor="text1"/>
          <w:kern w:val="2"/>
          <w:sz w:val="24"/>
          <w:szCs w:val="24"/>
          <w:highlight w:val="none"/>
          <w14:textFill>
            <w14:solidFill>
              <w14:schemeClr w14:val="tx1"/>
            </w14:solidFill>
          </w14:textFill>
        </w:rPr>
        <w:t>https://www.zcygov.cn/）获取（下载）招标文件，并于202</w:t>
      </w:r>
      <w:r>
        <w:rPr>
          <w:rStyle w:val="77"/>
          <w:rFonts w:hint="eastAsia" w:ascii="宋体" w:hAnsi="宋体" w:cs="宋体"/>
          <w:snapToGrid/>
          <w:color w:val="000000" w:themeColor="text1"/>
          <w:kern w:val="2"/>
          <w:sz w:val="24"/>
          <w:szCs w:val="24"/>
          <w:highlight w:val="none"/>
          <w:lang w:val="en-US" w:eastAsia="zh-CN"/>
          <w14:textFill>
            <w14:solidFill>
              <w14:schemeClr w14:val="tx1"/>
            </w14:solidFill>
          </w14:textFill>
        </w:rPr>
        <w:t>5</w:t>
      </w:r>
      <w:r>
        <w:rPr>
          <w:rStyle w:val="77"/>
          <w:rFonts w:hint="eastAsia" w:ascii="宋体" w:hAnsi="宋体" w:eastAsia="宋体" w:cs="宋体"/>
          <w:snapToGrid/>
          <w:color w:val="000000" w:themeColor="text1"/>
          <w:kern w:val="2"/>
          <w:sz w:val="24"/>
          <w:szCs w:val="24"/>
          <w:highlight w:val="none"/>
          <w14:textFill>
            <w14:solidFill>
              <w14:schemeClr w14:val="tx1"/>
            </w14:solidFill>
          </w14:textFill>
        </w:rPr>
        <w:t>年</w:t>
      </w:r>
      <w:r>
        <w:rPr>
          <w:rStyle w:val="77"/>
          <w:rFonts w:hint="eastAsia" w:ascii="宋体" w:hAnsi="宋体" w:cs="宋体"/>
          <w:snapToGrid/>
          <w:color w:val="000000" w:themeColor="text1"/>
          <w:kern w:val="2"/>
          <w:sz w:val="24"/>
          <w:szCs w:val="24"/>
          <w:highlight w:val="none"/>
          <w:lang w:val="en-US" w:eastAsia="zh-CN"/>
          <w14:textFill>
            <w14:solidFill>
              <w14:schemeClr w14:val="tx1"/>
            </w14:solidFill>
          </w14:textFill>
        </w:rPr>
        <w:t>7</w:t>
      </w:r>
      <w:r>
        <w:rPr>
          <w:rStyle w:val="77"/>
          <w:rFonts w:hint="eastAsia" w:ascii="宋体" w:hAnsi="宋体" w:eastAsia="宋体" w:cs="宋体"/>
          <w:snapToGrid/>
          <w:color w:val="000000" w:themeColor="text1"/>
          <w:kern w:val="2"/>
          <w:sz w:val="24"/>
          <w:szCs w:val="24"/>
          <w:highlight w:val="none"/>
          <w:lang w:val="en-US" w:eastAsia="zh-CN"/>
          <w14:textFill>
            <w14:solidFill>
              <w14:schemeClr w14:val="tx1"/>
            </w14:solidFill>
          </w14:textFill>
        </w:rPr>
        <w:t>月</w:t>
      </w:r>
      <w:r>
        <w:rPr>
          <w:rStyle w:val="77"/>
          <w:rFonts w:hint="eastAsia" w:ascii="宋体" w:hAnsi="宋体" w:cs="宋体"/>
          <w:snapToGrid/>
          <w:color w:val="000000" w:themeColor="text1"/>
          <w:kern w:val="2"/>
          <w:sz w:val="24"/>
          <w:szCs w:val="24"/>
          <w:highlight w:val="none"/>
          <w:lang w:val="en-US" w:eastAsia="zh-CN"/>
          <w14:textFill>
            <w14:solidFill>
              <w14:schemeClr w14:val="tx1"/>
            </w14:solidFill>
          </w14:textFill>
        </w:rPr>
        <w:t>23</w:t>
      </w:r>
      <w:r>
        <w:rPr>
          <w:rStyle w:val="77"/>
          <w:rFonts w:hint="eastAsia" w:ascii="宋体" w:hAnsi="宋体" w:eastAsia="宋体" w:cs="宋体"/>
          <w:snapToGrid/>
          <w:color w:val="000000" w:themeColor="text1"/>
          <w:kern w:val="2"/>
          <w:sz w:val="24"/>
          <w:szCs w:val="24"/>
          <w:highlight w:val="none"/>
          <w14:textFill>
            <w14:solidFill>
              <w14:schemeClr w14:val="tx1"/>
            </w14:solidFill>
          </w14:textFill>
        </w:rPr>
        <w:t>日</w:t>
      </w:r>
      <w:r>
        <w:rPr>
          <w:rStyle w:val="77"/>
          <w:rFonts w:hint="eastAsia" w:ascii="宋体" w:hAnsi="宋体" w:cs="宋体"/>
          <w:snapToGrid/>
          <w:color w:val="000000" w:themeColor="text1"/>
          <w:kern w:val="2"/>
          <w:sz w:val="24"/>
          <w:szCs w:val="24"/>
          <w:highlight w:val="none"/>
          <w:lang w:val="en-US" w:eastAsia="zh-CN"/>
          <w14:textFill>
            <w14:solidFill>
              <w14:schemeClr w14:val="tx1"/>
            </w14:solidFill>
          </w14:textFill>
        </w:rPr>
        <w:t>09</w:t>
      </w:r>
      <w:r>
        <w:rPr>
          <w:rStyle w:val="77"/>
          <w:rFonts w:hint="eastAsia" w:ascii="宋体" w:hAnsi="宋体" w:eastAsia="宋体" w:cs="宋体"/>
          <w:snapToGrid/>
          <w:color w:val="000000" w:themeColor="text1"/>
          <w:kern w:val="2"/>
          <w:sz w:val="24"/>
          <w:szCs w:val="24"/>
          <w:highlight w:val="none"/>
          <w14:textFill>
            <w14:solidFill>
              <w14:schemeClr w14:val="tx1"/>
            </w14:solidFill>
          </w14:textFill>
        </w:rPr>
        <w:t>点</w:t>
      </w:r>
      <w:r>
        <w:rPr>
          <w:rStyle w:val="77"/>
          <w:rFonts w:hint="eastAsia" w:ascii="宋体" w:hAnsi="宋体" w:cs="宋体"/>
          <w:snapToGrid/>
          <w:color w:val="000000" w:themeColor="text1"/>
          <w:kern w:val="2"/>
          <w:sz w:val="24"/>
          <w:szCs w:val="24"/>
          <w:highlight w:val="none"/>
          <w:lang w:val="en-US" w:eastAsia="zh-CN"/>
          <w14:textFill>
            <w14:solidFill>
              <w14:schemeClr w14:val="tx1"/>
            </w14:solidFill>
          </w14:textFill>
        </w:rPr>
        <w:t>30</w:t>
      </w:r>
      <w:r>
        <w:rPr>
          <w:rStyle w:val="77"/>
          <w:rFonts w:hint="eastAsia" w:ascii="宋体" w:hAnsi="宋体" w:eastAsia="宋体" w:cs="宋体"/>
          <w:snapToGrid/>
          <w:color w:val="000000" w:themeColor="text1"/>
          <w:kern w:val="2"/>
          <w:sz w:val="24"/>
          <w:szCs w:val="24"/>
          <w:highlight w:val="none"/>
          <w14:textFill>
            <w14:solidFill>
              <w14:schemeClr w14:val="tx1"/>
            </w14:solidFill>
          </w14:textFill>
        </w:rPr>
        <w:t>分</w:t>
      </w:r>
      <w:r>
        <w:rPr>
          <w:rStyle w:val="77"/>
          <w:rFonts w:hint="eastAsia" w:ascii="宋体" w:hAnsi="宋体" w:eastAsia="宋体" w:cs="宋体"/>
          <w:bCs/>
          <w:snapToGrid/>
          <w:color w:val="000000" w:themeColor="text1"/>
          <w:kern w:val="2"/>
          <w:sz w:val="24"/>
          <w:szCs w:val="24"/>
          <w:highlight w:val="none"/>
          <w14:textFill>
            <w14:solidFill>
              <w14:schemeClr w14:val="tx1"/>
            </w14:solidFill>
          </w14:textFill>
        </w:rPr>
        <w:t>00秒</w:t>
      </w:r>
      <w:r>
        <w:rPr>
          <w:rStyle w:val="77"/>
          <w:rFonts w:hint="eastAsia" w:ascii="宋体" w:hAnsi="宋体" w:eastAsia="宋体" w:cs="宋体"/>
          <w:bCs/>
          <w:snapToGrid/>
          <w:color w:val="000000" w:themeColor="text1"/>
          <w:kern w:val="2"/>
          <w:sz w:val="24"/>
          <w:szCs w:val="24"/>
          <w:highlight w:val="none"/>
          <w14:textFill>
            <w14:solidFill>
              <w14:schemeClr w14:val="tx1"/>
            </w14:solidFill>
          </w14:textFill>
        </w:rPr>
        <w:fldChar w:fldCharType="end"/>
      </w:r>
      <w:r>
        <w:rPr>
          <w:rFonts w:hint="eastAsia" w:ascii="宋体" w:hAnsi="宋体" w:cs="宋体"/>
          <w:bCs/>
          <w:color w:val="000000" w:themeColor="text1"/>
          <w:sz w:val="24"/>
          <w:highlight w:val="none"/>
          <w14:textFill>
            <w14:solidFill>
              <w14:schemeClr w14:val="tx1"/>
            </w14:solidFill>
          </w14:textFill>
        </w:rPr>
        <w:t>（北京时间）前</w:t>
      </w:r>
      <w:r>
        <w:rPr>
          <w:rFonts w:hint="eastAsia" w:ascii="宋体" w:hAnsi="宋体" w:cs="宋体"/>
          <w:color w:val="000000" w:themeColor="text1"/>
          <w:sz w:val="24"/>
          <w:highlight w:val="none"/>
          <w14:textFill>
            <w14:solidFill>
              <w14:schemeClr w14:val="tx1"/>
            </w14:solidFill>
          </w14:textFill>
        </w:rPr>
        <w:t>递交（上传）投标文件。</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pPr>
        <w:spacing w:line="360" w:lineRule="auto"/>
        <w:ind w:firstLine="48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项目编号：</w:t>
      </w:r>
      <w:bookmarkStart w:id="19" w:name="OLE_LINK122"/>
      <w:bookmarkStart w:id="20" w:name="OLE_LINK90"/>
      <w:r>
        <w:rPr>
          <w:rFonts w:hint="eastAsia" w:ascii="宋体" w:hAnsi="宋体" w:cs="宋体"/>
          <w:color w:val="000000" w:themeColor="text1"/>
          <w:sz w:val="24"/>
          <w:highlight w:val="none"/>
          <w:lang w:eastAsia="zh-CN"/>
          <w14:textFill>
            <w14:solidFill>
              <w14:schemeClr w14:val="tx1"/>
            </w14:solidFill>
          </w14:textFill>
        </w:rPr>
        <w:t>ZJWS2025-GK-HZGGZX004</w:t>
      </w:r>
      <w:bookmarkEnd w:id="19"/>
    </w:p>
    <w:bookmarkEnd w:id="20"/>
    <w:p>
      <w:pPr>
        <w:spacing w:line="360" w:lineRule="auto"/>
        <w:ind w:firstLine="48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bookmarkStart w:id="21" w:name="OLE_LINK7"/>
      <w:r>
        <w:rPr>
          <w:rFonts w:hint="eastAsia" w:ascii="宋体" w:hAnsi="宋体" w:cs="宋体"/>
          <w:color w:val="000000" w:themeColor="text1"/>
          <w:sz w:val="24"/>
          <w:highlight w:val="none"/>
          <w:lang w:eastAsia="zh-CN"/>
          <w14:textFill>
            <w14:solidFill>
              <w14:schemeClr w14:val="tx1"/>
            </w14:solidFill>
          </w14:textFill>
        </w:rPr>
        <w:t>长江南翼经钱塘江航运通江达海工程研究（运输需求分析）</w:t>
      </w:r>
    </w:p>
    <w:bookmarkEnd w:id="21"/>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预算金额（元）：</w:t>
      </w:r>
      <w:bookmarkStart w:id="22" w:name="OLE_LINK26"/>
      <w:r>
        <w:rPr>
          <w:rFonts w:hint="eastAsia" w:ascii="宋体" w:hAnsi="宋体" w:cs="宋体"/>
          <w:color w:val="000000" w:themeColor="text1"/>
          <w:sz w:val="24"/>
          <w:highlight w:val="none"/>
          <w:lang w:val="en-US" w:eastAsia="zh-CN"/>
          <w14:textFill>
            <w14:solidFill>
              <w14:schemeClr w14:val="tx1"/>
            </w14:solidFill>
          </w14:textFill>
        </w:rPr>
        <w:t>1000000</w:t>
      </w:r>
    </w:p>
    <w:bookmarkEnd w:id="22"/>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hint="eastAsia" w:ascii="宋体" w:hAnsi="宋体" w:cs="宋体"/>
          <w:color w:val="000000" w:themeColor="text1"/>
          <w:sz w:val="24"/>
          <w:highlight w:val="none"/>
          <w:lang w:val="en-US" w:eastAsia="zh-CN"/>
          <w14:textFill>
            <w14:solidFill>
              <w14:schemeClr w14:val="tx1"/>
            </w14:solidFill>
          </w14:textFill>
        </w:rPr>
        <w:t>1000000</w:t>
      </w:r>
    </w:p>
    <w:p>
      <w:pPr>
        <w:pStyle w:val="6"/>
        <w:spacing w:line="360" w:lineRule="auto"/>
        <w:ind w:firstLine="480"/>
        <w:rPr>
          <w:rFonts w:hint="eastAsia" w:hAnsi="宋体" w:cs="宋体"/>
          <w:b/>
          <w:color w:val="000000" w:themeColor="text1"/>
          <w:sz w:val="24"/>
          <w:highlight w:val="none"/>
          <w14:textFill>
            <w14:solidFill>
              <w14:schemeClr w14:val="tx1"/>
            </w14:solidFill>
          </w14:textFill>
        </w:rPr>
      </w:pPr>
      <w:bookmarkStart w:id="23" w:name="OLE_LINK123"/>
      <w:r>
        <w:rPr>
          <w:rFonts w:hint="eastAsia" w:hAnsi="宋体" w:cs="宋体"/>
          <w:b/>
          <w:color w:val="000000" w:themeColor="text1"/>
          <w:sz w:val="24"/>
          <w:highlight w:val="none"/>
          <w14:textFill>
            <w14:solidFill>
              <w14:schemeClr w14:val="tx1"/>
            </w14:solidFill>
          </w14:textFill>
        </w:rPr>
        <w:t>采购需求：</w:t>
      </w:r>
      <w:bookmarkStart w:id="24" w:name="OLE_LINK62"/>
      <w:bookmarkStart w:id="25" w:name="OLE_LINK94"/>
    </w:p>
    <w:p>
      <w:pPr>
        <w:pStyle w:val="6"/>
        <w:spacing w:line="360" w:lineRule="auto"/>
        <w:ind w:firstLine="480"/>
        <w:rPr>
          <w:rFonts w:hint="eastAsia" w:hAnsi="宋体" w:cs="宋体"/>
          <w:b w:val="0"/>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本项目是“航运浙江”建设的重点研究项目，拟通过对长江南翼（长三角）经钱塘江航运通江达海工程运输需求分析，初步评估长江南翼（长三角）经钱塘江航运通江达海工程建设的必要性，并提出下阶段工作建议。</w:t>
      </w:r>
    </w:p>
    <w:bookmarkEnd w:id="24"/>
    <w:p>
      <w:pPr>
        <w:pStyle w:val="6"/>
        <w:spacing w:line="360" w:lineRule="auto"/>
        <w:ind w:firstLine="480"/>
        <w:rPr>
          <w:rFonts w:hAnsi="宋体" w:cs="宋体"/>
          <w:bCs/>
          <w:snapToGrid/>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b w:val="0"/>
          <w:bCs/>
          <w:snapToGrid/>
          <w:color w:val="000000" w:themeColor="text1"/>
          <w:kern w:val="2"/>
          <w:sz w:val="24"/>
          <w:szCs w:val="24"/>
          <w:highlight w:val="none"/>
          <w14:textFill>
            <w14:solidFill>
              <w14:schemeClr w14:val="tx1"/>
            </w14:solidFill>
          </w14:textFill>
        </w:rPr>
        <w:t>具体以招标文件第三部分</w:t>
      </w: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采购需求为准，供应商可点击本公告下方“浏览采购文件”查看采购需求。</w:t>
      </w:r>
    </w:p>
    <w:bookmarkEnd w:id="23"/>
    <w:bookmarkEnd w:id="25"/>
    <w:p>
      <w:pPr>
        <w:pStyle w:val="131"/>
        <w:ind w:firstLine="482"/>
        <w:outlineLvl w:val="2"/>
        <w:rPr>
          <w:rFonts w:hint="eastAsia" w:ascii="宋体" w:hAnsi="宋体" w:cs="宋体"/>
          <w:b/>
          <w:color w:val="000000" w:themeColor="text1"/>
          <w:highlight w:val="none"/>
          <w:lang w:val="en-US" w:eastAsia="zh-CN"/>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合同履约期限：</w:t>
      </w:r>
      <w:bookmarkStart w:id="26" w:name="OLE_LINK37"/>
      <w:r>
        <w:rPr>
          <w:rFonts w:hint="eastAsia" w:ascii="宋体" w:hAnsi="宋体" w:cs="宋体"/>
          <w:b/>
          <w:color w:val="000000" w:themeColor="text1"/>
          <w:highlight w:val="none"/>
          <w:lang w:val="en-US" w:eastAsia="zh-CN"/>
          <w14:textFill>
            <w14:solidFill>
              <w14:schemeClr w14:val="tx1"/>
            </w14:solidFill>
          </w14:textFill>
        </w:rPr>
        <w:t>约4个月，具体以合同签订日期为准。合同签订后10天内完成工作大纲编制，组织专家审查，确定研究的技术线路，开展资料收集和调研工作；9月底完成分析研究报告初稿编制；10月具备专家审查的条件；11月20日前完成工作报告通过验收。</w:t>
      </w:r>
    </w:p>
    <w:bookmarkEnd w:id="26"/>
    <w:p>
      <w:pPr>
        <w:pStyle w:val="6"/>
        <w:spacing w:line="360" w:lineRule="auto"/>
        <w:ind w:firstLine="480"/>
        <w:rPr>
          <w:rFonts w:hAnsi="宋体" w:cs="宋体"/>
          <w:b/>
          <w:color w:val="000000" w:themeColor="text1"/>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本项目接受联合体投标：</w:t>
      </w:r>
      <w:r>
        <w:rPr>
          <w:rFonts w:hAnsi="宋体" w:cs="宋体"/>
          <w:color w:val="000000" w:themeColor="text1"/>
          <w:kern w:val="0"/>
          <w:sz w:val="24"/>
          <w:highlight w:val="none"/>
          <w14:textFill>
            <w14:solidFill>
              <w14:schemeClr w14:val="tx1"/>
            </w14:solidFill>
          </w14:textFill>
        </w:rPr>
        <w:t xml:space="preserve"> </w:t>
      </w:r>
      <w:sdt>
        <w:sdtPr>
          <w:rPr>
            <w:rFonts w:hAnsi="宋体" w:cs="宋体"/>
            <w:color w:val="000000" w:themeColor="text1"/>
            <w:kern w:val="0"/>
            <w:sz w:val="24"/>
            <w:highlight w:val="none"/>
            <w14:textFill>
              <w14:solidFill>
                <w14:schemeClr w14:val="tx1"/>
              </w14:solidFill>
            </w14:textFill>
          </w:rPr>
          <w:id w:val="-1"/>
          <w14:checkbox>
            <w14:checked w14:val="1"/>
            <w14:checkedState w14:val="00FE" w14:font="Wingdings"/>
            <w14:uncheckedState w14:val="2610" w14:font="MS Gothic"/>
          </w14:checkbox>
        </w:sdtPr>
        <w:sdtEndPr>
          <w:rPr>
            <w:rFonts w:hAnsi="宋体" w:cs="宋体"/>
            <w:color w:val="000000" w:themeColor="text1"/>
            <w:kern w:val="0"/>
            <w:sz w:val="24"/>
            <w:highlight w:val="none"/>
            <w14:textFill>
              <w14:solidFill>
                <w14:schemeClr w14:val="tx1"/>
              </w14:solidFill>
            </w14:textFill>
          </w:rPr>
        </w:sdtEndPr>
        <w:sdtContent>
          <w:r>
            <w:rPr>
              <w:rFonts w:ascii="Wingdings" w:hAnsi="Wingdings" w:eastAsia="宋体" w:cs="宋体"/>
              <w:snapToGrid w:val="0"/>
              <w:color w:val="000000" w:themeColor="text1"/>
              <w:kern w:val="0"/>
              <w:sz w:val="24"/>
              <w:szCs w:val="20"/>
              <w:highlight w:val="none"/>
              <w:lang w:val="en-US" w:eastAsia="zh-CN" w:bidi="ar-SA"/>
              <w14:textFill>
                <w14:solidFill>
                  <w14:schemeClr w14:val="tx1"/>
                </w14:solidFill>
              </w14:textFill>
            </w:rPr>
            <w:t>þ</w:t>
          </w:r>
        </w:sdtContent>
      </w:sdt>
      <w:r>
        <w:rPr>
          <w:rFonts w:hint="eastAsia" w:hAnsi="宋体" w:cs="宋体"/>
          <w:b/>
          <w:color w:val="000000" w:themeColor="text1"/>
          <w:sz w:val="24"/>
          <w:highlight w:val="none"/>
          <w14:textFill>
            <w14:solidFill>
              <w14:schemeClr w14:val="tx1"/>
            </w14:solidFill>
          </w14:textFill>
        </w:rPr>
        <w:t>是；</w:t>
      </w:r>
      <w:sdt>
        <w:sdtPr>
          <w:rPr>
            <w:rFonts w:hAnsi="宋体" w:cs="宋体"/>
            <w:color w:val="000000" w:themeColor="text1"/>
            <w:kern w:val="0"/>
            <w:sz w:val="24"/>
            <w:highlight w:val="none"/>
            <w14:textFill>
              <w14:solidFill>
                <w14:schemeClr w14:val="tx1"/>
              </w14:solidFill>
            </w14:textFill>
          </w:rPr>
          <w:id w:val="747548208"/>
          <w14:checkbox>
            <w14:checked w14:val="0"/>
            <w14:checkedState w14:val="00FE" w14:font="Wingdings"/>
            <w14:uncheckedState w14:val="2610" w14:font="MS Gothic"/>
          </w14:checkbox>
        </w:sdtPr>
        <w:sdtEndPr>
          <w:rPr>
            <w:rFonts w:hAnsi="宋体" w:cs="宋体"/>
            <w:color w:val="000000" w:themeColor="text1"/>
            <w:kern w:val="0"/>
            <w:sz w:val="24"/>
            <w:highlight w:val="none"/>
            <w14:textFill>
              <w14:solidFill>
                <w14:schemeClr w14:val="tx1"/>
              </w14:solidFill>
            </w14:textFill>
          </w:rPr>
        </w:sdtEndPr>
        <w:sdtContent>
          <w:r>
            <w:rPr>
              <w:rFonts w:ascii="Segoe UI Symbol" w:hAnsi="Segoe UI Symbol" w:cs="Segoe UI Symbol"/>
              <w:color w:val="000000" w:themeColor="text1"/>
              <w:kern w:val="0"/>
              <w:sz w:val="24"/>
              <w:highlight w:val="none"/>
              <w14:textFill>
                <w14:solidFill>
                  <w14:schemeClr w14:val="tx1"/>
                </w14:solidFill>
              </w14:textFill>
            </w:rPr>
            <w:t>☐</w:t>
          </w:r>
        </w:sdtContent>
      </w:sdt>
      <w:r>
        <w:rPr>
          <w:rFonts w:hint="eastAsia" w:hAnsi="宋体" w:cs="宋体"/>
          <w:b/>
          <w:color w:val="000000" w:themeColor="text1"/>
          <w:sz w:val="24"/>
          <w:highlight w:val="none"/>
          <w14:textFill>
            <w14:solidFill>
              <w14:schemeClr w14:val="tx1"/>
            </w14:solidFill>
          </w14:textFill>
        </w:rPr>
        <w:t>否</w:t>
      </w:r>
      <w:r>
        <w:rPr>
          <w:rFonts w:hint="eastAsia" w:hAnsi="宋体" w:cs="宋体"/>
          <w:color w:val="000000" w:themeColor="text1"/>
          <w:kern w:val="0"/>
          <w:sz w:val="24"/>
          <w:highlight w:val="none"/>
          <w14:textFill>
            <w14:solidFill>
              <w14:schemeClr w14:val="tx1"/>
            </w14:solidFill>
          </w14:textFill>
        </w:rPr>
        <w:t>。</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二、申请人的资格要求：</w:t>
      </w:r>
    </w:p>
    <w:p>
      <w:pPr>
        <w:spacing w:line="360" w:lineRule="auto"/>
        <w:ind w:firstLine="480"/>
        <w:rPr>
          <w:rFonts w:ascii="宋体" w:hAnsi="宋体" w:cs="宋体"/>
          <w:snapToGrid w:val="0"/>
          <w:color w:val="000000" w:themeColor="text1"/>
          <w:kern w:val="28"/>
          <w:sz w:val="24"/>
          <w:szCs w:val="20"/>
          <w:highlight w:val="none"/>
          <w14:textFill>
            <w14:solidFill>
              <w14:schemeClr w14:val="tx1"/>
            </w14:solidFill>
          </w14:textFill>
        </w:rPr>
      </w:pPr>
      <w:bookmarkStart w:id="27" w:name="OLE_LINK38"/>
      <w:r>
        <w:rPr>
          <w:rFonts w:hint="eastAsia" w:ascii="宋体" w:hAnsi="宋体" w:cs="宋体"/>
          <w:snapToGrid w:val="0"/>
          <w:color w:val="000000" w:themeColor="text1"/>
          <w:kern w:val="28"/>
          <w:sz w:val="24"/>
          <w:szCs w:val="20"/>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 xml:space="preserve">    </w:t>
      </w:r>
      <w:r>
        <w:rPr>
          <w:rFonts w:ascii="宋体" w:hAnsi="宋体" w:cs="宋体"/>
          <w:snapToGrid w:val="0"/>
          <w:color w:val="000000" w:themeColor="text1"/>
          <w:kern w:val="28"/>
          <w:sz w:val="24"/>
          <w:szCs w:val="20"/>
          <w:highlight w:val="none"/>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000000" w:themeColor="text1"/>
          <w:kern w:val="28"/>
          <w:sz w:val="24"/>
          <w:szCs w:val="20"/>
          <w:highlight w:val="none"/>
          <w14:textFill>
            <w14:solidFill>
              <w14:schemeClr w14:val="tx1"/>
            </w14:solidFill>
          </w14:textFill>
        </w:rPr>
      </w:pPr>
      <w:r>
        <w:rPr>
          <w:rFonts w:ascii="宋体" w:hAnsi="宋体" w:cs="宋体"/>
          <w:snapToGrid w:val="0"/>
          <w:color w:val="000000" w:themeColor="text1"/>
          <w:kern w:val="28"/>
          <w:sz w:val="24"/>
          <w:szCs w:val="20"/>
          <w:highlight w:val="none"/>
          <w14:textFill>
            <w14:solidFill>
              <w14:schemeClr w14:val="tx1"/>
            </w14:solidFill>
          </w14:textFill>
        </w:rPr>
        <w:t>3</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928616923"/>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sz w:val="24"/>
          <w:highlight w:val="none"/>
          <w14:textFill>
            <w14:solidFill>
              <w14:schemeClr w14:val="tx1"/>
            </w14:solidFill>
          </w14:textFill>
        </w:rPr>
        <w:t>无</w:t>
      </w:r>
      <w:r>
        <w:rPr>
          <w:rFonts w:hint="eastAsia" w:ascii="宋体" w:hAnsi="宋体" w:cs="宋体"/>
          <w:snapToGrid w:val="0"/>
          <w:color w:val="000000" w:themeColor="text1"/>
          <w:kern w:val="28"/>
          <w:sz w:val="24"/>
          <w:szCs w:val="20"/>
          <w:highlight w:val="none"/>
          <w14:textFill>
            <w14:solidFill>
              <w14:schemeClr w14:val="tx1"/>
            </w14:solidFill>
          </w14:textFill>
        </w:rPr>
        <w:t>（注：不得限制大中型企业与小微企业组成联合体参与投标）；</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597832300"/>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专</w:t>
      </w:r>
      <w:r>
        <w:rPr>
          <w:rFonts w:hint="eastAsia" w:ascii="宋体" w:hAnsi="宋体" w:cs="宋体"/>
          <w:color w:val="000000" w:themeColor="text1"/>
          <w:sz w:val="24"/>
          <w:highlight w:val="none"/>
          <w14:textFill>
            <w14:solidFill>
              <w14:schemeClr w14:val="tx1"/>
            </w14:solidFill>
          </w14:textFill>
        </w:rPr>
        <w:t>门面向中小企业</w:t>
      </w:r>
    </w:p>
    <w:p>
      <w:pPr>
        <w:spacing w:line="360" w:lineRule="auto"/>
        <w:ind w:firstLine="897" w:firstLineChars="374"/>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414455266"/>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bookmarkStart w:id="28" w:name="OLE_LINK95"/>
          <w:r>
            <w:rPr>
              <w:rFonts w:hint="eastAsia" w:ascii="MS Gothic" w:hAnsi="MS Gothic" w:eastAsia="MS Gothic"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服务全部由符合政策要求的中小企业承接，提供中小企业声明函</w:t>
      </w:r>
      <w:bookmarkEnd w:id="28"/>
      <w:r>
        <w:rPr>
          <w:rFonts w:hint="eastAsia" w:ascii="宋体" w:hAnsi="宋体" w:cs="宋体"/>
          <w:color w:val="000000" w:themeColor="text1"/>
          <w:sz w:val="24"/>
          <w:highlight w:val="none"/>
          <w14:textFill>
            <w14:solidFill>
              <w14:schemeClr w14:val="tx1"/>
            </w14:solidFill>
          </w14:textFill>
        </w:rPr>
        <w:t>；</w:t>
      </w:r>
    </w:p>
    <w:p>
      <w:pPr>
        <w:spacing w:line="360" w:lineRule="auto"/>
        <w:ind w:firstLine="897" w:firstLineChars="374"/>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42002746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服务全部由符合政策要求的小微企业承接，提供中小企业声明函；</w:t>
      </w:r>
    </w:p>
    <w:p>
      <w:pPr>
        <w:rPr>
          <w:rFonts w:ascii="宋体" w:hAnsi="宋体" w:cs="宋体"/>
          <w:color w:val="000000" w:themeColor="text1"/>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94765341"/>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，其中小微企业合同金额应当达到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p>
    <w:p>
      <w:pPr>
        <w:snapToGrid w:val="0"/>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bookmarkStart w:id="29" w:name="OLE_LINK40"/>
      <w:sdt>
        <w:sdtPr>
          <w:rPr>
            <w:rFonts w:hint="eastAsia" w:ascii="宋体" w:hAnsi="宋体" w:cs="宋体"/>
            <w:color w:val="000000" w:themeColor="text1"/>
            <w:kern w:val="0"/>
            <w:sz w:val="24"/>
            <w:highlight w:val="none"/>
            <w14:textFill>
              <w14:solidFill>
                <w14:schemeClr w14:val="tx1"/>
              </w14:solidFill>
            </w14:textFill>
          </w:rPr>
          <w:id w:val="147466463"/>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bookmarkEnd w:id="29"/>
      <w:r>
        <w:rPr>
          <w:rFonts w:hint="eastAsia" w:ascii="宋体" w:hAnsi="宋体" w:cs="宋体"/>
          <w:color w:val="000000" w:themeColor="text1"/>
          <w:kern w:val="0"/>
          <w:sz w:val="24"/>
          <w:highlight w:val="none"/>
          <w:lang w:val="en-US" w:eastAsia="zh-CN"/>
          <w14:textFill>
            <w14:solidFill>
              <w14:schemeClr w14:val="tx1"/>
            </w14:solidFill>
          </w14:textFill>
        </w:rPr>
        <w:t>无。</w:t>
      </w:r>
    </w:p>
    <w:p>
      <w:pPr>
        <w:snapToGrid w:val="0"/>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bookmarkStart w:id="30" w:name="OLE_LINK39"/>
      <w:sdt>
        <w:sdtPr>
          <w:rPr>
            <w:rFonts w:hint="eastAsia" w:ascii="宋体" w:hAnsi="宋体" w:cs="宋体"/>
            <w:color w:val="000000" w:themeColor="text1"/>
            <w:kern w:val="0"/>
            <w:sz w:val="24"/>
            <w:highlight w:val="none"/>
            <w14:textFill>
              <w14:solidFill>
                <w14:schemeClr w14:val="tx1"/>
              </w14:solidFill>
            </w14:textFill>
          </w:rPr>
          <w:id w:val="81344519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szCs w:val="24"/>
              <w:highlight w:val="none"/>
              <w:lang w:val="en-US" w:eastAsia="zh-CN" w:bidi="ar-SA"/>
              <w14:textFill>
                <w14:solidFill>
                  <w14:schemeClr w14:val="tx1"/>
                </w14:solidFill>
              </w14:textFill>
            </w:rPr>
            <w:t>☐</w:t>
          </w:r>
        </w:sdtContent>
      </w:sdt>
      <w:bookmarkEnd w:id="30"/>
      <w:r>
        <w:rPr>
          <w:rFonts w:hint="eastAsia" w:ascii="宋体" w:hAnsi="宋体" w:cs="宋体"/>
          <w:color w:val="000000" w:themeColor="text1"/>
          <w:sz w:val="24"/>
          <w:highlight w:val="none"/>
          <w14:textFill>
            <w14:solidFill>
              <w14:schemeClr w14:val="tx1"/>
            </w14:solidFill>
          </w14:textFill>
        </w:rPr>
        <w:t>有</w:t>
      </w:r>
      <w:bookmarkStart w:id="31" w:name="OLE_LINK28"/>
      <w:r>
        <w:rPr>
          <w:rFonts w:hint="eastAsia" w:ascii="宋体" w:hAnsi="宋体" w:cs="宋体"/>
          <w:color w:val="000000" w:themeColor="text1"/>
          <w:sz w:val="24"/>
          <w:highlight w:val="none"/>
          <w14:textFill>
            <w14:solidFill>
              <w14:schemeClr w14:val="tx1"/>
            </w14:solidFill>
          </w14:textFill>
        </w:rPr>
        <w:t>特定资格要求</w:t>
      </w:r>
      <w:bookmarkEnd w:id="31"/>
      <w:r>
        <w:rPr>
          <w:rFonts w:hint="eastAsia" w:ascii="宋体" w:hAnsi="宋体" w:cs="宋体"/>
          <w:color w:val="000000" w:themeColor="text1"/>
          <w:sz w:val="24"/>
          <w:highlight w:val="none"/>
          <w:lang w:eastAsia="zh-CN"/>
          <w14:textFill>
            <w14:solidFill>
              <w14:schemeClr w14:val="tx1"/>
            </w14:solidFill>
          </w14:textFill>
        </w:rPr>
        <w:t>。</w:t>
      </w:r>
    </w:p>
    <w:p>
      <w:pPr>
        <w:snapToGrid w:val="0"/>
        <w:spacing w:line="360" w:lineRule="auto"/>
        <w:ind w:firstLine="48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该特定条件的法律法规依据：</w:t>
      </w:r>
      <w:r>
        <w:rPr>
          <w:rFonts w:hint="eastAsia" w:ascii="宋体" w:hAnsi="宋体" w:cs="宋体"/>
          <w:color w:val="000000" w:themeColor="text1"/>
          <w:sz w:val="24"/>
          <w:highlight w:val="none"/>
          <w:u w:val="singl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bookmarkEnd w:id="27"/>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三、获取招标文件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7月23</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09:30:00</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bookmarkStart w:id="32" w:name="OLE_LINK96"/>
      <w:r>
        <w:rPr>
          <w:rFonts w:hint="eastAsia" w:ascii="宋体" w:hAnsi="宋体" w:cs="宋体"/>
          <w:color w:val="000000" w:themeColor="text1"/>
          <w:sz w:val="24"/>
          <w:highlight w:val="none"/>
          <w14:textFill>
            <w14:solidFill>
              <w14:schemeClr w14:val="tx1"/>
            </w14:solidFill>
          </w14:textFill>
        </w:rPr>
        <w:t xml:space="preserve">政采云平台（https://www.zcygov.cn/） </w:t>
      </w:r>
      <w:bookmarkEnd w:id="32"/>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 xml:space="preserve">0 </w:t>
      </w:r>
      <w:r>
        <w:rPr>
          <w:rFonts w:hint="eastAsia" w:ascii="宋体" w:hAnsi="宋体" w:cs="宋体"/>
          <w:color w:val="000000" w:themeColor="text1"/>
          <w:sz w:val="24"/>
          <w:highlight w:val="none"/>
          <w14:textFill>
            <w14:solidFill>
              <w14:schemeClr w14:val="tx1"/>
            </w14:solidFill>
          </w14:textFill>
        </w:rPr>
        <w:tab/>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四、提交投标文件截止时间、开标时间和地点</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提交投标文件截止时间：</w:t>
      </w:r>
      <w:r>
        <w:rPr>
          <w:rFonts w:hint="eastAsia" w:ascii="宋体" w:hAnsi="宋体" w:cs="宋体"/>
          <w:color w:val="000000" w:themeColor="text1"/>
          <w:sz w:val="24"/>
          <w:highlight w:val="none"/>
          <w:u w:val="single"/>
          <w14:textFill>
            <w14:solidFill>
              <w14:schemeClr w14:val="tx1"/>
            </w14:solidFill>
          </w14:textFill>
        </w:rPr>
        <w:t xml:space="preserve"> 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7月23</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09</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30</w:t>
      </w:r>
      <w:r>
        <w:rPr>
          <w:rFonts w:hint="eastAsia" w:ascii="宋体" w:hAnsi="宋体" w:cs="宋体"/>
          <w:color w:val="000000" w:themeColor="text1"/>
          <w:sz w:val="24"/>
          <w:highlight w:val="none"/>
          <w:u w:val="single"/>
          <w14:textFill>
            <w14:solidFill>
              <w14:schemeClr w14:val="tx1"/>
            </w14:solidFill>
          </w14:textFill>
        </w:rPr>
        <w:t>分</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u w:val="single"/>
          <w14:textFill>
            <w14:solidFill>
              <w14:schemeClr w14:val="tx1"/>
            </w14:solidFill>
          </w14:textFill>
        </w:rPr>
        <w:t>秒</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（北京时间）</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pPr>
        <w:spacing w:line="360" w:lineRule="auto"/>
        <w:ind w:firstLine="482"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开标时间：</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7月23</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09</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30</w:t>
      </w:r>
      <w:r>
        <w:rPr>
          <w:rFonts w:hint="eastAsia" w:ascii="宋体" w:hAnsi="宋体" w:cs="宋体"/>
          <w:color w:val="000000" w:themeColor="text1"/>
          <w:sz w:val="24"/>
          <w:highlight w:val="none"/>
          <w:u w:val="single"/>
          <w14:textFill>
            <w14:solidFill>
              <w14:schemeClr w14:val="tx1"/>
            </w14:solidFill>
          </w14:textFill>
        </w:rPr>
        <w:t>分</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u w:val="single"/>
          <w14:textFill>
            <w14:solidFill>
              <w14:schemeClr w14:val="tx1"/>
            </w14:solidFill>
          </w14:textFill>
        </w:rPr>
        <w:t>秒</w:t>
      </w:r>
      <w:r>
        <w:rPr>
          <w:rFonts w:hint="eastAsia" w:ascii="宋体" w:hAnsi="宋体" w:cs="宋体"/>
          <w:bCs/>
          <w:color w:val="000000" w:themeColor="text1"/>
          <w:sz w:val="24"/>
          <w:highlight w:val="none"/>
          <w:u w:val="single"/>
          <w14:textFill>
            <w14:solidFill>
              <w14:schemeClr w14:val="tx1"/>
            </w14:solidFill>
          </w14:textFill>
        </w:rPr>
        <w:t xml:space="preserve">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开标地点（网址）：</w:t>
      </w:r>
      <w:r>
        <w:rPr>
          <w:rFonts w:hint="eastAsia" w:ascii="宋体" w:hAnsi="宋体" w:cs="宋体"/>
          <w:color w:val="000000" w:themeColor="text1"/>
          <w:sz w:val="24"/>
          <w:highlight w:val="none"/>
          <w14:textFill>
            <w14:solidFill>
              <w14:schemeClr w14:val="tx1"/>
            </w14:solidFill>
          </w14:textFill>
        </w:rPr>
        <w:t>政采云平台（https://www.zcygov.cn/）</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五、公告期限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自本公告发布之日起5个工作日。</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六、其他补充事宜</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bookmarkStart w:id="33" w:name="OLE_LINK97"/>
      <w:r>
        <w:rPr>
          <w:rFonts w:hint="eastAsia" w:ascii="宋体" w:hAnsi="宋体" w:cs="宋体"/>
          <w:color w:val="000000" w:themeColor="text1"/>
          <w:sz w:val="24"/>
          <w:highlight w:val="none"/>
          <w14:textFill>
            <w14:solidFill>
              <w14:schemeClr w14:val="tx1"/>
            </w14:solidFill>
          </w14:textFill>
        </w:rPr>
        <w:t xml:space="preserve"> 1.</w:t>
      </w:r>
      <w:r>
        <w:rPr>
          <w:rFonts w:ascii="宋体" w:hAnsi="宋体" w:cs="宋体"/>
          <w:color w:val="000000" w:themeColor="text1"/>
          <w:sz w:val="24"/>
          <w:highlight w:val="none"/>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bookmarkEnd w:id="33"/>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七、对本次采购提出询问、质疑、投诉，请按以下方式联系</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1.采购人信息</w:t>
      </w:r>
    </w:p>
    <w:p>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称：杭州市公路与港航管理服务中心</w:t>
      </w:r>
    </w:p>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    址：杭州市中河北路108号       </w:t>
      </w:r>
    </w:p>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w:t>
      </w:r>
      <w:bookmarkStart w:id="34" w:name="OLE_LINK103"/>
      <w:r>
        <w:rPr>
          <w:rFonts w:hint="eastAsia" w:ascii="宋体" w:hAnsi="宋体" w:cs="宋体"/>
          <w:color w:val="000000" w:themeColor="text1"/>
          <w:sz w:val="24"/>
          <w:highlight w:val="none"/>
          <w14:textFill>
            <w14:solidFill>
              <w14:schemeClr w14:val="tx1"/>
            </w14:solidFill>
          </w14:textFill>
        </w:rPr>
        <w:t xml:space="preserve"> /</w:t>
      </w:r>
      <w:bookmarkEnd w:id="34"/>
    </w:p>
    <w:p>
      <w:pPr>
        <w:spacing w:line="360" w:lineRule="auto"/>
        <w:ind w:firstLine="480"/>
        <w:rPr>
          <w:rFonts w:ascii="宋体" w:hAnsi="宋体" w:cs="宋体"/>
          <w:color w:val="000000" w:themeColor="text1"/>
          <w:sz w:val="24"/>
          <w:highlight w:val="none"/>
          <w14:textFill>
            <w14:solidFill>
              <w14:schemeClr w14:val="tx1"/>
            </w14:solidFill>
          </w14:textFill>
        </w:rPr>
      </w:pPr>
      <w:bookmarkStart w:id="35" w:name="OLE_LINK63"/>
      <w:r>
        <w:rPr>
          <w:rFonts w:hint="eastAsia" w:ascii="宋体" w:hAnsi="宋体" w:cs="宋体"/>
          <w:color w:val="000000" w:themeColor="text1"/>
          <w:sz w:val="24"/>
          <w:highlight w:val="none"/>
          <w14:textFill>
            <w14:solidFill>
              <w14:schemeClr w14:val="tx1"/>
            </w14:solidFill>
          </w14:textFill>
        </w:rPr>
        <w:t>项目联系人（询问）：刘先生</w:t>
      </w:r>
    </w:p>
    <w:p>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w:t>
      </w:r>
      <w:bookmarkStart w:id="36" w:name="OLE_LINK100"/>
      <w:r>
        <w:rPr>
          <w:rFonts w:hint="eastAsia" w:ascii="宋体" w:hAnsi="宋体" w:cs="宋体"/>
          <w:color w:val="000000" w:themeColor="text1"/>
          <w:sz w:val="24"/>
          <w:highlight w:val="none"/>
          <w:lang w:val="en-US" w:eastAsia="zh-CN"/>
          <w14:textFill>
            <w14:solidFill>
              <w14:schemeClr w14:val="tx1"/>
            </w14:solidFill>
          </w14:textFill>
        </w:rPr>
        <w:t>13858187159</w:t>
      </w:r>
      <w:r>
        <w:rPr>
          <w:rFonts w:hint="eastAsia" w:ascii="宋体" w:hAnsi="宋体" w:cs="宋体"/>
          <w:color w:val="000000" w:themeColor="text1"/>
          <w:sz w:val="24"/>
          <w:highlight w:val="none"/>
          <w14:textFill>
            <w14:solidFill>
              <w14:schemeClr w14:val="tx1"/>
            </w14:solidFill>
          </w14:textFill>
        </w:rPr>
        <w:t xml:space="preserve"> </w:t>
      </w:r>
      <w:bookmarkEnd w:id="36"/>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质疑联系人： 傅先生</w:t>
      </w:r>
    </w:p>
    <w:p>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质疑联系方式：0571-85460067</w:t>
      </w:r>
    </w:p>
    <w:bookmarkEnd w:id="35"/>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2.采购代理机构信息            </w:t>
      </w:r>
    </w:p>
    <w:p>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bookmarkStart w:id="37" w:name="OLE_LINK74"/>
      <w:r>
        <w:rPr>
          <w:rFonts w:hint="eastAsia" w:ascii="宋体" w:hAnsi="宋体" w:cs="宋体"/>
          <w:color w:val="000000" w:themeColor="text1"/>
          <w:sz w:val="24"/>
          <w:highlight w:val="none"/>
          <w14:textFill>
            <w14:solidFill>
              <w14:schemeClr w14:val="tx1"/>
            </w14:solidFill>
          </w14:textFill>
        </w:rPr>
        <w:t>浙江五石中正工程咨询有限公司</w:t>
      </w:r>
    </w:p>
    <w:bookmarkEnd w:id="37"/>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bookmarkStart w:id="38" w:name="OLE_LINK106"/>
      <w:bookmarkStart w:id="39" w:name="OLE_LINK77"/>
      <w:r>
        <w:rPr>
          <w:rFonts w:hint="eastAsia" w:ascii="宋体" w:hAnsi="宋体" w:cs="宋体"/>
          <w:color w:val="000000" w:themeColor="text1"/>
          <w:sz w:val="24"/>
          <w:highlight w:val="none"/>
          <w14:textFill>
            <w14:solidFill>
              <w14:schemeClr w14:val="tx1"/>
            </w14:solidFill>
          </w14:textFill>
        </w:rPr>
        <w:t>杭州市拱墅区白石路318号中国人力资源产业园北楼5楼512室</w:t>
      </w:r>
      <w:bookmarkEnd w:id="38"/>
    </w:p>
    <w:bookmarkEnd w:id="39"/>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传    真：</w:t>
      </w:r>
      <w:bookmarkStart w:id="40" w:name="OLE_LINK105"/>
      <w:r>
        <w:rPr>
          <w:rFonts w:hint="eastAsia" w:ascii="宋体" w:hAnsi="宋体" w:cs="宋体"/>
          <w:color w:val="000000" w:themeColor="text1"/>
          <w:sz w:val="24"/>
          <w:highlight w:val="none"/>
          <w14:textFill>
            <w14:solidFill>
              <w14:schemeClr w14:val="tx1"/>
            </w14:solidFill>
          </w14:textFill>
        </w:rPr>
        <w:t xml:space="preserve">0571-85342190 </w:t>
      </w:r>
      <w:bookmarkEnd w:id="40"/>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项目联系人（询问）：</w:t>
      </w:r>
      <w:bookmarkStart w:id="41" w:name="OLE_LINK104"/>
      <w:bookmarkStart w:id="42" w:name="OLE_LINK75"/>
      <w:r>
        <w:rPr>
          <w:rFonts w:hint="eastAsia" w:ascii="宋体" w:hAnsi="宋体" w:cs="宋体"/>
          <w:color w:val="000000" w:themeColor="text1"/>
          <w:sz w:val="24"/>
          <w:highlight w:val="none"/>
          <w:lang w:val="en-US" w:eastAsia="zh-CN"/>
          <w14:textFill>
            <w14:solidFill>
              <w14:schemeClr w14:val="tx1"/>
            </w14:solidFill>
          </w14:textFill>
        </w:rPr>
        <w:t>吴云飞，鲁佳滢</w:t>
      </w:r>
      <w:r>
        <w:rPr>
          <w:rFonts w:hint="eastAsia" w:ascii="宋体" w:hAnsi="宋体" w:cs="宋体"/>
          <w:color w:val="000000" w:themeColor="text1"/>
          <w:sz w:val="24"/>
          <w:highlight w:val="none"/>
          <w14:textFill>
            <w14:solidFill>
              <w14:schemeClr w14:val="tx1"/>
            </w14:solidFill>
          </w14:textFill>
        </w:rPr>
        <w:t xml:space="preserve"> </w:t>
      </w:r>
      <w:bookmarkEnd w:id="41"/>
    </w:p>
    <w:bookmarkEnd w:id="42"/>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项目联系方式（询问）：</w:t>
      </w:r>
      <w:bookmarkStart w:id="43" w:name="OLE_LINK76"/>
      <w:r>
        <w:rPr>
          <w:rFonts w:hint="eastAsia" w:ascii="宋体" w:hAnsi="宋体" w:cs="宋体"/>
          <w:color w:val="000000" w:themeColor="text1"/>
          <w:sz w:val="24"/>
          <w:highlight w:val="none"/>
          <w14:textFill>
            <w14:solidFill>
              <w14:schemeClr w14:val="tx1"/>
            </w14:solidFill>
          </w14:textFill>
        </w:rPr>
        <w:t xml:space="preserve">13819478811、15267570815  </w:t>
      </w:r>
    </w:p>
    <w:bookmarkEnd w:id="43"/>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质疑联系人：</w:t>
      </w:r>
      <w:r>
        <w:rPr>
          <w:rFonts w:hint="eastAsia" w:ascii="宋体" w:hAnsi="宋体" w:cs="宋体"/>
          <w:color w:val="000000" w:themeColor="text1"/>
          <w:sz w:val="24"/>
          <w:highlight w:val="none"/>
          <w:lang w:val="en-US" w:eastAsia="zh-CN"/>
          <w14:textFill>
            <w14:solidFill>
              <w14:schemeClr w14:val="tx1"/>
            </w14:solidFill>
          </w14:textFill>
        </w:rPr>
        <w:t>陈梦莹</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质疑联系方式：0571-85340710</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3.同级政府采购监督管理部门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名    称：</w:t>
      </w:r>
      <w:bookmarkStart w:id="44" w:name="OLE_LINK107"/>
      <w:r>
        <w:rPr>
          <w:rFonts w:hint="eastAsia" w:ascii="宋体" w:hAnsi="宋体" w:cs="宋体"/>
          <w:color w:val="000000" w:themeColor="text1"/>
          <w:sz w:val="24"/>
          <w:highlight w:val="none"/>
          <w14:textFill>
            <w14:solidFill>
              <w14:schemeClr w14:val="tx1"/>
            </w14:solidFill>
          </w14:textFill>
        </w:rPr>
        <w:t>杭州市财政局政府采购监管处 /浙江省政府采购行政裁决服务中心（杭州）</w:t>
      </w:r>
    </w:p>
    <w:bookmarkEnd w:id="44"/>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    址：</w:t>
      </w:r>
      <w:r>
        <w:rPr>
          <w:rFonts w:hint="eastAsia" w:ascii="宋体" w:hAnsi="宋体" w:eastAsia="宋体" w:cs="宋体"/>
          <w:i w:val="0"/>
          <w:caps w:val="0"/>
          <w:color w:val="000000" w:themeColor="text1"/>
          <w:spacing w:val="0"/>
          <w:sz w:val="24"/>
          <w:szCs w:val="24"/>
          <w:highlight w:val="none"/>
          <w:lang w:eastAsia="zh-CN"/>
          <w14:textFill>
            <w14:solidFill>
              <w14:schemeClr w14:val="tx1"/>
            </w14:solidFill>
          </w14:textFill>
        </w:rPr>
        <w:t>杭州市上城区清泰街549号城建综合大楼11楼</w:t>
      </w:r>
      <w:r>
        <w:rPr>
          <w:rFonts w:hint="eastAsia" w:ascii="宋体" w:hAnsi="宋体" w:eastAsia="宋体" w:cs="宋体"/>
          <w:i w:val="0"/>
          <w:caps w:val="0"/>
          <w:color w:val="000000" w:themeColor="text1"/>
          <w:spacing w:val="0"/>
          <w:sz w:val="24"/>
          <w:szCs w:val="24"/>
          <w:highlight w:val="none"/>
          <w14:textFill>
            <w14:solidFill>
              <w14:schemeClr w14:val="tx1"/>
            </w14:solidFill>
          </w14:textFill>
        </w:rPr>
        <w:t>（快递仅限ems或顺丰）</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传    真：</w:t>
      </w:r>
      <w:bookmarkStart w:id="45" w:name="OLE_LINK110"/>
      <w:r>
        <w:rPr>
          <w:rFonts w:hint="eastAsia" w:ascii="宋体" w:hAnsi="宋体" w:cs="宋体"/>
          <w:color w:val="000000" w:themeColor="text1"/>
          <w:sz w:val="24"/>
          <w:highlight w:val="none"/>
          <w14:textFill>
            <w14:solidFill>
              <w14:schemeClr w14:val="tx1"/>
            </w14:solidFill>
          </w14:textFill>
        </w:rPr>
        <w:t xml:space="preserve"> /</w:t>
      </w:r>
      <w:bookmarkEnd w:id="45"/>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联系人 ：</w:t>
      </w:r>
      <w:bookmarkStart w:id="46" w:name="OLE_LINK108"/>
      <w:r>
        <w:rPr>
          <w:rFonts w:hint="eastAsia" w:ascii="宋体" w:hAnsi="宋体" w:cs="宋体"/>
          <w:color w:val="000000" w:themeColor="text1"/>
          <w:sz w:val="24"/>
          <w:highlight w:val="none"/>
          <w14:textFill>
            <w14:solidFill>
              <w14:schemeClr w14:val="tx1"/>
            </w14:solidFill>
          </w14:textFill>
        </w:rPr>
        <w:t>朱女士、王女士</w:t>
      </w:r>
    </w:p>
    <w:bookmarkEnd w:id="46"/>
    <w:p>
      <w:pPr>
        <w:spacing w:line="360" w:lineRule="auto"/>
        <w:ind w:firstLine="480"/>
        <w:rPr>
          <w:rFonts w:hint="eastAsia" w:ascii="宋体" w:hAnsi="宋体" w:eastAsia="宋体" w:cs="宋体"/>
          <w:i w:val="0"/>
          <w:caps w:val="0"/>
          <w:color w:val="000000" w:themeColor="text1"/>
          <w:spacing w:val="0"/>
          <w:sz w:val="24"/>
          <w:szCs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监督投诉电话：</w:t>
      </w:r>
      <w:bookmarkStart w:id="47" w:name="OLE_LINK109"/>
      <w:r>
        <w:rPr>
          <w:rFonts w:hint="eastAsia" w:ascii="宋体" w:hAnsi="宋体" w:eastAsia="宋体" w:cs="宋体"/>
          <w:i w:val="0"/>
          <w:caps w:val="0"/>
          <w:color w:val="000000" w:themeColor="text1"/>
          <w:spacing w:val="0"/>
          <w:sz w:val="24"/>
          <w:szCs w:val="24"/>
          <w:highlight w:val="none"/>
          <w14:textFill>
            <w14:solidFill>
              <w14:schemeClr w14:val="tx1"/>
            </w14:solidFill>
          </w14:textFill>
        </w:rPr>
        <w:t>0571-8</w:t>
      </w:r>
      <w:r>
        <w:rPr>
          <w:rFonts w:hint="eastAsia" w:ascii="宋体" w:hAnsi="宋体" w:eastAsia="宋体" w:cs="宋体"/>
          <w:i w:val="0"/>
          <w:caps w:val="0"/>
          <w:color w:val="000000" w:themeColor="text1"/>
          <w:spacing w:val="0"/>
          <w:sz w:val="24"/>
          <w:szCs w:val="24"/>
          <w:highlight w:val="none"/>
          <w:lang w:val="en-US" w:eastAsia="zh-CN"/>
          <w14:textFill>
            <w14:solidFill>
              <w14:schemeClr w14:val="tx1"/>
            </w14:solidFill>
          </w14:textFill>
        </w:rPr>
        <w:t>7227671,0571-87800218</w:t>
      </w:r>
    </w:p>
    <w:bookmarkEnd w:id="47"/>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pPr>
        <w:widowControl/>
        <w:adjustRightInd/>
        <w:jc w:val="left"/>
        <w:rPr>
          <w:rFonts w:ascii="宋体" w:hAnsi="宋体" w:cs="宋体"/>
          <w:b/>
          <w:color w:val="000000" w:themeColor="text1"/>
          <w:sz w:val="36"/>
          <w:szCs w:val="20"/>
          <w:highlight w:val="none"/>
          <w14:textFill>
            <w14:solidFill>
              <w14:schemeClr w14:val="tx1"/>
            </w14:solidFill>
          </w14:textFill>
        </w:rPr>
      </w:pPr>
      <w:r>
        <w:rPr>
          <w:rFonts w:ascii="宋体" w:hAnsi="宋体" w:cs="宋体"/>
          <w:b/>
          <w:color w:val="000000" w:themeColor="text1"/>
          <w:sz w:val="36"/>
          <w:szCs w:val="20"/>
          <w:highlight w:val="none"/>
          <w14:textFill>
            <w14:solidFill>
              <w14:schemeClr w14:val="tx1"/>
            </w14:solidFill>
          </w14:textFill>
        </w:rPr>
        <w:br w:type="page"/>
      </w:r>
    </w:p>
    <w:p>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第二部分</w:t>
      </w:r>
      <w:bookmarkEnd w:id="16"/>
      <w:r>
        <w:rPr>
          <w:rFonts w:hint="eastAsia" w:ascii="宋体" w:hAnsi="宋体" w:cs="宋体"/>
          <w:b/>
          <w:color w:val="000000" w:themeColor="text1"/>
          <w:sz w:val="36"/>
          <w:szCs w:val="20"/>
          <w:highlight w:val="none"/>
          <w14:textFill>
            <w14:solidFill>
              <w14:schemeClr w14:val="tx1"/>
            </w14:solidFill>
          </w14:textFill>
        </w:rPr>
        <w:t xml:space="preserve"> 投标人须知</w:t>
      </w:r>
      <w:bookmarkEnd w:id="17"/>
    </w:p>
    <w:p>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（1）标的：</w:t>
            </w:r>
            <w:r>
              <w:rPr>
                <w:rFonts w:hint="eastAsia" w:ascii="宋体" w:hAnsi="宋体" w:cs="宋体"/>
                <w:color w:val="000000" w:themeColor="text1"/>
                <w:sz w:val="24"/>
                <w:highlight w:val="none"/>
                <w:u w:val="single"/>
                <w:lang w:eastAsia="zh-CN"/>
                <w14:textFill>
                  <w14:solidFill>
                    <w14:schemeClr w14:val="tx1"/>
                  </w14:solidFill>
                </w14:textFill>
              </w:rPr>
              <w:t>长江南翼经钱塘江航运通江达海工程研究（运输需求分析）</w:t>
            </w:r>
            <w:r>
              <w:rPr>
                <w:rFonts w:hint="eastAsia" w:ascii="宋体" w:hAnsi="宋体" w:cs="宋体"/>
                <w:color w:val="000000" w:themeColor="text1"/>
                <w:sz w:val="24"/>
                <w:highlight w:val="none"/>
                <w14:textFill>
                  <w14:solidFill>
                    <w14:schemeClr w14:val="tx1"/>
                  </w14:solidFill>
                </w14:textFill>
              </w:rPr>
              <w:t>，属于</w:t>
            </w:r>
            <w:r>
              <w:rPr>
                <w:rFonts w:ascii="宋体" w:hAnsi="宋体" w:eastAsia="宋体" w:cs="宋体"/>
                <w:b w:val="0"/>
                <w:bCs w:val="0"/>
                <w:color w:val="333333"/>
                <w:sz w:val="24"/>
                <w:szCs w:val="24"/>
                <w:u w:val="single"/>
              </w:rPr>
              <w:t>其他未列明行业</w:t>
            </w:r>
            <w:r>
              <w:rPr>
                <w:rFonts w:hint="eastAsia" w:ascii="宋体" w:hAnsi="宋体" w:cs="宋体"/>
                <w:color w:val="000000" w:themeColor="text1"/>
                <w:sz w:val="24"/>
                <w:highlight w:val="none"/>
                <w14:textFill>
                  <w14:solidFill>
                    <w14:schemeClr w14:val="tx1"/>
                  </w14:solidFill>
                </w14:textFill>
              </w:rPr>
              <w:t>；</w:t>
            </w:r>
          </w:p>
          <w:p>
            <w:pPr>
              <w:spacing w:line="360" w:lineRule="auto"/>
              <w:rPr>
                <w:rFonts w:ascii="宋体" w:hAnsi="宋体" w:eastAsia="宋体" w:cs="宋体"/>
                <w:color w:val="000000" w:themeColor="text1"/>
                <w:highlight w:val="none"/>
                <w:lang w:val="en-US"/>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根据</w:t>
            </w:r>
            <w:bookmarkStart w:id="48" w:name="OLE_LINK55"/>
            <w:r>
              <w:rPr>
                <w:rFonts w:hint="eastAsia" w:ascii="宋体" w:hAnsi="宋体" w:cs="宋体"/>
                <w:color w:val="000000" w:themeColor="text1"/>
                <w:sz w:val="24"/>
                <w:highlight w:val="none"/>
                <w:lang w:val="en-US" w:eastAsia="zh-CN"/>
                <w14:textFill>
                  <w14:solidFill>
                    <w14:schemeClr w14:val="tx1"/>
                  </w14:solidFill>
                </w14:textFill>
              </w:rPr>
              <w:t>《关于印发中小企业划型标准规定的通知》（</w:t>
            </w:r>
            <w:bookmarkStart w:id="49" w:name="OLE_LINK1"/>
            <w:r>
              <w:rPr>
                <w:rFonts w:hint="eastAsia" w:ascii="宋体" w:hAnsi="宋体" w:cs="宋体"/>
                <w:color w:val="000000" w:themeColor="text1"/>
                <w:sz w:val="24"/>
                <w:highlight w:val="none"/>
                <w:lang w:val="en-US" w:eastAsia="zh-CN"/>
                <w14:textFill>
                  <w14:solidFill>
                    <w14:schemeClr w14:val="tx1"/>
                  </w14:solidFill>
                </w14:textFill>
              </w:rPr>
              <w:t>工信部联企业〔2011〕300号</w:t>
            </w:r>
            <w:bookmarkEnd w:id="49"/>
            <w:r>
              <w:rPr>
                <w:rFonts w:hint="eastAsia" w:ascii="宋体" w:hAnsi="宋体" w:cs="宋体"/>
                <w:color w:val="000000" w:themeColor="text1"/>
                <w:sz w:val="24"/>
                <w:highlight w:val="none"/>
                <w:lang w:val="en-US" w:eastAsia="zh-CN"/>
                <w14:textFill>
                  <w14:solidFill>
                    <w14:schemeClr w14:val="tx1"/>
                  </w14:solidFill>
                </w14:textFill>
              </w:rPr>
              <w:t>）</w:t>
            </w:r>
            <w:bookmarkEnd w:id="48"/>
            <w:r>
              <w:rPr>
                <w:rFonts w:hint="eastAsia" w:ascii="宋体" w:hAnsi="宋体" w:cs="宋体"/>
                <w:color w:val="000000" w:themeColor="text1"/>
                <w:sz w:val="24"/>
                <w:highlight w:val="none"/>
                <w:lang w:val="en-US" w:eastAsia="zh-CN"/>
                <w14:textFill>
                  <w14:solidFill>
                    <w14:schemeClr w14:val="tx1"/>
                  </w14:solidFill>
                </w14:textFill>
              </w:rPr>
              <w:t>第四条规定：</w:t>
            </w:r>
            <w:r>
              <w:rPr>
                <w:rFonts w:ascii="宋体" w:hAnsi="宋体" w:eastAsia="宋体" w:cs="宋体"/>
                <w:b w:val="0"/>
                <w:bCs w:val="0"/>
                <w:color w:val="333333"/>
                <w:sz w:val="24"/>
                <w:szCs w:val="24"/>
                <w:u w:val="single"/>
              </w:rPr>
              <w:t>其他未列明行业</w:t>
            </w:r>
            <w:r>
              <w:rPr>
                <w:rFonts w:hint="eastAsia" w:ascii="宋体" w:hAnsi="宋体" w:cs="宋体"/>
                <w:color w:val="000000" w:themeColor="text1"/>
                <w:sz w:val="24"/>
                <w:highlight w:val="none"/>
                <w:lang w:val="en-US" w:eastAsia="zh-CN"/>
                <w14:textFill>
                  <w14:solidFill>
                    <w14:schemeClr w14:val="tx1"/>
                  </w14:solidFill>
                </w14:textFill>
              </w:rPr>
              <w:t>。</w:t>
            </w:r>
            <w:bookmarkStart w:id="50" w:name="OLE_LINK99"/>
            <w:r>
              <w:rPr>
                <w:rFonts w:ascii="宋体" w:hAnsi="宋体" w:eastAsia="宋体" w:cs="宋体"/>
                <w:b w:val="0"/>
                <w:bCs w:val="0"/>
                <w:color w:val="333333"/>
                <w:sz w:val="24"/>
                <w:szCs w:val="24"/>
              </w:rPr>
              <w:t>从业人员300人以下的为中小微型企业。其中，从业人员100人及以上的为中型企业；从业人员10人及以上的为小型企业；从业人员 10人以下的为微型企业。</w:t>
            </w:r>
            <w:bookmarkEnd w:id="5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925301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本项目不允许采购进口产品。</w:t>
            </w:r>
          </w:p>
          <w:p>
            <w:pPr>
              <w:spacing w:line="360" w:lineRule="auto"/>
              <w:rPr>
                <w:rFonts w:ascii="宋体" w:hAnsi="宋体" w:cs="宋体"/>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450696967"/>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可以就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54654123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 xml:space="preserve"> A</w:t>
            </w:r>
            <w:r>
              <w:rPr>
                <w:rFonts w:hint="eastAsia" w:ascii="宋体" w:hAnsi="宋体" w:cs="宋体"/>
                <w:color w:val="000000" w:themeColor="text1"/>
                <w:sz w:val="24"/>
                <w:highlight w:val="none"/>
                <w14:textFill>
                  <w14:solidFill>
                    <w14:schemeClr w14:val="tx1"/>
                  </w14:solidFill>
                </w14:textFill>
              </w:rPr>
              <w:t>同意将非主体、非关键性的</w:t>
            </w:r>
            <w:bookmarkStart w:id="51" w:name="OLE_LINK101"/>
            <w:r>
              <w:rPr>
                <w:rFonts w:hint="eastAsia" w:ascii="宋体" w:hAnsi="宋体" w:cs="宋体"/>
                <w:color w:val="000000" w:themeColor="text1"/>
                <w:sz w:val="24"/>
                <w:highlight w:val="none"/>
                <w:u w:val="single"/>
                <w:lang w:val="en-US" w:eastAsia="zh-CN"/>
                <w14:textFill>
                  <w14:solidFill>
                    <w14:schemeClr w14:val="tx1"/>
                  </w14:solidFill>
                </w14:textFill>
              </w:rPr>
              <w:t>事务性、劳务性（如会务、船舶租赁、文印等）</w:t>
            </w:r>
            <w:bookmarkEnd w:id="51"/>
            <w:r>
              <w:rPr>
                <w:rFonts w:hint="eastAsia" w:ascii="宋体" w:hAnsi="宋体" w:cs="宋体"/>
                <w:color w:val="000000" w:themeColor="text1"/>
                <w:sz w:val="24"/>
                <w:highlight w:val="none"/>
                <w14:textFill>
                  <w14:solidFill>
                    <w14:schemeClr w14:val="tx1"/>
                  </w14:solidFill>
                </w14:textFill>
              </w:rPr>
              <w:t>工作分包</w:t>
            </w:r>
            <w:r>
              <w:rPr>
                <w:rFonts w:hint="eastAsia" w:ascii="宋体" w:hAnsi="宋体" w:cs="宋体"/>
                <w:color w:val="000000" w:themeColor="text1"/>
                <w:sz w:val="24"/>
                <w:highlight w:val="none"/>
                <w:lang w:eastAsia="zh-CN"/>
                <w14:textFill>
                  <w14:solidFill>
                    <w14:schemeClr w14:val="tx1"/>
                  </w14:solidFill>
                </w14:textFill>
              </w:rPr>
              <w:t>。</w:t>
            </w:r>
          </w:p>
          <w:p>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681655650"/>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xml:space="preserve"> B不同意分包。</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86549752"/>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pPr>
              <w:spacing w:line="360" w:lineRule="auto"/>
              <w:rPr>
                <w:rFonts w:hint="eastAsia" w:ascii="宋体" w:hAnsi="宋体" w:cs="宋体"/>
                <w:color w:val="000000" w:themeColor="text1"/>
                <w:sz w:val="24"/>
                <w:szCs w:val="20"/>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8899905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r>
              <w:rPr>
                <w:rFonts w:hint="eastAsia" w:ascii="宋体" w:hAnsi="宋体" w:cs="宋体"/>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szCs w:val="20"/>
                <w:highlight w:val="none"/>
                <w14:textFill>
                  <w14:solidFill>
                    <w14:schemeClr w14:val="tx1"/>
                  </w14:solidFill>
                </w14:textFill>
              </w:rPr>
              <w:t>。</w:t>
            </w:r>
          </w:p>
          <w:p>
            <w:pPr>
              <w:pStyle w:val="2"/>
              <w:ind w:firstLine="0" w:firstLineChars="0"/>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☐C不统一组织，供应商在获取采购文件后，自行至项目现场考察。地点： ，联系人： ，联系方式： 。</w:t>
            </w:r>
          </w:p>
          <w:p>
            <w:pPr>
              <w:pStyle w:val="2"/>
              <w:ind w:firstLine="0" w:firstLineChars="0"/>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98628233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不要求提供。</w:t>
            </w:r>
          </w:p>
          <w:p>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B要求提供，</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snapToGrid w:val="0"/>
                <w:color w:val="000000" w:themeColor="text1"/>
                <w:kern w:val="28"/>
                <w:sz w:val="24"/>
                <w:highlight w:val="none"/>
                <w14:textFill>
                  <w14:solidFill>
                    <w14:schemeClr w14:val="tx1"/>
                  </w14:solidFill>
                </w14:textFill>
              </w:rPr>
              <w:t>样品：</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snapToGrid w:val="0"/>
                <w:color w:val="000000" w:themeColor="text1"/>
                <w:kern w:val="28"/>
                <w:sz w:val="24"/>
                <w:highlight w:val="none"/>
                <w14:textFill>
                  <w14:solidFill>
                    <w14:schemeClr w14:val="tx1"/>
                  </w14:solidFill>
                </w14:textFill>
              </w:rPr>
              <w:t>样品制作的标准和要求：</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（3）样品的评审方法以及评审标准</w:t>
            </w:r>
            <w:r>
              <w:rPr>
                <w:rFonts w:hint="eastAsia" w:ascii="宋体" w:hAnsi="宋体" w:cs="宋体"/>
                <w:snapToGrid w:val="0"/>
                <w:color w:val="000000" w:themeColor="text1"/>
                <w:kern w:val="28"/>
                <w:sz w:val="24"/>
                <w:highlight w:val="none"/>
                <w14:textFill>
                  <w14:solidFill>
                    <w14:schemeClr w14:val="tx1"/>
                  </w14:solidFill>
                </w14:textFill>
              </w:rPr>
              <w:t>：详见</w:t>
            </w:r>
            <w:r>
              <w:rPr>
                <w:rFonts w:hint="eastAsia" w:ascii="宋体" w:hAnsi="宋体" w:cs="宋体"/>
                <w:color w:val="000000" w:themeColor="text1"/>
                <w:sz w:val="24"/>
                <w:highlight w:val="none"/>
                <w:u w:val="single"/>
                <w14:textFill>
                  <w14:solidFill>
                    <w14:schemeClr w14:val="tx1"/>
                  </w14:solidFill>
                </w14:textFill>
              </w:rPr>
              <w:t>评标办法</w:t>
            </w:r>
            <w:r>
              <w:rPr>
                <w:rFonts w:hint="eastAsia" w:ascii="宋体" w:hAnsi="宋体" w:cs="宋体"/>
                <w:color w:val="000000" w:themeColor="text1"/>
                <w:kern w:val="0"/>
                <w:sz w:val="24"/>
                <w:highlight w:val="none"/>
                <w14:textFill>
                  <w14:solidFill>
                    <w14:schemeClr w14:val="tx1"/>
                  </w14:solidFill>
                </w14:textFill>
              </w:rPr>
              <w:t>；</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（4）是否需要随样品提交检测报告：</w:t>
            </w:r>
            <w:sdt>
              <w:sdtPr>
                <w:rPr>
                  <w:rFonts w:hint="eastAsia" w:ascii="宋体" w:hAnsi="宋体" w:cs="宋体"/>
                  <w:color w:val="000000" w:themeColor="text1"/>
                  <w:kern w:val="0"/>
                  <w:sz w:val="24"/>
                  <w:highlight w:val="none"/>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否；</w:t>
            </w:r>
            <w:sdt>
              <w:sdtPr>
                <w:rPr>
                  <w:rFonts w:hint="eastAsia" w:ascii="宋体" w:hAnsi="宋体" w:cs="宋体"/>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是，检测机构的要求</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；检测内容</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（5）提供样品的时间：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；联系人</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28"/>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(6)采购活动结束后，对于未中标人提供的样品，采购人、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将通知未中标人在规定的时间内取回，逾期未取回的，采购人、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不负保管义务；对于中标人提供的样品，采购人将进行保管、封存，并作为履约验收的参考。</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914107133"/>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（1）在评标时安排每个投标人进行方案讲解演示。每个投标人时间不超过</w:t>
            </w:r>
            <w:r>
              <w:rPr>
                <w:rFonts w:hint="eastAsia" w:ascii="宋体" w:hAnsi="宋体" w:cs="宋体"/>
                <w:color w:val="000000" w:themeColor="text1"/>
                <w:kern w:val="0"/>
                <w:sz w:val="24"/>
                <w:highlight w:val="none"/>
                <w:u w:val="single"/>
                <w14:textFill>
                  <w14:solidFill>
                    <w14:schemeClr w14:val="tx1"/>
                  </w14:solidFill>
                </w14:textFill>
              </w:rPr>
              <w:t>20</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u w:val="single"/>
                <w:lang w:val="en-US" w:eastAsia="zh-CN"/>
                <w14:textFill>
                  <w14:solidFill>
                    <w14:schemeClr w14:val="tx1"/>
                  </w14:solidFill>
                </w14:textFill>
              </w:rPr>
              <w:t>编制时可根据项目情况进行调整</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分钟，讲解次序以投标文件解密时间先后次序为准，讲解演示人员不超过</w:t>
            </w:r>
            <w:r>
              <w:rPr>
                <w:rFonts w:hint="eastAsia" w:ascii="宋体" w:hAnsi="宋体" w:cs="宋体"/>
                <w:color w:val="000000" w:themeColor="text1"/>
                <w:kern w:val="0"/>
                <w:sz w:val="24"/>
                <w:highlight w:val="none"/>
                <w:u w:val="single"/>
                <w14:textFill>
                  <w14:solidFill>
                    <w14:schemeClr w14:val="tx1"/>
                  </w14:solidFill>
                </w14:textFill>
              </w:rPr>
              <w:t>3</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u w:val="single"/>
                <w:lang w:val="en-US" w:eastAsia="zh-CN"/>
                <w14:textFill>
                  <w14:solidFill>
                    <w14:schemeClr w14:val="tx1"/>
                  </w14:solidFill>
                </w14:textFill>
              </w:rPr>
              <w:t>编制时可根据项目情况进行调整</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人。讲解演示结束后按要求解答评标委员会提问。</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（2）方案讲解演示可选择以下其中一种方式：</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方式二：交易中心现场讲解演示。现场讲解地点为</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（1）资格证明文件：见招标文件第二部分11.1。</w:t>
            </w:r>
          </w:p>
          <w:p>
            <w:pPr>
              <w:spacing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
              <w:snapToGrid w:val="0"/>
              <w:spacing w:line="360" w:lineRule="auto"/>
              <w:ind w:firstLine="0" w:firstLineChars="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pPr>
              <w:pStyle w:val="2"/>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sdt>
              <w:sdt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id w:val="147461840"/>
                <w14:checkbox>
                  <w14:checked w14:val="0"/>
                  <w14:checkedState w14:val="00FE" w14:font="Wingdings"/>
                  <w14:uncheckedState w14:val="2610" w14:font="MS Gothic"/>
                </w14:checkbox>
              </w:sdtPr>
              <w:sdtEnd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sdtEndPr>
              <w:sdtContent>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强制采购。产品：    </w:t>
            </w:r>
          </w:p>
          <w:p>
            <w:pPr>
              <w:pStyle w:val="2"/>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□优先采购节能产品。产品：   </w:t>
            </w:r>
          </w:p>
          <w:p>
            <w:pPr>
              <w:pStyle w:val="2"/>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□优先采购环保产品。产品：    </w:t>
            </w:r>
          </w:p>
          <w:p>
            <w:pPr>
              <w:pStyle w:val="2"/>
              <w:jc w:val="both"/>
              <w:rPr>
                <w:color w:val="000000" w:themeColor="text1"/>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sym w:font="Wingdings 2" w:char="0052"/>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highlight w:val="none"/>
                <w:lang w:val="zh-CN"/>
                <w14:textFill>
                  <w14:solidFill>
                    <w14:schemeClr w14:val="tx1"/>
                  </w14:solidFill>
                </w14:textFill>
              </w:rPr>
              <w:t>投标文件</w:t>
            </w:r>
            <w:r>
              <w:rPr>
                <w:rFonts w:hint="eastAsia" w:ascii="宋体" w:hAnsi="宋体" w:cs="宋体"/>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宋体" w:hAnsi="宋体" w:cs="宋体"/>
                <w:b/>
                <w:color w:val="000000" w:themeColor="text1"/>
                <w:kern w:val="0"/>
                <w:sz w:val="24"/>
                <w:highlight w:val="none"/>
                <w:lang w:val="zh-CN"/>
                <w14:textFill>
                  <w14:solidFill>
                    <w14:schemeClr w14:val="tx1"/>
                  </w14:solidFill>
                </w14:textFill>
              </w:rPr>
              <w:t>提醒：验收时检测费用由采购人承担，不包含在投标总价中。</w:t>
            </w:r>
          </w:p>
          <w:p>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投标报价出现下列情形的，投标无效：</w:t>
            </w:r>
          </w:p>
          <w:p>
            <w:pPr>
              <w:snapToGrid w:val="0"/>
              <w:spacing w:line="360" w:lineRule="auto"/>
              <w:ind w:firstLine="241" w:firstLineChars="100"/>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投标文件出现不是唯一的、有选择性投标报价的；</w:t>
            </w:r>
          </w:p>
          <w:p>
            <w:pPr>
              <w:snapToGrid w:val="0"/>
              <w:spacing w:line="360" w:lineRule="auto"/>
              <w:ind w:firstLine="241"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投标报价超过招标文件中规定的预算金额或者最高限价的;</w:t>
            </w:r>
          </w:p>
          <w:p>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highlight w:val="none"/>
                <w14:textFill>
                  <w14:solidFill>
                    <w14:schemeClr w14:val="tx1"/>
                  </w14:solidFill>
                </w14:textFill>
              </w:rPr>
              <w:t>;</w:t>
            </w:r>
          </w:p>
          <w:p>
            <w:pPr>
              <w:spacing w:line="360" w:lineRule="auto"/>
              <w:ind w:firstLine="241"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投标人对根据修正原则修正后的报价不确认的</w:t>
            </w:r>
            <w:r>
              <w:rPr>
                <w:rFonts w:hint="eastAsia" w:ascii="宋体" w:hAnsi="宋体" w:cs="宋体"/>
                <w:b/>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Ansi="宋体" w:cs="宋体"/>
                <w:color w:val="000000" w:themeColor="text1"/>
                <w:kern w:val="28"/>
                <w:sz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备份投标文件送达地点：</w:t>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kern w:val="28"/>
                <w:sz w:val="24"/>
                <w:szCs w:val="24"/>
                <w:highlight w:val="none"/>
                <w14:textFill>
                  <w14:solidFill>
                    <w14:schemeClr w14:val="tx1"/>
                  </w14:solidFill>
                </w14:textFill>
              </w:rPr>
              <w:t>；备份投标文件签收人员联系电话：</w:t>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w:t>
            </w:r>
            <w:r>
              <w:rPr>
                <w:rFonts w:hint="eastAsia" w:hAnsi="宋体" w:cs="宋体"/>
                <w:b/>
                <w:color w:val="000000" w:themeColor="text1"/>
                <w:sz w:val="24"/>
                <w:szCs w:val="24"/>
                <w:highlight w:val="none"/>
                <w14:textFill>
                  <w14:solidFill>
                    <w14:schemeClr w14:val="tx1"/>
                  </w14:solidFill>
                </w14:textFill>
              </w:rPr>
              <w:t>采购人、</w:t>
            </w:r>
            <w:r>
              <w:rPr>
                <w:rFonts w:hint="eastAsia" w:hAnsi="宋体" w:cs="宋体"/>
                <w:b/>
                <w:color w:val="000000" w:themeColor="text1"/>
                <w:sz w:val="24"/>
                <w:szCs w:val="24"/>
                <w:highlight w:val="none"/>
                <w:lang w:eastAsia="zh-CN"/>
                <w14:textFill>
                  <w14:solidFill>
                    <w14:schemeClr w14:val="tx1"/>
                  </w14:solidFill>
                </w14:textFill>
              </w:rPr>
              <w:t>采购代理机构</w:t>
            </w:r>
            <w:r>
              <w:rPr>
                <w:rFonts w:hint="eastAsia" w:hAnsi="宋体" w:cs="宋体"/>
                <w:b/>
                <w:color w:val="000000" w:themeColor="text1"/>
                <w:sz w:val="24"/>
                <w:szCs w:val="24"/>
                <w:highlight w:val="none"/>
                <w14:textFill>
                  <w14:solidFill>
                    <w14:schemeClr w14:val="tx1"/>
                  </w14:solidFill>
                </w14:textFill>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000000" w:themeColor="text1"/>
                <w:kern w:val="28"/>
                <w:sz w:val="24"/>
                <w:highlight w:val="non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MS Mincho" w:hAnsi="MS Mincho" w:eastAsia="MS Mincho" w:cs="MS Mincho"/>
                    <w:color w:val="000000" w:themeColor="text1"/>
                    <w:kern w:val="0"/>
                    <w:sz w:val="24"/>
                    <w:highlight w:val="none"/>
                    <w14:textFill>
                      <w14:solidFill>
                        <w14:schemeClr w14:val="tx1"/>
                      </w14:solidFill>
                    </w14:textFill>
                  </w:rPr>
                  <w:t>☐</w:t>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联合体投标的，联合体各方均需按招标文件第四部分评标标准要求提供资信证明文件，否则视为不符合相关要求。</w:t>
            </w:r>
          </w:p>
          <w:p>
            <w:pPr>
              <w:spacing w:line="360" w:lineRule="auto"/>
              <w:rPr>
                <w:rFonts w:ascii="宋体" w:hAnsi="宋体" w:cs="宋体"/>
                <w:snapToGrid w:val="0"/>
                <w:color w:val="000000" w:themeColor="text1"/>
                <w:kern w:val="28"/>
                <w:sz w:val="24"/>
                <w:highlight w:val="non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cs="Arial" w:asciiTheme="minorEastAsia" w:hAnsiTheme="minorEastAsia" w:eastAsiaTheme="minorEastAsia"/>
                    <w:color w:val="000000" w:themeColor="text1"/>
                    <w:kern w:val="0"/>
                    <w:sz w:val="24"/>
                    <w:highlight w:val="none"/>
                    <w14:textFill>
                      <w14:solidFill>
                        <w14:schemeClr w14:val="tx1"/>
                      </w14:solidFill>
                    </w14:textFill>
                  </w:rPr>
                  <w:sym w:font="Wingdings" w:char="F0FE"/>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14</w:t>
            </w:r>
          </w:p>
        </w:tc>
        <w:tc>
          <w:tcPr>
            <w:tcW w:w="1843" w:type="dxa"/>
            <w:tcBorders>
              <w:top w:val="single" w:color="auto" w:sz="4" w:space="0"/>
              <w:left w:val="single" w:color="000000" w:sz="2" w:space="0"/>
              <w:bottom w:val="single" w:color="auto" w:sz="4" w:space="0"/>
              <w:right w:val="single" w:color="000000" w:sz="8" w:space="0"/>
            </w:tcBorders>
            <w:vAlign w:val="center"/>
          </w:tcPr>
          <w:p>
            <w:pPr>
              <w:snapToGrid w:val="0"/>
              <w:spacing w:line="360" w:lineRule="auto"/>
              <w:jc w:val="center"/>
              <w:rPr>
                <w:rFonts w:hint="eastAsia" w:cs="仿宋_GB2312" w:asciiTheme="minorEastAsia" w:hAnsiTheme="minorEastAsia" w:eastAsiaTheme="minorEastAsia"/>
                <w:b/>
                <w:color w:val="000000" w:themeColor="text1"/>
                <w:sz w:val="24"/>
                <w:highlight w:val="none"/>
                <w:lang w:eastAsia="zh-CN"/>
                <w14:textFill>
                  <w14:solidFill>
                    <w14:schemeClr w14:val="tx1"/>
                  </w14:solidFill>
                </w14:textFill>
              </w:rPr>
            </w:pPr>
            <w:r>
              <w:rPr>
                <w:rFonts w:hint="eastAsia" w:cs="仿宋_GB2312" w:asciiTheme="minorEastAsia" w:hAnsiTheme="minorEastAsia" w:eastAsiaTheme="minorEastAsia"/>
                <w:b/>
                <w:color w:val="000000" w:themeColor="text1"/>
                <w:sz w:val="24"/>
                <w:highlight w:val="none"/>
                <w:lang w:val="en" w:eastAsia="zh-CN"/>
                <w14:textFill>
                  <w14:solidFill>
                    <w14:schemeClr w14:val="tx1"/>
                  </w14:solidFill>
                </w14:textFill>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pPr>
              <w:spacing w:line="360" w:lineRule="auto"/>
              <w:rPr>
                <w:rFonts w:hint="eastAsia" w:ascii="宋体" w:hAnsi="宋体" w:eastAsia="宋体" w:cs="宋体"/>
                <w:color w:val="000000" w:themeColor="text1"/>
                <w:kern w:val="0"/>
                <w:sz w:val="24"/>
                <w:highlight w:val="none"/>
                <w:lang w:val="en" w:eastAsia="zh-CN"/>
                <w14:textFill>
                  <w14:solidFill>
                    <w14:schemeClr w14:val="tx1"/>
                  </w14:solidFill>
                </w14:textFill>
              </w:rPr>
            </w:pPr>
            <w:r>
              <w:rPr>
                <w:rFonts w:hint="eastAsia" w:ascii="宋体" w:hAnsi="宋体" w:eastAsia="宋体" w:cs="宋体"/>
                <w:color w:val="000000" w:themeColor="text1"/>
                <w:kern w:val="0"/>
                <w:sz w:val="24"/>
                <w:highlight w:val="none"/>
                <w:lang w:val="en" w:eastAsia="zh-CN"/>
                <w14:textFill>
                  <w14:solidFill>
                    <w14:schemeClr w14:val="tx1"/>
                  </w14:solidFill>
                </w14:textFill>
              </w:rPr>
              <w:t>本项目推荐的中标候选人数量：</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3家</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en"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15</w:t>
            </w:r>
          </w:p>
        </w:tc>
        <w:tc>
          <w:tcPr>
            <w:tcW w:w="1843" w:type="dxa"/>
            <w:tcBorders>
              <w:top w:val="single" w:color="auto" w:sz="4" w:space="0"/>
              <w:left w:val="single" w:color="000000" w:sz="2" w:space="0"/>
              <w:bottom w:val="single" w:color="auto" w:sz="4" w:space="0"/>
              <w:right w:val="single" w:color="auto" w:sz="4" w:space="0"/>
            </w:tcBorders>
            <w:vAlign w:val="center"/>
          </w:tcPr>
          <w:p>
            <w:pPr>
              <w:snapToGrid w:val="0"/>
              <w:spacing w:line="360" w:lineRule="auto"/>
              <w:jc w:val="center"/>
              <w:rPr>
                <w:rFonts w:hint="eastAsia" w:cs="仿宋_GB2312" w:asciiTheme="minorEastAsia" w:hAnsiTheme="minorEastAsia" w:eastAsiaTheme="minorEastAsia"/>
                <w:b/>
                <w:color w:val="000000" w:themeColor="text1"/>
                <w:sz w:val="24"/>
                <w:highlight w:val="none"/>
                <w:lang w:eastAsia="zh-CN"/>
                <w14:textFill>
                  <w14:solidFill>
                    <w14:schemeClr w14:val="tx1"/>
                  </w14:solidFill>
                </w14:textFill>
              </w:rPr>
            </w:pPr>
            <w:r>
              <w:rPr>
                <w:rFonts w:hint="eastAsia" w:cs="仿宋_GB2312" w:asciiTheme="minorEastAsia" w:hAnsiTheme="minorEastAsia" w:eastAsiaTheme="minorEastAsia"/>
                <w:b/>
                <w:color w:val="000000" w:themeColor="text1"/>
                <w:sz w:val="24"/>
                <w:highlight w:val="none"/>
                <w:lang w:val="en" w:eastAsia="zh-CN"/>
                <w14:textFill>
                  <w14:solidFill>
                    <w14:schemeClr w14:val="tx1"/>
                  </w14:solidFill>
                </w14:textFill>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firstLineChars="200"/>
              <w:rPr>
                <w:rFonts w:hint="default"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本项目的采购代理服务费由中标人支付。</w:t>
            </w:r>
          </w:p>
          <w:p>
            <w:pPr>
              <w:keepNext w:val="0"/>
              <w:keepLines w:val="0"/>
              <w:suppressLineNumbers w:val="0"/>
              <w:spacing w:before="0" w:beforeAutospacing="0" w:after="0" w:afterAutospacing="0"/>
              <w:ind w:left="0" w:right="0" w:firstLine="480" w:firstLineChars="200"/>
              <w:rPr>
                <w:rFonts w:hint="default"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计费标准：</w:t>
            </w:r>
            <w:bookmarkStart w:id="52" w:name="OLE_LINK98"/>
            <w:r>
              <w:rPr>
                <w:rFonts w:hint="eastAsia" w:ascii="宋体" w:hAnsi="宋体" w:cs="宋体"/>
                <w:snapToGrid w:val="0"/>
                <w:color w:val="000000" w:themeColor="text1"/>
                <w:kern w:val="28"/>
                <w:sz w:val="24"/>
                <w14:textFill>
                  <w14:solidFill>
                    <w14:schemeClr w14:val="tx1"/>
                  </w14:solidFill>
                </w14:textFill>
              </w:rPr>
              <w:t>以中标（成交）金额为计费基准，按差额定率累进制计算,</w:t>
            </w:r>
            <w:r>
              <w:rPr>
                <w:rFonts w:hint="eastAsia" w:ascii="宋体" w:hAnsi="宋体" w:cs="宋体"/>
                <w:snapToGrid w:val="0"/>
                <w:color w:val="000000" w:themeColor="text1"/>
                <w:kern w:val="28"/>
                <w:sz w:val="24"/>
                <w:lang w:val="en-US" w:eastAsia="zh-CN"/>
                <w14:textFill>
                  <w14:solidFill>
                    <w14:schemeClr w14:val="tx1"/>
                  </w14:solidFill>
                </w14:textFill>
              </w:rPr>
              <w:t>参照</w:t>
            </w:r>
            <w:r>
              <w:rPr>
                <w:rFonts w:hint="eastAsia" w:ascii="宋体" w:hAnsi="宋体" w:cs="宋体"/>
                <w:snapToGrid w:val="0"/>
                <w:color w:val="000000" w:themeColor="text1"/>
                <w:kern w:val="28"/>
                <w:sz w:val="24"/>
                <w14:textFill>
                  <w14:solidFill>
                    <w14:schemeClr w14:val="tx1"/>
                  </w14:solidFill>
                </w14:textFill>
              </w:rPr>
              <w:t>原国家计委（计价格[2002]1980号）文件服务类收费标准的70%收取（不足1500元以1500元计）</w:t>
            </w:r>
            <w:bookmarkEnd w:id="52"/>
            <w:r>
              <w:rPr>
                <w:rFonts w:hint="eastAsia" w:ascii="宋体" w:hAnsi="宋体" w:cs="宋体"/>
                <w:snapToGrid w:val="0"/>
                <w:color w:val="000000" w:themeColor="text1"/>
                <w:kern w:val="28"/>
                <w:sz w:val="24"/>
                <w14:textFill>
                  <w14:solidFill>
                    <w14:schemeClr w14:val="tx1"/>
                  </w14:solidFill>
                </w14:textFill>
              </w:rPr>
              <w:t>。</w:t>
            </w:r>
          </w:p>
          <w:p>
            <w:pPr>
              <w:keepNext w:val="0"/>
              <w:keepLines w:val="0"/>
              <w:suppressLineNumbers w:val="0"/>
              <w:spacing w:before="0" w:beforeAutospacing="0" w:after="0" w:afterAutospacing="0"/>
              <w:ind w:left="0" w:right="0" w:firstLine="480" w:firstLineChars="200"/>
              <w:rPr>
                <w:rFonts w:hint="default"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计价格[2002]1980号文件收费标准如下：</w:t>
            </w:r>
          </w:p>
          <w:tbl>
            <w:tblPr>
              <w:tblStyle w:val="63"/>
              <w:tblW w:w="5062"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139"/>
              <w:gridCol w:w="1003"/>
              <w:gridCol w:w="864"/>
              <w:gridCol w:w="105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96" w:hRule="atLeast"/>
                <w:tblCellSpacing w:w="0" w:type="dxa"/>
                <w:jc w:val="center"/>
              </w:trPr>
              <w:tc>
                <w:tcPr>
                  <w:tcW w:w="2139" w:type="dxa"/>
                  <w:tcBorders>
                    <w:top w:val="outset" w:color="ECE9D8" w:sz="6" w:space="0"/>
                    <w:left w:val="outset" w:color="ECE9D8" w:sz="6" w:space="0"/>
                    <w:bottom w:val="outset" w:color="ECE9D8" w:sz="6" w:space="0"/>
                    <w:right w:val="outset" w:color="ECE9D8" w:sz="6" w:space="0"/>
                  </w:tcBorders>
                  <w:vAlign w:val="center"/>
                </w:tcPr>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000000" w:themeColor="text1"/>
                      <w:sz w:val="24"/>
                      <w14:textFill>
                        <w14:solidFill>
                          <w14:schemeClr w14:val="tx1"/>
                        </w14:solidFill>
                      </w14:textFill>
                    </w:rPr>
                  </w:pPr>
                  <w:r>
                    <w:rPr>
                      <w:rStyle w:val="71"/>
                      <w:rFonts w:hint="eastAsia"/>
                      <w:color w:val="000000" w:themeColor="text1"/>
                      <w:sz w:val="20"/>
                      <w14:textFill>
                        <w14:solidFill>
                          <w14:schemeClr w14:val="tx1"/>
                        </w14:solidFill>
                      </w14:textFill>
                    </w:rPr>
                    <w:t>中标金额（万元）</w:t>
                  </w:r>
                </w:p>
              </w:tc>
              <w:tc>
                <w:tcPr>
                  <w:tcW w:w="1003" w:type="dxa"/>
                  <w:tcBorders>
                    <w:top w:val="outset" w:color="ECE9D8" w:sz="6" w:space="0"/>
                    <w:left w:val="outset" w:color="ECE9D8" w:sz="6" w:space="0"/>
                    <w:bottom w:val="outset" w:color="ECE9D8" w:sz="6" w:space="0"/>
                    <w:right w:val="outset" w:color="ECE9D8" w:sz="6" w:space="0"/>
                  </w:tcBorders>
                  <w:vAlign w:val="center"/>
                </w:tcPr>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000000" w:themeColor="text1"/>
                      <w:sz w:val="24"/>
                      <w14:textFill>
                        <w14:solidFill>
                          <w14:schemeClr w14:val="tx1"/>
                        </w14:solidFill>
                      </w14:textFill>
                    </w:rPr>
                  </w:pPr>
                  <w:r>
                    <w:rPr>
                      <w:rStyle w:val="71"/>
                      <w:rFonts w:hint="eastAsia"/>
                      <w:color w:val="000000" w:themeColor="text1"/>
                      <w:sz w:val="20"/>
                      <w14:textFill>
                        <w14:solidFill>
                          <w14:schemeClr w14:val="tx1"/>
                        </w14:solidFill>
                      </w14:textFill>
                    </w:rPr>
                    <w:t>货物招标</w:t>
                  </w:r>
                </w:p>
              </w:tc>
              <w:tc>
                <w:tcPr>
                  <w:tcW w:w="864" w:type="dxa"/>
                  <w:tcBorders>
                    <w:top w:val="outset" w:color="ECE9D8" w:sz="6" w:space="0"/>
                    <w:left w:val="outset" w:color="ECE9D8" w:sz="6" w:space="0"/>
                    <w:bottom w:val="outset" w:color="ECE9D8" w:sz="6" w:space="0"/>
                    <w:right w:val="outset" w:color="ECE9D8" w:sz="6" w:space="0"/>
                  </w:tcBorders>
                  <w:vAlign w:val="center"/>
                </w:tcPr>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000000" w:themeColor="text1"/>
                      <w:sz w:val="24"/>
                      <w14:textFill>
                        <w14:solidFill>
                          <w14:schemeClr w14:val="tx1"/>
                        </w14:solidFill>
                      </w14:textFill>
                    </w:rPr>
                  </w:pPr>
                  <w:r>
                    <w:rPr>
                      <w:rStyle w:val="71"/>
                      <w:rFonts w:hint="eastAsia"/>
                      <w:color w:val="000000" w:themeColor="text1"/>
                      <w:sz w:val="20"/>
                      <w14:textFill>
                        <w14:solidFill>
                          <w14:schemeClr w14:val="tx1"/>
                        </w14:solidFill>
                      </w14:textFill>
                    </w:rPr>
                    <w:t>服务招标</w:t>
                  </w:r>
                </w:p>
              </w:tc>
              <w:tc>
                <w:tcPr>
                  <w:tcW w:w="1056" w:type="dxa"/>
                  <w:tcBorders>
                    <w:top w:val="outset" w:color="ECE9D8" w:sz="6" w:space="0"/>
                    <w:left w:val="outset" w:color="ECE9D8" w:sz="6" w:space="0"/>
                    <w:bottom w:val="outset" w:color="ECE9D8" w:sz="6" w:space="0"/>
                    <w:right w:val="outset" w:color="ECE9D8" w:sz="6" w:space="0"/>
                  </w:tcBorders>
                  <w:vAlign w:val="center"/>
                </w:tcPr>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000000" w:themeColor="text1"/>
                      <w:sz w:val="24"/>
                      <w14:textFill>
                        <w14:solidFill>
                          <w14:schemeClr w14:val="tx1"/>
                        </w14:solidFill>
                      </w14:textFill>
                    </w:rPr>
                  </w:pPr>
                  <w:r>
                    <w:rPr>
                      <w:rStyle w:val="71"/>
                      <w:rFonts w:hint="eastAsia"/>
                      <w:color w:val="000000" w:themeColor="text1"/>
                      <w:sz w:val="20"/>
                      <w14:textFill>
                        <w14:solidFill>
                          <w14:schemeClr w14:val="tx1"/>
                        </w14:solidFill>
                      </w14:textFill>
                    </w:rPr>
                    <w:t>工程招标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8" w:hRule="atLeast"/>
                <w:tblCellSpacing w:w="0" w:type="dxa"/>
                <w:jc w:val="center"/>
              </w:trPr>
              <w:tc>
                <w:tcPr>
                  <w:tcW w:w="2139" w:type="dxa"/>
                  <w:tcBorders>
                    <w:top w:val="outset" w:color="ECE9D8" w:sz="6" w:space="0"/>
                    <w:left w:val="outset" w:color="ECE9D8" w:sz="6" w:space="0"/>
                    <w:bottom w:val="outset" w:color="ECE9D8" w:sz="6" w:space="0"/>
                    <w:right w:val="outset" w:color="ECE9D8" w:sz="6" w:space="0"/>
                  </w:tcBorders>
                  <w:vAlign w:val="center"/>
                </w:tcPr>
                <w:p>
                  <w:pPr>
                    <w:keepNext w:val="0"/>
                    <w:keepLines w:val="0"/>
                    <w:suppressLineNumbers w:val="0"/>
                    <w:spacing w:before="0" w:beforeAutospacing="0" w:after="0" w:afterAutospacing="0" w:line="240" w:lineRule="auto"/>
                    <w:ind w:left="0" w:right="0" w:firstLine="0" w:firstLineChars="0"/>
                    <w:rPr>
                      <w:rFonts w:hint="default" w:ascii="宋体" w:hAnsi="宋体" w:cs="宋体"/>
                      <w:color w:val="000000" w:themeColor="text1"/>
                      <w:sz w:val="24"/>
                      <w14:textFill>
                        <w14:solidFill>
                          <w14:schemeClr w14:val="tx1"/>
                        </w14:solidFill>
                      </w14:textFill>
                    </w:rPr>
                  </w:pPr>
                  <w:r>
                    <w:rPr>
                      <w:rFonts w:hint="eastAsia"/>
                      <w:color w:val="000000" w:themeColor="text1"/>
                      <w:sz w:val="20"/>
                      <w14:textFill>
                        <w14:solidFill>
                          <w14:schemeClr w14:val="tx1"/>
                        </w14:solidFill>
                      </w14:textFill>
                    </w:rPr>
                    <w:t>100以下</w:t>
                  </w:r>
                </w:p>
              </w:tc>
              <w:tc>
                <w:tcPr>
                  <w:tcW w:w="1003" w:type="dxa"/>
                  <w:tcBorders>
                    <w:top w:val="outset" w:color="ECE9D8" w:sz="6" w:space="0"/>
                    <w:left w:val="outset" w:color="ECE9D8" w:sz="6" w:space="0"/>
                    <w:bottom w:val="outset" w:color="ECE9D8" w:sz="6" w:space="0"/>
                    <w:right w:val="outset" w:color="ECE9D8" w:sz="6" w:space="0"/>
                  </w:tcBorders>
                  <w:vAlign w:val="center"/>
                </w:tcPr>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000000" w:themeColor="text1"/>
                      <w:sz w:val="24"/>
                      <w14:textFill>
                        <w14:solidFill>
                          <w14:schemeClr w14:val="tx1"/>
                        </w14:solidFill>
                      </w14:textFill>
                    </w:rPr>
                  </w:pPr>
                  <w:r>
                    <w:rPr>
                      <w:rFonts w:hint="eastAsia"/>
                      <w:color w:val="000000" w:themeColor="text1"/>
                      <w:sz w:val="20"/>
                      <w14:textFill>
                        <w14:solidFill>
                          <w14:schemeClr w14:val="tx1"/>
                        </w14:solidFill>
                      </w14:textFill>
                    </w:rPr>
                    <w:t>1.5％</w:t>
                  </w:r>
                </w:p>
              </w:tc>
              <w:tc>
                <w:tcPr>
                  <w:tcW w:w="864" w:type="dxa"/>
                  <w:tcBorders>
                    <w:top w:val="outset" w:color="ECE9D8" w:sz="6" w:space="0"/>
                    <w:left w:val="outset" w:color="ECE9D8" w:sz="6" w:space="0"/>
                    <w:bottom w:val="outset" w:color="ECE9D8" w:sz="6" w:space="0"/>
                    <w:right w:val="outset" w:color="ECE9D8" w:sz="6" w:space="0"/>
                  </w:tcBorders>
                  <w:vAlign w:val="center"/>
                </w:tcPr>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000000" w:themeColor="text1"/>
                      <w:sz w:val="24"/>
                      <w14:textFill>
                        <w14:solidFill>
                          <w14:schemeClr w14:val="tx1"/>
                        </w14:solidFill>
                      </w14:textFill>
                    </w:rPr>
                  </w:pPr>
                  <w:r>
                    <w:rPr>
                      <w:rFonts w:hint="eastAsia"/>
                      <w:color w:val="000000" w:themeColor="text1"/>
                      <w:sz w:val="20"/>
                      <w14:textFill>
                        <w14:solidFill>
                          <w14:schemeClr w14:val="tx1"/>
                        </w14:solidFill>
                      </w14:textFill>
                    </w:rPr>
                    <w:t>1.5％</w:t>
                  </w:r>
                </w:p>
              </w:tc>
              <w:tc>
                <w:tcPr>
                  <w:tcW w:w="1056" w:type="dxa"/>
                  <w:tcBorders>
                    <w:top w:val="outset" w:color="ECE9D8" w:sz="6" w:space="0"/>
                    <w:left w:val="outset" w:color="ECE9D8" w:sz="6" w:space="0"/>
                    <w:bottom w:val="outset" w:color="ECE9D8" w:sz="6" w:space="0"/>
                    <w:right w:val="outset" w:color="ECE9D8" w:sz="6" w:space="0"/>
                  </w:tcBorders>
                  <w:vAlign w:val="center"/>
                </w:tcPr>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000000" w:themeColor="text1"/>
                      <w:sz w:val="24"/>
                      <w14:textFill>
                        <w14:solidFill>
                          <w14:schemeClr w14:val="tx1"/>
                        </w14:solidFill>
                      </w14:textFill>
                    </w:rPr>
                  </w:pPr>
                  <w:r>
                    <w:rPr>
                      <w:rFonts w:hint="eastAsia"/>
                      <w:color w:val="000000" w:themeColor="text1"/>
                      <w:sz w:val="20"/>
                      <w14:textFill>
                        <w14:solidFill>
                          <w14:schemeClr w14:val="tx1"/>
                        </w14:solidFill>
                      </w14:textFill>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8" w:hRule="atLeast"/>
                <w:tblCellSpacing w:w="0" w:type="dxa"/>
                <w:jc w:val="center"/>
              </w:trPr>
              <w:tc>
                <w:tcPr>
                  <w:tcW w:w="2139" w:type="dxa"/>
                  <w:tcBorders>
                    <w:top w:val="outset" w:color="ECE9D8" w:sz="6" w:space="0"/>
                    <w:left w:val="outset" w:color="ECE9D8" w:sz="6" w:space="0"/>
                    <w:bottom w:val="outset" w:color="ECE9D8" w:sz="6" w:space="0"/>
                    <w:right w:val="outset" w:color="ECE9D8" w:sz="6" w:space="0"/>
                  </w:tcBorders>
                  <w:vAlign w:val="center"/>
                </w:tcPr>
                <w:p>
                  <w:pPr>
                    <w:keepNext w:val="0"/>
                    <w:keepLines w:val="0"/>
                    <w:suppressLineNumbers w:val="0"/>
                    <w:spacing w:before="0" w:beforeAutospacing="0" w:after="0" w:afterAutospacing="0" w:line="240" w:lineRule="auto"/>
                    <w:ind w:left="0" w:right="0" w:firstLine="0" w:firstLineChars="0"/>
                    <w:rPr>
                      <w:rFonts w:hint="default" w:ascii="宋体" w:hAnsi="宋体" w:cs="宋体"/>
                      <w:color w:val="000000" w:themeColor="text1"/>
                      <w:sz w:val="24"/>
                      <w14:textFill>
                        <w14:solidFill>
                          <w14:schemeClr w14:val="tx1"/>
                        </w14:solidFill>
                      </w14:textFill>
                    </w:rPr>
                  </w:pPr>
                  <w:r>
                    <w:rPr>
                      <w:rFonts w:hint="eastAsia"/>
                      <w:color w:val="000000" w:themeColor="text1"/>
                      <w:sz w:val="20"/>
                      <w14:textFill>
                        <w14:solidFill>
                          <w14:schemeClr w14:val="tx1"/>
                        </w14:solidFill>
                      </w14:textFill>
                    </w:rPr>
                    <w:t>100—500</w:t>
                  </w:r>
                </w:p>
              </w:tc>
              <w:tc>
                <w:tcPr>
                  <w:tcW w:w="1003" w:type="dxa"/>
                  <w:tcBorders>
                    <w:top w:val="outset" w:color="ECE9D8" w:sz="6" w:space="0"/>
                    <w:left w:val="outset" w:color="ECE9D8" w:sz="6" w:space="0"/>
                    <w:bottom w:val="outset" w:color="ECE9D8" w:sz="6" w:space="0"/>
                    <w:right w:val="outset" w:color="ECE9D8" w:sz="6" w:space="0"/>
                  </w:tcBorders>
                  <w:vAlign w:val="center"/>
                </w:tcPr>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000000" w:themeColor="text1"/>
                      <w:sz w:val="24"/>
                      <w14:textFill>
                        <w14:solidFill>
                          <w14:schemeClr w14:val="tx1"/>
                        </w14:solidFill>
                      </w14:textFill>
                    </w:rPr>
                  </w:pPr>
                  <w:r>
                    <w:rPr>
                      <w:rFonts w:hint="eastAsia"/>
                      <w:color w:val="000000" w:themeColor="text1"/>
                      <w:sz w:val="20"/>
                      <w14:textFill>
                        <w14:solidFill>
                          <w14:schemeClr w14:val="tx1"/>
                        </w14:solidFill>
                      </w14:textFill>
                    </w:rPr>
                    <w:t>1.1％</w:t>
                  </w:r>
                </w:p>
              </w:tc>
              <w:tc>
                <w:tcPr>
                  <w:tcW w:w="864" w:type="dxa"/>
                  <w:tcBorders>
                    <w:top w:val="outset" w:color="ECE9D8" w:sz="6" w:space="0"/>
                    <w:left w:val="outset" w:color="ECE9D8" w:sz="6" w:space="0"/>
                    <w:bottom w:val="outset" w:color="ECE9D8" w:sz="6" w:space="0"/>
                    <w:right w:val="outset" w:color="ECE9D8" w:sz="6" w:space="0"/>
                  </w:tcBorders>
                  <w:vAlign w:val="center"/>
                </w:tcPr>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000000" w:themeColor="text1"/>
                      <w:sz w:val="24"/>
                      <w14:textFill>
                        <w14:solidFill>
                          <w14:schemeClr w14:val="tx1"/>
                        </w14:solidFill>
                      </w14:textFill>
                    </w:rPr>
                  </w:pPr>
                  <w:r>
                    <w:rPr>
                      <w:rFonts w:hint="eastAsia"/>
                      <w:color w:val="000000" w:themeColor="text1"/>
                      <w:sz w:val="20"/>
                      <w14:textFill>
                        <w14:solidFill>
                          <w14:schemeClr w14:val="tx1"/>
                        </w14:solidFill>
                      </w14:textFill>
                    </w:rPr>
                    <w:t>0.8％</w:t>
                  </w:r>
                </w:p>
              </w:tc>
              <w:tc>
                <w:tcPr>
                  <w:tcW w:w="1056" w:type="dxa"/>
                  <w:tcBorders>
                    <w:top w:val="outset" w:color="ECE9D8" w:sz="6" w:space="0"/>
                    <w:left w:val="outset" w:color="ECE9D8" w:sz="6" w:space="0"/>
                    <w:bottom w:val="outset" w:color="ECE9D8" w:sz="6" w:space="0"/>
                    <w:right w:val="outset" w:color="ECE9D8" w:sz="6" w:space="0"/>
                  </w:tcBorders>
                  <w:vAlign w:val="center"/>
                </w:tcPr>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000000" w:themeColor="text1"/>
                      <w:sz w:val="24"/>
                      <w14:textFill>
                        <w14:solidFill>
                          <w14:schemeClr w14:val="tx1"/>
                        </w14:solidFill>
                      </w14:textFill>
                    </w:rPr>
                  </w:pPr>
                  <w:r>
                    <w:rPr>
                      <w:rFonts w:hint="eastAsia"/>
                      <w:color w:val="000000" w:themeColor="text1"/>
                      <w:sz w:val="20"/>
                      <w14:textFill>
                        <w14:solidFill>
                          <w14:schemeClr w14:val="tx1"/>
                        </w14:solidFill>
                      </w14:textFill>
                    </w:rPr>
                    <w:t>0.7％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8" w:hRule="atLeast"/>
                <w:tblCellSpacing w:w="0" w:type="dxa"/>
                <w:jc w:val="center"/>
              </w:trPr>
              <w:tc>
                <w:tcPr>
                  <w:tcW w:w="2139" w:type="dxa"/>
                  <w:tcBorders>
                    <w:top w:val="outset" w:color="ECE9D8" w:sz="6" w:space="0"/>
                    <w:left w:val="outset" w:color="ECE9D8" w:sz="6" w:space="0"/>
                    <w:bottom w:val="outset" w:color="ECE9D8" w:sz="6" w:space="0"/>
                    <w:right w:val="outset" w:color="ECE9D8" w:sz="6" w:space="0"/>
                  </w:tcBorders>
                  <w:vAlign w:val="center"/>
                </w:tcPr>
                <w:p>
                  <w:pPr>
                    <w:keepNext w:val="0"/>
                    <w:keepLines w:val="0"/>
                    <w:suppressLineNumbers w:val="0"/>
                    <w:spacing w:before="0" w:beforeAutospacing="0" w:after="0" w:afterAutospacing="0" w:line="240" w:lineRule="auto"/>
                    <w:ind w:left="0" w:right="0" w:firstLine="0" w:firstLineChars="0"/>
                    <w:rPr>
                      <w:rFonts w:hint="default" w:ascii="宋体" w:hAnsi="宋体" w:cs="宋体"/>
                      <w:color w:val="000000" w:themeColor="text1"/>
                      <w:sz w:val="24"/>
                      <w14:textFill>
                        <w14:solidFill>
                          <w14:schemeClr w14:val="tx1"/>
                        </w14:solidFill>
                      </w14:textFill>
                    </w:rPr>
                  </w:pPr>
                  <w:r>
                    <w:rPr>
                      <w:rFonts w:hint="eastAsia"/>
                      <w:color w:val="000000" w:themeColor="text1"/>
                      <w:sz w:val="20"/>
                      <w14:textFill>
                        <w14:solidFill>
                          <w14:schemeClr w14:val="tx1"/>
                        </w14:solidFill>
                      </w14:textFill>
                    </w:rPr>
                    <w:t>500—1000</w:t>
                  </w:r>
                </w:p>
              </w:tc>
              <w:tc>
                <w:tcPr>
                  <w:tcW w:w="1003" w:type="dxa"/>
                  <w:tcBorders>
                    <w:top w:val="outset" w:color="ECE9D8" w:sz="6" w:space="0"/>
                    <w:left w:val="outset" w:color="ECE9D8" w:sz="6" w:space="0"/>
                    <w:bottom w:val="outset" w:color="ECE9D8" w:sz="6" w:space="0"/>
                    <w:right w:val="outset" w:color="ECE9D8" w:sz="6" w:space="0"/>
                  </w:tcBorders>
                  <w:vAlign w:val="center"/>
                </w:tcPr>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000000" w:themeColor="text1"/>
                      <w:sz w:val="24"/>
                      <w14:textFill>
                        <w14:solidFill>
                          <w14:schemeClr w14:val="tx1"/>
                        </w14:solidFill>
                      </w14:textFill>
                    </w:rPr>
                  </w:pPr>
                  <w:r>
                    <w:rPr>
                      <w:rFonts w:hint="eastAsia"/>
                      <w:color w:val="000000" w:themeColor="text1"/>
                      <w:sz w:val="20"/>
                      <w14:textFill>
                        <w14:solidFill>
                          <w14:schemeClr w14:val="tx1"/>
                        </w14:solidFill>
                      </w14:textFill>
                    </w:rPr>
                    <w:t>0.8％</w:t>
                  </w:r>
                </w:p>
              </w:tc>
              <w:tc>
                <w:tcPr>
                  <w:tcW w:w="864" w:type="dxa"/>
                  <w:tcBorders>
                    <w:top w:val="outset" w:color="ECE9D8" w:sz="6" w:space="0"/>
                    <w:left w:val="outset" w:color="ECE9D8" w:sz="6" w:space="0"/>
                    <w:bottom w:val="outset" w:color="ECE9D8" w:sz="6" w:space="0"/>
                    <w:right w:val="outset" w:color="ECE9D8" w:sz="6" w:space="0"/>
                  </w:tcBorders>
                  <w:vAlign w:val="center"/>
                </w:tcPr>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000000" w:themeColor="text1"/>
                      <w:sz w:val="24"/>
                      <w14:textFill>
                        <w14:solidFill>
                          <w14:schemeClr w14:val="tx1"/>
                        </w14:solidFill>
                      </w14:textFill>
                    </w:rPr>
                  </w:pPr>
                  <w:r>
                    <w:rPr>
                      <w:rFonts w:hint="eastAsia"/>
                      <w:color w:val="000000" w:themeColor="text1"/>
                      <w:sz w:val="20"/>
                      <w14:textFill>
                        <w14:solidFill>
                          <w14:schemeClr w14:val="tx1"/>
                        </w14:solidFill>
                      </w14:textFill>
                    </w:rPr>
                    <w:t>0.45％</w:t>
                  </w:r>
                </w:p>
              </w:tc>
              <w:tc>
                <w:tcPr>
                  <w:tcW w:w="1056" w:type="dxa"/>
                  <w:tcBorders>
                    <w:top w:val="outset" w:color="ECE9D8" w:sz="6" w:space="0"/>
                    <w:left w:val="outset" w:color="ECE9D8" w:sz="6" w:space="0"/>
                    <w:bottom w:val="outset" w:color="ECE9D8" w:sz="6" w:space="0"/>
                    <w:right w:val="outset" w:color="ECE9D8" w:sz="6" w:space="0"/>
                  </w:tcBorders>
                  <w:vAlign w:val="center"/>
                </w:tcPr>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000000" w:themeColor="text1"/>
                      <w:sz w:val="24"/>
                      <w14:textFill>
                        <w14:solidFill>
                          <w14:schemeClr w14:val="tx1"/>
                        </w14:solidFill>
                      </w14:textFill>
                    </w:rPr>
                  </w:pPr>
                  <w:r>
                    <w:rPr>
                      <w:rFonts w:hint="eastAsia"/>
                      <w:color w:val="000000" w:themeColor="text1"/>
                      <w:sz w:val="20"/>
                      <w14:textFill>
                        <w14:solidFill>
                          <w14:schemeClr w14:val="tx1"/>
                        </w14:solidFill>
                      </w14:textFill>
                    </w:rPr>
                    <w:t>0.55％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8" w:hRule="atLeast"/>
                <w:tblCellSpacing w:w="0" w:type="dxa"/>
                <w:jc w:val="center"/>
              </w:trPr>
              <w:tc>
                <w:tcPr>
                  <w:tcW w:w="2139" w:type="dxa"/>
                  <w:tcBorders>
                    <w:top w:val="outset" w:color="ECE9D8" w:sz="6" w:space="0"/>
                    <w:left w:val="outset" w:color="ECE9D8" w:sz="6" w:space="0"/>
                    <w:bottom w:val="outset" w:color="ECE9D8" w:sz="6" w:space="0"/>
                    <w:right w:val="outset" w:color="ECE9D8" w:sz="6" w:space="0"/>
                  </w:tcBorders>
                  <w:vAlign w:val="center"/>
                </w:tcPr>
                <w:p>
                  <w:pPr>
                    <w:keepNext w:val="0"/>
                    <w:keepLines w:val="0"/>
                    <w:suppressLineNumbers w:val="0"/>
                    <w:spacing w:before="0" w:beforeAutospacing="0" w:after="0" w:afterAutospacing="0" w:line="240" w:lineRule="auto"/>
                    <w:ind w:left="0" w:right="0" w:firstLine="0" w:firstLineChars="0"/>
                    <w:rPr>
                      <w:rFonts w:hint="default" w:ascii="宋体" w:hAnsi="宋体" w:cs="宋体"/>
                      <w:color w:val="000000" w:themeColor="text1"/>
                      <w:sz w:val="24"/>
                      <w14:textFill>
                        <w14:solidFill>
                          <w14:schemeClr w14:val="tx1"/>
                        </w14:solidFill>
                      </w14:textFill>
                    </w:rPr>
                  </w:pPr>
                  <w:r>
                    <w:rPr>
                      <w:rFonts w:hint="eastAsia"/>
                      <w:color w:val="000000" w:themeColor="text1"/>
                      <w:sz w:val="20"/>
                      <w14:textFill>
                        <w14:solidFill>
                          <w14:schemeClr w14:val="tx1"/>
                        </w14:solidFill>
                      </w14:textFill>
                    </w:rPr>
                    <w:t>1000—5000</w:t>
                  </w:r>
                </w:p>
              </w:tc>
              <w:tc>
                <w:tcPr>
                  <w:tcW w:w="1003" w:type="dxa"/>
                  <w:tcBorders>
                    <w:top w:val="outset" w:color="ECE9D8" w:sz="6" w:space="0"/>
                    <w:left w:val="outset" w:color="ECE9D8" w:sz="6" w:space="0"/>
                    <w:bottom w:val="outset" w:color="ECE9D8" w:sz="6" w:space="0"/>
                    <w:right w:val="outset" w:color="ECE9D8" w:sz="6" w:space="0"/>
                  </w:tcBorders>
                  <w:vAlign w:val="center"/>
                </w:tcPr>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000000" w:themeColor="text1"/>
                      <w:sz w:val="24"/>
                      <w14:textFill>
                        <w14:solidFill>
                          <w14:schemeClr w14:val="tx1"/>
                        </w14:solidFill>
                      </w14:textFill>
                    </w:rPr>
                  </w:pPr>
                  <w:r>
                    <w:rPr>
                      <w:rFonts w:hint="eastAsia"/>
                      <w:color w:val="000000" w:themeColor="text1"/>
                      <w:sz w:val="20"/>
                      <w14:textFill>
                        <w14:solidFill>
                          <w14:schemeClr w14:val="tx1"/>
                        </w14:solidFill>
                      </w14:textFill>
                    </w:rPr>
                    <w:t>0.5％</w:t>
                  </w:r>
                </w:p>
              </w:tc>
              <w:tc>
                <w:tcPr>
                  <w:tcW w:w="864" w:type="dxa"/>
                  <w:tcBorders>
                    <w:top w:val="outset" w:color="ECE9D8" w:sz="6" w:space="0"/>
                    <w:left w:val="outset" w:color="ECE9D8" w:sz="6" w:space="0"/>
                    <w:bottom w:val="outset" w:color="ECE9D8" w:sz="6" w:space="0"/>
                    <w:right w:val="outset" w:color="ECE9D8" w:sz="6" w:space="0"/>
                  </w:tcBorders>
                  <w:vAlign w:val="center"/>
                </w:tcPr>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000000" w:themeColor="text1"/>
                      <w:sz w:val="24"/>
                      <w14:textFill>
                        <w14:solidFill>
                          <w14:schemeClr w14:val="tx1"/>
                        </w14:solidFill>
                      </w14:textFill>
                    </w:rPr>
                  </w:pPr>
                  <w:r>
                    <w:rPr>
                      <w:rFonts w:hint="eastAsia"/>
                      <w:color w:val="000000" w:themeColor="text1"/>
                      <w:sz w:val="20"/>
                      <w14:textFill>
                        <w14:solidFill>
                          <w14:schemeClr w14:val="tx1"/>
                        </w14:solidFill>
                      </w14:textFill>
                    </w:rPr>
                    <w:t>0.25％</w:t>
                  </w:r>
                </w:p>
              </w:tc>
              <w:tc>
                <w:tcPr>
                  <w:tcW w:w="1056" w:type="dxa"/>
                  <w:tcBorders>
                    <w:top w:val="outset" w:color="ECE9D8" w:sz="6" w:space="0"/>
                    <w:left w:val="outset" w:color="ECE9D8" w:sz="6" w:space="0"/>
                    <w:bottom w:val="outset" w:color="ECE9D8" w:sz="6" w:space="0"/>
                    <w:right w:val="outset" w:color="ECE9D8" w:sz="6" w:space="0"/>
                  </w:tcBorders>
                  <w:vAlign w:val="center"/>
                </w:tcPr>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000000" w:themeColor="text1"/>
                      <w:sz w:val="24"/>
                      <w14:textFill>
                        <w14:solidFill>
                          <w14:schemeClr w14:val="tx1"/>
                        </w14:solidFill>
                      </w14:textFill>
                    </w:rPr>
                  </w:pPr>
                  <w:r>
                    <w:rPr>
                      <w:rFonts w:hint="eastAsia"/>
                      <w:color w:val="000000" w:themeColor="text1"/>
                      <w:sz w:val="20"/>
                      <w14:textFill>
                        <w14:solidFill>
                          <w14:schemeClr w14:val="tx1"/>
                        </w14:solidFill>
                      </w14:textFill>
                    </w:rPr>
                    <w:t>0.35％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8" w:hRule="atLeast"/>
                <w:tblCellSpacing w:w="0" w:type="dxa"/>
                <w:jc w:val="center"/>
              </w:trPr>
              <w:tc>
                <w:tcPr>
                  <w:tcW w:w="2139" w:type="dxa"/>
                  <w:tcBorders>
                    <w:top w:val="outset" w:color="ECE9D8" w:sz="6" w:space="0"/>
                    <w:left w:val="outset" w:color="ECE9D8" w:sz="6" w:space="0"/>
                    <w:bottom w:val="outset" w:color="ECE9D8" w:sz="6" w:space="0"/>
                    <w:right w:val="outset" w:color="ECE9D8" w:sz="6" w:space="0"/>
                  </w:tcBorders>
                  <w:vAlign w:val="center"/>
                </w:tcPr>
                <w:p>
                  <w:pPr>
                    <w:keepNext w:val="0"/>
                    <w:keepLines w:val="0"/>
                    <w:suppressLineNumbers w:val="0"/>
                    <w:spacing w:before="0" w:beforeAutospacing="0" w:after="0" w:afterAutospacing="0" w:line="240" w:lineRule="auto"/>
                    <w:ind w:left="0" w:right="0" w:firstLine="0" w:firstLineChars="0"/>
                    <w:rPr>
                      <w:rFonts w:hint="default" w:ascii="宋体" w:hAnsi="宋体" w:cs="宋体"/>
                      <w:color w:val="000000" w:themeColor="text1"/>
                      <w:sz w:val="24"/>
                      <w14:textFill>
                        <w14:solidFill>
                          <w14:schemeClr w14:val="tx1"/>
                        </w14:solidFill>
                      </w14:textFill>
                    </w:rPr>
                  </w:pPr>
                  <w:r>
                    <w:rPr>
                      <w:rFonts w:hint="eastAsia"/>
                      <w:color w:val="000000" w:themeColor="text1"/>
                      <w:sz w:val="20"/>
                      <w14:textFill>
                        <w14:solidFill>
                          <w14:schemeClr w14:val="tx1"/>
                        </w14:solidFill>
                      </w14:textFill>
                    </w:rPr>
                    <w:t>5000—10000</w:t>
                  </w:r>
                </w:p>
              </w:tc>
              <w:tc>
                <w:tcPr>
                  <w:tcW w:w="1003" w:type="dxa"/>
                  <w:tcBorders>
                    <w:top w:val="outset" w:color="ECE9D8" w:sz="6" w:space="0"/>
                    <w:left w:val="outset" w:color="ECE9D8" w:sz="6" w:space="0"/>
                    <w:bottom w:val="outset" w:color="ECE9D8" w:sz="6" w:space="0"/>
                    <w:right w:val="outset" w:color="ECE9D8" w:sz="6" w:space="0"/>
                  </w:tcBorders>
                  <w:vAlign w:val="center"/>
                </w:tcPr>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000000" w:themeColor="text1"/>
                      <w:sz w:val="24"/>
                      <w14:textFill>
                        <w14:solidFill>
                          <w14:schemeClr w14:val="tx1"/>
                        </w14:solidFill>
                      </w14:textFill>
                    </w:rPr>
                  </w:pPr>
                  <w:r>
                    <w:rPr>
                      <w:rFonts w:hint="eastAsia"/>
                      <w:color w:val="000000" w:themeColor="text1"/>
                      <w:sz w:val="20"/>
                      <w14:textFill>
                        <w14:solidFill>
                          <w14:schemeClr w14:val="tx1"/>
                        </w14:solidFill>
                      </w14:textFill>
                    </w:rPr>
                    <w:t>0.25％</w:t>
                  </w:r>
                </w:p>
              </w:tc>
              <w:tc>
                <w:tcPr>
                  <w:tcW w:w="864" w:type="dxa"/>
                  <w:tcBorders>
                    <w:top w:val="outset" w:color="ECE9D8" w:sz="6" w:space="0"/>
                    <w:left w:val="outset" w:color="ECE9D8" w:sz="6" w:space="0"/>
                    <w:bottom w:val="outset" w:color="ECE9D8" w:sz="6" w:space="0"/>
                    <w:right w:val="outset" w:color="ECE9D8" w:sz="6" w:space="0"/>
                  </w:tcBorders>
                  <w:vAlign w:val="center"/>
                </w:tcPr>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000000" w:themeColor="text1"/>
                      <w:sz w:val="24"/>
                      <w14:textFill>
                        <w14:solidFill>
                          <w14:schemeClr w14:val="tx1"/>
                        </w14:solidFill>
                      </w14:textFill>
                    </w:rPr>
                  </w:pPr>
                  <w:r>
                    <w:rPr>
                      <w:rFonts w:hint="eastAsia"/>
                      <w:color w:val="000000" w:themeColor="text1"/>
                      <w:sz w:val="20"/>
                      <w14:textFill>
                        <w14:solidFill>
                          <w14:schemeClr w14:val="tx1"/>
                        </w14:solidFill>
                      </w14:textFill>
                    </w:rPr>
                    <w:t>0.1％</w:t>
                  </w:r>
                </w:p>
              </w:tc>
              <w:tc>
                <w:tcPr>
                  <w:tcW w:w="1056" w:type="dxa"/>
                  <w:tcBorders>
                    <w:top w:val="outset" w:color="ECE9D8" w:sz="6" w:space="0"/>
                    <w:left w:val="outset" w:color="ECE9D8" w:sz="6" w:space="0"/>
                    <w:bottom w:val="outset" w:color="ECE9D8" w:sz="6" w:space="0"/>
                    <w:right w:val="outset" w:color="ECE9D8" w:sz="6" w:space="0"/>
                  </w:tcBorders>
                  <w:vAlign w:val="center"/>
                </w:tcPr>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000000" w:themeColor="text1"/>
                      <w:sz w:val="24"/>
                      <w14:textFill>
                        <w14:solidFill>
                          <w14:schemeClr w14:val="tx1"/>
                        </w14:solidFill>
                      </w14:textFill>
                    </w:rPr>
                  </w:pPr>
                  <w:r>
                    <w:rPr>
                      <w:rFonts w:hint="eastAsia"/>
                      <w:color w:val="000000" w:themeColor="text1"/>
                      <w:sz w:val="20"/>
                      <w14:textFill>
                        <w14:solidFill>
                          <w14:schemeClr w14:val="tx1"/>
                        </w14:solidFill>
                      </w14:textFill>
                    </w:rPr>
                    <w:t>0.2％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8" w:hRule="atLeast"/>
                <w:tblCellSpacing w:w="0" w:type="dxa"/>
                <w:jc w:val="center"/>
              </w:trPr>
              <w:tc>
                <w:tcPr>
                  <w:tcW w:w="2139" w:type="dxa"/>
                  <w:tcBorders>
                    <w:top w:val="outset" w:color="ECE9D8" w:sz="6" w:space="0"/>
                    <w:left w:val="outset" w:color="ECE9D8" w:sz="6" w:space="0"/>
                    <w:bottom w:val="outset" w:color="ECE9D8" w:sz="6" w:space="0"/>
                    <w:right w:val="outset" w:color="ECE9D8" w:sz="6" w:space="0"/>
                  </w:tcBorders>
                  <w:vAlign w:val="center"/>
                </w:tcPr>
                <w:p>
                  <w:pPr>
                    <w:keepNext w:val="0"/>
                    <w:keepLines w:val="0"/>
                    <w:suppressLineNumbers w:val="0"/>
                    <w:spacing w:before="0" w:beforeAutospacing="0" w:after="0" w:afterAutospacing="0" w:line="240" w:lineRule="auto"/>
                    <w:ind w:left="0" w:right="0" w:firstLine="0" w:firstLineChars="0"/>
                    <w:rPr>
                      <w:rFonts w:hint="default" w:ascii="宋体" w:hAnsi="宋体" w:cs="宋体"/>
                      <w:color w:val="000000" w:themeColor="text1"/>
                      <w:sz w:val="24"/>
                      <w14:textFill>
                        <w14:solidFill>
                          <w14:schemeClr w14:val="tx1"/>
                        </w14:solidFill>
                      </w14:textFill>
                    </w:rPr>
                  </w:pPr>
                  <w:r>
                    <w:rPr>
                      <w:rFonts w:hint="eastAsia"/>
                      <w:color w:val="000000" w:themeColor="text1"/>
                      <w:sz w:val="20"/>
                      <w14:textFill>
                        <w14:solidFill>
                          <w14:schemeClr w14:val="tx1"/>
                        </w14:solidFill>
                      </w14:textFill>
                    </w:rPr>
                    <w:t>10000——100000</w:t>
                  </w:r>
                </w:p>
              </w:tc>
              <w:tc>
                <w:tcPr>
                  <w:tcW w:w="1003" w:type="dxa"/>
                  <w:tcBorders>
                    <w:top w:val="outset" w:color="ECE9D8" w:sz="6" w:space="0"/>
                    <w:left w:val="outset" w:color="ECE9D8" w:sz="6" w:space="0"/>
                    <w:bottom w:val="outset" w:color="ECE9D8" w:sz="6" w:space="0"/>
                    <w:right w:val="outset" w:color="ECE9D8" w:sz="6" w:space="0"/>
                  </w:tcBorders>
                  <w:vAlign w:val="center"/>
                </w:tcPr>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000000" w:themeColor="text1"/>
                      <w:sz w:val="24"/>
                      <w14:textFill>
                        <w14:solidFill>
                          <w14:schemeClr w14:val="tx1"/>
                        </w14:solidFill>
                      </w14:textFill>
                    </w:rPr>
                  </w:pPr>
                  <w:r>
                    <w:rPr>
                      <w:rFonts w:hint="eastAsia"/>
                      <w:color w:val="000000" w:themeColor="text1"/>
                      <w:sz w:val="20"/>
                      <w14:textFill>
                        <w14:solidFill>
                          <w14:schemeClr w14:val="tx1"/>
                        </w14:solidFill>
                      </w14:textFill>
                    </w:rPr>
                    <w:t>0.05％</w:t>
                  </w:r>
                </w:p>
              </w:tc>
              <w:tc>
                <w:tcPr>
                  <w:tcW w:w="864" w:type="dxa"/>
                  <w:tcBorders>
                    <w:top w:val="outset" w:color="ECE9D8" w:sz="6" w:space="0"/>
                    <w:left w:val="outset" w:color="ECE9D8" w:sz="6" w:space="0"/>
                    <w:bottom w:val="outset" w:color="ECE9D8" w:sz="6" w:space="0"/>
                    <w:right w:val="outset" w:color="ECE9D8" w:sz="6" w:space="0"/>
                  </w:tcBorders>
                  <w:vAlign w:val="center"/>
                </w:tcPr>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000000" w:themeColor="text1"/>
                      <w:sz w:val="24"/>
                      <w14:textFill>
                        <w14:solidFill>
                          <w14:schemeClr w14:val="tx1"/>
                        </w14:solidFill>
                      </w14:textFill>
                    </w:rPr>
                  </w:pPr>
                  <w:r>
                    <w:rPr>
                      <w:rFonts w:hint="eastAsia"/>
                      <w:color w:val="000000" w:themeColor="text1"/>
                      <w:sz w:val="20"/>
                      <w14:textFill>
                        <w14:solidFill>
                          <w14:schemeClr w14:val="tx1"/>
                        </w14:solidFill>
                      </w14:textFill>
                    </w:rPr>
                    <w:t>0.05％</w:t>
                  </w:r>
                </w:p>
              </w:tc>
              <w:tc>
                <w:tcPr>
                  <w:tcW w:w="1056" w:type="dxa"/>
                  <w:tcBorders>
                    <w:top w:val="outset" w:color="ECE9D8" w:sz="6" w:space="0"/>
                    <w:left w:val="outset" w:color="ECE9D8" w:sz="6" w:space="0"/>
                    <w:bottom w:val="outset" w:color="ECE9D8" w:sz="6" w:space="0"/>
                    <w:right w:val="outset" w:color="ECE9D8" w:sz="6" w:space="0"/>
                  </w:tcBorders>
                  <w:vAlign w:val="center"/>
                </w:tcPr>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000000" w:themeColor="text1"/>
                      <w:sz w:val="24"/>
                      <w14:textFill>
                        <w14:solidFill>
                          <w14:schemeClr w14:val="tx1"/>
                        </w14:solidFill>
                      </w14:textFill>
                    </w:rPr>
                  </w:pPr>
                  <w:r>
                    <w:rPr>
                      <w:rFonts w:hint="eastAsia"/>
                      <w:color w:val="000000" w:themeColor="text1"/>
                      <w:sz w:val="20"/>
                      <w14:textFill>
                        <w14:solidFill>
                          <w14:schemeClr w14:val="tx1"/>
                        </w14:solidFill>
                      </w14:textFill>
                    </w:rPr>
                    <w:t>0.05％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61" w:hRule="atLeast"/>
                <w:tblCellSpacing w:w="0" w:type="dxa"/>
                <w:jc w:val="center"/>
              </w:trPr>
              <w:tc>
                <w:tcPr>
                  <w:tcW w:w="2139" w:type="dxa"/>
                  <w:tcBorders>
                    <w:top w:val="outset" w:color="ECE9D8" w:sz="6" w:space="0"/>
                    <w:left w:val="outset" w:color="ECE9D8" w:sz="6" w:space="0"/>
                    <w:bottom w:val="outset" w:color="ECE9D8" w:sz="6" w:space="0"/>
                    <w:right w:val="outset" w:color="ECE9D8" w:sz="6" w:space="0"/>
                  </w:tcBorders>
                  <w:vAlign w:val="center"/>
                </w:tcPr>
                <w:p>
                  <w:pPr>
                    <w:keepNext w:val="0"/>
                    <w:keepLines w:val="0"/>
                    <w:suppressLineNumbers w:val="0"/>
                    <w:spacing w:before="0" w:beforeAutospacing="0" w:after="0" w:afterAutospacing="0" w:line="240" w:lineRule="auto"/>
                    <w:ind w:left="0" w:right="0" w:firstLine="0" w:firstLineChars="0"/>
                    <w:rPr>
                      <w:rFonts w:hint="default" w:ascii="宋体" w:hAnsi="宋体" w:cs="宋体"/>
                      <w:color w:val="000000" w:themeColor="text1"/>
                      <w:sz w:val="24"/>
                      <w14:textFill>
                        <w14:solidFill>
                          <w14:schemeClr w14:val="tx1"/>
                        </w14:solidFill>
                      </w14:textFill>
                    </w:rPr>
                  </w:pPr>
                  <w:r>
                    <w:rPr>
                      <w:rFonts w:hint="eastAsia"/>
                      <w:color w:val="000000" w:themeColor="text1"/>
                      <w:sz w:val="20"/>
                      <w14:textFill>
                        <w14:solidFill>
                          <w14:schemeClr w14:val="tx1"/>
                        </w14:solidFill>
                      </w14:textFill>
                    </w:rPr>
                    <w:t>1000000以上</w:t>
                  </w:r>
                </w:p>
              </w:tc>
              <w:tc>
                <w:tcPr>
                  <w:tcW w:w="1003" w:type="dxa"/>
                  <w:tcBorders>
                    <w:top w:val="outset" w:color="ECE9D8" w:sz="6" w:space="0"/>
                    <w:left w:val="outset" w:color="ECE9D8" w:sz="6" w:space="0"/>
                    <w:bottom w:val="outset" w:color="ECE9D8" w:sz="6" w:space="0"/>
                    <w:right w:val="outset" w:color="ECE9D8" w:sz="6" w:space="0"/>
                  </w:tcBorders>
                  <w:vAlign w:val="center"/>
                </w:tcPr>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000000" w:themeColor="text1"/>
                      <w:sz w:val="24"/>
                      <w14:textFill>
                        <w14:solidFill>
                          <w14:schemeClr w14:val="tx1"/>
                        </w14:solidFill>
                      </w14:textFill>
                    </w:rPr>
                  </w:pPr>
                  <w:r>
                    <w:rPr>
                      <w:rFonts w:hint="eastAsia"/>
                      <w:color w:val="000000" w:themeColor="text1"/>
                      <w:sz w:val="20"/>
                      <w14:textFill>
                        <w14:solidFill>
                          <w14:schemeClr w14:val="tx1"/>
                        </w14:solidFill>
                      </w14:textFill>
                    </w:rPr>
                    <w:t>0.01％</w:t>
                  </w:r>
                </w:p>
              </w:tc>
              <w:tc>
                <w:tcPr>
                  <w:tcW w:w="864" w:type="dxa"/>
                  <w:tcBorders>
                    <w:top w:val="outset" w:color="ECE9D8" w:sz="6" w:space="0"/>
                    <w:left w:val="outset" w:color="ECE9D8" w:sz="6" w:space="0"/>
                    <w:bottom w:val="outset" w:color="ECE9D8" w:sz="6" w:space="0"/>
                    <w:right w:val="outset" w:color="ECE9D8" w:sz="6" w:space="0"/>
                  </w:tcBorders>
                  <w:vAlign w:val="center"/>
                </w:tcPr>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000000" w:themeColor="text1"/>
                      <w:sz w:val="24"/>
                      <w14:textFill>
                        <w14:solidFill>
                          <w14:schemeClr w14:val="tx1"/>
                        </w14:solidFill>
                      </w14:textFill>
                    </w:rPr>
                  </w:pPr>
                  <w:r>
                    <w:rPr>
                      <w:rFonts w:hint="eastAsia"/>
                      <w:color w:val="000000" w:themeColor="text1"/>
                      <w:sz w:val="20"/>
                      <w14:textFill>
                        <w14:solidFill>
                          <w14:schemeClr w14:val="tx1"/>
                        </w14:solidFill>
                      </w14:textFill>
                    </w:rPr>
                    <w:t>0.01％</w:t>
                  </w:r>
                </w:p>
              </w:tc>
              <w:tc>
                <w:tcPr>
                  <w:tcW w:w="1056" w:type="dxa"/>
                  <w:tcBorders>
                    <w:top w:val="outset" w:color="ECE9D8" w:sz="6" w:space="0"/>
                    <w:left w:val="outset" w:color="ECE9D8" w:sz="6" w:space="0"/>
                    <w:bottom w:val="outset" w:color="ECE9D8" w:sz="6" w:space="0"/>
                    <w:right w:val="outset" w:color="ECE9D8" w:sz="6" w:space="0"/>
                  </w:tcBorders>
                  <w:vAlign w:val="center"/>
                </w:tcPr>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000000" w:themeColor="text1"/>
                      <w:sz w:val="24"/>
                      <w14:textFill>
                        <w14:solidFill>
                          <w14:schemeClr w14:val="tx1"/>
                        </w14:solidFill>
                      </w14:textFill>
                    </w:rPr>
                  </w:pPr>
                  <w:r>
                    <w:rPr>
                      <w:rFonts w:hint="eastAsia"/>
                      <w:color w:val="000000" w:themeColor="text1"/>
                      <w:sz w:val="20"/>
                      <w14:textFill>
                        <w14:solidFill>
                          <w14:schemeClr w14:val="tx1"/>
                        </w14:solidFill>
                      </w14:textFill>
                    </w:rPr>
                    <w:t>0.01％</w:t>
                  </w:r>
                </w:p>
              </w:tc>
            </w:tr>
          </w:tbl>
          <w:p>
            <w:pPr>
              <w:keepNext w:val="0"/>
              <w:keepLines w:val="0"/>
              <w:suppressLineNumbers w:val="0"/>
              <w:spacing w:before="0" w:beforeAutospacing="0" w:after="0" w:afterAutospacing="0"/>
              <w:ind w:left="0" w:right="0" w:firstLine="480" w:firstLineChars="200"/>
              <w:rPr>
                <w:rFonts w:hint="default"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结算方式及时间为：在领取中标通知书时由中标人一次性向采购代理机构付清。</w:t>
            </w:r>
          </w:p>
          <w:p>
            <w:pPr>
              <w:keepNext w:val="0"/>
              <w:keepLines w:val="0"/>
              <w:suppressLineNumbers w:val="0"/>
              <w:spacing w:before="0" w:beforeAutospacing="0" w:after="0" w:afterAutospacing="0"/>
              <w:ind w:left="0" w:right="0" w:firstLine="480" w:firstLineChars="200"/>
              <w:rPr>
                <w:rFonts w:hint="eastAsia" w:ascii="宋体" w:hAnsi="宋体" w:eastAsia="宋体" w:cs="宋体"/>
                <w:snapToGrid w:val="0"/>
                <w:color w:val="000000" w:themeColor="text1"/>
                <w:kern w:val="28"/>
                <w:sz w:val="24"/>
                <w:lang w:eastAsia="zh-CN"/>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相关信息如下</w:t>
            </w:r>
            <w:r>
              <w:rPr>
                <w:rFonts w:hint="eastAsia" w:ascii="宋体" w:hAnsi="宋体" w:cs="宋体"/>
                <w:snapToGrid w:val="0"/>
                <w:color w:val="000000" w:themeColor="text1"/>
                <w:kern w:val="28"/>
                <w:sz w:val="24"/>
                <w:lang w:eastAsia="zh-CN"/>
                <w14:textFill>
                  <w14:solidFill>
                    <w14:schemeClr w14:val="tx1"/>
                  </w14:solidFill>
                </w14:textFill>
              </w:rPr>
              <w:t>：</w:t>
            </w:r>
          </w:p>
          <w:p>
            <w:pPr>
              <w:spacing w:line="240" w:lineRule="auto"/>
              <w:ind w:firstLine="480" w:firstLineChars="200"/>
              <w:rPr>
                <w:rFonts w:hint="eastAsia"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收款单位（户名）：浙江五石中正工程咨询有限公司杭州分公司</w:t>
            </w:r>
          </w:p>
          <w:p>
            <w:pPr>
              <w:spacing w:line="240" w:lineRule="auto"/>
              <w:ind w:firstLine="480" w:firstLineChars="200"/>
              <w:rPr>
                <w:rFonts w:hint="eastAsia"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开户银行：杭州银行香积寺路支行</w:t>
            </w:r>
          </w:p>
          <w:p>
            <w:pPr>
              <w:spacing w:line="240" w:lineRule="auto"/>
              <w:ind w:firstLine="480" w:firstLineChars="200"/>
              <w:rPr>
                <w:rFonts w:hint="eastAsia"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账号：3301040160019779464</w:t>
            </w:r>
          </w:p>
          <w:p>
            <w:pPr>
              <w:spacing w:line="240" w:lineRule="auto"/>
              <w:ind w:firstLine="480" w:firstLineChars="200"/>
              <w:rPr>
                <w:rFonts w:hint="eastAsia" w:ascii="宋体" w:hAnsi="宋体" w:eastAsia="宋体" w:cs="宋体"/>
                <w:color w:val="000000" w:themeColor="text1"/>
                <w:kern w:val="0"/>
                <w:sz w:val="24"/>
                <w:highlight w:val="none"/>
                <w:lang w:val="en" w:eastAsia="zh-CN"/>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行号：313331000276</w:t>
            </w:r>
          </w:p>
        </w:tc>
      </w:tr>
    </w:tbl>
    <w:p>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p>
    <w:bookmarkEnd w:id="18"/>
    <w:p>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bookmarkStart w:id="53" w:name="_Toc164416483"/>
      <w:bookmarkStart w:id="54" w:name="第三部分"/>
      <w:r>
        <w:rPr>
          <w:rFonts w:hint="eastAsia" w:ascii="宋体" w:hAnsi="宋体" w:cs="宋体"/>
          <w:b/>
          <w:color w:val="000000" w:themeColor="text1"/>
          <w:sz w:val="32"/>
          <w:szCs w:val="20"/>
          <w:highlight w:val="none"/>
          <w14:textFill>
            <w14:solidFill>
              <w14:schemeClr w14:val="tx1"/>
            </w14:solidFill>
          </w14:textFill>
        </w:rPr>
        <w:t>一、总则</w:t>
      </w:r>
    </w:p>
    <w:p>
      <w:pPr>
        <w:snapToGrid w:val="0"/>
        <w:spacing w:line="360" w:lineRule="auto"/>
        <w:ind w:firstLine="361" w:firstLineChars="150"/>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 适用范围</w:t>
      </w:r>
    </w:p>
    <w:p>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2.定义</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“采购人”系指招标公告中载明的本项目的采购人。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”系指招标公告中载明的本项目的</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“投标人”系指是指响应招标、参加投标竞争的法人、其他组织或者自然人。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w:t>
      </w:r>
      <w:r>
        <w:rPr>
          <w:rFonts w:hint="eastAsia" w:ascii="宋体" w:hAnsi="宋体" w:cs="宋体"/>
          <w:color w:val="000000" w:themeColor="text1"/>
          <w:sz w:val="24"/>
          <w:highlight w:val="none"/>
          <w:lang w:val="en-US" w:eastAsia="zh-CN"/>
          <w14:textFill>
            <w14:solidFill>
              <w14:schemeClr w14:val="tx1"/>
            </w14:solidFill>
          </w14:textFill>
        </w:rPr>
        <w:t>系</w:t>
      </w:r>
      <w:r>
        <w:rPr>
          <w:rFonts w:hint="eastAsia" w:ascii="宋体" w:hAnsi="宋体" w:cs="宋体"/>
          <w:color w:val="000000" w:themeColor="text1"/>
          <w:sz w:val="24"/>
          <w:highlight w:val="none"/>
          <w14:textFill>
            <w14:solidFill>
              <w14:schemeClr w14:val="tx1"/>
            </w14:solidFill>
          </w14:textFill>
        </w:rPr>
        <w:t>指本项目政府采购活动所依托的政府采购云平台（https://www.zcygov.cn/）。</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 系指实质性要求条款，“</w:t>
      </w:r>
      <w:sdt>
        <w:sdtPr>
          <w:rPr>
            <w:rFonts w:hint="eastAsia" w:ascii="宋体" w:hAnsi="宋体" w:cs="宋体"/>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w:t>
      </w:r>
    </w:p>
    <w:p>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采购项目需要落实的政府采购政策</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不会对其加以限制，仍将按照公平竞争原则实施采购）；</w:t>
      </w: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w:t>
      </w:r>
    </w:p>
    <w:p>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3.2.4 </w:t>
      </w:r>
      <w:r>
        <w:rPr>
          <w:rFonts w:hint="eastAsia" w:ascii="宋体" w:hAnsi="宋体" w:cs="宋体"/>
          <w:color w:val="000000" w:themeColor="text1"/>
          <w:sz w:val="24"/>
          <w:highlight w:val="none"/>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3.3.3对于未预留份额专门面向中小企业的政府采购服务项目，以及预留份额政府采购服务项目中的非预留部分标项，对小型和微型企业的投标报价给予10%-</w:t>
      </w:r>
      <w:r>
        <w:rPr>
          <w:rFonts w:ascii="宋体" w:hAnsi="宋体" w:cs="宋体"/>
          <w:color w:val="000000" w:themeColor="text1"/>
          <w:sz w:val="24"/>
          <w:highlight w:val="none"/>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w:t>
      </w:r>
      <w:r>
        <w:rPr>
          <w:rFonts w:hint="eastAsia" w:ascii="宋体" w:hAnsi="宋体" w:cs="宋体"/>
          <w:color w:val="000000" w:themeColor="text1"/>
          <w:sz w:val="24"/>
          <w:highlight w:val="none"/>
          <w:lang w:val="en" w:eastAsia="zh-CN"/>
          <w14:textFill>
            <w14:solidFill>
              <w14:schemeClr w14:val="tx1"/>
            </w14:solidFill>
          </w14:textFill>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w:t>
      </w:r>
      <w:bookmarkStart w:id="55" w:name="OLE_LINK27"/>
      <w:r>
        <w:rPr>
          <w:rFonts w:hint="eastAsia" w:ascii="宋体" w:hAnsi="宋体" w:cs="宋体"/>
          <w:bCs/>
          <w:color w:val="000000" w:themeColor="text1"/>
          <w:sz w:val="24"/>
          <w:highlight w:val="none"/>
          <w14:textFill>
            <w14:solidFill>
              <w14:schemeClr w14:val="tx1"/>
            </w14:solidFill>
          </w14:textFill>
        </w:rPr>
        <w:t>支持创新发展</w:t>
      </w:r>
      <w:bookmarkEnd w:id="55"/>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3.4.1 </w:t>
      </w:r>
      <w:r>
        <w:rPr>
          <w:rFonts w:hint="eastAsia" w:ascii="宋体" w:hAnsi="宋体" w:cs="宋体"/>
          <w:color w:val="000000" w:themeColor="text1"/>
          <w:sz w:val="24"/>
          <w:highlight w:val="none"/>
          <w:lang w:eastAsia="zh-CN"/>
          <w14:textFill>
            <w14:solidFill>
              <w14:schemeClr w14:val="tx1"/>
            </w14:solidFill>
          </w14:textFill>
        </w:rPr>
        <w:t>首台套、“制造精品”、“专精特新”等创新产品按规定享受政府采购支持政策</w:t>
      </w:r>
      <w:r>
        <w:rPr>
          <w:rFonts w:hint="eastAsia" w:ascii="宋体" w:hAnsi="宋体" w:cs="宋体"/>
          <w:color w:val="000000" w:themeColor="text1"/>
          <w:sz w:val="24"/>
          <w:highlight w:val="none"/>
          <w14:textFill>
            <w14:solidFill>
              <w14:schemeClr w14:val="tx1"/>
            </w14:solidFill>
          </w14:textFill>
        </w:rPr>
        <w:t>。</w:t>
      </w:r>
    </w:p>
    <w:p>
      <w:pPr>
        <w:pStyle w:val="4"/>
        <w:adjustRightInd w:val="0"/>
        <w:ind w:left="0" w:firstLine="480" w:firstLineChars="200"/>
        <w:rPr>
          <w:color w:val="000000" w:themeColor="text1"/>
          <w:highlight w:val="none"/>
          <w:u w:val="none"/>
          <w14:textFill>
            <w14:solidFill>
              <w14:schemeClr w14:val="tx1"/>
            </w14:solidFill>
          </w14:textFill>
        </w:rPr>
      </w:pPr>
      <w:r>
        <w:rPr>
          <w:rFonts w:hint="eastAsia" w:ascii="宋体" w:hAnsi="宋体" w:eastAsia="宋体" w:cs="仿宋"/>
          <w:b w:val="0"/>
          <w:bCs w:val="0"/>
          <w:color w:val="000000" w:themeColor="text1"/>
          <w:sz w:val="24"/>
          <w:szCs w:val="24"/>
          <w:highlight w:val="none"/>
          <w:u w:val="none"/>
          <w:lang w:val="en-US"/>
          <w14:textFill>
            <w14:solidFill>
              <w14:schemeClr w14:val="tx1"/>
            </w14:solidFill>
          </w14:textFill>
        </w:rPr>
        <w:t>3.4.</w:t>
      </w:r>
      <w:r>
        <w:rPr>
          <w:rFonts w:hint="eastAsia" w:ascii="宋体" w:hAnsi="宋体" w:eastAsia="宋体" w:cs="仿宋"/>
          <w:b w:val="0"/>
          <w:bCs w:val="0"/>
          <w:color w:val="000000" w:themeColor="text1"/>
          <w:sz w:val="24"/>
          <w:szCs w:val="24"/>
          <w:highlight w:val="none"/>
          <w:u w:val="none"/>
          <w:lang w:val="en-US" w:eastAsia="zh-CN"/>
          <w14:textFill>
            <w14:solidFill>
              <w14:schemeClr w14:val="tx1"/>
            </w14:solidFill>
          </w14:textFill>
        </w:rPr>
        <w:t>2</w:t>
      </w:r>
      <w:r>
        <w:rPr>
          <w:rFonts w:hint="eastAsia" w:ascii="宋体" w:hAnsi="宋体" w:eastAsia="宋体" w:cs="仿宋"/>
          <w:b w:val="0"/>
          <w:bCs w:val="0"/>
          <w:color w:val="000000" w:themeColor="text1"/>
          <w:sz w:val="24"/>
          <w:szCs w:val="24"/>
          <w:highlight w:val="none"/>
          <w:u w:val="none"/>
          <w:lang w:val="en-US"/>
          <w14:textFill>
            <w14:solidFill>
              <w14:schemeClr w14:val="tx1"/>
            </w14:solidFill>
          </w14:textFill>
        </w:rPr>
        <w:t xml:space="preserve"> </w:t>
      </w:r>
      <w:r>
        <w:rPr>
          <w:rFonts w:hint="eastAsia" w:ascii="宋体" w:hAnsi="宋体" w:eastAsia="宋体" w:cs="仿宋"/>
          <w:b w:val="0"/>
          <w:bCs w:val="0"/>
          <w:color w:val="000000" w:themeColor="text1"/>
          <w:sz w:val="24"/>
          <w:szCs w:val="24"/>
          <w:highlight w:val="none"/>
          <w:u w:val="none"/>
          <w:lang w:val="en-US" w:eastAsia="zh-CN"/>
          <w14:textFill>
            <w14:solidFill>
              <w14:schemeClr w14:val="tx1"/>
            </w14:solidFill>
          </w14:textFill>
        </w:rPr>
        <w:t>采购人应当贯彻落实知识产权保护相关法律法规，</w:t>
      </w:r>
      <w:r>
        <w:rPr>
          <w:rFonts w:hint="eastAsia" w:ascii="宋体" w:hAnsi="宋体" w:eastAsia="宋体" w:cs="仿宋"/>
          <w:b w:val="0"/>
          <w:bCs w:val="0"/>
          <w:color w:val="000000" w:themeColor="text1"/>
          <w:sz w:val="24"/>
          <w:szCs w:val="24"/>
          <w:highlight w:val="none"/>
          <w:u w:val="none"/>
          <w:lang w:val="en-US"/>
          <w14:textFill>
            <w14:solidFill>
              <w14:schemeClr w14:val="tx1"/>
            </w14:solidFill>
          </w14:textFill>
        </w:rPr>
        <w:t>应当采购使用正版软件。</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3.5平等对待内外资企业和符合条件的破产重整企业</w:t>
      </w:r>
    </w:p>
    <w:p>
      <w:pPr>
        <w:spacing w:line="360" w:lineRule="auto"/>
        <w:ind w:firstLine="240" w:firstLineChars="1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b/>
          <w:color w:val="000000" w:themeColor="text1"/>
          <w:sz w:val="24"/>
          <w:highlight w:val="none"/>
          <w14:textFill>
            <w14:solidFill>
              <w14:schemeClr w14:val="tx1"/>
            </w14:solidFill>
          </w14:textFill>
        </w:rPr>
        <w:t>4. 询问、质疑、投诉</w:t>
      </w:r>
      <w:r>
        <w:rPr>
          <w:rFonts w:hint="eastAsia" w:ascii="宋体" w:hAnsi="宋体" w:eastAsia="宋体" w:cs="宋体"/>
          <w:b/>
          <w:color w:val="000000" w:themeColor="text1"/>
          <w:sz w:val="24"/>
          <w:highlight w:val="none"/>
          <w14:textFill>
            <w14:solidFill>
              <w14:schemeClr w14:val="tx1"/>
            </w14:solidFill>
          </w14:textFill>
        </w:rPr>
        <w:t>、补偿救济</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4.2供应商询问</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4.3供应商质疑</w:t>
      </w:r>
    </w:p>
    <w:p>
      <w:pPr>
        <w:pStyle w:val="35"/>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w:t>
      </w:r>
      <w:r>
        <w:rPr>
          <w:rFonts w:hint="eastAsia" w:hAnsi="宋体" w:cs="宋体"/>
          <w:color w:val="000000" w:themeColor="text1"/>
          <w:sz w:val="24"/>
          <w:highlight w:val="none"/>
          <w:lang w:eastAsia="zh-CN"/>
          <w14:textFill>
            <w14:solidFill>
              <w14:schemeClr w14:val="tx1"/>
            </w14:solidFill>
          </w14:textFill>
        </w:rPr>
        <w:t>采购代理机构</w:t>
      </w:r>
      <w:r>
        <w:rPr>
          <w:rFonts w:hint="eastAsia" w:hAnsi="宋体" w:cs="宋体"/>
          <w:color w:val="000000" w:themeColor="text1"/>
          <w:sz w:val="24"/>
          <w:highlight w:val="none"/>
          <w14:textFill>
            <w14:solidFill>
              <w14:schemeClr w14:val="tx1"/>
            </w14:solidFill>
          </w14:textFill>
        </w:rPr>
        <w:t>提出质疑，否则，采购人或者</w:t>
      </w:r>
      <w:r>
        <w:rPr>
          <w:rFonts w:hint="eastAsia" w:hAnsi="宋体" w:cs="宋体"/>
          <w:color w:val="000000" w:themeColor="text1"/>
          <w:sz w:val="24"/>
          <w:highlight w:val="none"/>
          <w:lang w:eastAsia="zh-CN"/>
          <w14:textFill>
            <w14:solidFill>
              <w14:schemeClr w14:val="tx1"/>
            </w14:solidFill>
          </w14:textFill>
        </w:rPr>
        <w:t>采购代理机构</w:t>
      </w:r>
      <w:r>
        <w:rPr>
          <w:rFonts w:hint="eastAsia" w:hAnsi="宋体" w:cs="宋体"/>
          <w:color w:val="000000" w:themeColor="text1"/>
          <w:sz w:val="24"/>
          <w:highlight w:val="none"/>
          <w14:textFill>
            <w14:solidFill>
              <w14:schemeClr w14:val="tx1"/>
            </w14:solidFill>
          </w14:textFill>
        </w:rPr>
        <w:t>不予受理：</w:t>
      </w:r>
    </w:p>
    <w:p>
      <w:pPr>
        <w:pStyle w:val="6"/>
        <w:spacing w:line="360" w:lineRule="auto"/>
        <w:ind w:firstLine="480" w:firstLineChars="200"/>
        <w:rPr>
          <w:rFonts w:hAnsi="宋体" w:cs="宋体"/>
          <w:snapToGrid/>
          <w:color w:val="000000" w:themeColor="text1"/>
          <w:kern w:val="2"/>
          <w:sz w:val="24"/>
          <w:highlight w:val="none"/>
          <w14:textFill>
            <w14:solidFill>
              <w14:schemeClr w14:val="tx1"/>
            </w14:solidFill>
          </w14:textFill>
        </w:rPr>
      </w:pPr>
      <w:r>
        <w:rPr>
          <w:rFonts w:hint="eastAsia" w:hAnsi="宋体" w:cs="宋体"/>
          <w:snapToGrid/>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pPr>
        <w:pStyle w:val="35"/>
        <w:spacing w:line="360" w:lineRule="auto"/>
        <w:ind w:left="479" w:leftChars="22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w:t>
      </w:r>
      <w:r>
        <w:rPr>
          <w:rFonts w:hint="eastAsia"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pPr>
        <w:pStyle w:val="35"/>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4.3.3.1供应商的姓名或者名称、地址、邮编、联系人及联系电话；</w:t>
      </w:r>
    </w:p>
    <w:p>
      <w:pPr>
        <w:pStyle w:val="35"/>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4.3.3.2质疑项目的名称、编号；</w:t>
      </w:r>
    </w:p>
    <w:p>
      <w:pPr>
        <w:pStyle w:val="35"/>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4.3.3.3具体、明确的质疑事项和与质疑事项相关的请求；</w:t>
      </w:r>
    </w:p>
    <w:p>
      <w:pPr>
        <w:pStyle w:val="35"/>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4.3.3.4事实依据；</w:t>
      </w:r>
    </w:p>
    <w:p>
      <w:pPr>
        <w:pStyle w:val="35"/>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4.3.3.5必要的法律依据；</w:t>
      </w:r>
    </w:p>
    <w:p>
      <w:pPr>
        <w:pStyle w:val="35"/>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4.3.3.6提出质疑的日期。</w:t>
      </w:r>
    </w:p>
    <w:p>
      <w:pPr>
        <w:pStyle w:val="88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质疑函范本及制作说明详见附件2。</w:t>
      </w:r>
    </w:p>
    <w:p>
      <w:pPr>
        <w:pStyle w:val="88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4.3.4对同一采购程序环节的质疑，供应商须在法定质疑期内一次性提出。</w:t>
      </w:r>
    </w:p>
    <w:p>
      <w:pPr>
        <w:pStyle w:val="88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.5采购人或者</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在质疑回复后5个工作日内，在浙江政府采购网的“其他公告”栏目公开质疑答复，答复内容应当完整。质疑函作为附件上传。</w:t>
      </w:r>
    </w:p>
    <w:p>
      <w:pPr>
        <w:pStyle w:val="889"/>
        <w:shd w:val="clear" w:color="auto" w:fill="FFFFFF"/>
        <w:snapToGrid w:val="0"/>
        <w:spacing w:after="240" w:afterAutospacing="0" w:line="360" w:lineRule="auto"/>
        <w:ind w:firstLine="400"/>
        <w:contextualSpacing/>
        <w:rPr>
          <w:rFonts w:hint="eastAsia"/>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.6询问或者质疑事项可能影响采购结果的，采购人应当暂停签订合同，已经签订合同的，应当中止履行合同。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00" w:firstLineChars="0"/>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4.4供应商投诉</w:t>
      </w:r>
    </w:p>
    <w:p>
      <w:pPr>
        <w:pStyle w:val="88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4.4.1质疑供应商对采购人、</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的答复不满意或者采购人、</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w:t>
      </w:r>
      <w:r>
        <w:rPr>
          <w:rFonts w:hint="eastAsia"/>
          <w:color w:val="000000" w:themeColor="text1"/>
          <w:highlight w:val="none"/>
          <w:lang w:val="zh-CN"/>
          <w14:textFill>
            <w14:solidFill>
              <w14:schemeClr w14:val="tx1"/>
            </w14:solidFill>
          </w14:textFill>
        </w:rPr>
        <w:t>2</w:t>
      </w:r>
      <w:r>
        <w:rPr>
          <w:rFonts w:hint="eastAsia"/>
          <w:color w:val="000000" w:themeColor="text1"/>
          <w:highlight w:val="none"/>
          <w14:textFill>
            <w14:solidFill>
              <w14:schemeClr w14:val="tx1"/>
            </w14:solidFill>
          </w14:textFill>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4.4.3供应商投诉应当有明确的请求和必要的证明材料。</w:t>
      </w:r>
    </w:p>
    <w:p>
      <w:pPr>
        <w:pStyle w:val="88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4.4.4以联合体形式参加政府采购活动的，其投诉应当由组成联合体的所有供应商共同提出。</w:t>
      </w:r>
    </w:p>
    <w:p>
      <w:pPr>
        <w:pStyle w:val="889"/>
        <w:shd w:val="clear" w:color="auto" w:fill="FFFFFF"/>
        <w:snapToGrid w:val="0"/>
        <w:spacing w:after="240" w:afterAutospacing="0" w:line="360" w:lineRule="auto"/>
        <w:ind w:firstLine="400"/>
        <w:contextualSpacing/>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4.4.5根据政府采购行政裁决省市区三级联动试点工作安排，杭州市本级</w:t>
      </w:r>
      <w:r>
        <w:rPr>
          <w:rFonts w:hint="eastAsia"/>
          <w:color w:val="000000" w:themeColor="text1"/>
          <w:highlight w:val="none"/>
          <w:lang w:eastAsia="zh-CN"/>
          <w14:textFill>
            <w14:solidFill>
              <w14:schemeClr w14:val="tx1"/>
            </w14:solidFill>
          </w14:textFill>
        </w:rPr>
        <w:t>及各区、县（市）</w:t>
      </w:r>
      <w:r>
        <w:rPr>
          <w:rFonts w:hint="eastAsia"/>
          <w:color w:val="000000" w:themeColor="text1"/>
          <w:highlight w:val="none"/>
          <w14:textFill>
            <w14:solidFill>
              <w14:schemeClr w14:val="tx1"/>
            </w14:solidFill>
          </w14:textFill>
        </w:rPr>
        <w:t>政府采购项目投诉材料可寄送至浙江省政府采购行政裁决服务中心（杭州），地址：</w:t>
      </w:r>
      <w:r>
        <w:rPr>
          <w:rFonts w:hint="eastAsia" w:ascii="宋体" w:hAnsi="宋体" w:eastAsia="宋体" w:cs="宋体"/>
          <w:i w:val="0"/>
          <w:caps w:val="0"/>
          <w:color w:val="000000" w:themeColor="text1"/>
          <w:spacing w:val="0"/>
          <w:sz w:val="24"/>
          <w:szCs w:val="24"/>
          <w:highlight w:val="none"/>
          <w:lang w:eastAsia="zh-CN"/>
          <w14:textFill>
            <w14:solidFill>
              <w14:schemeClr w14:val="tx1"/>
            </w14:solidFill>
          </w14:textFill>
        </w:rPr>
        <w:t>杭州市上城区清泰街549号城建综合大楼11楼</w:t>
      </w:r>
      <w:r>
        <w:rPr>
          <w:rFonts w:hint="eastAsia" w:ascii="宋体" w:hAnsi="宋体" w:eastAsia="宋体" w:cs="宋体"/>
          <w:i w:val="0"/>
          <w:caps w:val="0"/>
          <w:color w:val="000000" w:themeColor="text1"/>
          <w:spacing w:val="0"/>
          <w:sz w:val="24"/>
          <w:szCs w:val="24"/>
          <w:highlight w:val="none"/>
          <w14:textFill>
            <w14:solidFill>
              <w14:schemeClr w14:val="tx1"/>
            </w14:solidFill>
          </w14:textFill>
        </w:rPr>
        <w:t>（快递仅限ems或顺丰）</w:t>
      </w:r>
      <w:r>
        <w:rPr>
          <w:rFonts w:hint="eastAsia" w:ascii="宋体" w:hAnsi="宋体" w:cs="宋体"/>
          <w:i w:val="0"/>
          <w:caps w:val="0"/>
          <w:color w:val="000000" w:themeColor="text1"/>
          <w:spacing w:val="0"/>
          <w:sz w:val="24"/>
          <w:szCs w:val="24"/>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收件人：朱女士</w:t>
      </w:r>
      <w:r>
        <w:rPr>
          <w:rFonts w:hint="eastAsia" w:ascii="宋体" w:hAnsi="宋体" w:cs="宋体"/>
          <w:color w:val="000000" w:themeColor="text1"/>
          <w:sz w:val="24"/>
          <w:highlight w:val="none"/>
          <w14:textFill>
            <w14:solidFill>
              <w14:schemeClr w14:val="tx1"/>
            </w14:solidFill>
          </w14:textFill>
        </w:rPr>
        <w:t>、王女士</w:t>
      </w:r>
      <w:r>
        <w:rPr>
          <w:rFonts w:hint="eastAsia"/>
          <w:color w:val="000000" w:themeColor="text1"/>
          <w:highlight w:val="none"/>
          <w14:textFill>
            <w14:solidFill>
              <w14:schemeClr w14:val="tx1"/>
            </w14:solidFill>
          </w14:textFill>
        </w:rPr>
        <w:t>，电话：0571-</w:t>
      </w:r>
      <w:r>
        <w:rPr>
          <w:rFonts w:hint="eastAsia" w:ascii="宋体" w:hAnsi="宋体" w:eastAsia="宋体" w:cs="宋体"/>
          <w:i w:val="0"/>
          <w:caps w:val="0"/>
          <w:color w:val="000000" w:themeColor="text1"/>
          <w:spacing w:val="0"/>
          <w:sz w:val="24"/>
          <w:szCs w:val="24"/>
          <w:highlight w:val="none"/>
          <w14:textFill>
            <w14:solidFill>
              <w14:schemeClr w14:val="tx1"/>
            </w14:solidFill>
          </w14:textFill>
        </w:rPr>
        <w:t>8</w:t>
      </w:r>
      <w:r>
        <w:rPr>
          <w:rFonts w:hint="eastAsia" w:ascii="宋体" w:hAnsi="宋体" w:eastAsia="宋体" w:cs="宋体"/>
          <w:i w:val="0"/>
          <w:caps w:val="0"/>
          <w:color w:val="000000" w:themeColor="text1"/>
          <w:spacing w:val="0"/>
          <w:sz w:val="24"/>
          <w:szCs w:val="24"/>
          <w:highlight w:val="none"/>
          <w:lang w:val="en-US" w:eastAsia="zh-CN"/>
          <w14:textFill>
            <w14:solidFill>
              <w14:schemeClr w14:val="tx1"/>
            </w14:solidFill>
          </w14:textFill>
        </w:rPr>
        <w:t>7227671,0571-87800218</w:t>
      </w:r>
      <w:r>
        <w:rPr>
          <w:rFonts w:hint="eastAsia"/>
          <w:color w:val="000000" w:themeColor="text1"/>
          <w:highlight w:val="none"/>
          <w14:textFill>
            <w14:solidFill>
              <w14:schemeClr w14:val="tx1"/>
            </w14:solidFill>
          </w14:textFill>
        </w:rPr>
        <w:t>。</w:t>
      </w:r>
    </w:p>
    <w:p>
      <w:pPr>
        <w:adjustRightInd w:val="0"/>
        <w:snapToGrid w:val="0"/>
        <w:spacing w:line="360" w:lineRule="auto"/>
        <w:ind w:firstLine="480" w:firstLineChars="200"/>
        <w:rPr>
          <w:rFonts w:hint="eastAsia"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4.5 补偿救济</w:t>
      </w:r>
    </w:p>
    <w:p>
      <w:pPr>
        <w:adjustRightInd w:val="0"/>
        <w:snapToGrid w:val="0"/>
        <w:spacing w:line="360" w:lineRule="auto"/>
        <w:ind w:firstLine="480" w:firstLineChars="200"/>
        <w:rPr>
          <w:rFonts w:hint="eastAsia"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采购人因政策变化、规划调整而不履行政府采购合同的，供应商可依据《杭州市涉企补偿救济实施办法（试行）》向采购人提起补偿申请。</w:t>
      </w:r>
    </w:p>
    <w:p>
      <w:pPr>
        <w:pStyle w:val="88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投诉书范本及制作说明详见附件3。</w:t>
      </w:r>
    </w:p>
    <w:p>
      <w:pPr>
        <w:pStyle w:val="131"/>
        <w:snapToGrid w:val="0"/>
        <w:spacing w:before="0"/>
        <w:ind w:firstLine="360"/>
        <w:rPr>
          <w:rFonts w:ascii="宋体" w:hAnsi="宋体" w:cs="宋体"/>
          <w:color w:val="000000" w:themeColor="text1"/>
          <w:sz w:val="18"/>
          <w:szCs w:val="18"/>
          <w:highlight w:val="none"/>
          <w14:textFill>
            <w14:solidFill>
              <w14:schemeClr w14:val="tx1"/>
            </w14:solidFill>
          </w14:textFill>
        </w:rPr>
      </w:pPr>
    </w:p>
    <w:p>
      <w:pPr>
        <w:adjustRightInd/>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 xml:space="preserve">      二、招标文件的构成、澄清、修改</w:t>
      </w:r>
    </w:p>
    <w:p>
      <w:pPr>
        <w:pStyle w:val="35"/>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5．招标文件的构成</w:t>
      </w:r>
    </w:p>
    <w:p>
      <w:pPr>
        <w:pStyle w:val="35"/>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招标文件包括下列文件及附件：</w:t>
      </w:r>
    </w:p>
    <w:p>
      <w:pPr>
        <w:pStyle w:val="35"/>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5.1.1招标公告；</w:t>
      </w:r>
    </w:p>
    <w:p>
      <w:pPr>
        <w:pStyle w:val="35"/>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5.1.2投标人须知；</w:t>
      </w:r>
    </w:p>
    <w:p>
      <w:pPr>
        <w:pStyle w:val="35"/>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pPr>
        <w:pStyle w:val="35"/>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5.1.4评标办法；</w:t>
      </w:r>
    </w:p>
    <w:p>
      <w:pPr>
        <w:pStyle w:val="35"/>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pPr>
        <w:pStyle w:val="35"/>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cs="宋体"/>
          <w:color w:val="000000" w:themeColor="text1"/>
          <w:sz w:val="24"/>
          <w:highlight w:val="none"/>
          <w14:textFill>
            <w14:solidFill>
              <w14:schemeClr w14:val="tx1"/>
            </w14:solidFill>
          </w14:textFill>
        </w:rPr>
        <w:t>。</w:t>
      </w:r>
    </w:p>
    <w:p>
      <w:pPr>
        <w:pStyle w:val="35"/>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 招标文件的澄清、修改</w:t>
      </w:r>
    </w:p>
    <w:p>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6.1已获取招标文件的潜在投标人，若有问题需要澄清，应于投标截止时间前，以书面形式向</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提出。</w:t>
      </w:r>
    </w:p>
    <w:p>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6.2 </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6"/>
        <w:rPr>
          <w:rFonts w:hAnsi="宋体" w:cs="宋体"/>
          <w:color w:val="000000" w:themeColor="text1"/>
          <w:sz w:val="18"/>
          <w:szCs w:val="18"/>
          <w:highlight w:val="none"/>
          <w:lang w:val="en-US"/>
          <w14:textFill>
            <w14:solidFill>
              <w14:schemeClr w14:val="tx1"/>
            </w14:solidFill>
          </w14:textFill>
        </w:rPr>
      </w:pPr>
      <w:r>
        <w:rPr>
          <w:rFonts w:hint="eastAsia" w:hAnsi="宋体" w:cs="宋体"/>
          <w:color w:val="000000" w:themeColor="text1"/>
          <w:szCs w:val="24"/>
          <w:highlight w:val="none"/>
          <w:lang w:val="en-US"/>
          <w14:textFill>
            <w14:solidFill>
              <w14:schemeClr w14:val="tx1"/>
            </w14:solidFill>
          </w14:textFill>
        </w:rPr>
        <w:t xml:space="preserve">    </w:t>
      </w:r>
    </w:p>
    <w:p>
      <w:pPr>
        <w:adjustRightInd/>
        <w:spacing w:line="360" w:lineRule="auto"/>
        <w:jc w:val="center"/>
        <w:outlineLvl w:val="0"/>
        <w:rPr>
          <w:rFonts w:ascii="宋体" w:hAnsi="宋体" w:cs="宋体"/>
          <w:b/>
          <w:color w:val="000000" w:themeColor="text1"/>
          <w:sz w:val="30"/>
          <w:szCs w:val="20"/>
          <w:highlight w:val="none"/>
          <w14:textFill>
            <w14:solidFill>
              <w14:schemeClr w14:val="tx1"/>
            </w14:solidFill>
          </w14:textFill>
        </w:rPr>
      </w:pPr>
      <w:r>
        <w:rPr>
          <w:rFonts w:hint="eastAsia" w:ascii="宋体" w:hAnsi="宋体" w:cs="宋体"/>
          <w:b/>
          <w:color w:val="000000" w:themeColor="text1"/>
          <w:sz w:val="30"/>
          <w:szCs w:val="20"/>
          <w:highlight w:val="none"/>
          <w14:textFill>
            <w14:solidFill>
              <w14:schemeClr w14:val="tx1"/>
            </w14:solidFill>
          </w14:textFill>
        </w:rPr>
        <w:t>三、投标</w:t>
      </w:r>
    </w:p>
    <w:p>
      <w:pPr>
        <w:pStyle w:val="35"/>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 招标文件的获取</w:t>
      </w:r>
    </w:p>
    <w:p>
      <w:pPr>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pPr>
        <w:pStyle w:val="35"/>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8.开标前答疑会或现场考察</w:t>
      </w:r>
    </w:p>
    <w:p>
      <w:pPr>
        <w:pStyle w:val="35"/>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pPr>
        <w:pStyle w:val="35"/>
        <w:spacing w:line="360" w:lineRule="auto"/>
        <w:rPr>
          <w:rFonts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9.投标保证金</w:t>
      </w:r>
    </w:p>
    <w:p>
      <w:pPr>
        <w:pStyle w:val="6"/>
        <w:spacing w:line="360" w:lineRule="auto"/>
        <w:ind w:firstLine="470" w:firstLineChars="196"/>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本项目不需缴纳投标保证金。</w:t>
      </w:r>
    </w:p>
    <w:p>
      <w:pPr>
        <w:pStyle w:val="35"/>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投标文件的语言</w:t>
      </w:r>
    </w:p>
    <w:p>
      <w:pPr>
        <w:autoSpaceDE w:val="0"/>
        <w:autoSpaceDN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投标文件及投标人与采购有关的来往通知、函件和文件均应使用中文。</w:t>
      </w:r>
    </w:p>
    <w:p>
      <w:pPr>
        <w:pStyle w:val="35"/>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 投标文件的组成</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11.1.1符合参加政府采购活动应当具备的一般条件的承诺函；</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1.1.2</w:t>
      </w:r>
      <w:r>
        <w:rPr>
          <w:rFonts w:hint="eastAsia" w:ascii="宋体" w:hAnsi="宋体" w:cs="宋体"/>
          <w:snapToGrid w:val="0"/>
          <w:color w:val="000000" w:themeColor="text1"/>
          <w:kern w:val="28"/>
          <w:sz w:val="24"/>
          <w:szCs w:val="20"/>
          <w:highlight w:val="none"/>
          <w14:textFill>
            <w14:solidFill>
              <w14:schemeClr w14:val="tx1"/>
            </w14:solidFill>
          </w14:textFill>
        </w:rPr>
        <w:t>联合协议（如果有)；</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11.2.1投标函；</w:t>
      </w:r>
      <w:r>
        <w:rPr>
          <w:rFonts w:hint="eastAsia" w:ascii="宋体" w:hAnsi="宋体" w:cs="宋体"/>
          <w:color w:val="000000" w:themeColor="text1"/>
          <w:sz w:val="24"/>
          <w:highlight w:val="none"/>
          <w:lang w:val="zh-CN"/>
          <w14:textFill>
            <w14:solidFill>
              <w14:schemeClr w14:val="tx1"/>
            </w14:solidFill>
          </w14:textFill>
        </w:rPr>
        <w:t xml:space="preserve"> </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pPr>
        <w:snapToGrid w:val="0"/>
        <w:spacing w:line="360" w:lineRule="auto"/>
        <w:ind w:firstLine="960" w:firstLineChars="4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pPr>
        <w:snapToGrid w:val="0"/>
        <w:spacing w:line="360" w:lineRule="auto"/>
        <w:ind w:firstLine="480" w:firstLineChars="200"/>
        <w:rPr>
          <w:rFonts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color w:val="000000" w:themeColor="text1"/>
          <w:sz w:val="24"/>
          <w:highlight w:val="none"/>
          <w14:textFill>
            <w14:solidFill>
              <w14:schemeClr w14:val="tx1"/>
            </w14:solidFill>
          </w14:textFill>
        </w:rPr>
        <w:t xml:space="preserve"> </w:t>
      </w:r>
    </w:p>
    <w:p>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11.3.1开标一览表（报价表）；</w:t>
      </w:r>
    </w:p>
    <w:p>
      <w:pPr>
        <w:pStyle w:val="4"/>
        <w:snapToGrid w:val="0"/>
        <w:spacing w:line="360" w:lineRule="auto"/>
        <w:ind w:left="0" w:firstLine="960" w:firstLineChars="400"/>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11.3.</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 xml:space="preserve"> </w:t>
      </w:r>
      <w:r>
        <w:rPr>
          <w:rFonts w:hint="eastAsia" w:ascii="宋体" w:hAnsi="宋体" w:eastAsia="宋体" w:cs="宋体"/>
          <w:b w:val="0"/>
          <w:bCs w:val="0"/>
          <w:color w:val="000000" w:themeColor="text1"/>
          <w:sz w:val="24"/>
          <w:highlight w:val="none"/>
          <w14:textFill>
            <w14:solidFill>
              <w14:schemeClr w14:val="tx1"/>
            </w14:solidFill>
          </w14:textFill>
        </w:rPr>
        <w:t>中小企业声明函。</w:t>
      </w:r>
    </w:p>
    <w:p>
      <w:pPr>
        <w:spacing w:line="360" w:lineRule="auto"/>
        <w:ind w:firstLine="723" w:firstLineChars="3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pPr>
        <w:spacing w:line="360" w:lineRule="auto"/>
        <w:ind w:firstLine="723" w:firstLineChars="3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投标人提供虚假材料投标的，投标无效。</w:t>
      </w:r>
    </w:p>
    <w:p>
      <w:pPr>
        <w:spacing w:line="360" w:lineRule="auto"/>
        <w:ind w:firstLine="720" w:firstLineChars="300"/>
        <w:rPr>
          <w:color w:val="000000" w:themeColor="text1"/>
          <w:highlight w:val="none"/>
          <w14:textFill>
            <w14:solidFill>
              <w14:schemeClr w14:val="tx1"/>
            </w14:solidFill>
          </w14:textFill>
        </w:rPr>
      </w:pPr>
      <w:r>
        <w:rPr>
          <w:rFonts w:hint="eastAsia"/>
          <w:color w:val="000000" w:themeColor="text1"/>
          <w:sz w:val="24"/>
          <w:szCs w:val="24"/>
          <w:highlight w:val="none"/>
          <w:shd w:val="clear" w:color="auto" w:fill="FFFFFF"/>
          <w:lang w:val="en-US" w:eastAsia="zh-CN"/>
          <w14:textFill>
            <w14:solidFill>
              <w14:schemeClr w14:val="tx1"/>
            </w14:solidFill>
          </w14:textFill>
        </w:rPr>
        <w:t>投标人应对投标文件中材料的真实性、合法性负责。投标人可事先在公开官网查询、核对相关证书和报告内容，确保投标（响应）文件资料准确无误。</w:t>
      </w:r>
    </w:p>
    <w:p>
      <w:pPr>
        <w:pStyle w:val="131"/>
        <w:snapToGrid w:val="0"/>
        <w:spacing w:before="0"/>
        <w:ind w:firstLine="0" w:firstLineChars="0"/>
        <w:outlineLvl w:val="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12</w:t>
      </w:r>
      <w:r>
        <w:rPr>
          <w:rFonts w:hint="eastAsia" w:ascii="宋体" w:hAnsi="宋体" w:cs="宋体"/>
          <w:b/>
          <w:color w:val="000000" w:themeColor="text1"/>
          <w:kern w:val="0"/>
          <w:szCs w:val="24"/>
          <w:highlight w:val="none"/>
          <w:lang w:val="zh-CN"/>
          <w14:textFill>
            <w14:solidFill>
              <w14:schemeClr w14:val="tx1"/>
            </w14:solidFill>
          </w14:textFill>
        </w:rPr>
        <w:t xml:space="preserve">. </w:t>
      </w:r>
      <w:r>
        <w:rPr>
          <w:rFonts w:hint="eastAsia" w:ascii="宋体" w:hAnsi="宋体" w:cs="宋体"/>
          <w:b/>
          <w:color w:val="000000" w:themeColor="text1"/>
          <w:szCs w:val="24"/>
          <w:highlight w:val="none"/>
          <w14:textFill>
            <w14:solidFill>
              <w14:schemeClr w14:val="tx1"/>
            </w14:solidFill>
          </w14:textFill>
        </w:rPr>
        <w:t>投标文件的编制</w:t>
      </w:r>
    </w:p>
    <w:p>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13.投标文件的签署、盖章</w:t>
      </w:r>
    </w:p>
    <w:p>
      <w:pPr>
        <w:pStyle w:val="131"/>
        <w:snapToGrid w:val="0"/>
        <w:spacing w:before="0"/>
        <w:ind w:firstLine="48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cs="宋体"/>
          <w:color w:val="000000" w:themeColor="text1"/>
          <w:highlight w:val="none"/>
          <w14:textFill>
            <w14:solidFill>
              <w14:schemeClr w14:val="tx1"/>
            </w14:solidFill>
          </w14:textFill>
        </w:rPr>
        <w:t>求进行签署、盖章。</w:t>
      </w:r>
      <w:bookmarkStart w:id="56" w:name="OLE_LINK32"/>
      <w:r>
        <w:rPr>
          <w:rFonts w:hint="eastAsia" w:ascii="宋体" w:hAnsi="宋体" w:cs="宋体"/>
          <w:b/>
          <w:color w:val="000000" w:themeColor="text1"/>
          <w:highlight w:val="none"/>
          <w14:textFill>
            <w14:solidFill>
              <w14:schemeClr w14:val="tx1"/>
            </w14:solidFill>
          </w14:textFill>
        </w:rPr>
        <w:t>▲</w:t>
      </w:r>
      <w:bookmarkEnd w:id="56"/>
      <w:r>
        <w:rPr>
          <w:rFonts w:hint="eastAsia" w:ascii="宋体" w:hAnsi="宋体" w:cs="宋体"/>
          <w:b/>
          <w:color w:val="000000" w:themeColor="text1"/>
          <w:highlight w:val="none"/>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highlight w:val="none"/>
          <w14:textFill>
            <w14:solidFill>
              <w14:schemeClr w14:val="tx1"/>
            </w14:solidFill>
          </w14:textFill>
        </w:rPr>
        <w:t>。</w:t>
      </w:r>
    </w:p>
    <w:p>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13.3招标文件对投标文件签署、盖章的要求适用于电子签名。</w:t>
      </w:r>
    </w:p>
    <w:p>
      <w:pPr>
        <w:pStyle w:val="131"/>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投标文件的提交、补充、修改、撤回</w:t>
      </w:r>
    </w:p>
    <w:p>
      <w:pPr>
        <w:pStyle w:val="131"/>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w:t>
      </w:r>
      <w:r>
        <w:rPr>
          <w:rFonts w:hint="eastAsia" w:ascii="宋体" w:hAnsi="宋体" w:cs="宋体"/>
          <w:color w:val="000000" w:themeColor="text1"/>
          <w:szCs w:val="24"/>
          <w:highlight w:val="none"/>
          <w:lang w:eastAsia="zh-CN"/>
          <w14:textFill>
            <w14:solidFill>
              <w14:schemeClr w14:val="tx1"/>
            </w14:solidFill>
          </w14:textFill>
        </w:rPr>
        <w:t>采购代理机构</w:t>
      </w:r>
      <w:r>
        <w:rPr>
          <w:rFonts w:hint="eastAsia" w:ascii="宋体" w:hAnsi="宋体" w:cs="宋体"/>
          <w:color w:val="000000" w:themeColor="text1"/>
          <w:szCs w:val="24"/>
          <w:highlight w:val="none"/>
          <w14:textFill>
            <w14:solidFill>
              <w14:schemeClr w14:val="tx1"/>
            </w14:solidFill>
          </w14:textFill>
        </w:rPr>
        <w:t>可以视情况延长投标文件提交的截止时间。在上述情况下，</w:t>
      </w:r>
      <w:r>
        <w:rPr>
          <w:rFonts w:hint="eastAsia" w:ascii="宋体" w:hAnsi="宋体" w:cs="宋体"/>
          <w:color w:val="000000" w:themeColor="text1"/>
          <w:szCs w:val="24"/>
          <w:highlight w:val="none"/>
          <w:lang w:eastAsia="zh-CN"/>
          <w14:textFill>
            <w14:solidFill>
              <w14:schemeClr w14:val="tx1"/>
            </w14:solidFill>
          </w14:textFill>
        </w:rPr>
        <w:t>采购代理机构</w:t>
      </w:r>
      <w:r>
        <w:rPr>
          <w:rFonts w:hint="eastAsia" w:ascii="宋体" w:hAnsi="宋体" w:cs="宋体"/>
          <w:color w:val="000000" w:themeColor="text1"/>
          <w:szCs w:val="24"/>
          <w:highlight w:val="none"/>
          <w14:textFill>
            <w14:solidFill>
              <w14:schemeClr w14:val="tx1"/>
            </w14:solidFill>
          </w14:textFill>
        </w:rPr>
        <w:t>与投标人以前在投标截止期方面的全部权利、责任和义务，将适用于延长至新的投标截止期。</w:t>
      </w:r>
    </w:p>
    <w:p>
      <w:pPr>
        <w:pStyle w:val="35"/>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15.备份投标文件</w:t>
      </w:r>
    </w:p>
    <w:p>
      <w:pPr>
        <w:pStyle w:val="35"/>
        <w:spacing w:line="360" w:lineRule="auto"/>
        <w:ind w:firstLine="360" w:firstLineChars="15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highlight w:val="none"/>
          <w14:textFill>
            <w14:solidFill>
              <w14:schemeClr w14:val="tx1"/>
            </w14:solidFill>
          </w14:textFill>
        </w:rPr>
        <w:t>但采购人、</w:t>
      </w:r>
      <w:r>
        <w:rPr>
          <w:rFonts w:hint="eastAsia" w:hAnsi="宋体" w:cs="宋体"/>
          <w:b/>
          <w:color w:val="000000" w:themeColor="text1"/>
          <w:sz w:val="24"/>
          <w:szCs w:val="24"/>
          <w:highlight w:val="none"/>
          <w:lang w:eastAsia="zh-CN"/>
          <w14:textFill>
            <w14:solidFill>
              <w14:schemeClr w14:val="tx1"/>
            </w14:solidFill>
          </w14:textFill>
        </w:rPr>
        <w:t>采购代理机构</w:t>
      </w:r>
      <w:r>
        <w:rPr>
          <w:rFonts w:hint="eastAsia" w:hAnsi="宋体" w:cs="宋体"/>
          <w:b/>
          <w:color w:val="000000" w:themeColor="text1"/>
          <w:sz w:val="24"/>
          <w:szCs w:val="24"/>
          <w:highlight w:val="none"/>
          <w14:textFill>
            <w14:solidFill>
              <w14:schemeClr w14:val="tx1"/>
            </w14:solidFill>
          </w14:textFill>
        </w:rPr>
        <w:t>不强制或变相强制投标人提交备份投标文件。</w:t>
      </w:r>
    </w:p>
    <w:p>
      <w:pPr>
        <w:pStyle w:val="35"/>
        <w:spacing w:line="360" w:lineRule="auto"/>
        <w:ind w:firstLine="480" w:firstLineChars="20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hAnsi="宋体" w:cs="宋体"/>
          <w:color w:val="000000" w:themeColor="text1"/>
          <w:sz w:val="24"/>
          <w:highlight w:val="none"/>
          <w14:textFill>
            <w14:solidFill>
              <w14:schemeClr w14:val="tx1"/>
            </w14:solidFill>
          </w14:textFill>
        </w:rPr>
        <w:t>DVD光盘</w:t>
      </w:r>
      <w:r>
        <w:rPr>
          <w:rFonts w:hint="eastAsia" w:hAnsi="宋体" w:cs="宋体"/>
          <w:color w:val="000000" w:themeColor="text1"/>
          <w:sz w:val="24"/>
          <w:highlight w:val="none"/>
          <w:lang w:val="en-US" w:eastAsia="zh-CN"/>
          <w14:textFill>
            <w14:solidFill>
              <w14:schemeClr w14:val="tx1"/>
            </w14:solidFill>
          </w14:textFill>
        </w:rPr>
        <w:t>等存储介质</w:t>
      </w:r>
      <w:r>
        <w:rPr>
          <w:rFonts w:hint="eastAsia" w:hAnsi="宋体" w:cs="宋体"/>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存储、密封规定的备份投标文件将被视为无效或者被拒绝接收。</w:t>
      </w:r>
    </w:p>
    <w:p>
      <w:pPr>
        <w:pStyle w:val="35"/>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将拒绝接受逾期送达的备份投标文件。</w:t>
      </w:r>
    </w:p>
    <w:p>
      <w:pPr>
        <w:pStyle w:val="35"/>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hAnsi="宋体" w:cs="宋体"/>
          <w:color w:val="000000" w:themeColor="text1"/>
          <w:sz w:val="24"/>
          <w:szCs w:val="24"/>
          <w:highlight w:val="none"/>
          <w14:textFill>
            <w14:solidFill>
              <w14:schemeClr w14:val="tx1"/>
            </w14:solidFill>
          </w14:textFill>
        </w:rPr>
        <w:t>送达时间以签收人签收时间为准。</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将拒绝接受逾期送达的备份投标文件。邮寄过程中，电子备份投标文件发生泄露、遗失、损坏或延期送达等情况的，由投标人自行负责。</w:t>
      </w:r>
    </w:p>
    <w:p>
      <w:pPr>
        <w:pStyle w:val="35"/>
        <w:spacing w:line="360" w:lineRule="auto"/>
        <w:ind w:firstLine="479" w:firstLineChars="199"/>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pPr>
        <w:pStyle w:val="131"/>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16.投标文件的无效处理</w:t>
      </w:r>
    </w:p>
    <w:p>
      <w:pPr>
        <w:pStyle w:val="27"/>
        <w:spacing w:line="360" w:lineRule="auto"/>
        <w:ind w:firstLine="360" w:firstLineChars="15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有招标文件第四部分</w:t>
      </w:r>
      <w:r>
        <w:rPr>
          <w:rFonts w:cs="宋体"/>
          <w:color w:val="000000" w:themeColor="text1"/>
          <w:szCs w:val="2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的情形之一的，投标无效：</w:t>
      </w:r>
    </w:p>
    <w:p>
      <w:pPr>
        <w:pStyle w:val="131"/>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17.投标有效期</w:t>
      </w:r>
    </w:p>
    <w:p>
      <w:pPr>
        <w:spacing w:line="360" w:lineRule="auto"/>
        <w:ind w:firstLine="480" w:firstLineChars="2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highlight w:val="none"/>
          <w14:textFill>
            <w14:solidFill>
              <w14:schemeClr w14:val="tx1"/>
            </w14:solidFill>
          </w14:textFill>
        </w:rPr>
        <w:t>投标人的投标文件中承</w:t>
      </w:r>
      <w:r>
        <w:rPr>
          <w:rFonts w:hint="eastAsia" w:ascii="宋体" w:hAnsi="宋体" w:cs="宋体"/>
          <w:b/>
          <w:color w:val="000000" w:themeColor="text1"/>
          <w:sz w:val="24"/>
          <w:szCs w:val="21"/>
          <w:highlight w:val="none"/>
          <w14:textFill>
            <w14:solidFill>
              <w14:schemeClr w14:val="tx1"/>
            </w14:solidFill>
          </w14:textFill>
        </w:rPr>
        <w:t>诺的投标有效期少于招标文件中载明的投标有效期的，投标无效。</w:t>
      </w:r>
    </w:p>
    <w:p>
      <w:pPr>
        <w:pStyle w:val="131"/>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17.2投标文件合格投递后，自投标截止日期起，在投标有效期内有效。</w:t>
      </w:r>
    </w:p>
    <w:p>
      <w:pPr>
        <w:pStyle w:val="131"/>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17.3在原定投标有效期满之前，如果出现特殊情况，</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可以以书面形式通知投标人延长投标有效期。投标人同意延长的，不得要求或被允许修改其投标文件，投标人拒绝延长的，其投标无效。</w:t>
      </w:r>
    </w:p>
    <w:p>
      <w:pPr>
        <w:pStyle w:val="131"/>
        <w:spacing w:before="0"/>
        <w:ind w:firstLine="643"/>
        <w:rPr>
          <w:rFonts w:ascii="宋体" w:hAnsi="宋体" w:cs="宋体"/>
          <w:b/>
          <w:color w:val="000000" w:themeColor="text1"/>
          <w:sz w:val="32"/>
          <w:highlight w:val="none"/>
          <w14:textFill>
            <w14:solidFill>
              <w14:schemeClr w14:val="tx1"/>
            </w14:solidFill>
          </w14:textFill>
        </w:rPr>
      </w:pPr>
    </w:p>
    <w:p>
      <w:pPr>
        <w:pStyle w:val="131"/>
        <w:spacing w:before="0"/>
        <w:ind w:firstLine="1928" w:firstLineChars="600"/>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四、开标、资格审查与信用信息查询</w:t>
      </w:r>
    </w:p>
    <w:p>
      <w:pPr>
        <w:pStyle w:val="557"/>
        <w:spacing w:before="0" w:line="360" w:lineRule="auto"/>
        <w:ind w:left="0" w:firstLine="241"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18.开标</w:t>
      </w:r>
      <w:r>
        <w:rPr>
          <w:rFonts w:hint="eastAsia" w:ascii="宋体" w:hAnsi="宋体" w:cs="宋体"/>
          <w:color w:val="000000" w:themeColor="text1"/>
          <w:sz w:val="24"/>
          <w:highlight w:val="none"/>
          <w14:textFill>
            <w14:solidFill>
              <w14:schemeClr w14:val="tx1"/>
            </w14:solidFill>
          </w14:textFill>
        </w:rPr>
        <w:t xml:space="preserve"> </w:t>
      </w:r>
    </w:p>
    <w:p>
      <w:pPr>
        <w:pStyle w:val="557"/>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18.2开标时，电子交易平台按开标时间自动提取所有投标文件。</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依托电子交易平台发起开始解密指令，投标人按照平台提示和招标文件的规定在半小时内完成在线解密。</w:t>
      </w:r>
    </w:p>
    <w:p>
      <w:pPr>
        <w:pStyle w:val="557"/>
        <w:spacing w:before="0" w:line="360" w:lineRule="auto"/>
        <w:ind w:left="0" w:firstLine="240" w:firstLineChars="100"/>
        <w:contextualSpacing/>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18.3</w:t>
      </w:r>
      <w:r>
        <w:rPr>
          <w:rFonts w:hint="eastAsia" w:ascii="宋体" w:hAnsi="宋体" w:cs="宋体"/>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　19、资格审查</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采购人或</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依据法律法规和招标文件的规定，对投标人的资格进行审查。</w:t>
      </w:r>
    </w:p>
    <w:p>
      <w:pPr>
        <w:pStyle w:val="131"/>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kern w:val="0"/>
          <w:szCs w:val="24"/>
          <w:highlight w:val="none"/>
          <w:lang w:val="en-US" w:eastAsia="zh-CN"/>
          <w14:textFill>
            <w14:solidFill>
              <w14:schemeClr w14:val="tx1"/>
            </w14:solidFill>
          </w14:textFill>
        </w:rPr>
        <w:t>2</w:t>
      </w:r>
      <w:r>
        <w:rPr>
          <w:rFonts w:hint="eastAsia" w:ascii="宋体" w:hAnsi="宋体" w:cs="宋体"/>
          <w:color w:val="000000" w:themeColor="text1"/>
          <w:kern w:val="0"/>
          <w:szCs w:val="24"/>
          <w:highlight w:val="none"/>
          <w14:textFill>
            <w14:solidFill>
              <w14:schemeClr w14:val="tx1"/>
            </w14:solidFill>
          </w14:textFill>
        </w:rPr>
        <w:t>投标人未按照招标文件要求提供与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投标人不具备招标文件中规定的资格要求，其投标无效。</w:t>
      </w:r>
    </w:p>
    <w:p>
      <w:pPr>
        <w:pStyle w:val="131"/>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对未通过资格审查的投标人，采购人或</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告知其未通过的原因。</w:t>
      </w:r>
    </w:p>
    <w:p>
      <w:pPr>
        <w:pStyle w:val="131"/>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合格投标人不足3家的，不再评标。</w:t>
      </w:r>
    </w:p>
    <w:p>
      <w:pPr>
        <w:pStyle w:val="131"/>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20、信用信息查询</w:t>
      </w:r>
    </w:p>
    <w:p>
      <w:pPr>
        <w:pStyle w:val="131"/>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w:t>
      </w:r>
      <w:r>
        <w:rPr>
          <w:rFonts w:hint="eastAsia" w:ascii="宋体" w:hAnsi="宋体" w:cs="宋体"/>
          <w:color w:val="000000" w:themeColor="text1"/>
          <w:kern w:val="0"/>
          <w:szCs w:val="24"/>
          <w:highlight w:val="none"/>
          <w:lang w:eastAsia="zh-CN"/>
          <w14:textFill>
            <w14:solidFill>
              <w14:schemeClr w14:val="tx1"/>
            </w14:solidFill>
          </w14:textFill>
        </w:rPr>
        <w:t>采购代理机构</w:t>
      </w:r>
      <w:r>
        <w:rPr>
          <w:rFonts w:hint="eastAsia" w:ascii="宋体" w:hAnsi="宋体" w:cs="宋体"/>
          <w:color w:val="000000" w:themeColor="text1"/>
          <w:kern w:val="0"/>
          <w:szCs w:val="24"/>
          <w:highlight w:val="none"/>
          <w14:textFill>
            <w14:solidFill>
              <w14:schemeClr w14:val="tx1"/>
            </w14:solidFill>
          </w14:textFill>
        </w:rPr>
        <w:t>将在资格审查时通过“信用中国”网站(www.creditchina.gov.cn)、中国政府采购网(www.ccgp.gov.cn)渠道查询投标人接受资格时的信用记录。</w:t>
      </w:r>
    </w:p>
    <w:p>
      <w:pPr>
        <w:pStyle w:val="131"/>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pPr>
        <w:pStyle w:val="131"/>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pPr>
        <w:pStyle w:val="131"/>
        <w:spacing w:before="0"/>
        <w:ind w:firstLine="0" w:firstLineChars="0"/>
        <w:rPr>
          <w:rFonts w:ascii="宋体" w:hAnsi="宋体" w:cs="宋体"/>
          <w:color w:val="000000" w:themeColor="text1"/>
          <w:kern w:val="0"/>
          <w:szCs w:val="24"/>
          <w:highlight w:val="none"/>
          <w14:textFill>
            <w14:solidFill>
              <w14:schemeClr w14:val="tx1"/>
            </w14:solidFill>
          </w14:textFill>
        </w:rPr>
      </w:pPr>
    </w:p>
    <w:p>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五、评标</w:t>
      </w:r>
    </w:p>
    <w:p>
      <w:pPr>
        <w:spacing w:line="360" w:lineRule="auto"/>
        <w:rPr>
          <w:rFonts w:ascii="宋体" w:hAnsi="宋体" w:cs="宋体"/>
          <w:b/>
          <w:color w:val="000000" w:themeColor="text1"/>
          <w:sz w:val="24"/>
          <w:highlight w:val="none"/>
          <w14:textFill>
            <w14:solidFill>
              <w14:schemeClr w14:val="tx1"/>
            </w14:solidFill>
          </w14:textFill>
        </w:rPr>
      </w:pPr>
      <w:bookmarkStart w:id="57" w:name="_Toc91899903"/>
      <w:r>
        <w:rPr>
          <w:rFonts w:hint="eastAsia" w:ascii="宋体" w:hAnsi="宋体" w:cs="宋体"/>
          <w:b/>
          <w:color w:val="000000" w:themeColor="text1"/>
          <w:sz w:val="24"/>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 w:val="24"/>
          <w:highlight w:val="none"/>
          <w14:textFill>
            <w14:solidFill>
              <w14:schemeClr w14:val="tx1"/>
            </w14:solidFill>
          </w14:textFill>
        </w:rPr>
        <w:t>详见招标文件第四部分评标办法。</w:t>
      </w:r>
    </w:p>
    <w:p>
      <w:pPr>
        <w:spacing w:line="360" w:lineRule="auto"/>
        <w:rPr>
          <w:rFonts w:ascii="宋体" w:hAnsi="宋体" w:cs="宋体"/>
          <w:b/>
          <w:color w:val="000000" w:themeColor="text1"/>
          <w:sz w:val="24"/>
          <w:highlight w:val="none"/>
          <w14:textFill>
            <w14:solidFill>
              <w14:schemeClr w14:val="tx1"/>
            </w14:solidFill>
          </w14:textFill>
        </w:rPr>
      </w:pPr>
    </w:p>
    <w:p>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六、定 标</w:t>
      </w:r>
    </w:p>
    <w:p>
      <w:pPr>
        <w:pStyle w:val="27"/>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确定中标供应商</w:t>
      </w:r>
    </w:p>
    <w:p>
      <w:pPr>
        <w:pStyle w:val="131"/>
        <w:snapToGrid w:val="0"/>
        <w:spacing w:before="0"/>
        <w:ind w:firstLine="480"/>
        <w:rPr>
          <w:rFonts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000000" w:themeColor="text1"/>
          <w:szCs w:val="24"/>
          <w:highlight w:val="none"/>
          <w:lang w:val="en-US" w:eastAsia="zh-CN"/>
          <w14:textFill>
            <w14:solidFill>
              <w14:schemeClr w14:val="tx1"/>
            </w14:solidFill>
          </w14:textFill>
        </w:rPr>
        <w:t>鼓励</w:t>
      </w:r>
      <w:r>
        <w:rPr>
          <w:rFonts w:hint="eastAsia" w:ascii="宋体" w:hAnsi="宋体" w:cs="宋体"/>
          <w:color w:val="000000" w:themeColor="text1"/>
          <w:szCs w:val="24"/>
          <w:highlight w:val="none"/>
          <w14:textFill>
            <w14:solidFill>
              <w14:schemeClr w14:val="tx1"/>
            </w14:solidFill>
          </w14:textFill>
        </w:rPr>
        <w:t>在收到评审报告当天</w:t>
      </w:r>
      <w:r>
        <w:rPr>
          <w:rFonts w:hint="eastAsia" w:ascii="宋体" w:hAnsi="宋体" w:cs="宋体"/>
          <w:color w:val="000000" w:themeColor="text1"/>
          <w:szCs w:val="24"/>
          <w:highlight w:val="none"/>
          <w:lang w:val="en-US" w:eastAsia="zh-CN"/>
          <w14:textFill>
            <w14:solidFill>
              <w14:schemeClr w14:val="tx1"/>
            </w14:solidFill>
          </w14:textFill>
        </w:rPr>
        <w:t>在线</w:t>
      </w:r>
      <w:r>
        <w:rPr>
          <w:rFonts w:hint="eastAsia" w:ascii="宋体" w:hAnsi="宋体" w:cs="宋体"/>
          <w:color w:val="000000" w:themeColor="text1"/>
          <w:szCs w:val="24"/>
          <w:highlight w:val="none"/>
          <w14:textFill>
            <w14:solidFill>
              <w14:schemeClr w14:val="tx1"/>
            </w14:solidFill>
          </w14:textFill>
        </w:rPr>
        <w:t>确定中标或者成交供应商。中标、成交通知书和中标、成交结果公告应当在规定时间内同时发出。</w:t>
      </w:r>
    </w:p>
    <w:p>
      <w:pPr>
        <w:pStyle w:val="131"/>
        <w:snapToGrid w:val="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23. 中标通知与中标结果公告</w:t>
      </w:r>
    </w:p>
    <w:p>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23.1自中标人确定之日起2个工作日内，</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通过电子交易平台向中标人发出中标通知书，同时编制发布采购结果公告。</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也可以以纸质形式进行中标通知。</w:t>
      </w:r>
    </w:p>
    <w:p>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23.2中标结果公告内容包括采购人及其委托的</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的名称、地址、联系方式，项目名称和项目编号，中标人名称、地址和中标金额，主要中标标的的名称、规格型号、数量、单价、服务要求，开标记录、</w:t>
      </w:r>
      <w:bookmarkStart w:id="58" w:name="_Hlk101184471"/>
      <w:r>
        <w:rPr>
          <w:rFonts w:hint="eastAsia" w:ascii="宋体" w:hAnsi="宋体" w:cs="宋体"/>
          <w:color w:val="000000" w:themeColor="text1"/>
          <w:sz w:val="24"/>
          <w:highlight w:val="none"/>
          <w14:textFill>
            <w14:solidFill>
              <w14:schemeClr w14:val="tx1"/>
            </w14:solidFill>
          </w14:textFill>
        </w:rPr>
        <w:t>资格审查情况、评审专家抽取规则、符合性审查情况、</w:t>
      </w:r>
      <w:bookmarkEnd w:id="58"/>
      <w:r>
        <w:rPr>
          <w:rFonts w:hint="eastAsia" w:ascii="宋体" w:hAnsi="宋体" w:cs="宋体"/>
          <w:color w:val="000000" w:themeColor="text1"/>
          <w:sz w:val="24"/>
          <w:highlight w:val="none"/>
          <w14:textFill>
            <w14:solidFill>
              <w14:schemeClr w14:val="tx1"/>
            </w14:solidFill>
          </w14:textFill>
        </w:rPr>
        <w:t>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23.3公告期限为1个工作日。</w:t>
      </w:r>
    </w:p>
    <w:p>
      <w:pPr>
        <w:pStyle w:val="131"/>
        <w:adjustRightInd w:val="0"/>
        <w:snapToGrid w:val="0"/>
        <w:spacing w:before="0"/>
        <w:ind w:firstLine="482" w:firstLineChars="200"/>
        <w:rPr>
          <w:rStyle w:val="79"/>
          <w:color w:val="000000" w:themeColor="text1"/>
          <w:highlight w:val="none"/>
          <w14:textFill>
            <w14:solidFill>
              <w14:schemeClr w14:val="tx1"/>
            </w14:solidFill>
          </w14:textFill>
        </w:rPr>
      </w:pPr>
      <w:r>
        <w:rPr>
          <w:rFonts w:hint="eastAsia" w:ascii="宋体" w:hAnsi="宋体" w:cs="宋体"/>
          <w:b/>
          <w:color w:val="000000" w:themeColor="text1"/>
          <w:szCs w:val="24"/>
          <w:highlight w:val="none"/>
          <w:lang w:val="en-US" w:eastAsia="zh-CN"/>
          <w14:textFill>
            <w14:solidFill>
              <w14:schemeClr w14:val="tx1"/>
            </w14:solidFill>
          </w14:textFill>
        </w:rPr>
        <w:t xml:space="preserve">23.4 </w:t>
      </w:r>
      <w:r>
        <w:rPr>
          <w:rFonts w:hint="eastAsia" w:ascii="宋体" w:hAnsi="宋体" w:cs="宋体"/>
          <w:b w:val="0"/>
          <w:bCs/>
          <w:color w:val="000000" w:themeColor="text1"/>
          <w:szCs w:val="24"/>
          <w:highlight w:val="none"/>
          <w14:textFill>
            <w14:solidFill>
              <w14:schemeClr w14:val="tx1"/>
            </w14:solidFill>
          </w14:textFill>
        </w:rPr>
        <w:t>由于</w:t>
      </w:r>
      <w:r>
        <w:rPr>
          <w:rFonts w:hint="eastAsia" w:ascii="宋体" w:hAnsi="宋体" w:cs="宋体"/>
          <w:bCs/>
          <w:color w:val="000000" w:themeColor="text1"/>
          <w:szCs w:val="24"/>
          <w:highlight w:val="none"/>
          <w14:textFill>
            <w14:solidFill>
              <w14:schemeClr w14:val="tx1"/>
            </w14:solidFill>
          </w14:textFill>
        </w:rPr>
        <w:t>中标、成交供应商原因导致重新采购的，应当承担支付代理费和专家评审费等费用在内的赔偿责任。</w:t>
      </w:r>
    </w:p>
    <w:p>
      <w:pPr>
        <w:pStyle w:val="80"/>
        <w:rPr>
          <w:color w:val="000000" w:themeColor="text1"/>
          <w:highlight w:val="none"/>
          <w14:textFill>
            <w14:solidFill>
              <w14:schemeClr w14:val="tx1"/>
            </w14:solidFill>
          </w14:textFill>
        </w:rPr>
      </w:pPr>
    </w:p>
    <w:p>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七、合同授予</w:t>
      </w:r>
    </w:p>
    <w:p>
      <w:pPr>
        <w:pStyle w:val="27"/>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 xml:space="preserve">24. </w:t>
      </w:r>
      <w:r>
        <w:rPr>
          <w:rFonts w:hint="eastAsia" w:cs="宋体"/>
          <w:color w:val="000000" w:themeColor="text1"/>
          <w:highlight w:val="none"/>
          <w14:textFill>
            <w14:solidFill>
              <w14:schemeClr w14:val="tx1"/>
            </w14:solidFill>
          </w14:textFill>
        </w:rPr>
        <w:t>合同主要条款详见第五部分拟签订的合同文本。</w:t>
      </w:r>
    </w:p>
    <w:p>
      <w:pPr>
        <w:pStyle w:val="27"/>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 合同的签订</w:t>
      </w:r>
    </w:p>
    <w:p>
      <w:pPr>
        <w:widowControl/>
        <w:shd w:val="clear" w:color="auto" w:fill="FFFFFF"/>
        <w:spacing w:line="360" w:lineRule="auto"/>
        <w:ind w:firstLine="48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w:t>
      </w:r>
      <w:r>
        <w:rPr>
          <w:rFonts w:hint="eastAsia" w:ascii="宋体" w:hAnsi="宋体"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1"/>
        <w:snapToGrid w:val="0"/>
        <w:spacing w:before="0"/>
        <w:ind w:firstLine="48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pPr>
        <w:pStyle w:val="27"/>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26. 履约保证金</w:t>
      </w:r>
    </w:p>
    <w:p>
      <w:pPr>
        <w:tabs>
          <w:tab w:val="left" w:pos="0"/>
        </w:tabs>
        <w:spacing w:line="360" w:lineRule="auto"/>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。履约保证金的数额不得超过政府采购合同金额的</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highlight w:val="none"/>
          <w14:textFill>
            <w14:solidFill>
              <w14:schemeClr w14:val="tx1"/>
            </w14:solidFill>
          </w14:textFill>
        </w:rPr>
        <w:t>。</w:t>
      </w:r>
    </w:p>
    <w:p>
      <w:pPr>
        <w:pStyle w:val="4"/>
        <w:ind w:left="0" w:firstLine="480" w:firstLineChars="200"/>
        <w:rPr>
          <w:rFonts w:ascii="宋体" w:hAnsi="宋体" w:eastAsia="宋体" w:cs="宋体"/>
          <w:b w:val="0"/>
          <w:bCs w:val="0"/>
          <w:snapToGrid w:val="0"/>
          <w:color w:val="000000" w:themeColor="text1"/>
          <w:kern w:val="28"/>
          <w:sz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000000" w:themeColor="text1"/>
          <w:kern w:val="28"/>
          <w:sz w:val="24"/>
          <w:highlight w:val="none"/>
          <w:lang w:val="en-US" w:eastAsia="zh-CN"/>
          <w14:textFill>
            <w14:solidFill>
              <w14:schemeClr w14:val="tx1"/>
            </w14:solidFill>
          </w14:textFill>
        </w:rPr>
        <w:t>95763</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w:t>
      </w:r>
    </w:p>
    <w:p>
      <w:pPr>
        <w:pStyle w:val="4"/>
        <w:rPr>
          <w:color w:val="000000" w:themeColor="text1"/>
          <w:highlight w:val="none"/>
          <w14:textFill>
            <w14:solidFill>
              <w14:schemeClr w14:val="tx1"/>
            </w14:solidFill>
          </w14:textFill>
        </w:rPr>
      </w:pPr>
      <w:r>
        <w:rPr>
          <w:rFonts w:ascii="宋体" w:hAnsi="宋体" w:eastAsia="宋体"/>
          <w:b/>
          <w:bCs/>
          <w:color w:val="000000" w:themeColor="text1"/>
          <w:sz w:val="24"/>
          <w:szCs w:val="32"/>
          <w:highlight w:val="none"/>
          <w:lang w:val="en-US"/>
          <w14:textFill>
            <w14:solidFill>
              <w14:schemeClr w14:val="tx1"/>
            </w14:solidFill>
          </w14:textFill>
        </w:rPr>
        <w:t>27.预付款</w:t>
      </w:r>
    </w:p>
    <w:p>
      <w:pPr>
        <w:adjustRightInd/>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采购单位应当在政府采购合同中约定预付款，对中小企业合同预付款比例原则上不低于合同金额的</w:t>
      </w:r>
      <w:r>
        <w:rPr>
          <w:rFonts w:ascii="宋体" w:hAnsi="宋体"/>
          <w:color w:val="000000" w:themeColor="text1"/>
          <w:sz w:val="24"/>
          <w:highlight w:val="none"/>
          <w14:textFill>
            <w14:solidFill>
              <w14:schemeClr w14:val="tx1"/>
            </w14:solidFill>
          </w14:textFill>
        </w:rPr>
        <w:t>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color w:val="000000" w:themeColor="text1"/>
          <w:sz w:val="24"/>
          <w:highlight w:val="none"/>
          <w14:textFill>
            <w14:solidFill>
              <w14:schemeClr w14:val="tx1"/>
            </w14:solidFill>
          </w14:textFill>
        </w:rPr>
        <w:t>项目年度计划支付资金额的40％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70%；采购项目实施以人工投入为主的，</w:t>
      </w:r>
      <w:r>
        <w:rPr>
          <w:rFonts w:hint="eastAsia" w:ascii="宋体" w:hAnsi="宋体"/>
          <w:color w:val="000000" w:themeColor="text1"/>
          <w:sz w:val="24"/>
          <w:highlight w:val="none"/>
          <w14:textFill>
            <w14:solidFill>
              <w14:schemeClr w14:val="tx1"/>
            </w14:solidFill>
          </w14:textFill>
        </w:rPr>
        <w:t>可适当降低预付款比例，但不得低于</w:t>
      </w:r>
      <w:r>
        <w:rPr>
          <w:rFonts w:ascii="宋体" w:hAnsi="宋体"/>
          <w:color w:val="000000" w:themeColor="text1"/>
          <w:sz w:val="24"/>
          <w:highlight w:val="none"/>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明确表示无需预付款或者主动要求降低预付款比例的，</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可不适用前述规定。</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根据项目特点、供应商诚信等因素，可以要求</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color w:val="000000" w:themeColor="text1"/>
          <w:sz w:val="24"/>
          <w:highlight w:val="none"/>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highlight w:val="none"/>
          <w14:textFill>
            <w14:solidFill>
              <w14:schemeClr w14:val="tx1"/>
            </w14:solidFill>
          </w14:textFill>
        </w:rPr>
        <w:t>/保函受理—确认保单—支付保费—成功出单。政</w:t>
      </w:r>
      <w:r>
        <w:rPr>
          <w:rFonts w:hint="eastAsia" w:ascii="宋体" w:hAnsi="宋体"/>
          <w:color w:val="000000" w:themeColor="text1"/>
          <w:sz w:val="24"/>
          <w:highlight w:val="none"/>
          <w14:textFill>
            <w14:solidFill>
              <w14:schemeClr w14:val="tx1"/>
            </w14:solidFill>
          </w14:textFill>
        </w:rPr>
        <w:t>采云金融专线</w:t>
      </w:r>
      <w:r>
        <w:rPr>
          <w:rFonts w:hint="eastAsia" w:ascii="宋体" w:hAnsi="宋体"/>
          <w:color w:val="000000" w:themeColor="text1"/>
          <w:sz w:val="24"/>
          <w:highlight w:val="none"/>
          <w:lang w:val="en-US" w:eastAsia="zh-CN"/>
          <w14:textFill>
            <w14:solidFill>
              <w14:schemeClr w14:val="tx1"/>
            </w14:solidFill>
          </w14:textFill>
        </w:rPr>
        <w:t>95763</w:t>
      </w:r>
      <w:r>
        <w:rPr>
          <w:rFonts w:ascii="宋体" w:hAnsi="宋体"/>
          <w:color w:val="000000" w:themeColor="text1"/>
          <w:sz w:val="24"/>
          <w:highlight w:val="none"/>
          <w14:textFill>
            <w14:solidFill>
              <w14:schemeClr w14:val="tx1"/>
            </w14:solidFill>
          </w14:textFill>
        </w:rPr>
        <w:t>。</w:t>
      </w:r>
    </w:p>
    <w:p>
      <w:pPr>
        <w:rPr>
          <w:color w:val="000000" w:themeColor="text1"/>
          <w:highlight w:val="none"/>
          <w14:textFill>
            <w14:solidFill>
              <w14:schemeClr w14:val="tx1"/>
            </w14:solidFill>
          </w14:textFill>
        </w:rPr>
      </w:pPr>
    </w:p>
    <w:p>
      <w:pPr>
        <w:snapToGrid w:val="0"/>
        <w:spacing w:line="360" w:lineRule="auto"/>
        <w:ind w:firstLine="3357" w:firstLineChars="1045"/>
        <w:rPr>
          <w:rFonts w:ascii="宋体" w:hAnsi="宋体" w:cs="宋体"/>
          <w:b/>
          <w:color w:val="000000" w:themeColor="text1"/>
          <w:sz w:val="32"/>
          <w:highlight w:val="none"/>
          <w14:textFill>
            <w14:solidFill>
              <w14:schemeClr w14:val="tx1"/>
            </w14:solidFill>
          </w14:textFill>
        </w:rPr>
      </w:pPr>
    </w:p>
    <w:p>
      <w:pPr>
        <w:snapToGrid w:val="0"/>
        <w:spacing w:line="360" w:lineRule="auto"/>
        <w:ind w:firstLine="3357" w:firstLineChars="1045"/>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八、电子交易活动的中止</w:t>
      </w:r>
    </w:p>
    <w:p>
      <w:pPr>
        <w:pStyle w:val="131"/>
        <w:snapToGrid w:val="0"/>
        <w:spacing w:before="0"/>
        <w:ind w:firstLine="0" w:firstLineChars="0"/>
        <w:rPr>
          <w:rFonts w:ascii="宋体" w:hAnsi="宋体" w:cs="宋体"/>
          <w:color w:val="000000" w:themeColor="text1"/>
          <w:highlight w:val="none"/>
          <w14:textFill>
            <w14:solidFill>
              <w14:schemeClr w14:val="tx1"/>
            </w14:solidFill>
          </w14:textFill>
        </w:rPr>
      </w:pPr>
      <w:r>
        <w:rPr>
          <w:rFonts w:ascii="宋体" w:hAnsi="宋体" w:cs="宋体"/>
          <w:b/>
          <w:bCs/>
          <w:color w:val="000000" w:themeColor="text1"/>
          <w:sz w:val="24"/>
          <w:szCs w:val="20"/>
          <w:highlight w:val="none"/>
          <w14:textFill>
            <w14:solidFill>
              <w14:schemeClr w14:val="tx1"/>
            </w14:solidFill>
          </w14:textFill>
        </w:rPr>
        <w:t>2</w:t>
      </w:r>
      <w:r>
        <w:rPr>
          <w:rFonts w:ascii="宋体" w:hAnsi="宋体" w:cs="宋体"/>
          <w:b/>
          <w:bCs/>
          <w:color w:val="000000" w:themeColor="text1"/>
          <w:sz w:val="24"/>
          <w:szCs w:val="24"/>
          <w:highlight w:val="none"/>
          <w14:textFill>
            <w14:solidFill>
              <w14:schemeClr w14:val="tx1"/>
            </w14:solidFill>
          </w14:textFill>
        </w:rPr>
        <w:t>8</w:t>
      </w:r>
      <w:r>
        <w:rPr>
          <w:rFonts w:hint="eastAsia" w:ascii="宋体" w:hAnsi="宋体" w:cs="宋体"/>
          <w:b/>
          <w:color w:val="000000" w:themeColor="text1"/>
          <w:szCs w:val="24"/>
          <w:highlight w:val="none"/>
          <w14:textFill>
            <w14:solidFill>
              <w14:schemeClr w14:val="tx1"/>
            </w14:solidFill>
          </w14:textFill>
        </w:rPr>
        <w:t>.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可中止电子交易活动：</w:t>
      </w:r>
    </w:p>
    <w:p>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28.1电子交易平台发生故障而无法登录访问的； </w:t>
      </w:r>
    </w:p>
    <w:p>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28.2电子交易平台应用或数据库出现错误，不能进行正常操作的；</w:t>
      </w:r>
    </w:p>
    <w:p>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28.3电子交易平台发现严重安全漏洞，有潜在泄密危险的；</w:t>
      </w:r>
    </w:p>
    <w:p>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28.4病毒发作导致不能进行正常操作的； </w:t>
      </w:r>
    </w:p>
    <w:p>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28.5其他无法保证电子交易的公平、公正和安全的情况。</w:t>
      </w:r>
    </w:p>
    <w:p>
      <w:pPr>
        <w:pStyle w:val="131"/>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bCs/>
          <w:color w:val="000000" w:themeColor="text1"/>
          <w:highlight w:val="none"/>
          <w14:textFill>
            <w14:solidFill>
              <w14:schemeClr w14:val="tx1"/>
            </w14:solidFill>
          </w14:textFill>
        </w:rPr>
        <w:t>29.</w:t>
      </w:r>
      <w:r>
        <w:rPr>
          <w:rFonts w:hint="eastAsia" w:ascii="宋体" w:hAnsi="宋体" w:cs="宋体"/>
          <w:color w:val="000000" w:themeColor="text1"/>
          <w:highlight w:val="none"/>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000000" w:themeColor="text1"/>
          <w:sz w:val="24"/>
          <w:highlight w:val="none"/>
          <w14:textFill>
            <w14:solidFill>
              <w14:schemeClr w14:val="tx1"/>
            </w14:solidFill>
          </w14:textFill>
        </w:rPr>
      </w:pPr>
    </w:p>
    <w:p>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九、验收</w:t>
      </w:r>
    </w:p>
    <w:p>
      <w:pPr>
        <w:pStyle w:val="27"/>
        <w:spacing w:line="360" w:lineRule="auto"/>
        <w:ind w:firstLine="0" w:firstLineChars="0"/>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30.验收</w:t>
      </w:r>
    </w:p>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4"/>
        <w:adjustRightInd w:val="0"/>
        <w:snapToGrid w:val="0"/>
        <w:ind w:left="0" w:firstLine="480" w:firstLineChars="200"/>
        <w:rPr>
          <w:rFonts w:ascii="宋体" w:hAnsi="宋体" w:eastAsia="宋体" w:cs="宋体"/>
          <w:b w:val="0"/>
          <w:bCs w:val="0"/>
          <w:color w:val="000000" w:themeColor="text1"/>
          <w:kern w:val="0"/>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合同管理</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-支付管理。对于供应商提起在线支付申请的，采购</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人</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应当</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按规定</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做好审核并完成支付。</w:t>
      </w:r>
    </w:p>
    <w:p>
      <w:pPr>
        <w:pStyle w:val="80"/>
        <w:rPr>
          <w:color w:val="000000" w:themeColor="text1"/>
          <w:highlight w:val="none"/>
          <w14:textFill>
            <w14:solidFill>
              <w14:schemeClr w14:val="tx1"/>
            </w14:solidFill>
          </w14:textFill>
        </w:rPr>
      </w:pPr>
    </w:p>
    <w:bookmarkEnd w:id="57"/>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59" w:name="_Hlt75236290"/>
      <w:bookmarkEnd w:id="59"/>
      <w:bookmarkStart w:id="60" w:name="_Hlt68072990"/>
      <w:bookmarkEnd w:id="60"/>
      <w:bookmarkStart w:id="61" w:name="_Hlt74714665"/>
      <w:bookmarkEnd w:id="61"/>
      <w:bookmarkStart w:id="62" w:name="_Hlt74730295"/>
      <w:bookmarkEnd w:id="62"/>
      <w:bookmarkStart w:id="63" w:name="_Hlt75236101"/>
      <w:bookmarkEnd w:id="63"/>
      <w:bookmarkStart w:id="64" w:name="_Hlt68072998"/>
      <w:bookmarkEnd w:id="64"/>
      <w:bookmarkStart w:id="65" w:name="_Hlt68403820"/>
      <w:bookmarkEnd w:id="65"/>
      <w:bookmarkStart w:id="66" w:name="_Hlt74729768"/>
      <w:bookmarkEnd w:id="66"/>
      <w:bookmarkStart w:id="67" w:name="_Hlt74707468"/>
      <w:bookmarkEnd w:id="67"/>
      <w:bookmarkStart w:id="68" w:name="_Hlt68057669"/>
      <w:bookmarkEnd w:id="68"/>
      <w:bookmarkStart w:id="69" w:name="_Hlt75236011"/>
      <w:bookmarkEnd w:id="69"/>
      <w:bookmarkStart w:id="70" w:name="_Hlt68073093"/>
      <w:bookmarkEnd w:id="70"/>
    </w:p>
    <w:bookmarkEnd w:id="53"/>
    <w:bookmarkEnd w:id="54"/>
    <w:p>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bookmarkStart w:id="71" w:name="第四部分"/>
      <w:r>
        <w:rPr>
          <w:rFonts w:hint="eastAsia" w:ascii="宋体" w:hAnsi="宋体" w:cs="宋体"/>
          <w:b/>
          <w:color w:val="000000" w:themeColor="text1"/>
          <w:sz w:val="36"/>
          <w:szCs w:val="36"/>
          <w:highlight w:val="none"/>
          <w14:textFill>
            <w14:solidFill>
              <w14:schemeClr w14:val="tx1"/>
            </w14:solidFill>
          </w14:textFill>
        </w:rPr>
        <w:t>第三部分   采购需求</w:t>
      </w:r>
    </w:p>
    <w:p>
      <w:pPr>
        <w:pStyle w:val="3"/>
        <w:numPr>
          <w:ilvl w:val="0"/>
          <w:numId w:val="0"/>
        </w:numPr>
        <w:spacing w:before="0" w:after="0" w:line="360" w:lineRule="auto"/>
        <w:ind w:leftChars="0" w:firstLine="482"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一、</w:t>
      </w:r>
      <w:r>
        <w:rPr>
          <w:rFonts w:hint="eastAsia" w:ascii="宋体" w:hAnsi="宋体" w:cs="宋体"/>
          <w:color w:val="000000" w:themeColor="text1"/>
          <w:sz w:val="24"/>
          <w:szCs w:val="24"/>
          <w14:textFill>
            <w14:solidFill>
              <w14:schemeClr w14:val="tx1"/>
            </w14:solidFill>
          </w14:textFill>
        </w:rPr>
        <w:t>项目</w:t>
      </w:r>
      <w:r>
        <w:rPr>
          <w:rFonts w:hint="eastAsia" w:ascii="宋体" w:hAnsi="宋体" w:cs="宋体"/>
          <w:color w:val="000000" w:themeColor="text1"/>
          <w:sz w:val="24"/>
          <w:szCs w:val="24"/>
          <w:lang w:val="en-US" w:eastAsia="zh-CN"/>
          <w14:textFill>
            <w14:solidFill>
              <w14:schemeClr w14:val="tx1"/>
            </w14:solidFill>
          </w14:textFill>
        </w:rPr>
        <w:t>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hAnsi="宋体" w:cs="宋体"/>
          <w:b w:val="0"/>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本项目是“航运浙江”建设的重点研究项目，拟通过对长江南翼（长三角）经钱塘江航运通江达海工程运输需求分析，初步评估长江南翼（长三角）经钱塘江</w:t>
      </w:r>
      <w:r>
        <w:rPr>
          <w:rFonts w:hint="eastAsia" w:hAnsi="宋体" w:cs="宋体"/>
          <w:b w:val="0"/>
          <w:bCs/>
          <w:color w:val="000000" w:themeColor="text1"/>
          <w:sz w:val="24"/>
          <w:highlight w:val="none"/>
          <w:lang w:eastAsia="zh-CN"/>
          <w14:textFill>
            <w14:solidFill>
              <w14:schemeClr w14:val="tx1"/>
            </w14:solidFill>
          </w14:textFill>
        </w:rPr>
        <w:t>航运</w:t>
      </w:r>
      <w:r>
        <w:rPr>
          <w:rFonts w:hint="eastAsia" w:hAnsi="宋体" w:cs="宋体"/>
          <w:bCs/>
          <w:color w:val="000000" w:themeColor="text1"/>
          <w:sz w:val="24"/>
          <w:highlight w:val="none"/>
          <w14:textFill>
            <w14:solidFill>
              <w14:schemeClr w14:val="tx1"/>
            </w14:solidFill>
          </w14:textFill>
        </w:rPr>
        <w:t>通江达海工程</w:t>
      </w:r>
      <w:r>
        <w:rPr>
          <w:rFonts w:hint="eastAsia" w:hAnsi="宋体" w:cs="宋体"/>
          <w:b w:val="0"/>
          <w:bCs/>
          <w:color w:val="000000" w:themeColor="text1"/>
          <w:sz w:val="24"/>
          <w:highlight w:val="none"/>
          <w14:textFill>
            <w14:solidFill>
              <w14:schemeClr w14:val="tx1"/>
            </w14:solidFill>
          </w14:textFill>
        </w:rPr>
        <w:t>建设</w:t>
      </w:r>
      <w:r>
        <w:rPr>
          <w:rFonts w:hint="eastAsia" w:hAnsi="宋体" w:cs="宋体"/>
          <w:bCs/>
          <w:color w:val="000000" w:themeColor="text1"/>
          <w:sz w:val="24"/>
          <w:highlight w:val="none"/>
          <w14:textFill>
            <w14:solidFill>
              <w14:schemeClr w14:val="tx1"/>
            </w14:solidFill>
          </w14:textFill>
        </w:rPr>
        <w:t>的</w:t>
      </w:r>
      <w:r>
        <w:rPr>
          <w:rFonts w:hint="eastAsia" w:hAnsi="宋体" w:cs="宋体"/>
          <w:bCs/>
          <w:color w:val="000000" w:themeColor="text1"/>
          <w:sz w:val="24"/>
          <w:highlight w:val="none"/>
          <w:lang w:eastAsia="zh-CN"/>
          <w14:textFill>
            <w14:solidFill>
              <w14:schemeClr w14:val="tx1"/>
            </w14:solidFill>
          </w14:textFill>
        </w:rPr>
        <w:t>必要性</w:t>
      </w:r>
      <w:r>
        <w:rPr>
          <w:rFonts w:hint="eastAsia" w:hAnsi="宋体" w:cs="宋体"/>
          <w:bCs/>
          <w:color w:val="000000" w:themeColor="text1"/>
          <w:sz w:val="24"/>
          <w:highlight w:val="none"/>
          <w14:textFill>
            <w14:solidFill>
              <w14:schemeClr w14:val="tx1"/>
            </w14:solidFill>
          </w14:textFill>
        </w:rPr>
        <w:t>，并提出下阶段工作建议。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hAnsi="宋体" w:cs="宋体"/>
          <w:bCs/>
          <w:snapToGrid/>
          <w:color w:val="000000" w:themeColor="text1"/>
          <w:kern w:val="2"/>
          <w:sz w:val="24"/>
          <w:szCs w:val="24"/>
          <w:highlight w:val="none"/>
          <w:lang w:eastAsia="zh-CN"/>
          <w14:textFill>
            <w14:solidFill>
              <w14:schemeClr w14:val="tx1"/>
            </w14:solidFill>
          </w14:textFill>
        </w:rPr>
      </w:pPr>
      <w:r>
        <w:rPr>
          <w:rFonts w:hint="eastAsia" w:hAnsi="宋体" w:cs="宋体"/>
          <w:b w:val="0"/>
          <w:bCs/>
          <w:color w:val="000000" w:themeColor="text1"/>
          <w:sz w:val="24"/>
          <w:highlight w:val="none"/>
          <w14:textFill>
            <w14:solidFill>
              <w14:schemeClr w14:val="tx1"/>
            </w14:solidFill>
          </w14:textFill>
        </w:rPr>
        <w:t>主要研究内容：</w:t>
      </w:r>
      <w:bookmarkStart w:id="72" w:name="OLE_LINK73"/>
      <w:r>
        <w:rPr>
          <w:rFonts w:hint="eastAsia" w:hAnsi="宋体" w:cs="宋体"/>
          <w:b w:val="0"/>
          <w:bCs/>
          <w:color w:val="000000" w:themeColor="text1"/>
          <w:sz w:val="24"/>
          <w:highlight w:val="none"/>
          <w14:textFill>
            <w14:solidFill>
              <w14:schemeClr w14:val="tx1"/>
            </w14:solidFill>
          </w14:textFill>
        </w:rPr>
        <w:t>（1）分析杭州湾江海联运通道发展现状及存在问题。（2）结合腹地经济社会发展趋势，判断杭绍甬及钱塘江沿线区域未来运输需求发展趋势。（3）结合腹地综合运输格局分析，预测长三角经钱塘江出海通道的</w:t>
      </w:r>
      <w:r>
        <w:rPr>
          <w:rFonts w:hint="eastAsia" w:hAnsi="宋体" w:cs="宋体"/>
          <w:b w:val="0"/>
          <w:bCs/>
          <w:color w:val="000000" w:themeColor="text1"/>
          <w:sz w:val="24"/>
          <w:highlight w:val="none"/>
          <w:lang w:eastAsia="zh-CN"/>
          <w14:textFill>
            <w14:solidFill>
              <w14:schemeClr w14:val="tx1"/>
            </w14:solidFill>
          </w14:textFill>
        </w:rPr>
        <w:t>水路</w:t>
      </w:r>
      <w:r>
        <w:rPr>
          <w:rFonts w:hint="eastAsia" w:hAnsi="宋体" w:cs="宋体"/>
          <w:b w:val="0"/>
          <w:bCs/>
          <w:color w:val="000000" w:themeColor="text1"/>
          <w:sz w:val="24"/>
          <w:highlight w:val="none"/>
          <w14:textFill>
            <w14:solidFill>
              <w14:schemeClr w14:val="tx1"/>
            </w14:solidFill>
          </w14:textFill>
        </w:rPr>
        <w:t>运输需求及战略价值。（4）提出</w:t>
      </w:r>
      <w:r>
        <w:rPr>
          <w:rFonts w:hint="eastAsia" w:ascii="Times New Roman" w:hAnsi="宋体" w:cs="宋体"/>
          <w:b w:val="0"/>
          <w:bCs/>
          <w:color w:val="000000" w:themeColor="text1"/>
          <w:sz w:val="24"/>
          <w:highlight w:val="none"/>
          <w:lang w:eastAsia="zh-CN"/>
          <w14:textFill>
            <w14:solidFill>
              <w14:schemeClr w14:val="tx1"/>
            </w14:solidFill>
          </w14:textFill>
        </w:rPr>
        <w:t>长江南翼</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hAnsi="宋体" w:cs="宋体"/>
          <w:b w:val="0"/>
          <w:bCs/>
          <w:color w:val="000000" w:themeColor="text1"/>
          <w:sz w:val="24"/>
          <w:highlight w:val="none"/>
          <w14:textFill>
            <w14:solidFill>
              <w14:schemeClr w14:val="tx1"/>
            </w14:solidFill>
          </w14:textFill>
        </w:rPr>
        <w:t>长三角</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hAnsi="宋体" w:cs="宋体"/>
          <w:b w:val="0"/>
          <w:bCs/>
          <w:color w:val="000000" w:themeColor="text1"/>
          <w:sz w:val="24"/>
          <w:highlight w:val="none"/>
          <w14:textFill>
            <w14:solidFill>
              <w14:schemeClr w14:val="tx1"/>
            </w14:solidFill>
          </w14:textFill>
        </w:rPr>
        <w:t>经钱塘江</w:t>
      </w:r>
      <w:r>
        <w:rPr>
          <w:rFonts w:hint="eastAsia" w:hAnsi="宋体" w:cs="宋体"/>
          <w:b w:val="0"/>
          <w:bCs/>
          <w:color w:val="000000" w:themeColor="text1"/>
          <w:sz w:val="24"/>
          <w:highlight w:val="none"/>
          <w:lang w:eastAsia="zh-CN"/>
          <w14:textFill>
            <w14:solidFill>
              <w14:schemeClr w14:val="tx1"/>
            </w14:solidFill>
          </w14:textFill>
        </w:rPr>
        <w:t>航运</w:t>
      </w:r>
      <w:r>
        <w:rPr>
          <w:rFonts w:hint="eastAsia" w:hAnsi="宋体" w:cs="宋体"/>
          <w:bCs/>
          <w:color w:val="000000" w:themeColor="text1"/>
          <w:sz w:val="24"/>
          <w:highlight w:val="none"/>
          <w14:textFill>
            <w14:solidFill>
              <w14:schemeClr w14:val="tx1"/>
            </w14:solidFill>
          </w14:textFill>
        </w:rPr>
        <w:t>通江达海工程</w:t>
      </w:r>
      <w:r>
        <w:rPr>
          <w:rFonts w:hint="eastAsia" w:hAnsi="宋体" w:cs="宋体"/>
          <w:b w:val="0"/>
          <w:bCs/>
          <w:color w:val="000000" w:themeColor="text1"/>
          <w:sz w:val="24"/>
          <w:highlight w:val="none"/>
          <w14:textFill>
            <w14:solidFill>
              <w14:schemeClr w14:val="tx1"/>
            </w14:solidFill>
          </w14:textFill>
        </w:rPr>
        <w:t>建设的必要性</w:t>
      </w:r>
      <w:r>
        <w:rPr>
          <w:rFonts w:hint="eastAsia" w:hAnsi="宋体" w:cs="宋体"/>
          <w:b w:val="0"/>
          <w:bCs/>
          <w:snapToGrid/>
          <w:color w:val="000000" w:themeColor="text1"/>
          <w:kern w:val="2"/>
          <w:sz w:val="24"/>
          <w:szCs w:val="24"/>
          <w:highlight w:val="none"/>
          <w:lang w:eastAsia="zh-CN"/>
          <w14:textFill>
            <w14:solidFill>
              <w14:schemeClr w14:val="tx1"/>
            </w14:solidFill>
          </w14:textFill>
        </w:rPr>
        <w:t>。</w:t>
      </w:r>
      <w:bookmarkEnd w:id="72"/>
    </w:p>
    <w:p>
      <w:pPr>
        <w:pStyle w:val="3"/>
        <w:numPr>
          <w:ilvl w:val="0"/>
          <w:numId w:val="0"/>
        </w:numPr>
        <w:spacing w:before="0" w:after="0" w:line="360" w:lineRule="auto"/>
        <w:ind w:leftChars="0" w:firstLine="482" w:firstLineChars="200"/>
        <w:rPr>
          <w:rFonts w:hint="eastAsia" w:ascii="宋体" w:hAnsi="宋体" w:cs="宋体"/>
          <w:color w:val="000000" w:themeColor="text1"/>
          <w:sz w:val="24"/>
          <w:szCs w:val="24"/>
          <w:lang w:val="en-US" w:eastAsia="zh-CN"/>
          <w14:textFill>
            <w14:solidFill>
              <w14:schemeClr w14:val="tx1"/>
            </w14:solidFill>
          </w14:textFill>
        </w:rPr>
      </w:pPr>
      <w:bookmarkStart w:id="73" w:name="OLE_LINK36"/>
      <w:r>
        <w:rPr>
          <w:rFonts w:hint="eastAsia" w:ascii="宋体" w:hAnsi="宋体" w:cs="宋体"/>
          <w:color w:val="000000" w:themeColor="text1"/>
          <w:sz w:val="24"/>
          <w:szCs w:val="24"/>
          <w:lang w:val="en-US" w:eastAsia="zh-CN"/>
          <w14:textFill>
            <w14:solidFill>
              <w14:schemeClr w14:val="tx1"/>
            </w14:solidFill>
          </w14:textFill>
        </w:rPr>
        <w:t>二、拟采购标的的技术要求</w:t>
      </w:r>
    </w:p>
    <w:bookmarkEnd w:id="73"/>
    <w:tbl>
      <w:tblPr>
        <w:tblStyle w:val="63"/>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58"/>
        <w:gridCol w:w="2409"/>
        <w:gridCol w:w="1360"/>
        <w:gridCol w:w="303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仿宋_GB2312"/>
                <w:sz w:val="24"/>
                <w:szCs w:val="24"/>
              </w:rPr>
            </w:pPr>
            <w:bookmarkStart w:id="74" w:name="OLE_LINK47"/>
            <w:r>
              <w:rPr>
                <w:rFonts w:hint="eastAsia" w:ascii="宋体" w:hAnsi="宋体" w:cs="仿宋_GB2312"/>
                <w:sz w:val="24"/>
                <w:szCs w:val="24"/>
              </w:rPr>
              <w:t>标的内容</w:t>
            </w:r>
          </w:p>
        </w:tc>
        <w:tc>
          <w:tcPr>
            <w:tcW w:w="6804"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仿宋_GB2312"/>
                <w:sz w:val="24"/>
                <w:szCs w:val="24"/>
                <w:lang w:val="en-US" w:eastAsia="zh-CN"/>
              </w:rPr>
            </w:pPr>
            <w:r>
              <w:rPr>
                <w:rFonts w:hint="eastAsia" w:ascii="宋体" w:hAnsi="宋体" w:cs="宋体"/>
                <w:strike w:val="0"/>
                <w:color w:val="000000"/>
                <w:sz w:val="24"/>
                <w:szCs w:val="24"/>
                <w:lang w:val="en-US" w:eastAsia="zh-CN"/>
              </w:rPr>
              <w:t>长江南翼经钱塘江航运通江达海工程研究（运输需求分析）</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仿宋_GB2312"/>
                <w:sz w:val="24"/>
                <w:szCs w:val="24"/>
              </w:rPr>
            </w:pPr>
            <w:r>
              <w:rPr>
                <w:rFonts w:hint="eastAsia" w:ascii="宋体" w:hAnsi="宋体" w:cs="仿宋_GB2312"/>
                <w:sz w:val="24"/>
                <w:szCs w:val="24"/>
              </w:rPr>
              <w:t>数量</w:t>
            </w:r>
          </w:p>
        </w:tc>
        <w:tc>
          <w:tcPr>
            <w:tcW w:w="240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仿宋_GB2312"/>
                <w:sz w:val="24"/>
                <w:szCs w:val="24"/>
                <w:lang w:val="en-US" w:eastAsia="zh-CN"/>
              </w:rPr>
            </w:pPr>
            <w:r>
              <w:rPr>
                <w:rFonts w:hint="eastAsia" w:ascii="宋体" w:hAnsi="宋体" w:cs="仿宋_GB2312"/>
                <w:sz w:val="24"/>
                <w:szCs w:val="24"/>
                <w:lang w:val="en-US" w:eastAsia="zh-CN"/>
              </w:rPr>
              <w:t>1</w:t>
            </w:r>
          </w:p>
        </w:tc>
        <w:tc>
          <w:tcPr>
            <w:tcW w:w="13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仿宋_GB2312"/>
                <w:sz w:val="24"/>
                <w:szCs w:val="24"/>
              </w:rPr>
            </w:pPr>
            <w:r>
              <w:rPr>
                <w:rFonts w:hint="eastAsia" w:ascii="宋体" w:hAnsi="宋体" w:cs="仿宋_GB2312"/>
                <w:sz w:val="24"/>
                <w:szCs w:val="24"/>
              </w:rPr>
              <w:t>单位</w:t>
            </w:r>
          </w:p>
        </w:tc>
        <w:tc>
          <w:tcPr>
            <w:tcW w:w="30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仿宋_GB2312"/>
                <w:sz w:val="24"/>
                <w:szCs w:val="24"/>
                <w:lang w:val="en-US" w:eastAsia="zh-CN"/>
              </w:rPr>
            </w:pPr>
            <w:r>
              <w:rPr>
                <w:rFonts w:hint="eastAsia" w:ascii="宋体" w:hAnsi="宋体" w:cs="仿宋_GB2312"/>
                <w:sz w:val="24"/>
                <w:szCs w:val="24"/>
                <w:lang w:val="en-US" w:eastAsia="zh-CN"/>
              </w:rPr>
              <w:t>项</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45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仿宋_GB2312"/>
                <w:sz w:val="24"/>
                <w:szCs w:val="24"/>
              </w:rPr>
            </w:pPr>
            <w:r>
              <w:rPr>
                <w:rFonts w:hint="eastAsia" w:ascii="宋体" w:hAnsi="宋体" w:cs="仿宋_GB2312"/>
                <w:sz w:val="24"/>
                <w:szCs w:val="24"/>
              </w:rPr>
              <w:t>功能和质量</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仿宋_GB2312"/>
                <w:sz w:val="24"/>
                <w:szCs w:val="24"/>
              </w:rPr>
            </w:pPr>
            <w:r>
              <w:rPr>
                <w:rFonts w:hint="eastAsia" w:ascii="宋体" w:hAnsi="宋体" w:cs="仿宋_GB2312"/>
                <w:sz w:val="24"/>
                <w:szCs w:val="24"/>
              </w:rPr>
              <w:t>要求</w:t>
            </w:r>
          </w:p>
        </w:tc>
        <w:tc>
          <w:tcPr>
            <w:tcW w:w="6804" w:type="dxa"/>
            <w:gridSpan w:val="3"/>
            <w:shd w:val="clear" w:color="auto" w:fill="auto"/>
            <w:vAlign w:val="center"/>
          </w:tcPr>
          <w:p>
            <w:pPr>
              <w:ind w:firstLine="480" w:firstLineChars="200"/>
              <w:jc w:val="both"/>
              <w:rPr>
                <w:rFonts w:ascii="宋体" w:hAnsi="宋体" w:cs="仿宋_GB2312"/>
                <w:sz w:val="24"/>
                <w:szCs w:val="24"/>
                <w:u w:val="none"/>
              </w:rPr>
            </w:pPr>
            <w:r>
              <w:rPr>
                <w:rFonts w:hint="default" w:ascii="宋体" w:hAnsi="宋体" w:cs="宋体"/>
                <w:strike w:val="0"/>
                <w:color w:val="000000"/>
                <w:sz w:val="24"/>
                <w:szCs w:val="24"/>
                <w:lang w:val="en-US" w:eastAsia="zh-CN"/>
              </w:rPr>
              <w:t>制定</w:t>
            </w:r>
            <w:r>
              <w:rPr>
                <w:rFonts w:hint="eastAsia" w:ascii="宋体" w:hAnsi="宋体" w:cs="宋体"/>
                <w:strike w:val="0"/>
                <w:color w:val="000000"/>
                <w:sz w:val="24"/>
                <w:szCs w:val="24"/>
                <w:lang w:val="en-US" w:eastAsia="zh-CN"/>
              </w:rPr>
              <w:t>工作</w:t>
            </w:r>
            <w:r>
              <w:rPr>
                <w:rFonts w:hint="default" w:ascii="宋体" w:hAnsi="宋体" w:cs="宋体"/>
                <w:strike w:val="0"/>
                <w:color w:val="000000"/>
                <w:sz w:val="24"/>
                <w:szCs w:val="24"/>
                <w:lang w:val="en-US" w:eastAsia="zh-CN"/>
              </w:rPr>
              <w:t>大纲，开展资料收集和调研</w:t>
            </w:r>
            <w:r>
              <w:rPr>
                <w:rFonts w:hint="eastAsia" w:ascii="宋体" w:hAnsi="宋体" w:cs="宋体"/>
                <w:strike w:val="0"/>
                <w:color w:val="000000"/>
                <w:sz w:val="24"/>
                <w:szCs w:val="24"/>
                <w:lang w:val="en-US" w:eastAsia="zh-CN"/>
              </w:rPr>
              <w:t>，</w:t>
            </w:r>
            <w:r>
              <w:rPr>
                <w:rFonts w:hint="default" w:ascii="宋体" w:hAnsi="宋体" w:cs="宋体"/>
                <w:strike w:val="0"/>
                <w:color w:val="000000"/>
                <w:sz w:val="24"/>
                <w:szCs w:val="24"/>
                <w:lang w:val="en-US" w:eastAsia="zh-CN"/>
              </w:rPr>
              <w:t>完成报告编制</w:t>
            </w:r>
            <w:r>
              <w:rPr>
                <w:rFonts w:hint="eastAsia" w:ascii="宋体" w:hAnsi="宋体" w:cs="宋体"/>
                <w:strike w:val="0"/>
                <w:color w:val="000000"/>
                <w:sz w:val="24"/>
                <w:szCs w:val="24"/>
                <w:lang w:val="en-US" w:eastAsia="zh-CN"/>
              </w:rPr>
              <w:t>,</w:t>
            </w:r>
            <w:r>
              <w:rPr>
                <w:rFonts w:hint="eastAsia" w:ascii="宋体" w:hAnsi="宋体" w:cs="宋体"/>
                <w:color w:val="000000"/>
                <w:sz w:val="24"/>
              </w:rPr>
              <w:t>通过专家审查</w:t>
            </w:r>
            <w:r>
              <w:rPr>
                <w:rFonts w:hint="eastAsia" w:ascii="宋体" w:hAnsi="宋体" w:cs="宋体"/>
                <w:strike w:val="0"/>
                <w:color w:val="000000"/>
                <w:sz w:val="24"/>
                <w:szCs w:val="24"/>
                <w:lang w:val="en-US" w:eastAsia="zh-CN"/>
              </w:rPr>
              <w:t>。</w:t>
            </w:r>
          </w:p>
        </w:tc>
      </w:tr>
      <w:bookmarkEnd w:id="74"/>
    </w:tbl>
    <w:p>
      <w:pPr>
        <w:numPr>
          <w:ilvl w:val="0"/>
          <w:numId w:val="0"/>
        </w:numPr>
        <w:snapToGrid w:val="0"/>
        <w:spacing w:line="360" w:lineRule="auto"/>
        <w:ind w:firstLine="482" w:firstLineChars="200"/>
        <w:rPr>
          <w:rFonts w:hint="eastAsia" w:ascii="宋体" w:hAnsi="宋体" w:cs="仿宋_GB2312"/>
          <w:b/>
          <w:bCs/>
          <w:sz w:val="24"/>
          <w:highlight w:val="none"/>
        </w:rPr>
      </w:pPr>
      <w:bookmarkStart w:id="75" w:name="OLE_LINK35"/>
      <w:r>
        <w:rPr>
          <w:rFonts w:hint="eastAsia" w:ascii="宋体" w:hAnsi="宋体" w:cs="仿宋_GB2312"/>
          <w:b/>
          <w:bCs/>
          <w:sz w:val="24"/>
          <w:highlight w:val="none"/>
        </w:rPr>
        <w:t>三、</w:t>
      </w:r>
      <w:bookmarkStart w:id="76" w:name="OLE_LINK41"/>
      <w:r>
        <w:rPr>
          <w:rFonts w:hint="eastAsia" w:ascii="宋体" w:hAnsi="宋体" w:cs="仿宋_GB2312"/>
          <w:b/>
          <w:bCs/>
          <w:sz w:val="24"/>
          <w:highlight w:val="none"/>
        </w:rPr>
        <w:t>拟来购标的的商务要求</w:t>
      </w:r>
      <w:bookmarkEnd w:id="76"/>
    </w:p>
    <w:bookmarkEnd w:id="75"/>
    <w:p>
      <w:pPr>
        <w:numPr>
          <w:ilvl w:val="0"/>
          <w:numId w:val="0"/>
        </w:numPr>
        <w:snapToGrid w:val="0"/>
        <w:spacing w:line="360" w:lineRule="auto"/>
        <w:ind w:firstLine="482" w:firstLineChars="200"/>
        <w:rPr>
          <w:rFonts w:hint="eastAsia" w:ascii="宋体" w:hAnsi="宋体" w:cs="仿宋_GB2312"/>
          <w:b/>
          <w:bCs/>
          <w:sz w:val="24"/>
          <w:szCs w:val="24"/>
          <w:highlight w:val="none"/>
        </w:rPr>
      </w:pPr>
      <w:r>
        <w:rPr>
          <w:rFonts w:hint="eastAsia" w:ascii="宋体" w:hAnsi="宋体" w:cs="仿宋_GB2312"/>
          <w:b/>
          <w:bCs/>
          <w:sz w:val="24"/>
          <w:highlight w:val="none"/>
        </w:rPr>
        <w:t>1.交付（实施）的时间（期限）</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0" w:firstLine="480" w:firstLineChars="200"/>
        <w:textAlignment w:val="auto"/>
        <w:rPr>
          <w:rFonts w:hint="eastAsia" w:ascii="宋体" w:hAnsi="宋体" w:cs="宋体"/>
          <w:strike w:val="0"/>
          <w:color w:val="000000"/>
          <w:sz w:val="24"/>
          <w:szCs w:val="24"/>
          <w:lang w:val="en-US" w:eastAsia="zh-CN"/>
        </w:rPr>
      </w:pPr>
      <w:r>
        <w:rPr>
          <w:rFonts w:hint="eastAsia" w:ascii="宋体" w:hAnsi="宋体" w:cs="宋体"/>
          <w:strike w:val="0"/>
          <w:color w:val="000000"/>
          <w:sz w:val="24"/>
          <w:szCs w:val="24"/>
          <w:lang w:val="en-US" w:eastAsia="zh-CN"/>
        </w:rPr>
        <w:t>约4个月，具体以合同签订日期为准。合同签订后10天内完成工作大纲编制，组织专家审查，确定研究的技术线路，开展资料收集和调研工作；9月底完成分析研究报告初稿编制；10月具备专家审查的条件；11月20日前完成工作报告通过验收。</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0" w:firstLine="482" w:firstLineChars="200"/>
        <w:textAlignment w:val="auto"/>
        <w:rPr>
          <w:rFonts w:hint="eastAsia" w:ascii="宋体" w:hAnsi="宋体"/>
          <w:sz w:val="24"/>
          <w:highlight w:val="none"/>
          <w:u w:val="single"/>
        </w:rPr>
      </w:pPr>
      <w:r>
        <w:rPr>
          <w:rFonts w:hint="eastAsia" w:ascii="宋体" w:hAnsi="宋体" w:cs="仿宋_GB2312"/>
          <w:b/>
          <w:bCs/>
          <w:sz w:val="24"/>
          <w:highlight w:val="none"/>
          <w:lang w:val="en-US" w:eastAsia="zh-CN"/>
        </w:rPr>
        <w:t>2.</w:t>
      </w:r>
      <w:r>
        <w:rPr>
          <w:rFonts w:hint="eastAsia" w:ascii="宋体" w:hAnsi="宋体" w:cs="仿宋_GB2312"/>
          <w:b/>
          <w:bCs/>
          <w:sz w:val="24"/>
          <w:highlight w:val="none"/>
        </w:rPr>
        <w:t>交付（实施）的地点（范围）</w:t>
      </w:r>
      <w:r>
        <w:rPr>
          <w:rFonts w:hint="eastAsia" w:ascii="宋体" w:hAnsi="宋体" w:cs="仿宋_GB2312"/>
          <w:sz w:val="24"/>
          <w:highlight w:val="none"/>
        </w:rPr>
        <w:t>：</w:t>
      </w:r>
      <w:r>
        <w:rPr>
          <w:rFonts w:hint="eastAsia" w:ascii="宋体" w:hAnsi="宋体"/>
          <w:sz w:val="24"/>
          <w:highlight w:val="none"/>
          <w:u w:val="single"/>
        </w:rPr>
        <w:t xml:space="preserve">  </w:t>
      </w:r>
      <w:r>
        <w:rPr>
          <w:rFonts w:hint="eastAsia" w:ascii="宋体" w:hAnsi="宋体"/>
          <w:sz w:val="24"/>
          <w:highlight w:val="none"/>
          <w:u w:val="single"/>
          <w:lang w:val="en-US" w:eastAsia="zh-CN"/>
        </w:rPr>
        <w:t>杭州</w:t>
      </w:r>
      <w:r>
        <w:rPr>
          <w:rFonts w:hint="eastAsia" w:ascii="宋体" w:hAnsi="宋体"/>
          <w:sz w:val="24"/>
          <w:highlight w:val="none"/>
          <w:u w:val="single"/>
        </w:rPr>
        <w:t xml:space="preserve">  </w:t>
      </w:r>
    </w:p>
    <w:p>
      <w:pPr>
        <w:keepNext w:val="0"/>
        <w:keepLines w:val="0"/>
        <w:pageBreakBefore w:val="0"/>
        <w:widowControl w:val="0"/>
        <w:kinsoku/>
        <w:wordWrap/>
        <w:overflowPunct/>
        <w:topLinePunct w:val="0"/>
        <w:autoSpaceDE/>
        <w:autoSpaceDN/>
        <w:bidi w:val="0"/>
        <w:adjustRightInd/>
        <w:spacing w:line="440" w:lineRule="exact"/>
        <w:ind w:firstLine="482" w:firstLineChars="200"/>
        <w:jc w:val="left"/>
        <w:textAlignment w:val="auto"/>
        <w:rPr>
          <w:rFonts w:ascii="宋体" w:hAnsi="宋体" w:cs="仿宋_GB2312"/>
          <w:b/>
          <w:bCs/>
          <w:sz w:val="24"/>
          <w:highlight w:val="none"/>
        </w:rPr>
      </w:pPr>
      <w:r>
        <w:rPr>
          <w:rFonts w:hint="eastAsia" w:ascii="宋体" w:hAnsi="宋体" w:cs="仿宋_GB2312"/>
          <w:b/>
          <w:bCs/>
          <w:sz w:val="24"/>
          <w:highlight w:val="none"/>
        </w:rPr>
        <w:t>3.付款条件（进度和方式）</w:t>
      </w:r>
    </w:p>
    <w:tbl>
      <w:tblPr>
        <w:tblStyle w:val="63"/>
        <w:tblW w:w="0" w:type="auto"/>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931"/>
        <w:gridCol w:w="1683"/>
        <w:gridCol w:w="636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54" w:hRule="atLeast"/>
          <w:jc w:val="center"/>
        </w:trPr>
        <w:tc>
          <w:tcPr>
            <w:tcW w:w="931" w:type="dxa"/>
            <w:shd w:val="clear" w:color="auto" w:fill="auto"/>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序号</w:t>
            </w:r>
          </w:p>
        </w:tc>
        <w:tc>
          <w:tcPr>
            <w:tcW w:w="1683" w:type="dxa"/>
            <w:shd w:val="clear" w:color="auto" w:fill="auto"/>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付款比例（%）</w:t>
            </w:r>
          </w:p>
        </w:tc>
        <w:tc>
          <w:tcPr>
            <w:tcW w:w="6365" w:type="dxa"/>
            <w:shd w:val="clear" w:color="auto" w:fill="auto"/>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付款方式</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54" w:hRule="atLeast"/>
          <w:jc w:val="center"/>
        </w:trPr>
        <w:tc>
          <w:tcPr>
            <w:tcW w:w="93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default" w:ascii="Times New Roman" w:hAnsi="Times New Roman" w:cs="Times New Roman"/>
                <w:strike w:val="0"/>
                <w:color w:val="auto"/>
                <w:sz w:val="24"/>
                <w:szCs w:val="24"/>
                <w:highlight w:val="none"/>
                <w:lang w:val="en-US" w:eastAsia="zh-CN"/>
              </w:rPr>
            </w:pPr>
            <w:r>
              <w:rPr>
                <w:rFonts w:hint="default" w:ascii="Times New Roman" w:hAnsi="Times New Roman" w:cs="Times New Roman"/>
                <w:strike w:val="0"/>
                <w:color w:val="auto"/>
                <w:sz w:val="24"/>
                <w:szCs w:val="24"/>
                <w:highlight w:val="none"/>
                <w:lang w:val="en-US" w:eastAsia="zh-CN"/>
              </w:rPr>
              <w:t>1</w:t>
            </w:r>
          </w:p>
        </w:tc>
        <w:tc>
          <w:tcPr>
            <w:tcW w:w="1683"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default" w:ascii="Times New Roman" w:hAnsi="Times New Roman" w:cs="Times New Roman"/>
                <w:strike w:val="0"/>
                <w:color w:val="auto"/>
                <w:sz w:val="24"/>
                <w:szCs w:val="24"/>
                <w:highlight w:val="none"/>
                <w:lang w:val="en-US" w:eastAsia="zh-CN"/>
              </w:rPr>
            </w:pPr>
            <w:r>
              <w:rPr>
                <w:rFonts w:hint="eastAsia" w:cs="Times New Roman"/>
                <w:strike w:val="0"/>
                <w:color w:val="auto"/>
                <w:sz w:val="24"/>
                <w:szCs w:val="24"/>
                <w:highlight w:val="none"/>
                <w:lang w:val="en-US" w:eastAsia="zh-CN"/>
              </w:rPr>
              <w:t>7</w:t>
            </w:r>
            <w:r>
              <w:rPr>
                <w:rFonts w:hint="default" w:ascii="Times New Roman" w:hAnsi="Times New Roman" w:cs="Times New Roman"/>
                <w:strike w:val="0"/>
                <w:color w:val="auto"/>
                <w:sz w:val="24"/>
                <w:szCs w:val="24"/>
                <w:highlight w:val="none"/>
                <w:lang w:val="en-US" w:eastAsia="zh-CN"/>
              </w:rPr>
              <w:t>0</w:t>
            </w:r>
          </w:p>
        </w:tc>
        <w:tc>
          <w:tcPr>
            <w:tcW w:w="6365"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ascii="Times New Roman" w:hAnsi="Times New Roman" w:cs="Times New Roman"/>
                <w:strike w:val="0"/>
                <w:color w:val="auto"/>
                <w:sz w:val="24"/>
                <w:szCs w:val="24"/>
                <w:highlight w:val="none"/>
                <w:lang w:val="en-US" w:eastAsia="zh-CN"/>
              </w:rPr>
            </w:pPr>
            <w:bookmarkStart w:id="77" w:name="OLE_LINK48"/>
            <w:r>
              <w:rPr>
                <w:rFonts w:hint="default" w:ascii="Times New Roman" w:hAnsi="Times New Roman" w:eastAsia="宋体" w:cs="Times New Roman"/>
                <w:strike w:val="0"/>
                <w:color w:val="auto"/>
                <w:sz w:val="24"/>
                <w:szCs w:val="24"/>
                <w:highlight w:val="none"/>
                <w:lang w:val="en-US" w:eastAsia="zh-CN"/>
              </w:rPr>
              <w:t>合同签订后，且具备实施条件后5个工作日内，支付合同金额的</w:t>
            </w:r>
            <w:r>
              <w:rPr>
                <w:rFonts w:hint="eastAsia" w:cs="Times New Roman"/>
                <w:strike w:val="0"/>
                <w:color w:val="auto"/>
                <w:sz w:val="24"/>
                <w:szCs w:val="24"/>
                <w:highlight w:val="none"/>
                <w:lang w:val="en-US" w:eastAsia="zh-CN"/>
              </w:rPr>
              <w:t>7</w:t>
            </w:r>
            <w:r>
              <w:rPr>
                <w:rFonts w:hint="default" w:ascii="Times New Roman" w:hAnsi="Times New Roman" w:cs="Times New Roman"/>
                <w:strike w:val="0"/>
                <w:color w:val="auto"/>
                <w:sz w:val="24"/>
                <w:szCs w:val="24"/>
                <w:highlight w:val="none"/>
                <w:lang w:val="en-US" w:eastAsia="zh-CN"/>
              </w:rPr>
              <w:t>0</w:t>
            </w:r>
            <w:r>
              <w:rPr>
                <w:rFonts w:hint="default" w:ascii="Times New Roman" w:hAnsi="Times New Roman" w:eastAsia="宋体" w:cs="Times New Roman"/>
                <w:strike w:val="0"/>
                <w:color w:val="auto"/>
                <w:sz w:val="24"/>
                <w:szCs w:val="24"/>
                <w:highlight w:val="none"/>
                <w:lang w:val="en-US" w:eastAsia="zh-CN"/>
              </w:rPr>
              <w:t>%</w:t>
            </w:r>
            <w:r>
              <w:rPr>
                <w:rFonts w:hint="default" w:ascii="Times New Roman" w:hAnsi="Times New Roman" w:cs="Times New Roman"/>
                <w:strike w:val="0"/>
                <w:color w:val="auto"/>
                <w:sz w:val="24"/>
                <w:szCs w:val="24"/>
                <w:highlight w:val="none"/>
                <w:lang w:val="en-US" w:eastAsia="zh-CN"/>
              </w:rPr>
              <w:t>预付款。</w:t>
            </w:r>
            <w:bookmarkEnd w:id="77"/>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54" w:hRule="atLeast"/>
          <w:jc w:val="center"/>
        </w:trPr>
        <w:tc>
          <w:tcPr>
            <w:tcW w:w="93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default" w:ascii="Times New Roman" w:hAnsi="Times New Roman" w:cs="Times New Roman"/>
                <w:strike w:val="0"/>
                <w:color w:val="auto"/>
                <w:sz w:val="24"/>
                <w:szCs w:val="24"/>
                <w:highlight w:val="none"/>
                <w:lang w:val="en-US" w:eastAsia="zh-CN"/>
              </w:rPr>
            </w:pPr>
            <w:r>
              <w:rPr>
                <w:rFonts w:hint="default" w:ascii="Times New Roman" w:hAnsi="Times New Roman" w:cs="Times New Roman"/>
                <w:strike w:val="0"/>
                <w:color w:val="auto"/>
                <w:sz w:val="24"/>
                <w:szCs w:val="24"/>
                <w:highlight w:val="none"/>
                <w:lang w:val="en-US" w:eastAsia="zh-CN"/>
              </w:rPr>
              <w:t>2</w:t>
            </w:r>
          </w:p>
        </w:tc>
        <w:tc>
          <w:tcPr>
            <w:tcW w:w="1683"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default" w:ascii="Times New Roman" w:hAnsi="Times New Roman" w:cs="Times New Roman"/>
                <w:strike w:val="0"/>
                <w:color w:val="auto"/>
                <w:sz w:val="24"/>
                <w:szCs w:val="24"/>
                <w:highlight w:val="none"/>
                <w:lang w:val="en-US" w:eastAsia="zh-CN"/>
              </w:rPr>
            </w:pPr>
            <w:r>
              <w:rPr>
                <w:rFonts w:hint="eastAsia" w:cs="Times New Roman"/>
                <w:strike w:val="0"/>
                <w:color w:val="auto"/>
                <w:sz w:val="24"/>
                <w:szCs w:val="24"/>
                <w:highlight w:val="none"/>
                <w:lang w:val="en-US" w:eastAsia="zh-CN"/>
              </w:rPr>
              <w:t>3</w:t>
            </w:r>
            <w:r>
              <w:rPr>
                <w:rFonts w:hint="default" w:ascii="Times New Roman" w:hAnsi="Times New Roman" w:cs="Times New Roman"/>
                <w:strike w:val="0"/>
                <w:color w:val="auto"/>
                <w:sz w:val="24"/>
                <w:szCs w:val="24"/>
                <w:highlight w:val="none"/>
                <w:lang w:val="en-US" w:eastAsia="zh-CN"/>
              </w:rPr>
              <w:t>0</w:t>
            </w:r>
          </w:p>
        </w:tc>
        <w:tc>
          <w:tcPr>
            <w:tcW w:w="6365"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ascii="Times New Roman" w:hAnsi="Times New Roman" w:cs="Times New Roman"/>
                <w:strike w:val="0"/>
                <w:color w:val="auto"/>
                <w:sz w:val="24"/>
                <w:szCs w:val="24"/>
                <w:highlight w:val="none"/>
                <w:lang w:val="en-US" w:eastAsia="zh-CN"/>
              </w:rPr>
            </w:pPr>
            <w:r>
              <w:rPr>
                <w:rFonts w:hint="eastAsia" w:cs="Times New Roman"/>
                <w:strike w:val="0"/>
                <w:color w:val="auto"/>
                <w:sz w:val="24"/>
                <w:szCs w:val="24"/>
                <w:highlight w:val="none"/>
                <w:lang w:val="en-US" w:eastAsia="zh-CN"/>
              </w:rPr>
              <w:t>分析研究报告通过专家审查</w:t>
            </w:r>
            <w:r>
              <w:rPr>
                <w:rFonts w:hint="default" w:ascii="Times New Roman" w:hAnsi="Times New Roman" w:cs="Times New Roman"/>
                <w:strike w:val="0"/>
                <w:color w:val="auto"/>
                <w:sz w:val="24"/>
                <w:szCs w:val="24"/>
                <w:highlight w:val="none"/>
                <w:lang w:val="en-US" w:eastAsia="zh-CN"/>
              </w:rPr>
              <w:t>，</w:t>
            </w:r>
            <w:r>
              <w:rPr>
                <w:rFonts w:hint="default" w:ascii="Times New Roman" w:hAnsi="Times New Roman" w:eastAsia="宋体" w:cs="Times New Roman"/>
                <w:strike w:val="0"/>
                <w:color w:val="auto"/>
                <w:sz w:val="24"/>
                <w:szCs w:val="24"/>
                <w:highlight w:val="none"/>
                <w:lang w:val="en-US" w:eastAsia="zh-CN"/>
              </w:rPr>
              <w:t>且具备支付条件后5个工作日内支付剩余合同尾款。</w:t>
            </w:r>
          </w:p>
        </w:tc>
      </w:tr>
    </w:tbl>
    <w:p>
      <w:pPr>
        <w:rPr>
          <w:rFonts w:hint="eastAsia" w:ascii="宋体" w:hAnsi="宋体" w:cs="宋体"/>
          <w:b/>
          <w:color w:val="000000" w:themeColor="text1"/>
          <w:sz w:val="24"/>
          <w:lang w:val="en-US" w:eastAsia="zh-CN"/>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br w:type="page"/>
      </w:r>
    </w:p>
    <w:p>
      <w:pPr>
        <w:pStyle w:val="62"/>
        <w:spacing w:line="360" w:lineRule="auto"/>
        <w:ind w:left="0" w:leftChars="0" w:firstLine="482" w:firstLineChars="200"/>
        <w:rPr>
          <w:rFonts w:hint="eastAsia" w:ascii="宋体" w:hAnsi="宋体" w:eastAsia="宋体" w:cs="宋体"/>
          <w:b/>
          <w:bCs/>
          <w:kern w:val="2"/>
          <w:sz w:val="24"/>
          <w:szCs w:val="24"/>
          <w:highlight w:val="none"/>
          <w:u w:val="none"/>
          <w:lang w:val="en-US" w:eastAsia="zh-CN" w:bidi="ar-SA"/>
        </w:rPr>
      </w:pPr>
      <w:r>
        <w:rPr>
          <w:rFonts w:hint="eastAsia" w:ascii="宋体" w:hAnsi="宋体" w:eastAsia="宋体" w:cs="宋体"/>
          <w:b/>
          <w:bCs/>
          <w:kern w:val="2"/>
          <w:sz w:val="24"/>
          <w:szCs w:val="24"/>
          <w:highlight w:val="none"/>
          <w:u w:val="none"/>
          <w:lang w:val="en-US" w:eastAsia="zh-CN" w:bidi="ar-SA"/>
        </w:rPr>
        <w:t>4.项自组成员要求</w:t>
      </w:r>
    </w:p>
    <w:p>
      <w:pPr>
        <w:pStyle w:val="62"/>
        <w:spacing w:line="360" w:lineRule="auto"/>
        <w:ind w:left="0" w:leftChars="0" w:firstLine="480" w:firstLineChars="200"/>
        <w:rPr>
          <w:rFonts w:hint="eastAsia" w:ascii="宋体" w:hAnsi="宋体" w:eastAsia="宋体" w:cs="宋体"/>
          <w:kern w:val="2"/>
          <w:sz w:val="24"/>
          <w:szCs w:val="24"/>
          <w:highlight w:val="none"/>
          <w:u w:val="none"/>
          <w:lang w:val="en-US" w:eastAsia="zh-CN" w:bidi="ar-SA"/>
        </w:rPr>
      </w:pPr>
      <w:r>
        <w:rPr>
          <w:rFonts w:hint="eastAsia" w:cs="宋体"/>
          <w:kern w:val="2"/>
          <w:sz w:val="24"/>
          <w:szCs w:val="24"/>
          <w:highlight w:val="none"/>
          <w:u w:val="none"/>
          <w:lang w:val="en-US" w:eastAsia="zh-CN" w:bidi="ar-SA"/>
        </w:rPr>
        <w:t>4.1</w:t>
      </w:r>
      <w:r>
        <w:rPr>
          <w:rFonts w:hint="eastAsia" w:ascii="宋体" w:hAnsi="宋体" w:eastAsia="宋体" w:cs="宋体"/>
          <w:kern w:val="2"/>
          <w:sz w:val="24"/>
          <w:szCs w:val="24"/>
          <w:highlight w:val="none"/>
          <w:u w:val="none"/>
          <w:lang w:val="en-US" w:eastAsia="zh-CN" w:bidi="ar-SA"/>
        </w:rPr>
        <w:t>项目负责人:1名;具有副高及以</w:t>
      </w:r>
      <w:r>
        <w:rPr>
          <w:rFonts w:hint="eastAsia" w:cs="宋体"/>
          <w:kern w:val="2"/>
          <w:sz w:val="24"/>
          <w:szCs w:val="24"/>
          <w:highlight w:val="none"/>
          <w:u w:val="none"/>
          <w:lang w:val="en-US" w:eastAsia="zh-CN" w:bidi="ar-SA"/>
        </w:rPr>
        <w:t>上技</w:t>
      </w:r>
      <w:r>
        <w:rPr>
          <w:rFonts w:hint="eastAsia" w:ascii="宋体" w:hAnsi="宋体" w:eastAsia="宋体" w:cs="宋体"/>
          <w:kern w:val="2"/>
          <w:sz w:val="24"/>
          <w:szCs w:val="24"/>
          <w:highlight w:val="none"/>
          <w:u w:val="none"/>
          <w:lang w:val="en-US" w:eastAsia="zh-CN" w:bidi="ar-SA"/>
        </w:rPr>
        <w:t>术职称</w:t>
      </w:r>
      <w:r>
        <w:rPr>
          <w:rFonts w:hint="eastAsia" w:cs="宋体"/>
          <w:kern w:val="2"/>
          <w:sz w:val="24"/>
          <w:szCs w:val="24"/>
          <w:highlight w:val="none"/>
          <w:u w:val="none"/>
          <w:lang w:val="en-US" w:eastAsia="zh-CN" w:bidi="ar-SA"/>
        </w:rPr>
        <w:t>。</w:t>
      </w:r>
    </w:p>
    <w:p>
      <w:pPr>
        <w:pStyle w:val="62"/>
        <w:spacing w:line="360" w:lineRule="auto"/>
        <w:ind w:left="0" w:leftChars="0" w:firstLine="480" w:firstLineChars="200"/>
        <w:rPr>
          <w:rFonts w:hint="eastAsia" w:ascii="宋体" w:hAnsi="宋体" w:eastAsia="宋体" w:cs="宋体"/>
          <w:kern w:val="2"/>
          <w:sz w:val="24"/>
          <w:szCs w:val="24"/>
          <w:highlight w:val="none"/>
          <w:u w:val="none"/>
          <w:lang w:val="en-US" w:eastAsia="zh-CN" w:bidi="ar-SA"/>
        </w:rPr>
      </w:pPr>
      <w:bookmarkStart w:id="78" w:name="OLE_LINK34"/>
      <w:r>
        <w:rPr>
          <w:rFonts w:hint="eastAsia" w:cs="宋体"/>
          <w:kern w:val="2"/>
          <w:sz w:val="24"/>
          <w:szCs w:val="24"/>
          <w:highlight w:val="none"/>
          <w:u w:val="none"/>
          <w:lang w:val="en-US" w:eastAsia="zh-CN" w:bidi="ar-SA"/>
        </w:rPr>
        <w:t>4.2</w:t>
      </w:r>
      <w:r>
        <w:rPr>
          <w:rFonts w:hint="eastAsia" w:ascii="宋体" w:hAnsi="宋体" w:eastAsia="宋体" w:cs="宋体"/>
          <w:kern w:val="2"/>
          <w:sz w:val="24"/>
          <w:szCs w:val="24"/>
          <w:highlight w:val="none"/>
          <w:u w:val="none"/>
          <w:lang w:val="en-US" w:eastAsia="zh-CN" w:bidi="ar-SA"/>
        </w:rPr>
        <w:t>项目组成员</w:t>
      </w:r>
      <w:r>
        <w:rPr>
          <w:rFonts w:hint="eastAsia" w:cs="宋体"/>
          <w:kern w:val="2"/>
          <w:sz w:val="24"/>
          <w:szCs w:val="24"/>
          <w:highlight w:val="none"/>
          <w:u w:val="none"/>
          <w:lang w:val="en-US" w:eastAsia="zh-CN" w:bidi="ar-SA"/>
        </w:rPr>
        <w:t>(</w:t>
      </w:r>
      <w:r>
        <w:rPr>
          <w:rFonts w:hint="eastAsia" w:ascii="宋体" w:hAnsi="宋体" w:eastAsia="宋体" w:cs="宋体"/>
          <w:kern w:val="2"/>
          <w:sz w:val="24"/>
          <w:szCs w:val="24"/>
          <w:highlight w:val="none"/>
          <w:u w:val="none"/>
          <w:lang w:val="en-US" w:eastAsia="zh-CN" w:bidi="ar-SA"/>
        </w:rPr>
        <w:t>不含项目负责人)人数</w:t>
      </w:r>
      <w:bookmarkEnd w:id="78"/>
      <w:r>
        <w:rPr>
          <w:rFonts w:hint="eastAsia" w:ascii="宋体" w:hAnsi="宋体" w:eastAsia="宋体" w:cs="宋体"/>
          <w:kern w:val="2"/>
          <w:sz w:val="24"/>
          <w:szCs w:val="24"/>
          <w:highlight w:val="none"/>
          <w:u w:val="none"/>
          <w:lang w:val="en-US" w:eastAsia="zh-CN" w:bidi="ar-SA"/>
        </w:rPr>
        <w:t>:不少于4人;具有中级及以上技术职称。</w:t>
      </w:r>
    </w:p>
    <w:p>
      <w:pPr>
        <w:numPr>
          <w:ilvl w:val="0"/>
          <w:numId w:val="0"/>
        </w:numPr>
        <w:spacing w:line="360" w:lineRule="auto"/>
        <w:ind w:firstLine="482" w:firstLineChars="200"/>
        <w:rPr>
          <w:rFonts w:hint="eastAsia" w:ascii="宋体" w:hAnsi="宋体" w:eastAsia="宋体" w:cs="宋体"/>
          <w:b/>
          <w:bCs/>
          <w:kern w:val="2"/>
          <w:sz w:val="24"/>
          <w:szCs w:val="24"/>
          <w:highlight w:val="none"/>
          <w:u w:val="none"/>
          <w:lang w:val="en-US" w:eastAsia="zh-CN" w:bidi="ar-SA"/>
        </w:rPr>
      </w:pPr>
      <w:r>
        <w:rPr>
          <w:rFonts w:hint="eastAsia" w:ascii="宋体" w:hAnsi="宋体" w:eastAsia="宋体" w:cs="宋体"/>
          <w:b/>
          <w:bCs/>
          <w:kern w:val="2"/>
          <w:sz w:val="24"/>
          <w:szCs w:val="24"/>
          <w:highlight w:val="none"/>
          <w:u w:val="none"/>
          <w:lang w:val="en-US" w:eastAsia="zh-CN" w:bidi="ar-SA"/>
        </w:rPr>
        <w:t>5.售后服务要求</w:t>
      </w:r>
    </w:p>
    <w:p>
      <w:pPr>
        <w:pStyle w:val="62"/>
        <w:spacing w:line="360" w:lineRule="auto"/>
        <w:ind w:left="0" w:leftChars="0" w:firstLine="480" w:firstLineChars="200"/>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kern w:val="2"/>
          <w:sz w:val="24"/>
          <w:szCs w:val="24"/>
          <w:highlight w:val="none"/>
          <w:u w:val="none"/>
          <w:lang w:val="en-US" w:eastAsia="zh-CN" w:bidi="ar-SA"/>
        </w:rPr>
        <w:t>做好后续研究</w:t>
      </w:r>
      <w:r>
        <w:rPr>
          <w:rFonts w:hint="eastAsia" w:cs="宋体"/>
          <w:kern w:val="2"/>
          <w:sz w:val="24"/>
          <w:szCs w:val="24"/>
          <w:highlight w:val="none"/>
          <w:u w:val="none"/>
          <w:lang w:val="en-US" w:eastAsia="zh-CN" w:bidi="ar-SA"/>
        </w:rPr>
        <w:t>相关的配合</w:t>
      </w:r>
      <w:r>
        <w:rPr>
          <w:rFonts w:hint="eastAsia" w:ascii="宋体" w:hAnsi="宋体" w:eastAsia="宋体" w:cs="宋体"/>
          <w:kern w:val="2"/>
          <w:sz w:val="24"/>
          <w:szCs w:val="24"/>
          <w:highlight w:val="none"/>
          <w:u w:val="none"/>
          <w:lang w:val="en-US" w:eastAsia="zh-CN" w:bidi="ar-SA"/>
        </w:rPr>
        <w:t>工作。</w:t>
      </w:r>
    </w:p>
    <w:p>
      <w:pPr>
        <w:numPr>
          <w:ilvl w:val="0"/>
          <w:numId w:val="0"/>
        </w:numPr>
        <w:spacing w:line="360" w:lineRule="auto"/>
        <w:ind w:firstLine="482" w:firstLineChars="200"/>
        <w:rPr>
          <w:rFonts w:hint="eastAsia" w:ascii="宋体" w:hAnsi="宋体" w:eastAsia="宋体" w:cs="宋体"/>
          <w:b/>
          <w:bCs/>
          <w:kern w:val="2"/>
          <w:sz w:val="24"/>
          <w:szCs w:val="24"/>
          <w:highlight w:val="none"/>
          <w:u w:val="none"/>
          <w:lang w:val="en-US" w:eastAsia="zh-CN" w:bidi="ar-SA"/>
        </w:rPr>
      </w:pPr>
      <w:r>
        <w:rPr>
          <w:rFonts w:hint="eastAsia" w:ascii="宋体" w:hAnsi="宋体" w:eastAsia="宋体" w:cs="宋体"/>
          <w:b/>
          <w:bCs/>
          <w:kern w:val="2"/>
          <w:sz w:val="24"/>
          <w:szCs w:val="24"/>
          <w:highlight w:val="none"/>
          <w:u w:val="none"/>
          <w:lang w:val="en-US" w:eastAsia="zh-CN" w:bidi="ar-SA"/>
        </w:rPr>
        <w:t>6.其他商务要求</w:t>
      </w:r>
    </w:p>
    <w:p>
      <w:pPr>
        <w:numPr>
          <w:ilvl w:val="0"/>
          <w:numId w:val="0"/>
        </w:numPr>
        <w:spacing w:line="360" w:lineRule="auto"/>
        <w:ind w:firstLine="480" w:firstLineChars="200"/>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kern w:val="2"/>
          <w:sz w:val="24"/>
          <w:szCs w:val="24"/>
          <w:highlight w:val="none"/>
          <w:u w:val="none"/>
          <w:lang w:val="en-US" w:eastAsia="zh-CN" w:bidi="ar-SA"/>
        </w:rPr>
        <w:t>双方均应保护对方的知识产权，双方应签署保密协议，未经采购人同意，中标人不得对采购人的资料及文件擅自修改、复制或向第三人转让或用于本合同项目外的项目。如发生以上情况，泄密方承担一切由此引起的后果并承担赔偿责任。</w:t>
      </w:r>
    </w:p>
    <w:p>
      <w:pPr>
        <w:numPr>
          <w:ilvl w:val="0"/>
          <w:numId w:val="0"/>
        </w:numPr>
        <w:spacing w:line="360" w:lineRule="auto"/>
        <w:ind w:firstLine="480" w:firstLineChars="200"/>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kern w:val="2"/>
          <w:sz w:val="24"/>
          <w:szCs w:val="24"/>
          <w:highlight w:val="none"/>
          <w:u w:val="none"/>
          <w:lang w:val="en-US" w:eastAsia="zh-CN" w:bidi="ar-SA"/>
        </w:rPr>
        <w:t>项目实施过程中产生的相关审查费用，由供应商承担。</w:t>
      </w:r>
    </w:p>
    <w:p>
      <w:pPr>
        <w:numPr>
          <w:ilvl w:val="0"/>
          <w:numId w:val="0"/>
        </w:numPr>
        <w:spacing w:line="360" w:lineRule="auto"/>
        <w:ind w:firstLine="482" w:firstLineChars="200"/>
        <w:rPr>
          <w:rFonts w:hint="eastAsia" w:ascii="宋体" w:hAnsi="宋体" w:eastAsia="宋体" w:cs="宋体"/>
          <w:b/>
          <w:bCs/>
          <w:kern w:val="2"/>
          <w:sz w:val="24"/>
          <w:szCs w:val="24"/>
          <w:highlight w:val="none"/>
          <w:u w:val="none"/>
          <w:lang w:val="en-US" w:eastAsia="zh-CN" w:bidi="ar-SA"/>
        </w:rPr>
      </w:pPr>
      <w:r>
        <w:rPr>
          <w:rFonts w:hint="eastAsia" w:ascii="宋体" w:hAnsi="宋体" w:eastAsia="宋体" w:cs="宋体"/>
          <w:b/>
          <w:bCs/>
          <w:kern w:val="2"/>
          <w:sz w:val="24"/>
          <w:szCs w:val="24"/>
          <w:highlight w:val="none"/>
          <w:u w:val="none"/>
          <w:lang w:val="en-US" w:eastAsia="zh-CN" w:bidi="ar-SA"/>
        </w:rPr>
        <w:t>7、验收</w:t>
      </w:r>
    </w:p>
    <w:p>
      <w:pPr>
        <w:pStyle w:val="62"/>
        <w:spacing w:line="360" w:lineRule="auto"/>
        <w:ind w:left="0" w:leftChars="0" w:firstLine="480" w:firstLineChars="200"/>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kern w:val="2"/>
          <w:sz w:val="24"/>
          <w:szCs w:val="24"/>
          <w:highlight w:val="none"/>
          <w:u w:val="none"/>
          <w:lang w:val="en-US" w:eastAsia="zh-CN" w:bidi="ar-SA"/>
        </w:rPr>
        <w:t>按照《杭州市政府采购履约验收暂行办法》(杭财采监(2019)10 号)进行履约验收。</w:t>
      </w:r>
    </w:p>
    <w:p>
      <w:pPr>
        <w:spacing w:line="360" w:lineRule="auto"/>
        <w:ind w:firstLine="482"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四、</w:t>
      </w:r>
      <w:r>
        <w:rPr>
          <w:rFonts w:hint="eastAsia" w:ascii="宋体" w:hAnsi="宋体" w:cs="宋体"/>
          <w:b/>
          <w:color w:val="000000" w:themeColor="text1"/>
          <w:sz w:val="24"/>
          <w14:textFill>
            <w14:solidFill>
              <w14:schemeClr w14:val="tx1"/>
            </w14:solidFill>
          </w14:textFill>
        </w:rPr>
        <w:t>本章未尽之处详见“第五部分  拟签订的合同文本”。</w:t>
      </w:r>
    </w:p>
    <w:p>
      <w:pPr>
        <w:spacing w:line="360" w:lineRule="auto"/>
        <w:rPr>
          <w:rFonts w:ascii="宋体" w:hAnsi="宋体" w:cs="宋体"/>
          <w:color w:val="000000" w:themeColor="text1"/>
          <w:sz w:val="24"/>
          <w:highlight w:val="none"/>
          <w14:textFill>
            <w14:solidFill>
              <w14:schemeClr w14:val="tx1"/>
            </w14:solidFill>
          </w14:textFill>
        </w:rPr>
      </w:pPr>
    </w:p>
    <w:p>
      <w:pPr>
        <w:widowControl/>
        <w:ind w:firstLine="720" w:firstLineChars="300"/>
        <w:jc w:val="left"/>
        <w:rPr>
          <w:rFonts w:ascii="宋体" w:hAnsi="宋体" w:cs="宋体"/>
          <w:bCs/>
          <w:color w:val="000000" w:themeColor="text1"/>
          <w:sz w:val="24"/>
          <w:highlight w:val="none"/>
          <w14:textFill>
            <w14:solidFill>
              <w14:schemeClr w14:val="tx1"/>
            </w14:solidFill>
          </w14:textFill>
        </w:rPr>
      </w:pPr>
    </w:p>
    <w:p>
      <w:pPr>
        <w:pStyle w:val="27"/>
        <w:rPr>
          <w:color w:val="000000" w:themeColor="text1"/>
          <w14:textFill>
            <w14:solidFill>
              <w14:schemeClr w14:val="tx1"/>
            </w14:solidFill>
          </w14:textFill>
        </w:rPr>
      </w:pPr>
    </w:p>
    <w:p>
      <w:pP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br w:type="page"/>
      </w:r>
    </w:p>
    <w:p>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第四部分   </w:t>
      </w:r>
      <w:bookmarkStart w:id="79" w:name="_Toc184314456"/>
      <w:bookmarkEnd w:id="79"/>
      <w:bookmarkStart w:id="80" w:name="_Toc184313253"/>
      <w:bookmarkEnd w:id="80"/>
      <w:bookmarkStart w:id="81" w:name="_Toc184312093"/>
      <w:bookmarkEnd w:id="81"/>
      <w:bookmarkStart w:id="82" w:name="_Toc184312077"/>
      <w:bookmarkEnd w:id="82"/>
      <w:bookmarkStart w:id="83" w:name="_Toc184310272"/>
      <w:bookmarkEnd w:id="83"/>
      <w:bookmarkStart w:id="84" w:name="_Toc184312075"/>
      <w:bookmarkEnd w:id="84"/>
      <w:bookmarkStart w:id="85" w:name="_Toc184310313"/>
      <w:bookmarkEnd w:id="85"/>
      <w:bookmarkStart w:id="86" w:name="_Toc184310302"/>
      <w:bookmarkEnd w:id="86"/>
      <w:bookmarkStart w:id="87" w:name="_Toc184310315"/>
      <w:bookmarkEnd w:id="87"/>
      <w:bookmarkStart w:id="88" w:name="_Toc184314459"/>
      <w:bookmarkEnd w:id="88"/>
      <w:bookmarkStart w:id="89" w:name="_Toc184312100"/>
      <w:bookmarkEnd w:id="89"/>
      <w:bookmarkStart w:id="90" w:name="_Toc184308081"/>
      <w:bookmarkEnd w:id="90"/>
      <w:bookmarkStart w:id="91" w:name="_Toc184313274"/>
      <w:bookmarkEnd w:id="91"/>
      <w:bookmarkStart w:id="92" w:name="_Toc184312081"/>
      <w:bookmarkEnd w:id="92"/>
      <w:bookmarkStart w:id="93" w:name="_Toc184310328"/>
      <w:bookmarkEnd w:id="93"/>
      <w:bookmarkStart w:id="94" w:name="_Toc184308036"/>
      <w:bookmarkEnd w:id="94"/>
      <w:bookmarkStart w:id="95" w:name="_Toc184312131"/>
      <w:bookmarkEnd w:id="95"/>
      <w:bookmarkStart w:id="96" w:name="_Toc184308093"/>
      <w:bookmarkEnd w:id="96"/>
      <w:bookmarkStart w:id="97" w:name="_Toc184310318"/>
      <w:bookmarkEnd w:id="97"/>
      <w:bookmarkStart w:id="98" w:name="_Toc184308070"/>
      <w:bookmarkEnd w:id="98"/>
      <w:bookmarkStart w:id="99" w:name="_Toc184310304"/>
      <w:bookmarkEnd w:id="99"/>
      <w:bookmarkStart w:id="100" w:name="_Toc184308055"/>
      <w:bookmarkEnd w:id="100"/>
      <w:bookmarkStart w:id="101" w:name="_Toc184314411"/>
      <w:bookmarkEnd w:id="101"/>
      <w:bookmarkStart w:id="102" w:name="_Toc184313301"/>
      <w:bookmarkEnd w:id="102"/>
      <w:bookmarkStart w:id="103" w:name="_Toc184313292"/>
      <w:bookmarkEnd w:id="103"/>
      <w:bookmarkStart w:id="104" w:name="_Toc184310327"/>
      <w:bookmarkEnd w:id="104"/>
      <w:bookmarkStart w:id="105" w:name="_Toc184310295"/>
      <w:bookmarkEnd w:id="105"/>
      <w:bookmarkStart w:id="106" w:name="_Toc184312089"/>
      <w:bookmarkEnd w:id="106"/>
      <w:bookmarkStart w:id="107" w:name="_Toc184313239"/>
      <w:bookmarkEnd w:id="107"/>
      <w:bookmarkStart w:id="108" w:name="_Toc184314448"/>
      <w:bookmarkEnd w:id="108"/>
      <w:bookmarkStart w:id="109" w:name="_Toc184312127"/>
      <w:bookmarkEnd w:id="109"/>
      <w:bookmarkStart w:id="110" w:name="_Toc184308094"/>
      <w:bookmarkEnd w:id="110"/>
      <w:bookmarkStart w:id="111" w:name="_Toc184314437"/>
      <w:bookmarkEnd w:id="111"/>
      <w:bookmarkStart w:id="112" w:name="_Toc184312128"/>
      <w:bookmarkEnd w:id="112"/>
      <w:bookmarkStart w:id="113" w:name="_Toc184314451"/>
      <w:bookmarkEnd w:id="113"/>
      <w:bookmarkStart w:id="114" w:name="_Toc184312108"/>
      <w:bookmarkEnd w:id="114"/>
      <w:bookmarkStart w:id="115" w:name="_Toc184312104"/>
      <w:bookmarkEnd w:id="115"/>
      <w:bookmarkStart w:id="116" w:name="_Toc184313297"/>
      <w:bookmarkEnd w:id="116"/>
      <w:bookmarkStart w:id="117" w:name="_Toc184313293"/>
      <w:bookmarkEnd w:id="117"/>
      <w:bookmarkStart w:id="118" w:name="_Toc184313309"/>
      <w:bookmarkEnd w:id="118"/>
      <w:bookmarkStart w:id="119" w:name="_Toc184314443"/>
      <w:bookmarkEnd w:id="119"/>
      <w:bookmarkStart w:id="120" w:name="_Toc184308045"/>
      <w:bookmarkEnd w:id="120"/>
      <w:bookmarkStart w:id="121" w:name="_Toc184308037"/>
      <w:bookmarkEnd w:id="121"/>
      <w:bookmarkStart w:id="122" w:name="_Toc184312082"/>
      <w:bookmarkEnd w:id="122"/>
      <w:bookmarkStart w:id="123" w:name="_Toc184313243"/>
      <w:bookmarkEnd w:id="123"/>
      <w:bookmarkStart w:id="124" w:name="_Toc184313304"/>
      <w:bookmarkEnd w:id="124"/>
      <w:bookmarkStart w:id="125" w:name="_Toc184314477"/>
      <w:bookmarkEnd w:id="125"/>
      <w:bookmarkStart w:id="126" w:name="_Toc184312068"/>
      <w:bookmarkEnd w:id="126"/>
      <w:bookmarkStart w:id="127" w:name="_Toc184313265"/>
      <w:bookmarkEnd w:id="127"/>
      <w:bookmarkStart w:id="128" w:name="_Toc184308041"/>
      <w:bookmarkEnd w:id="128"/>
      <w:bookmarkStart w:id="129" w:name="_Toc184310300"/>
      <w:bookmarkEnd w:id="129"/>
      <w:bookmarkStart w:id="130" w:name="_Toc184312088"/>
      <w:bookmarkEnd w:id="130"/>
      <w:bookmarkStart w:id="131" w:name="_Toc184310275"/>
      <w:bookmarkEnd w:id="131"/>
      <w:bookmarkStart w:id="132" w:name="_Toc184308074"/>
      <w:bookmarkEnd w:id="132"/>
      <w:bookmarkStart w:id="133" w:name="_Toc184313279"/>
      <w:bookmarkEnd w:id="133"/>
      <w:bookmarkStart w:id="134" w:name="_Toc184308066"/>
      <w:bookmarkEnd w:id="134"/>
      <w:bookmarkStart w:id="135" w:name="_Toc184314455"/>
      <w:bookmarkEnd w:id="135"/>
      <w:bookmarkStart w:id="136" w:name="_Toc184312106"/>
      <w:bookmarkEnd w:id="136"/>
      <w:bookmarkStart w:id="137" w:name="_Toc184312080"/>
      <w:bookmarkEnd w:id="137"/>
      <w:bookmarkStart w:id="138" w:name="_Toc184310338"/>
      <w:bookmarkEnd w:id="138"/>
      <w:bookmarkStart w:id="139" w:name="_Toc184314473"/>
      <w:bookmarkEnd w:id="139"/>
      <w:bookmarkStart w:id="140" w:name="_Toc184308087"/>
      <w:bookmarkEnd w:id="140"/>
      <w:bookmarkStart w:id="141" w:name="_Toc184312110"/>
      <w:bookmarkEnd w:id="141"/>
      <w:bookmarkStart w:id="142" w:name="_Toc184308082"/>
      <w:bookmarkEnd w:id="142"/>
      <w:bookmarkStart w:id="143" w:name="_Toc184314452"/>
      <w:bookmarkEnd w:id="143"/>
      <w:bookmarkStart w:id="144" w:name="_Toc184308084"/>
      <w:bookmarkEnd w:id="144"/>
      <w:bookmarkStart w:id="145" w:name="_Toc184313275"/>
      <w:bookmarkEnd w:id="145"/>
      <w:bookmarkStart w:id="146" w:name="_Toc184312111"/>
      <w:bookmarkEnd w:id="146"/>
      <w:bookmarkStart w:id="147" w:name="_Toc184308073"/>
      <w:bookmarkEnd w:id="147"/>
      <w:bookmarkStart w:id="148" w:name="_Toc184314431"/>
      <w:bookmarkEnd w:id="148"/>
      <w:bookmarkStart w:id="149" w:name="_Toc184308053"/>
      <w:bookmarkEnd w:id="149"/>
      <w:bookmarkStart w:id="150" w:name="_Toc184312124"/>
      <w:bookmarkEnd w:id="150"/>
      <w:bookmarkStart w:id="151" w:name="_Toc184313245"/>
      <w:bookmarkEnd w:id="151"/>
      <w:bookmarkStart w:id="152" w:name="_Toc184313268"/>
      <w:bookmarkEnd w:id="152"/>
      <w:bookmarkStart w:id="153" w:name="_Toc184310296"/>
      <w:bookmarkEnd w:id="153"/>
      <w:bookmarkStart w:id="154" w:name="_Toc184312099"/>
      <w:bookmarkEnd w:id="154"/>
      <w:bookmarkStart w:id="155" w:name="_Toc184313248"/>
      <w:bookmarkEnd w:id="155"/>
      <w:bookmarkStart w:id="156" w:name="_Toc184308052"/>
      <w:bookmarkEnd w:id="156"/>
      <w:bookmarkStart w:id="157" w:name="_Toc184312097"/>
      <w:bookmarkEnd w:id="157"/>
      <w:bookmarkStart w:id="158" w:name="_Toc184308095"/>
      <w:bookmarkEnd w:id="158"/>
      <w:bookmarkStart w:id="159" w:name="_Toc184308101"/>
      <w:bookmarkEnd w:id="159"/>
      <w:bookmarkStart w:id="160" w:name="_Toc184310285"/>
      <w:bookmarkEnd w:id="160"/>
      <w:bookmarkStart w:id="161" w:name="_Toc184313285"/>
      <w:bookmarkEnd w:id="161"/>
      <w:bookmarkStart w:id="162" w:name="_Toc184310303"/>
      <w:bookmarkEnd w:id="162"/>
      <w:bookmarkStart w:id="163" w:name="_Toc184312073"/>
      <w:bookmarkEnd w:id="163"/>
      <w:bookmarkStart w:id="164" w:name="_Toc184314438"/>
      <w:bookmarkEnd w:id="164"/>
      <w:bookmarkStart w:id="165" w:name="_Toc184312092"/>
      <w:bookmarkEnd w:id="165"/>
      <w:bookmarkStart w:id="166" w:name="_Toc184314413"/>
      <w:bookmarkEnd w:id="166"/>
      <w:bookmarkStart w:id="167" w:name="_Toc184314467"/>
      <w:bookmarkEnd w:id="167"/>
      <w:bookmarkStart w:id="168" w:name="_Toc184308056"/>
      <w:bookmarkEnd w:id="168"/>
      <w:bookmarkStart w:id="169" w:name="_Toc184308076"/>
      <w:bookmarkEnd w:id="169"/>
      <w:bookmarkStart w:id="170" w:name="_Toc184312101"/>
      <w:bookmarkEnd w:id="170"/>
      <w:bookmarkStart w:id="171" w:name="_Toc184310288"/>
      <w:bookmarkEnd w:id="171"/>
      <w:bookmarkStart w:id="172" w:name="_Toc184310344"/>
      <w:bookmarkEnd w:id="172"/>
      <w:bookmarkStart w:id="173" w:name="_Toc184314449"/>
      <w:bookmarkEnd w:id="173"/>
      <w:bookmarkStart w:id="174" w:name="_Toc184310317"/>
      <w:bookmarkEnd w:id="174"/>
      <w:bookmarkStart w:id="175" w:name="_Toc184313310"/>
      <w:bookmarkEnd w:id="175"/>
      <w:bookmarkStart w:id="176" w:name="_Toc184313247"/>
      <w:bookmarkEnd w:id="176"/>
      <w:bookmarkStart w:id="177" w:name="_Toc184314420"/>
      <w:bookmarkEnd w:id="177"/>
      <w:bookmarkStart w:id="178" w:name="_Toc184308050"/>
      <w:bookmarkEnd w:id="178"/>
      <w:bookmarkStart w:id="179" w:name="_Toc184310282"/>
      <w:bookmarkEnd w:id="179"/>
      <w:bookmarkStart w:id="180" w:name="_Toc184314417"/>
      <w:bookmarkEnd w:id="180"/>
      <w:bookmarkStart w:id="181" w:name="_Toc184310319"/>
      <w:bookmarkEnd w:id="181"/>
      <w:bookmarkStart w:id="182" w:name="_Toc184313281"/>
      <w:bookmarkEnd w:id="182"/>
      <w:bookmarkStart w:id="183" w:name="_Toc184313302"/>
      <w:bookmarkEnd w:id="183"/>
      <w:bookmarkStart w:id="184" w:name="_Toc184312085"/>
      <w:bookmarkEnd w:id="184"/>
      <w:bookmarkStart w:id="185" w:name="_Toc184312096"/>
      <w:bookmarkEnd w:id="185"/>
      <w:bookmarkStart w:id="186" w:name="_Toc184312098"/>
      <w:bookmarkEnd w:id="186"/>
      <w:bookmarkStart w:id="187" w:name="_Toc184308054"/>
      <w:bookmarkEnd w:id="187"/>
      <w:bookmarkStart w:id="188" w:name="_Toc184314416"/>
      <w:bookmarkEnd w:id="188"/>
      <w:bookmarkStart w:id="189" w:name="_Toc184313306"/>
      <w:bookmarkEnd w:id="189"/>
      <w:bookmarkStart w:id="190" w:name="_Toc184313299"/>
      <w:bookmarkEnd w:id="190"/>
      <w:bookmarkStart w:id="191" w:name="_Toc184308080"/>
      <w:bookmarkEnd w:id="191"/>
      <w:bookmarkStart w:id="192" w:name="_Toc184308106"/>
      <w:bookmarkEnd w:id="192"/>
      <w:bookmarkStart w:id="193" w:name="_Toc184312113"/>
      <w:bookmarkEnd w:id="193"/>
      <w:bookmarkStart w:id="194" w:name="_Toc184310335"/>
      <w:bookmarkEnd w:id="194"/>
      <w:bookmarkStart w:id="195" w:name="_Toc184310320"/>
      <w:bookmarkEnd w:id="195"/>
      <w:bookmarkStart w:id="196" w:name="_Toc184308086"/>
      <w:bookmarkEnd w:id="196"/>
      <w:bookmarkStart w:id="197" w:name="_Toc184313266"/>
      <w:bookmarkEnd w:id="197"/>
      <w:bookmarkStart w:id="198" w:name="_Toc184310330"/>
      <w:bookmarkEnd w:id="198"/>
      <w:bookmarkStart w:id="199" w:name="_Toc184310321"/>
      <w:bookmarkEnd w:id="199"/>
      <w:bookmarkStart w:id="200" w:name="_Toc184313256"/>
      <w:bookmarkEnd w:id="200"/>
      <w:bookmarkStart w:id="201" w:name="_Toc184312134"/>
      <w:bookmarkEnd w:id="201"/>
      <w:bookmarkStart w:id="202" w:name="_Toc184310336"/>
      <w:bookmarkEnd w:id="202"/>
      <w:bookmarkStart w:id="203" w:name="_Toc184310306"/>
      <w:bookmarkEnd w:id="203"/>
      <w:bookmarkStart w:id="204" w:name="_Toc184310293"/>
      <w:bookmarkEnd w:id="204"/>
      <w:bookmarkStart w:id="205" w:name="_Toc184312071"/>
      <w:bookmarkEnd w:id="205"/>
      <w:bookmarkStart w:id="206" w:name="_Toc184308068"/>
      <w:bookmarkEnd w:id="206"/>
      <w:bookmarkStart w:id="207" w:name="_Toc184314426"/>
      <w:bookmarkEnd w:id="207"/>
      <w:bookmarkStart w:id="208" w:name="_Toc184314422"/>
      <w:bookmarkEnd w:id="208"/>
      <w:bookmarkStart w:id="209" w:name="_Toc184312132"/>
      <w:bookmarkEnd w:id="209"/>
      <w:bookmarkStart w:id="210" w:name="_Toc184314433"/>
      <w:bookmarkEnd w:id="210"/>
      <w:bookmarkStart w:id="211" w:name="_Toc184310278"/>
      <w:bookmarkEnd w:id="211"/>
      <w:bookmarkStart w:id="212" w:name="_Toc184313269"/>
      <w:bookmarkEnd w:id="212"/>
      <w:bookmarkStart w:id="213" w:name="_Toc184314432"/>
      <w:bookmarkEnd w:id="213"/>
      <w:bookmarkStart w:id="214" w:name="_Toc184310279"/>
      <w:bookmarkEnd w:id="214"/>
      <w:bookmarkStart w:id="215" w:name="_Toc184314418"/>
      <w:bookmarkEnd w:id="215"/>
      <w:bookmarkStart w:id="216" w:name="_Toc184308077"/>
      <w:bookmarkEnd w:id="216"/>
      <w:bookmarkStart w:id="217" w:name="_Toc184313296"/>
      <w:bookmarkEnd w:id="217"/>
      <w:bookmarkStart w:id="218" w:name="_Toc184312126"/>
      <w:bookmarkEnd w:id="218"/>
      <w:bookmarkStart w:id="219" w:name="_Toc184310276"/>
      <w:bookmarkEnd w:id="219"/>
      <w:bookmarkStart w:id="220" w:name="_Toc184312103"/>
      <w:bookmarkEnd w:id="220"/>
      <w:bookmarkStart w:id="221" w:name="_Toc184310286"/>
      <w:bookmarkEnd w:id="221"/>
      <w:bookmarkStart w:id="222" w:name="_Toc184310323"/>
      <w:bookmarkEnd w:id="222"/>
      <w:bookmarkStart w:id="223" w:name="_Toc184312079"/>
      <w:bookmarkEnd w:id="223"/>
      <w:bookmarkStart w:id="224" w:name="_Toc184314476"/>
      <w:bookmarkEnd w:id="224"/>
      <w:bookmarkStart w:id="225" w:name="_Toc184314450"/>
      <w:bookmarkEnd w:id="225"/>
      <w:bookmarkStart w:id="226" w:name="_Toc184312112"/>
      <w:bookmarkEnd w:id="226"/>
      <w:bookmarkStart w:id="227" w:name="_Toc184312072"/>
      <w:bookmarkEnd w:id="227"/>
      <w:bookmarkStart w:id="228" w:name="_Toc184312135"/>
      <w:bookmarkEnd w:id="228"/>
      <w:bookmarkStart w:id="229" w:name="_Toc184308085"/>
      <w:bookmarkEnd w:id="229"/>
      <w:bookmarkStart w:id="230" w:name="_Toc184310287"/>
      <w:bookmarkEnd w:id="230"/>
      <w:bookmarkStart w:id="231" w:name="_Toc184314442"/>
      <w:bookmarkEnd w:id="231"/>
      <w:bookmarkStart w:id="232" w:name="_Toc184313277"/>
      <w:bookmarkEnd w:id="232"/>
      <w:bookmarkStart w:id="233" w:name="_Toc184308067"/>
      <w:bookmarkEnd w:id="233"/>
      <w:bookmarkStart w:id="234" w:name="_Toc184308104"/>
      <w:bookmarkEnd w:id="234"/>
      <w:bookmarkStart w:id="235" w:name="_Toc184312118"/>
      <w:bookmarkEnd w:id="235"/>
      <w:bookmarkStart w:id="236" w:name="_Toc184310342"/>
      <w:bookmarkEnd w:id="236"/>
      <w:bookmarkStart w:id="237" w:name="_Toc184313251"/>
      <w:bookmarkEnd w:id="237"/>
      <w:bookmarkStart w:id="238" w:name="_Toc184310326"/>
      <w:bookmarkEnd w:id="238"/>
      <w:bookmarkStart w:id="239" w:name="_Toc184308044"/>
      <w:bookmarkEnd w:id="239"/>
      <w:bookmarkStart w:id="240" w:name="_Toc184310292"/>
      <w:bookmarkEnd w:id="240"/>
      <w:bookmarkStart w:id="241" w:name="_Toc184314471"/>
      <w:bookmarkEnd w:id="241"/>
      <w:bookmarkStart w:id="242" w:name="_Toc184308098"/>
      <w:bookmarkEnd w:id="242"/>
      <w:bookmarkStart w:id="243" w:name="_Toc184312116"/>
      <w:bookmarkEnd w:id="243"/>
      <w:bookmarkStart w:id="244" w:name="_Toc184310322"/>
      <w:bookmarkEnd w:id="244"/>
      <w:bookmarkStart w:id="245" w:name="_Toc184314414"/>
      <w:bookmarkEnd w:id="245"/>
      <w:bookmarkStart w:id="246" w:name="_Toc184313300"/>
      <w:bookmarkEnd w:id="246"/>
      <w:bookmarkStart w:id="247" w:name="_Toc184310277"/>
      <w:bookmarkEnd w:id="247"/>
      <w:bookmarkStart w:id="248" w:name="_Toc184314466"/>
      <w:bookmarkEnd w:id="248"/>
      <w:bookmarkStart w:id="249" w:name="_Toc184308049"/>
      <w:bookmarkEnd w:id="249"/>
      <w:bookmarkStart w:id="250" w:name="_Toc184308040"/>
      <w:bookmarkEnd w:id="250"/>
      <w:bookmarkStart w:id="251" w:name="_Toc184314458"/>
      <w:bookmarkEnd w:id="251"/>
      <w:bookmarkStart w:id="252" w:name="_Toc184312123"/>
      <w:bookmarkEnd w:id="252"/>
      <w:bookmarkStart w:id="253" w:name="_Toc184308046"/>
      <w:bookmarkEnd w:id="253"/>
      <w:bookmarkStart w:id="254" w:name="_Toc184308072"/>
      <w:bookmarkEnd w:id="254"/>
      <w:bookmarkStart w:id="255" w:name="_Toc184310297"/>
      <w:bookmarkEnd w:id="255"/>
      <w:bookmarkStart w:id="256" w:name="_Toc184313252"/>
      <w:bookmarkEnd w:id="256"/>
      <w:bookmarkStart w:id="257" w:name="_Toc184308038"/>
      <w:bookmarkEnd w:id="257"/>
      <w:bookmarkStart w:id="258" w:name="_Toc184312130"/>
      <w:bookmarkEnd w:id="258"/>
      <w:bookmarkStart w:id="259" w:name="_Toc184314424"/>
      <w:bookmarkEnd w:id="259"/>
      <w:bookmarkStart w:id="260" w:name="_Toc184314454"/>
      <w:bookmarkEnd w:id="260"/>
      <w:bookmarkStart w:id="261" w:name="_Toc184314481"/>
      <w:bookmarkEnd w:id="261"/>
      <w:bookmarkStart w:id="262" w:name="_Toc184312129"/>
      <w:bookmarkEnd w:id="262"/>
      <w:bookmarkStart w:id="263" w:name="_Toc184313290"/>
      <w:bookmarkEnd w:id="263"/>
      <w:bookmarkStart w:id="264" w:name="_Toc184313258"/>
      <w:bookmarkEnd w:id="264"/>
      <w:bookmarkStart w:id="265" w:name="_Toc184312091"/>
      <w:bookmarkEnd w:id="265"/>
      <w:bookmarkStart w:id="266" w:name="_Toc184310294"/>
      <w:bookmarkEnd w:id="266"/>
      <w:bookmarkStart w:id="267" w:name="_Toc184308107"/>
      <w:bookmarkEnd w:id="267"/>
      <w:bookmarkStart w:id="268" w:name="_Toc184313260"/>
      <w:bookmarkEnd w:id="268"/>
      <w:bookmarkStart w:id="269" w:name="_Toc184308096"/>
      <w:bookmarkEnd w:id="269"/>
      <w:bookmarkStart w:id="270" w:name="_Toc184312109"/>
      <w:bookmarkEnd w:id="270"/>
      <w:bookmarkStart w:id="271" w:name="_Toc184313298"/>
      <w:bookmarkEnd w:id="271"/>
      <w:bookmarkStart w:id="272" w:name="_Toc184314464"/>
      <w:bookmarkEnd w:id="272"/>
      <w:bookmarkStart w:id="273" w:name="_Toc184314482"/>
      <w:bookmarkEnd w:id="273"/>
      <w:bookmarkStart w:id="274" w:name="_Toc184314428"/>
      <w:bookmarkEnd w:id="274"/>
      <w:bookmarkStart w:id="275" w:name="_Toc184314440"/>
      <w:bookmarkEnd w:id="275"/>
      <w:bookmarkStart w:id="276" w:name="_Toc184312107"/>
      <w:bookmarkEnd w:id="276"/>
      <w:bookmarkStart w:id="277" w:name="_Toc184314463"/>
      <w:bookmarkEnd w:id="277"/>
      <w:bookmarkStart w:id="278" w:name="_Toc184310341"/>
      <w:bookmarkEnd w:id="278"/>
      <w:bookmarkStart w:id="279" w:name="_Toc184313289"/>
      <w:bookmarkEnd w:id="279"/>
      <w:bookmarkStart w:id="280" w:name="_Toc184314469"/>
      <w:bookmarkEnd w:id="280"/>
      <w:bookmarkStart w:id="281" w:name="_Toc184314434"/>
      <w:bookmarkEnd w:id="281"/>
      <w:bookmarkStart w:id="282" w:name="_Toc184314435"/>
      <w:bookmarkEnd w:id="282"/>
      <w:bookmarkStart w:id="283" w:name="_Toc184308102"/>
      <w:bookmarkEnd w:id="283"/>
      <w:bookmarkStart w:id="284" w:name="_Toc184314425"/>
      <w:bookmarkEnd w:id="284"/>
      <w:bookmarkStart w:id="285" w:name="_Toc184308059"/>
      <w:bookmarkEnd w:id="285"/>
      <w:bookmarkStart w:id="286" w:name="_Toc184308089"/>
      <w:bookmarkEnd w:id="286"/>
      <w:bookmarkStart w:id="287" w:name="_Toc184313263"/>
      <w:bookmarkEnd w:id="287"/>
      <w:bookmarkStart w:id="288" w:name="_Toc184310305"/>
      <w:bookmarkEnd w:id="288"/>
      <w:bookmarkStart w:id="289" w:name="_Toc184313261"/>
      <w:bookmarkEnd w:id="289"/>
      <w:bookmarkStart w:id="290" w:name="_Toc184308047"/>
      <w:bookmarkEnd w:id="290"/>
      <w:bookmarkStart w:id="291" w:name="_Toc184312117"/>
      <w:bookmarkEnd w:id="291"/>
      <w:bookmarkStart w:id="292" w:name="_Toc184313278"/>
      <w:bookmarkEnd w:id="292"/>
      <w:bookmarkStart w:id="293" w:name="_Toc184313240"/>
      <w:bookmarkEnd w:id="293"/>
      <w:bookmarkStart w:id="294" w:name="_Toc184310283"/>
      <w:bookmarkEnd w:id="294"/>
      <w:bookmarkStart w:id="295" w:name="_Toc184310316"/>
      <w:bookmarkEnd w:id="295"/>
      <w:bookmarkStart w:id="296" w:name="_Toc184313259"/>
      <w:bookmarkEnd w:id="296"/>
      <w:bookmarkStart w:id="297" w:name="_Toc184310337"/>
      <w:bookmarkEnd w:id="297"/>
      <w:bookmarkStart w:id="298" w:name="_Toc184308105"/>
      <w:bookmarkEnd w:id="298"/>
      <w:bookmarkStart w:id="299" w:name="_Toc184314415"/>
      <w:bookmarkEnd w:id="299"/>
      <w:bookmarkStart w:id="300" w:name="_Toc184314444"/>
      <w:bookmarkEnd w:id="300"/>
      <w:bookmarkStart w:id="301" w:name="_Toc184310299"/>
      <w:bookmarkEnd w:id="301"/>
      <w:bookmarkStart w:id="302" w:name="_Toc184314460"/>
      <w:bookmarkEnd w:id="302"/>
      <w:bookmarkStart w:id="303" w:name="_Toc184313244"/>
      <w:bookmarkEnd w:id="303"/>
      <w:bookmarkStart w:id="304" w:name="_Toc184308071"/>
      <w:bookmarkEnd w:id="304"/>
      <w:bookmarkStart w:id="305" w:name="_Toc184313264"/>
      <w:bookmarkEnd w:id="305"/>
      <w:bookmarkStart w:id="306" w:name="_Toc184314472"/>
      <w:bookmarkEnd w:id="306"/>
      <w:bookmarkStart w:id="307" w:name="_Toc184313303"/>
      <w:bookmarkEnd w:id="307"/>
      <w:bookmarkStart w:id="308" w:name="_Toc184312133"/>
      <w:bookmarkEnd w:id="308"/>
      <w:bookmarkStart w:id="309" w:name="_Toc184308043"/>
      <w:bookmarkEnd w:id="309"/>
      <w:bookmarkStart w:id="310" w:name="_Toc184313238"/>
      <w:bookmarkEnd w:id="310"/>
      <w:bookmarkStart w:id="311" w:name="_Toc184313242"/>
      <w:bookmarkEnd w:id="311"/>
      <w:bookmarkStart w:id="312" w:name="_Toc184314430"/>
      <w:bookmarkEnd w:id="312"/>
      <w:bookmarkStart w:id="313" w:name="_Toc184310343"/>
      <w:bookmarkEnd w:id="313"/>
      <w:bookmarkStart w:id="314" w:name="_Toc184312094"/>
      <w:bookmarkEnd w:id="314"/>
      <w:bookmarkStart w:id="315" w:name="_Toc184310310"/>
      <w:bookmarkEnd w:id="315"/>
      <w:bookmarkStart w:id="316" w:name="_Toc184310331"/>
      <w:bookmarkEnd w:id="316"/>
      <w:bookmarkStart w:id="317" w:name="_Toc184308100"/>
      <w:bookmarkEnd w:id="317"/>
      <w:bookmarkStart w:id="318" w:name="_Toc184313257"/>
      <w:bookmarkEnd w:id="318"/>
      <w:bookmarkStart w:id="319" w:name="_Toc184312119"/>
      <w:bookmarkEnd w:id="319"/>
      <w:bookmarkStart w:id="320" w:name="_Toc184308091"/>
      <w:bookmarkEnd w:id="320"/>
      <w:bookmarkStart w:id="321" w:name="_Toc184313291"/>
      <w:bookmarkEnd w:id="321"/>
      <w:bookmarkStart w:id="322" w:name="_Toc184308108"/>
      <w:bookmarkEnd w:id="322"/>
      <w:bookmarkStart w:id="323" w:name="_Toc184308058"/>
      <w:bookmarkEnd w:id="323"/>
      <w:bookmarkStart w:id="324" w:name="_Toc184314441"/>
      <w:bookmarkEnd w:id="324"/>
      <w:bookmarkStart w:id="325" w:name="_Toc184310298"/>
      <w:bookmarkEnd w:id="325"/>
      <w:bookmarkStart w:id="326" w:name="_Toc184312105"/>
      <w:bookmarkEnd w:id="326"/>
      <w:bookmarkStart w:id="327" w:name="_Toc184310312"/>
      <w:bookmarkEnd w:id="327"/>
      <w:bookmarkStart w:id="328" w:name="_Toc184312115"/>
      <w:bookmarkEnd w:id="328"/>
      <w:bookmarkStart w:id="329" w:name="_Toc184312125"/>
      <w:bookmarkEnd w:id="329"/>
      <w:bookmarkStart w:id="330" w:name="_Toc184312121"/>
      <w:bookmarkEnd w:id="330"/>
      <w:bookmarkStart w:id="331" w:name="_Toc184310307"/>
      <w:bookmarkEnd w:id="331"/>
      <w:bookmarkStart w:id="332" w:name="_Toc184314453"/>
      <w:bookmarkEnd w:id="332"/>
      <w:bookmarkStart w:id="333" w:name="_Toc184312083"/>
      <w:bookmarkEnd w:id="333"/>
      <w:bookmarkStart w:id="334" w:name="_Toc184314445"/>
      <w:bookmarkEnd w:id="334"/>
      <w:bookmarkStart w:id="335" w:name="_Toc184313254"/>
      <w:bookmarkEnd w:id="335"/>
      <w:bookmarkStart w:id="336" w:name="_Toc184313283"/>
      <w:bookmarkEnd w:id="336"/>
      <w:bookmarkStart w:id="337" w:name="_Toc184314480"/>
      <w:bookmarkEnd w:id="337"/>
      <w:bookmarkStart w:id="338" w:name="_Toc184314479"/>
      <w:bookmarkEnd w:id="338"/>
      <w:bookmarkStart w:id="339" w:name="_Toc184312137"/>
      <w:bookmarkEnd w:id="339"/>
      <w:bookmarkStart w:id="340" w:name="_Toc184314410"/>
      <w:bookmarkEnd w:id="340"/>
      <w:bookmarkStart w:id="341" w:name="_Toc184314478"/>
      <w:bookmarkEnd w:id="341"/>
      <w:bookmarkStart w:id="342" w:name="_Toc184308061"/>
      <w:bookmarkEnd w:id="342"/>
      <w:bookmarkStart w:id="343" w:name="_Toc184314462"/>
      <w:bookmarkEnd w:id="343"/>
      <w:bookmarkStart w:id="344" w:name="_Toc184310284"/>
      <w:bookmarkEnd w:id="344"/>
      <w:bookmarkStart w:id="345" w:name="_Toc184310280"/>
      <w:bookmarkEnd w:id="345"/>
      <w:bookmarkStart w:id="346" w:name="_Toc184313250"/>
      <w:bookmarkEnd w:id="346"/>
      <w:bookmarkStart w:id="347" w:name="_Toc184310281"/>
      <w:bookmarkEnd w:id="347"/>
      <w:bookmarkStart w:id="348" w:name="_Toc184312114"/>
      <w:bookmarkEnd w:id="348"/>
      <w:bookmarkStart w:id="349" w:name="_Toc184308069"/>
      <w:bookmarkEnd w:id="349"/>
      <w:bookmarkStart w:id="350" w:name="_Toc184313288"/>
      <w:bookmarkEnd w:id="350"/>
      <w:bookmarkStart w:id="351" w:name="_Toc184313295"/>
      <w:bookmarkEnd w:id="351"/>
      <w:bookmarkStart w:id="352" w:name="_Toc184310273"/>
      <w:bookmarkEnd w:id="352"/>
      <w:bookmarkStart w:id="353" w:name="_Toc184314423"/>
      <w:bookmarkEnd w:id="353"/>
      <w:bookmarkStart w:id="354" w:name="_Toc184312120"/>
      <w:bookmarkEnd w:id="354"/>
      <w:bookmarkStart w:id="355" w:name="_Toc184312136"/>
      <w:bookmarkEnd w:id="355"/>
      <w:bookmarkStart w:id="356" w:name="_Toc184308088"/>
      <w:bookmarkEnd w:id="356"/>
      <w:bookmarkStart w:id="357" w:name="_Toc184310339"/>
      <w:bookmarkEnd w:id="357"/>
      <w:bookmarkStart w:id="358" w:name="_Toc184310314"/>
      <w:bookmarkEnd w:id="358"/>
      <w:bookmarkStart w:id="359" w:name="_Toc184313305"/>
      <w:bookmarkEnd w:id="359"/>
      <w:bookmarkStart w:id="360" w:name="_Toc184314468"/>
      <w:bookmarkEnd w:id="360"/>
      <w:bookmarkStart w:id="361" w:name="_Toc184310289"/>
      <w:bookmarkEnd w:id="361"/>
      <w:bookmarkStart w:id="362" w:name="_Toc184313262"/>
      <w:bookmarkEnd w:id="362"/>
      <w:bookmarkStart w:id="363" w:name="_Toc184310274"/>
      <w:bookmarkEnd w:id="363"/>
      <w:bookmarkStart w:id="364" w:name="_Toc184312067"/>
      <w:bookmarkEnd w:id="364"/>
      <w:bookmarkStart w:id="365" w:name="_Toc184312078"/>
      <w:bookmarkEnd w:id="365"/>
      <w:bookmarkStart w:id="366" w:name="_Toc184313286"/>
      <w:bookmarkEnd w:id="366"/>
      <w:bookmarkStart w:id="367" w:name="_Toc184310301"/>
      <w:bookmarkEnd w:id="367"/>
      <w:bookmarkStart w:id="368" w:name="_Toc184314419"/>
      <w:bookmarkEnd w:id="368"/>
      <w:bookmarkStart w:id="369" w:name="_Toc184308079"/>
      <w:bookmarkEnd w:id="369"/>
      <w:bookmarkStart w:id="370" w:name="_Toc184308090"/>
      <w:bookmarkEnd w:id="370"/>
      <w:bookmarkStart w:id="371" w:name="_Toc184308042"/>
      <w:bookmarkEnd w:id="371"/>
      <w:bookmarkStart w:id="372" w:name="_Toc184314429"/>
      <w:bookmarkEnd w:id="372"/>
      <w:bookmarkStart w:id="373" w:name="_Toc184312090"/>
      <w:bookmarkEnd w:id="373"/>
      <w:bookmarkStart w:id="374" w:name="_Toc184314412"/>
      <w:bookmarkEnd w:id="374"/>
      <w:bookmarkStart w:id="375" w:name="_Toc184314461"/>
      <w:bookmarkEnd w:id="375"/>
      <w:bookmarkStart w:id="376" w:name="_Toc184313255"/>
      <w:bookmarkEnd w:id="376"/>
      <w:bookmarkStart w:id="377" w:name="_Toc184310329"/>
      <w:bookmarkEnd w:id="377"/>
      <w:bookmarkStart w:id="378" w:name="_Toc184310332"/>
      <w:bookmarkEnd w:id="378"/>
      <w:bookmarkStart w:id="379" w:name="_Toc184308083"/>
      <w:bookmarkEnd w:id="379"/>
      <w:bookmarkStart w:id="380" w:name="_Toc184308103"/>
      <w:bookmarkEnd w:id="380"/>
      <w:bookmarkStart w:id="381" w:name="_Toc184313287"/>
      <w:bookmarkEnd w:id="381"/>
      <w:bookmarkStart w:id="382" w:name="_Toc184308078"/>
      <w:bookmarkEnd w:id="382"/>
      <w:bookmarkStart w:id="383" w:name="_Toc184313272"/>
      <w:bookmarkEnd w:id="383"/>
      <w:bookmarkStart w:id="384" w:name="_Toc184314457"/>
      <w:bookmarkEnd w:id="384"/>
      <w:bookmarkStart w:id="385" w:name="_Toc184312074"/>
      <w:bookmarkEnd w:id="385"/>
      <w:bookmarkStart w:id="386" w:name="_Toc184308051"/>
      <w:bookmarkEnd w:id="386"/>
      <w:bookmarkStart w:id="387" w:name="_Toc184313270"/>
      <w:bookmarkEnd w:id="387"/>
      <w:bookmarkStart w:id="388" w:name="_Toc184313241"/>
      <w:bookmarkEnd w:id="388"/>
      <w:bookmarkStart w:id="389" w:name="_Toc184312076"/>
      <w:bookmarkEnd w:id="389"/>
      <w:bookmarkStart w:id="390" w:name="_Toc184314474"/>
      <w:bookmarkEnd w:id="390"/>
      <w:bookmarkStart w:id="391" w:name="_Toc184310325"/>
      <w:bookmarkEnd w:id="391"/>
      <w:bookmarkStart w:id="392" w:name="_Toc184313294"/>
      <w:bookmarkEnd w:id="392"/>
      <w:bookmarkStart w:id="393" w:name="_Toc184308075"/>
      <w:bookmarkEnd w:id="393"/>
      <w:bookmarkStart w:id="394" w:name="_Toc184310334"/>
      <w:bookmarkEnd w:id="394"/>
      <w:bookmarkStart w:id="395" w:name="_Toc184308097"/>
      <w:bookmarkEnd w:id="395"/>
      <w:bookmarkStart w:id="396" w:name="_Toc184312087"/>
      <w:bookmarkEnd w:id="396"/>
      <w:bookmarkStart w:id="397" w:name="_Toc184310311"/>
      <w:bookmarkEnd w:id="397"/>
      <w:bookmarkStart w:id="398" w:name="_Toc184308060"/>
      <w:bookmarkEnd w:id="398"/>
      <w:bookmarkStart w:id="399" w:name="_Toc184313308"/>
      <w:bookmarkEnd w:id="399"/>
      <w:bookmarkStart w:id="400" w:name="_Toc184310308"/>
      <w:bookmarkEnd w:id="400"/>
      <w:bookmarkStart w:id="401" w:name="_Toc184314470"/>
      <w:bookmarkEnd w:id="401"/>
      <w:bookmarkStart w:id="402" w:name="_Toc184308065"/>
      <w:bookmarkEnd w:id="402"/>
      <w:bookmarkStart w:id="403" w:name="_Toc184310291"/>
      <w:bookmarkEnd w:id="403"/>
      <w:bookmarkStart w:id="404" w:name="_Toc184310333"/>
      <w:bookmarkEnd w:id="404"/>
      <w:bookmarkStart w:id="405" w:name="_Toc184310324"/>
      <w:bookmarkEnd w:id="405"/>
      <w:bookmarkStart w:id="406" w:name="_Toc184312070"/>
      <w:bookmarkEnd w:id="406"/>
      <w:bookmarkStart w:id="407" w:name="_Toc184313271"/>
      <w:bookmarkEnd w:id="407"/>
      <w:bookmarkStart w:id="408" w:name="_Toc184314475"/>
      <w:bookmarkEnd w:id="408"/>
      <w:bookmarkStart w:id="409" w:name="_Toc184312084"/>
      <w:bookmarkEnd w:id="409"/>
      <w:bookmarkStart w:id="410" w:name="_Toc184313246"/>
      <w:bookmarkEnd w:id="410"/>
      <w:bookmarkStart w:id="411" w:name="_Toc184312138"/>
      <w:bookmarkEnd w:id="411"/>
      <w:bookmarkStart w:id="412" w:name="_Toc184313276"/>
      <w:bookmarkEnd w:id="412"/>
      <w:bookmarkStart w:id="413" w:name="_Toc184312069"/>
      <w:bookmarkEnd w:id="413"/>
      <w:bookmarkStart w:id="414" w:name="_Toc184312139"/>
      <w:bookmarkEnd w:id="414"/>
      <w:bookmarkStart w:id="415" w:name="_Toc184313282"/>
      <w:bookmarkEnd w:id="415"/>
      <w:bookmarkStart w:id="416" w:name="_Toc184308048"/>
      <w:bookmarkEnd w:id="416"/>
      <w:bookmarkStart w:id="417" w:name="_Toc184313267"/>
      <w:bookmarkEnd w:id="417"/>
      <w:bookmarkStart w:id="418" w:name="_Toc184314436"/>
      <w:bookmarkEnd w:id="418"/>
      <w:bookmarkStart w:id="419" w:name="_Toc184308057"/>
      <w:bookmarkEnd w:id="419"/>
      <w:bookmarkStart w:id="420" w:name="_Toc184313273"/>
      <w:bookmarkEnd w:id="420"/>
      <w:bookmarkStart w:id="421" w:name="_Toc184310309"/>
      <w:bookmarkEnd w:id="421"/>
      <w:bookmarkStart w:id="422" w:name="_Toc184314439"/>
      <w:bookmarkEnd w:id="422"/>
      <w:bookmarkStart w:id="423" w:name="_Toc184313280"/>
      <w:bookmarkEnd w:id="423"/>
      <w:bookmarkStart w:id="424" w:name="_Toc184313284"/>
      <w:bookmarkEnd w:id="424"/>
      <w:bookmarkStart w:id="425" w:name="_Toc184310340"/>
      <w:bookmarkEnd w:id="425"/>
      <w:bookmarkStart w:id="426" w:name="_Toc184314421"/>
      <w:bookmarkEnd w:id="426"/>
      <w:bookmarkStart w:id="427" w:name="_Toc184312102"/>
      <w:bookmarkEnd w:id="427"/>
      <w:bookmarkStart w:id="428" w:name="_Toc184308099"/>
      <w:bookmarkEnd w:id="428"/>
      <w:bookmarkStart w:id="429" w:name="_Toc184314427"/>
      <w:bookmarkEnd w:id="429"/>
      <w:bookmarkStart w:id="430" w:name="_Toc184308064"/>
      <w:bookmarkEnd w:id="430"/>
      <w:bookmarkStart w:id="431" w:name="_Toc184310290"/>
      <w:bookmarkEnd w:id="431"/>
      <w:bookmarkStart w:id="432" w:name="_Toc184312095"/>
      <w:bookmarkEnd w:id="432"/>
      <w:bookmarkStart w:id="433" w:name="_Toc184308092"/>
      <w:bookmarkEnd w:id="433"/>
      <w:bookmarkStart w:id="434" w:name="_Toc184312086"/>
      <w:bookmarkEnd w:id="434"/>
      <w:bookmarkStart w:id="435" w:name="_Toc184312122"/>
      <w:bookmarkEnd w:id="435"/>
      <w:bookmarkStart w:id="436" w:name="_Toc184314446"/>
      <w:bookmarkEnd w:id="436"/>
      <w:bookmarkStart w:id="437" w:name="_Toc184308063"/>
      <w:bookmarkEnd w:id="437"/>
      <w:bookmarkStart w:id="438" w:name="_Toc184314465"/>
      <w:bookmarkEnd w:id="438"/>
      <w:bookmarkStart w:id="439" w:name="_Toc184314447"/>
      <w:bookmarkEnd w:id="439"/>
      <w:bookmarkStart w:id="440" w:name="_Toc184313249"/>
      <w:bookmarkEnd w:id="440"/>
      <w:bookmarkStart w:id="441" w:name="_Toc184308039"/>
      <w:bookmarkEnd w:id="441"/>
      <w:bookmarkStart w:id="442" w:name="_Toc184313307"/>
      <w:bookmarkEnd w:id="442"/>
      <w:bookmarkStart w:id="443" w:name="_Toc184308062"/>
      <w:bookmarkEnd w:id="443"/>
      <w:r>
        <w:rPr>
          <w:rFonts w:hint="eastAsia" w:ascii="宋体" w:hAnsi="宋体" w:cs="宋体"/>
          <w:b/>
          <w:color w:val="000000" w:themeColor="text1"/>
          <w:sz w:val="36"/>
          <w:szCs w:val="36"/>
          <w:highlight w:val="none"/>
          <w14:textFill>
            <w14:solidFill>
              <w14:schemeClr w14:val="tx1"/>
            </w14:solidFill>
          </w14:textFill>
        </w:rPr>
        <w:t>评标办法</w:t>
      </w:r>
    </w:p>
    <w:p>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评标办法前附表</w:t>
      </w:r>
    </w:p>
    <w:tbl>
      <w:tblPr>
        <w:tblStyle w:val="64"/>
        <w:tblW w:w="56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250"/>
        <w:gridCol w:w="5154"/>
        <w:gridCol w:w="707"/>
        <w:gridCol w:w="1016"/>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6" w:hRule="atLeast"/>
          <w:tblHeader/>
          <w:jc w:val="center"/>
        </w:trPr>
        <w:tc>
          <w:tcPr>
            <w:tcW w:w="304" w:type="pct"/>
            <w:vAlign w:val="center"/>
          </w:tcPr>
          <w:p>
            <w:pPr>
              <w:keepNext w:val="0"/>
              <w:keepLines w:val="0"/>
              <w:pageBreakBefore w:val="0"/>
              <w:kinsoku/>
              <w:wordWrap/>
              <w:overflowPunct/>
              <w:topLinePunct w:val="0"/>
              <w:autoSpaceDE/>
              <w:autoSpaceDN/>
              <w:bidi w:val="0"/>
              <w:snapToGrid w:val="0"/>
              <w:spacing w:line="240" w:lineRule="auto"/>
              <w:ind w:firstLine="0"/>
              <w:jc w:val="center"/>
              <w:textAlignment w:val="auto"/>
              <w:rPr>
                <w:rFonts w:cs="仿宋_GB2312" w:asciiTheme="minorEastAsia" w:hAnsiTheme="minorEastAsia" w:eastAsiaTheme="minorEastAsia"/>
                <w:color w:val="auto"/>
                <w:sz w:val="24"/>
                <w:highlight w:val="none"/>
              </w:rPr>
            </w:pPr>
            <w:bookmarkStart w:id="444" w:name="OLE_LINK8"/>
            <w:r>
              <w:rPr>
                <w:rFonts w:hint="eastAsia" w:cs="仿宋_GB2312" w:asciiTheme="minorEastAsia" w:hAnsiTheme="minorEastAsia" w:eastAsiaTheme="minorEastAsia"/>
                <w:color w:val="auto"/>
                <w:sz w:val="24"/>
                <w:highlight w:val="none"/>
              </w:rPr>
              <w:t>序号</w:t>
            </w:r>
          </w:p>
        </w:tc>
        <w:tc>
          <w:tcPr>
            <w:tcW w:w="3062" w:type="pct"/>
            <w:gridSpan w:val="2"/>
            <w:vAlign w:val="center"/>
          </w:tcPr>
          <w:p>
            <w:pPr>
              <w:keepNext w:val="0"/>
              <w:keepLines w:val="0"/>
              <w:pageBreakBefore w:val="0"/>
              <w:kinsoku/>
              <w:wordWrap/>
              <w:overflowPunct/>
              <w:topLinePunct w:val="0"/>
              <w:autoSpaceDE/>
              <w:autoSpaceDN/>
              <w:bidi w:val="0"/>
              <w:snapToGrid w:val="0"/>
              <w:spacing w:line="240" w:lineRule="auto"/>
              <w:ind w:firstLine="0"/>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338" w:type="pct"/>
            <w:vAlign w:val="center"/>
          </w:tcPr>
          <w:p>
            <w:pPr>
              <w:keepNext w:val="0"/>
              <w:keepLines w:val="0"/>
              <w:pageBreakBefore w:val="0"/>
              <w:kinsoku/>
              <w:wordWrap/>
              <w:overflowPunct/>
              <w:topLinePunct w:val="0"/>
              <w:autoSpaceDE/>
              <w:autoSpaceDN/>
              <w:bidi w:val="0"/>
              <w:snapToGrid w:val="0"/>
              <w:spacing w:line="240" w:lineRule="auto"/>
              <w:ind w:firstLine="0"/>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485" w:type="pct"/>
            <w:vAlign w:val="center"/>
          </w:tcPr>
          <w:p>
            <w:pPr>
              <w:keepNext w:val="0"/>
              <w:keepLines w:val="0"/>
              <w:pageBreakBefore w:val="0"/>
              <w:kinsoku/>
              <w:wordWrap/>
              <w:overflowPunct/>
              <w:topLinePunct w:val="0"/>
              <w:autoSpaceDE/>
              <w:autoSpaceDN/>
              <w:bidi w:val="0"/>
              <w:snapToGrid w:val="0"/>
              <w:spacing w:line="240" w:lineRule="auto"/>
              <w:ind w:firstLine="0"/>
              <w:jc w:val="center"/>
              <w:textAlignment w:val="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809" w:type="pct"/>
          </w:tcPr>
          <w:p>
            <w:pPr>
              <w:keepNext w:val="0"/>
              <w:keepLines w:val="0"/>
              <w:pageBreakBefore w:val="0"/>
              <w:kinsoku/>
              <w:wordWrap/>
              <w:overflowPunct/>
              <w:topLinePunct w:val="0"/>
              <w:autoSpaceDE/>
              <w:autoSpaceDN/>
              <w:bidi w:val="0"/>
              <w:snapToGrid w:val="0"/>
              <w:spacing w:line="240" w:lineRule="auto"/>
              <w:ind w:firstLine="0"/>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4" w:type="pct"/>
            <w:vAlign w:val="center"/>
          </w:tcPr>
          <w:p>
            <w:pPr>
              <w:keepNext w:val="0"/>
              <w:keepLines w:val="0"/>
              <w:pageBreakBefore w:val="0"/>
              <w:kinsoku/>
              <w:wordWrap/>
              <w:overflowPunct/>
              <w:topLinePunct w:val="0"/>
              <w:autoSpaceDE/>
              <w:autoSpaceDN/>
              <w:bidi w:val="0"/>
              <w:snapToGrid w:val="0"/>
              <w:spacing w:line="240" w:lineRule="auto"/>
              <w:ind w:firstLine="0"/>
              <w:jc w:val="center"/>
              <w:textAlignment w:val="auto"/>
              <w:rPr>
                <w:rFonts w:cs="仿宋_GB2312" w:asciiTheme="minorEastAsia" w:hAnsiTheme="minorEastAsia" w:eastAsiaTheme="minorEastAsia"/>
                <w:color w:val="auto"/>
                <w:sz w:val="24"/>
                <w:highlight w:val="none"/>
              </w:rPr>
            </w:pPr>
            <w:bookmarkStart w:id="445" w:name="OLE_LINK9" w:colFirst="3" w:colLast="3"/>
            <w:bookmarkStart w:id="446" w:name="OLE_LINK124" w:colFirst="3" w:colLast="3"/>
            <w:r>
              <w:rPr>
                <w:rFonts w:hint="eastAsia" w:cs="仿宋_GB2312" w:asciiTheme="minorEastAsia" w:hAnsiTheme="minorEastAsia" w:eastAsiaTheme="minorEastAsia"/>
                <w:color w:val="auto"/>
                <w:sz w:val="24"/>
                <w:highlight w:val="none"/>
              </w:rPr>
              <w:t>1</w:t>
            </w:r>
          </w:p>
        </w:tc>
        <w:tc>
          <w:tcPr>
            <w:tcW w:w="597" w:type="pct"/>
            <w:vAlign w:val="center"/>
          </w:tcPr>
          <w:p>
            <w:pPr>
              <w:keepNext w:val="0"/>
              <w:keepLines w:val="0"/>
              <w:pageBreakBefore w:val="0"/>
              <w:kinsoku/>
              <w:wordWrap/>
              <w:overflowPunct/>
              <w:topLinePunct w:val="0"/>
              <w:autoSpaceDE/>
              <w:autoSpaceDN/>
              <w:bidi w:val="0"/>
              <w:snapToGrid w:val="0"/>
              <w:spacing w:line="240" w:lineRule="auto"/>
              <w:ind w:firstLine="0"/>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业绩</w:t>
            </w:r>
          </w:p>
        </w:tc>
        <w:tc>
          <w:tcPr>
            <w:tcW w:w="2464" w:type="pct"/>
            <w:vAlign w:val="center"/>
          </w:tcPr>
          <w:p>
            <w:pPr>
              <w:keepNext w:val="0"/>
              <w:keepLines w:val="0"/>
              <w:pageBreakBefore w:val="0"/>
              <w:kinsoku/>
              <w:wordWrap/>
              <w:overflowPunct/>
              <w:topLinePunct w:val="0"/>
              <w:autoSpaceDE/>
              <w:autoSpaceDN/>
              <w:bidi w:val="0"/>
              <w:snapToGrid w:val="0"/>
              <w:spacing w:line="240" w:lineRule="auto"/>
              <w:ind w:firstLine="0"/>
              <w:jc w:val="both"/>
              <w:textAlignment w:val="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投标人自2020年1月1日以来（以合同签订时间为准）同类（指水运规划或运量需求研究）项目服务业绩：每提供1个有效业绩得1分，最高得1分。</w:t>
            </w:r>
          </w:p>
          <w:p>
            <w:pPr>
              <w:keepNext w:val="0"/>
              <w:keepLines w:val="0"/>
              <w:pageBreakBefore w:val="0"/>
              <w:kinsoku/>
              <w:wordWrap/>
              <w:overflowPunct/>
              <w:topLinePunct w:val="0"/>
              <w:autoSpaceDE/>
              <w:autoSpaceDN/>
              <w:bidi w:val="0"/>
              <w:snapToGrid w:val="0"/>
              <w:spacing w:line="240" w:lineRule="auto"/>
              <w:ind w:firstLine="0"/>
              <w:jc w:val="both"/>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rPr>
              <w:t>证明材料：提供有效的合同复印件加盖投标人公章，否则不计分。</w:t>
            </w:r>
          </w:p>
        </w:tc>
        <w:tc>
          <w:tcPr>
            <w:tcW w:w="338" w:type="pct"/>
            <w:vAlign w:val="center"/>
          </w:tcPr>
          <w:p>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w:t>
            </w:r>
          </w:p>
        </w:tc>
        <w:tc>
          <w:tcPr>
            <w:tcW w:w="485" w:type="pct"/>
            <w:vAlign w:val="center"/>
          </w:tcPr>
          <w:p>
            <w:pPr>
              <w:keepNext w:val="0"/>
              <w:keepLines w:val="0"/>
              <w:pageBreakBefore w:val="0"/>
              <w:kinsoku/>
              <w:wordWrap/>
              <w:overflowPunct/>
              <w:topLinePunct w:val="0"/>
              <w:autoSpaceDE/>
              <w:autoSpaceDN/>
              <w:bidi w:val="0"/>
              <w:snapToGrid w:val="0"/>
              <w:spacing w:line="240" w:lineRule="auto"/>
              <w:ind w:firstLine="0"/>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客观分</w:t>
            </w:r>
          </w:p>
        </w:tc>
        <w:tc>
          <w:tcPr>
            <w:tcW w:w="809" w:type="pct"/>
          </w:tcPr>
          <w:p>
            <w:pPr>
              <w:keepNext w:val="0"/>
              <w:keepLines w:val="0"/>
              <w:pageBreakBefore w:val="0"/>
              <w:kinsoku/>
              <w:wordWrap/>
              <w:overflowPunct/>
              <w:topLinePunct w:val="0"/>
              <w:autoSpaceDE/>
              <w:autoSpaceDN/>
              <w:bidi w:val="0"/>
              <w:snapToGrid w:val="0"/>
              <w:spacing w:line="240" w:lineRule="auto"/>
              <w:ind w:firstLine="0"/>
              <w:jc w:val="center"/>
              <w:textAlignment w:val="auto"/>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4" w:type="pct"/>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textAlignment w:val="auto"/>
              <w:rPr>
                <w:rFonts w:hint="default" w:cs="仿宋_GB2312" w:asciiTheme="minorEastAsia" w:hAnsiTheme="minorEastAsia" w:eastAsiaTheme="minorEastAsia"/>
                <w:color w:val="auto"/>
                <w:kern w:val="2"/>
                <w:sz w:val="24"/>
                <w:szCs w:val="24"/>
                <w:highlight w:val="none"/>
                <w:lang w:val="en-US" w:eastAsia="zh-CN" w:bidi="ar-SA"/>
              </w:rPr>
            </w:pPr>
            <w:bookmarkStart w:id="447" w:name="OLE_LINK85" w:colFirst="3" w:colLast="3"/>
            <w:r>
              <w:rPr>
                <w:rFonts w:hint="eastAsia" w:cs="仿宋_GB2312" w:asciiTheme="minorEastAsia" w:hAnsiTheme="minorEastAsia" w:eastAsiaTheme="minorEastAsia"/>
                <w:color w:val="auto"/>
                <w:sz w:val="24"/>
                <w:highlight w:val="none"/>
                <w:lang w:val="en-US" w:eastAsia="zh-CN"/>
              </w:rPr>
              <w:t>2</w:t>
            </w:r>
          </w:p>
        </w:tc>
        <w:tc>
          <w:tcPr>
            <w:tcW w:w="597" w:type="pct"/>
            <w:vMerge w:val="restart"/>
            <w:vAlign w:val="center"/>
          </w:tcPr>
          <w:p>
            <w:pPr>
              <w:keepNext w:val="0"/>
              <w:keepLines w:val="0"/>
              <w:pageBreakBefore w:val="0"/>
              <w:kinsoku/>
              <w:wordWrap/>
              <w:overflowPunct/>
              <w:topLinePunct w:val="0"/>
              <w:autoSpaceDE/>
              <w:autoSpaceDN/>
              <w:bidi w:val="0"/>
              <w:snapToGrid w:val="0"/>
              <w:spacing w:line="240" w:lineRule="auto"/>
              <w:ind w:firstLine="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服务团队</w:t>
            </w:r>
          </w:p>
        </w:tc>
        <w:tc>
          <w:tcPr>
            <w:tcW w:w="2464" w:type="pct"/>
            <w:vAlign w:val="center"/>
          </w:tcPr>
          <w:p>
            <w:pPr>
              <w:keepNext w:val="0"/>
              <w:keepLines w:val="0"/>
              <w:pageBreakBefore w:val="0"/>
              <w:numPr>
                <w:ilvl w:val="-1"/>
                <w:numId w:val="0"/>
              </w:numPr>
              <w:kinsoku/>
              <w:wordWrap/>
              <w:overflowPunct/>
              <w:topLinePunct w:val="0"/>
              <w:autoSpaceDE/>
              <w:autoSpaceDN/>
              <w:bidi w:val="0"/>
              <w:snapToGrid w:val="0"/>
              <w:spacing w:line="240" w:lineRule="auto"/>
              <w:jc w:val="both"/>
              <w:textAlignment w:val="auto"/>
              <w:rPr>
                <w:rFonts w:hint="eastAsia" w:ascii="宋体" w:hAnsi="宋体"/>
                <w:sz w:val="24"/>
                <w:lang w:eastAsia="zh-CN"/>
              </w:rPr>
            </w:pPr>
            <w:r>
              <w:rPr>
                <w:rFonts w:hint="eastAsia" w:ascii="宋体" w:hAnsi="宋体"/>
                <w:sz w:val="24"/>
                <w:lang w:val="en-US" w:eastAsia="zh-CN"/>
              </w:rPr>
              <w:t>1.</w:t>
            </w:r>
            <w:r>
              <w:rPr>
                <w:rFonts w:hint="eastAsia" w:ascii="宋体" w:hAnsi="宋体"/>
                <w:sz w:val="24"/>
              </w:rPr>
              <w:t>投标人针对本项目拟派项目负责人具有港口或航道或交通运输等交通相关专业正高技术职称的得3分；具有港口或航道或交通运输等交通相关专业副高技术职称的得1分</w:t>
            </w:r>
            <w:r>
              <w:rPr>
                <w:rFonts w:hint="eastAsia" w:ascii="宋体" w:hAnsi="宋体"/>
                <w:sz w:val="24"/>
                <w:lang w:eastAsia="zh-CN"/>
              </w:rPr>
              <w:t>。</w:t>
            </w:r>
          </w:p>
          <w:p>
            <w:pPr>
              <w:keepNext w:val="0"/>
              <w:keepLines w:val="0"/>
              <w:pageBreakBefore w:val="0"/>
              <w:numPr>
                <w:ilvl w:val="0"/>
                <w:numId w:val="0"/>
              </w:numPr>
              <w:kinsoku/>
              <w:wordWrap/>
              <w:overflowPunct/>
              <w:topLinePunct w:val="0"/>
              <w:autoSpaceDE/>
              <w:autoSpaceDN/>
              <w:bidi w:val="0"/>
              <w:snapToGrid w:val="0"/>
              <w:spacing w:line="240" w:lineRule="auto"/>
              <w:jc w:val="both"/>
              <w:textAlignment w:val="auto"/>
              <w:rPr>
                <w:rFonts w:hint="eastAsia" w:ascii="宋体" w:hAnsi="宋体"/>
                <w:sz w:val="24"/>
                <w:lang w:val="en-US" w:eastAsia="zh-CN"/>
              </w:rPr>
            </w:pPr>
            <w:r>
              <w:rPr>
                <w:rFonts w:hint="eastAsia" w:ascii="宋体" w:hAnsi="宋体"/>
                <w:sz w:val="24"/>
                <w:lang w:val="en-US" w:eastAsia="zh-CN"/>
              </w:rPr>
              <w:t>2.</w:t>
            </w:r>
            <w:r>
              <w:rPr>
                <w:rFonts w:hint="eastAsia" w:ascii="宋体" w:hAnsi="宋体"/>
                <w:sz w:val="24"/>
              </w:rPr>
              <w:t>具有注册咨询工程师(工程技术经济)</w:t>
            </w:r>
            <w:r>
              <w:rPr>
                <w:rFonts w:hint="eastAsia" w:ascii="宋体" w:hAnsi="宋体"/>
                <w:sz w:val="24"/>
                <w:lang w:val="en-US" w:eastAsia="zh-CN"/>
              </w:rPr>
              <w:t>或注册咨询工程师(</w:t>
            </w:r>
            <w:r>
              <w:rPr>
                <w:rFonts w:hint="eastAsia" w:ascii="宋体" w:hAnsi="宋体" w:eastAsia="宋体" w:cs="宋体"/>
                <w:sz w:val="24"/>
              </w:rPr>
              <w:t>水运（含港口河海工程）</w:t>
            </w:r>
            <w:r>
              <w:rPr>
                <w:rFonts w:hint="eastAsia" w:ascii="宋体" w:hAnsi="宋体"/>
                <w:sz w:val="24"/>
                <w:lang w:val="en-US" w:eastAsia="zh-CN"/>
              </w:rPr>
              <w:t>)证书</w:t>
            </w:r>
            <w:r>
              <w:rPr>
                <w:rFonts w:hint="eastAsia" w:ascii="宋体" w:hAnsi="宋体"/>
                <w:sz w:val="24"/>
              </w:rPr>
              <w:t>的得2分。</w:t>
            </w:r>
          </w:p>
          <w:p>
            <w:pPr>
              <w:keepNext w:val="0"/>
              <w:keepLines w:val="0"/>
              <w:pageBreakBefore w:val="0"/>
              <w:numPr>
                <w:ilvl w:val="0"/>
                <w:numId w:val="0"/>
              </w:numPr>
              <w:kinsoku/>
              <w:wordWrap/>
              <w:overflowPunct/>
              <w:topLinePunct w:val="0"/>
              <w:autoSpaceDE/>
              <w:autoSpaceDN/>
              <w:bidi w:val="0"/>
              <w:snapToGrid w:val="0"/>
              <w:spacing w:line="240" w:lineRule="auto"/>
              <w:jc w:val="both"/>
              <w:textAlignment w:val="auto"/>
              <w:rPr>
                <w:rFonts w:hint="eastAsia" w:ascii="宋体" w:hAnsi="宋体"/>
                <w:sz w:val="24"/>
                <w:lang w:val="en-US" w:eastAsia="zh-CN"/>
              </w:rPr>
            </w:pPr>
            <w:r>
              <w:rPr>
                <w:rFonts w:hint="eastAsia" w:ascii="宋体" w:hAnsi="宋体"/>
                <w:sz w:val="24"/>
                <w:lang w:val="en-US" w:eastAsia="zh-CN"/>
              </w:rPr>
              <w:t>（提供相关证明材料及</w:t>
            </w:r>
            <w:r>
              <w:rPr>
                <w:rFonts w:hint="eastAsia" w:cs="仿宋_GB2312" w:asciiTheme="minorEastAsia" w:hAnsiTheme="minorEastAsia" w:eastAsiaTheme="minorEastAsia"/>
                <w:color w:val="auto"/>
                <w:sz w:val="24"/>
                <w:highlight w:val="none"/>
              </w:rPr>
              <w:t>投标人</w:t>
            </w:r>
            <w:r>
              <w:rPr>
                <w:rFonts w:hint="eastAsia" w:ascii="宋体" w:hAnsi="宋体"/>
                <w:sz w:val="24"/>
                <w:lang w:val="en-US" w:eastAsia="zh-CN"/>
              </w:rPr>
              <w:t>为其缴纳的社保证明材料，不提供不得分）</w:t>
            </w:r>
          </w:p>
        </w:tc>
        <w:tc>
          <w:tcPr>
            <w:tcW w:w="338" w:type="pct"/>
            <w:vAlign w:val="center"/>
          </w:tcPr>
          <w:p>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485" w:type="pct"/>
            <w:vAlign w:val="center"/>
          </w:tcPr>
          <w:p>
            <w:pPr>
              <w:keepNext w:val="0"/>
              <w:keepLines w:val="0"/>
              <w:pageBreakBefore w:val="0"/>
              <w:kinsoku/>
              <w:wordWrap/>
              <w:overflowPunct/>
              <w:topLinePunct w:val="0"/>
              <w:autoSpaceDE/>
              <w:autoSpaceDN/>
              <w:bidi w:val="0"/>
              <w:snapToGrid w:val="0"/>
              <w:spacing w:line="240" w:lineRule="auto"/>
              <w:ind w:firstLine="0"/>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lang w:val="en-US" w:eastAsia="zh-CN"/>
              </w:rPr>
              <w:t>客</w:t>
            </w:r>
            <w:r>
              <w:rPr>
                <w:rFonts w:hint="eastAsia" w:cs="仿宋_GB2312" w:asciiTheme="minorEastAsia" w:hAnsiTheme="minorEastAsia" w:eastAsiaTheme="minorEastAsia"/>
                <w:bCs/>
                <w:color w:val="auto"/>
                <w:sz w:val="24"/>
                <w:highlight w:val="none"/>
              </w:rPr>
              <w:t>观分</w:t>
            </w:r>
          </w:p>
        </w:tc>
        <w:tc>
          <w:tcPr>
            <w:tcW w:w="809" w:type="pct"/>
          </w:tcPr>
          <w:p>
            <w:pPr>
              <w:keepNext w:val="0"/>
              <w:keepLines w:val="0"/>
              <w:pageBreakBefore w:val="0"/>
              <w:kinsoku/>
              <w:wordWrap/>
              <w:overflowPunct/>
              <w:topLinePunct w:val="0"/>
              <w:autoSpaceDE/>
              <w:autoSpaceDN/>
              <w:bidi w:val="0"/>
              <w:snapToGrid w:val="0"/>
              <w:spacing w:line="240" w:lineRule="auto"/>
              <w:ind w:firstLine="0"/>
              <w:jc w:val="center"/>
              <w:textAlignment w:val="auto"/>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4" w:type="pct"/>
            <w:shd w:val="clear" w:color="auto" w:fill="auto"/>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textAlignment w:val="auto"/>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kern w:val="2"/>
                <w:sz w:val="24"/>
                <w:szCs w:val="24"/>
                <w:highlight w:val="none"/>
                <w:lang w:val="en-US" w:eastAsia="zh-CN" w:bidi="ar-SA"/>
              </w:rPr>
              <w:t>3</w:t>
            </w:r>
          </w:p>
        </w:tc>
        <w:tc>
          <w:tcPr>
            <w:tcW w:w="597" w:type="pct"/>
            <w:vMerge w:val="continue"/>
            <w:vAlign w:val="center"/>
          </w:tcPr>
          <w:p>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cs="仿宋_GB2312" w:asciiTheme="minorEastAsia" w:hAnsiTheme="minorEastAsia" w:eastAsiaTheme="minorEastAsia"/>
                <w:color w:val="auto"/>
                <w:sz w:val="24"/>
                <w:highlight w:val="none"/>
                <w:lang w:val="en-US" w:eastAsia="zh-CN"/>
              </w:rPr>
            </w:pPr>
          </w:p>
        </w:tc>
        <w:tc>
          <w:tcPr>
            <w:tcW w:w="2464" w:type="pct"/>
            <w:vAlign w:val="center"/>
          </w:tcPr>
          <w:p>
            <w:pPr>
              <w:keepNext w:val="0"/>
              <w:keepLines w:val="0"/>
              <w:pageBreakBefore w:val="0"/>
              <w:numPr>
                <w:ilvl w:val="0"/>
                <w:numId w:val="0"/>
              </w:numPr>
              <w:kinsoku/>
              <w:wordWrap/>
              <w:overflowPunct/>
              <w:topLinePunct w:val="0"/>
              <w:autoSpaceDE/>
              <w:autoSpaceDN/>
              <w:bidi w:val="0"/>
              <w:snapToGrid w:val="0"/>
              <w:spacing w:line="240" w:lineRule="auto"/>
              <w:jc w:val="both"/>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项目组其他成员（不含项目负责人）：</w:t>
            </w:r>
          </w:p>
          <w:p>
            <w:pPr>
              <w:keepNext w:val="0"/>
              <w:keepLines w:val="0"/>
              <w:pageBreakBefore w:val="0"/>
              <w:numPr>
                <w:ilvl w:val="0"/>
                <w:numId w:val="0"/>
              </w:numPr>
              <w:kinsoku/>
              <w:wordWrap/>
              <w:overflowPunct/>
              <w:topLinePunct w:val="0"/>
              <w:autoSpaceDE/>
              <w:autoSpaceDN/>
              <w:bidi w:val="0"/>
              <w:snapToGrid w:val="0"/>
              <w:spacing w:line="240" w:lineRule="auto"/>
              <w:jc w:val="both"/>
              <w:textAlignment w:val="auto"/>
              <w:rPr>
                <w:rFonts w:hint="eastAsia" w:ascii="宋体" w:hAnsi="宋体"/>
                <w:sz w:val="24"/>
              </w:rPr>
            </w:pPr>
            <w:r>
              <w:rPr>
                <w:rFonts w:hint="eastAsia" w:ascii="宋体" w:hAnsi="宋体"/>
                <w:sz w:val="24"/>
              </w:rPr>
              <w:t>项目组成员具有港口或航道或交通运输等交通相关专业正高技术职称的，每具有1</w:t>
            </w:r>
            <w:r>
              <w:rPr>
                <w:rFonts w:hint="eastAsia" w:ascii="宋体" w:hAnsi="宋体"/>
                <w:sz w:val="24"/>
                <w:lang w:eastAsia="zh-CN"/>
              </w:rPr>
              <w:t>人</w:t>
            </w:r>
            <w:r>
              <w:rPr>
                <w:rFonts w:hint="eastAsia" w:ascii="宋体" w:hAnsi="宋体"/>
                <w:sz w:val="24"/>
              </w:rPr>
              <w:t>得2分，最高得2分；具有港口或航道或交通运输等交通相关专业副高及以上技术职称的，每具有1</w:t>
            </w:r>
            <w:r>
              <w:rPr>
                <w:rFonts w:hint="eastAsia" w:ascii="宋体" w:hAnsi="宋体"/>
                <w:sz w:val="24"/>
                <w:lang w:eastAsia="zh-CN"/>
              </w:rPr>
              <w:t>人</w:t>
            </w:r>
            <w:r>
              <w:rPr>
                <w:rFonts w:hint="eastAsia" w:ascii="宋体" w:hAnsi="宋体"/>
                <w:sz w:val="24"/>
              </w:rPr>
              <w:t>得1分，最高得2分；具有港口或航道或交通运输等交通相关专业中级及以上技术职称的，每具有1</w:t>
            </w:r>
            <w:r>
              <w:rPr>
                <w:rFonts w:hint="eastAsia" w:ascii="宋体" w:hAnsi="宋体"/>
                <w:sz w:val="24"/>
                <w:lang w:eastAsia="zh-CN"/>
              </w:rPr>
              <w:t>人</w:t>
            </w:r>
            <w:r>
              <w:rPr>
                <w:rFonts w:hint="eastAsia" w:ascii="宋体" w:hAnsi="宋体"/>
                <w:sz w:val="24"/>
              </w:rPr>
              <w:t>得0.5分，最高得1分。本项目最多得5分。同一人员不重复得分。</w:t>
            </w:r>
          </w:p>
          <w:p>
            <w:pPr>
              <w:keepNext w:val="0"/>
              <w:keepLines w:val="0"/>
              <w:pageBreakBefore w:val="0"/>
              <w:numPr>
                <w:ilvl w:val="0"/>
                <w:numId w:val="0"/>
              </w:numPr>
              <w:kinsoku/>
              <w:wordWrap/>
              <w:overflowPunct/>
              <w:topLinePunct w:val="0"/>
              <w:autoSpaceDE/>
              <w:autoSpaceDN/>
              <w:bidi w:val="0"/>
              <w:snapToGrid w:val="0"/>
              <w:spacing w:line="240" w:lineRule="auto"/>
              <w:jc w:val="both"/>
              <w:textAlignment w:val="auto"/>
              <w:rPr>
                <w:rFonts w:hint="default" w:ascii="宋体" w:hAnsi="宋体" w:cs="Times New Roman"/>
                <w:sz w:val="24"/>
                <w:lang w:val="en-US" w:eastAsia="zh-CN"/>
              </w:rPr>
            </w:pPr>
            <w:r>
              <w:rPr>
                <w:rFonts w:hint="eastAsia" w:ascii="宋体" w:hAnsi="宋体"/>
                <w:sz w:val="24"/>
                <w:lang w:val="en-US" w:eastAsia="zh-CN"/>
              </w:rPr>
              <w:t>（提供相关证明材料及</w:t>
            </w:r>
            <w:r>
              <w:rPr>
                <w:rFonts w:hint="eastAsia" w:cs="仿宋_GB2312" w:asciiTheme="minorEastAsia" w:hAnsiTheme="minorEastAsia" w:eastAsiaTheme="minorEastAsia"/>
                <w:color w:val="auto"/>
                <w:sz w:val="24"/>
                <w:highlight w:val="none"/>
              </w:rPr>
              <w:t>投标人</w:t>
            </w:r>
            <w:r>
              <w:rPr>
                <w:rFonts w:hint="eastAsia" w:ascii="宋体" w:hAnsi="宋体"/>
                <w:sz w:val="24"/>
                <w:lang w:val="en-US" w:eastAsia="zh-CN"/>
              </w:rPr>
              <w:t>为其缴纳的社保证明材料，不提供不得分）</w:t>
            </w:r>
          </w:p>
        </w:tc>
        <w:tc>
          <w:tcPr>
            <w:tcW w:w="338" w:type="pct"/>
            <w:vAlign w:val="center"/>
          </w:tcPr>
          <w:p>
            <w:pPr>
              <w:keepNext w:val="0"/>
              <w:keepLines w:val="0"/>
              <w:pageBreakBefore w:val="0"/>
              <w:kinsoku/>
              <w:wordWrap/>
              <w:overflowPunct/>
              <w:topLinePunct w:val="0"/>
              <w:autoSpaceDE/>
              <w:autoSpaceDN/>
              <w:bidi w:val="0"/>
              <w:snapToGrid w:val="0"/>
              <w:spacing w:line="240" w:lineRule="auto"/>
              <w:ind w:firstLine="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485" w:type="pct"/>
            <w:vAlign w:val="center"/>
          </w:tcPr>
          <w:p>
            <w:pPr>
              <w:keepNext w:val="0"/>
              <w:keepLines w:val="0"/>
              <w:pageBreakBefore w:val="0"/>
              <w:kinsoku/>
              <w:wordWrap/>
              <w:overflowPunct/>
              <w:topLinePunct w:val="0"/>
              <w:autoSpaceDE/>
              <w:autoSpaceDN/>
              <w:bidi w:val="0"/>
              <w:snapToGrid w:val="0"/>
              <w:spacing w:line="240" w:lineRule="auto"/>
              <w:ind w:firstLine="0"/>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lang w:val="en-US" w:eastAsia="zh-CN"/>
              </w:rPr>
              <w:t>客</w:t>
            </w:r>
            <w:r>
              <w:rPr>
                <w:rFonts w:hint="eastAsia" w:cs="仿宋_GB2312" w:asciiTheme="minorEastAsia" w:hAnsiTheme="minorEastAsia" w:eastAsiaTheme="minorEastAsia"/>
                <w:bCs/>
                <w:color w:val="auto"/>
                <w:sz w:val="24"/>
                <w:highlight w:val="none"/>
              </w:rPr>
              <w:t>观分</w:t>
            </w:r>
          </w:p>
        </w:tc>
        <w:tc>
          <w:tcPr>
            <w:tcW w:w="809" w:type="pct"/>
          </w:tcPr>
          <w:p>
            <w:pPr>
              <w:keepNext w:val="0"/>
              <w:keepLines w:val="0"/>
              <w:pageBreakBefore w:val="0"/>
              <w:kinsoku/>
              <w:wordWrap/>
              <w:overflowPunct/>
              <w:topLinePunct w:val="0"/>
              <w:autoSpaceDE/>
              <w:autoSpaceDN/>
              <w:bidi w:val="0"/>
              <w:snapToGrid w:val="0"/>
              <w:spacing w:line="240" w:lineRule="auto"/>
              <w:ind w:firstLine="0"/>
              <w:jc w:val="center"/>
              <w:textAlignment w:val="auto"/>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4" w:type="pct"/>
            <w:shd w:val="clear" w:color="auto" w:fill="auto"/>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textAlignment w:val="auto"/>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kern w:val="2"/>
                <w:sz w:val="24"/>
                <w:szCs w:val="24"/>
                <w:highlight w:val="none"/>
                <w:lang w:val="en-US" w:eastAsia="zh-CN" w:bidi="ar-SA"/>
              </w:rPr>
              <w:t>4</w:t>
            </w:r>
          </w:p>
        </w:tc>
        <w:tc>
          <w:tcPr>
            <w:tcW w:w="597" w:type="pct"/>
            <w:vMerge w:val="continue"/>
            <w:vAlign w:val="center"/>
          </w:tcPr>
          <w:p>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cs="仿宋_GB2312" w:asciiTheme="minorEastAsia" w:hAnsiTheme="minorEastAsia" w:eastAsiaTheme="minorEastAsia"/>
                <w:color w:val="auto"/>
                <w:sz w:val="24"/>
                <w:highlight w:val="none"/>
                <w:lang w:val="en-US" w:eastAsia="zh-CN"/>
              </w:rPr>
            </w:pPr>
          </w:p>
        </w:tc>
        <w:tc>
          <w:tcPr>
            <w:tcW w:w="2464" w:type="pct"/>
            <w:vAlign w:val="center"/>
          </w:tcPr>
          <w:p>
            <w:pPr>
              <w:keepNext w:val="0"/>
              <w:keepLines w:val="0"/>
              <w:pageBreakBefore w:val="0"/>
              <w:numPr>
                <w:ilvl w:val="0"/>
                <w:numId w:val="0"/>
              </w:numPr>
              <w:kinsoku/>
              <w:wordWrap/>
              <w:overflowPunct/>
              <w:topLinePunct w:val="0"/>
              <w:autoSpaceDE/>
              <w:autoSpaceDN/>
              <w:bidi w:val="0"/>
              <w:snapToGrid w:val="0"/>
              <w:spacing w:line="240" w:lineRule="auto"/>
              <w:jc w:val="both"/>
              <w:textAlignment w:val="auto"/>
              <w:rPr>
                <w:rFonts w:hint="eastAsia" w:ascii="宋体" w:hAnsi="宋体"/>
                <w:sz w:val="24"/>
                <w:lang w:val="en-US" w:eastAsia="zh-CN"/>
              </w:rPr>
            </w:pPr>
            <w:r>
              <w:rPr>
                <w:rFonts w:hint="eastAsia" w:ascii="宋体" w:hAnsi="宋体"/>
                <w:sz w:val="24"/>
                <w:lang w:val="en-US" w:eastAsia="zh-CN"/>
              </w:rPr>
              <w:t>项目组其他成员（不含项目负责人）：</w:t>
            </w:r>
          </w:p>
          <w:p>
            <w:pPr>
              <w:keepNext w:val="0"/>
              <w:keepLines w:val="0"/>
              <w:pageBreakBefore w:val="0"/>
              <w:numPr>
                <w:ilvl w:val="0"/>
                <w:numId w:val="0"/>
              </w:numPr>
              <w:kinsoku/>
              <w:wordWrap/>
              <w:overflowPunct/>
              <w:topLinePunct w:val="0"/>
              <w:autoSpaceDE/>
              <w:autoSpaceDN/>
              <w:bidi w:val="0"/>
              <w:snapToGrid w:val="0"/>
              <w:spacing w:line="240" w:lineRule="auto"/>
              <w:jc w:val="both"/>
              <w:textAlignment w:val="auto"/>
              <w:rPr>
                <w:rFonts w:hint="eastAsia" w:ascii="宋体" w:hAnsi="宋体"/>
                <w:sz w:val="24"/>
                <w:lang w:val="en-US" w:eastAsia="zh-CN"/>
              </w:rPr>
            </w:pPr>
            <w:r>
              <w:rPr>
                <w:rFonts w:hint="eastAsia" w:ascii="宋体" w:hAnsi="宋体"/>
                <w:sz w:val="24"/>
                <w:lang w:val="en-US" w:eastAsia="zh-CN"/>
              </w:rPr>
              <w:t>具有中级及以上职称且具有注册咨询工程师(工程技术经济)或注册咨询工程师(</w:t>
            </w:r>
            <w:r>
              <w:rPr>
                <w:rFonts w:hint="eastAsia" w:ascii="宋体" w:hAnsi="宋体" w:eastAsia="宋体" w:cs="宋体"/>
                <w:sz w:val="24"/>
              </w:rPr>
              <w:t>水运（含港口河海工程）</w:t>
            </w:r>
            <w:r>
              <w:rPr>
                <w:rFonts w:hint="eastAsia" w:ascii="宋体" w:hAnsi="宋体"/>
                <w:sz w:val="24"/>
                <w:lang w:val="en-US" w:eastAsia="zh-CN"/>
              </w:rPr>
              <w:t>)证书的，每具有1人得2分，最多5分。同一人员不重复得分。</w:t>
            </w:r>
          </w:p>
          <w:p>
            <w:pPr>
              <w:keepNext w:val="0"/>
              <w:keepLines w:val="0"/>
              <w:pageBreakBefore w:val="0"/>
              <w:numPr>
                <w:ilvl w:val="0"/>
                <w:numId w:val="0"/>
              </w:numPr>
              <w:kinsoku/>
              <w:wordWrap/>
              <w:overflowPunct/>
              <w:topLinePunct w:val="0"/>
              <w:autoSpaceDE/>
              <w:autoSpaceDN/>
              <w:bidi w:val="0"/>
              <w:snapToGrid w:val="0"/>
              <w:spacing w:line="240" w:lineRule="auto"/>
              <w:jc w:val="both"/>
              <w:textAlignment w:val="auto"/>
              <w:rPr>
                <w:rFonts w:hint="eastAsia" w:ascii="宋体" w:hAnsi="宋体"/>
                <w:sz w:val="24"/>
                <w:lang w:val="en-US" w:eastAsia="zh-CN"/>
              </w:rPr>
            </w:pPr>
            <w:r>
              <w:rPr>
                <w:rFonts w:hint="eastAsia" w:ascii="宋体" w:hAnsi="宋体"/>
                <w:sz w:val="24"/>
                <w:lang w:val="en-US" w:eastAsia="zh-CN"/>
              </w:rPr>
              <w:t>（提供相关证明材料及投标人为其缴纳的社保证明材料，不提供不得分）</w:t>
            </w:r>
          </w:p>
        </w:tc>
        <w:tc>
          <w:tcPr>
            <w:tcW w:w="338" w:type="pct"/>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textAlignment w:val="auto"/>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5</w:t>
            </w:r>
          </w:p>
        </w:tc>
        <w:tc>
          <w:tcPr>
            <w:tcW w:w="485" w:type="pct"/>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textAlignment w:val="auto"/>
              <w:rPr>
                <w:rFonts w:hint="eastAsia" w:cs="仿宋_GB2312" w:asciiTheme="minorEastAsia" w:hAnsiTheme="minorEastAsia" w:eastAsiaTheme="minorEastAsia"/>
                <w:bCs/>
                <w:color w:val="auto"/>
                <w:kern w:val="2"/>
                <w:sz w:val="24"/>
                <w:szCs w:val="24"/>
                <w:highlight w:val="none"/>
                <w:lang w:val="en-US" w:eastAsia="zh-CN" w:bidi="ar-SA"/>
              </w:rPr>
            </w:pPr>
            <w:r>
              <w:rPr>
                <w:rFonts w:hint="eastAsia" w:cs="仿宋_GB2312" w:asciiTheme="minorEastAsia" w:hAnsiTheme="minorEastAsia" w:eastAsiaTheme="minorEastAsia"/>
                <w:bCs/>
                <w:color w:val="auto"/>
                <w:sz w:val="24"/>
                <w:highlight w:val="none"/>
                <w:lang w:val="en-US" w:eastAsia="zh-CN"/>
              </w:rPr>
              <w:t>客观分</w:t>
            </w:r>
          </w:p>
        </w:tc>
        <w:tc>
          <w:tcPr>
            <w:tcW w:w="809" w:type="pct"/>
          </w:tcPr>
          <w:p>
            <w:pPr>
              <w:keepNext w:val="0"/>
              <w:keepLines w:val="0"/>
              <w:pageBreakBefore w:val="0"/>
              <w:kinsoku/>
              <w:wordWrap/>
              <w:overflowPunct/>
              <w:topLinePunct w:val="0"/>
              <w:autoSpaceDE/>
              <w:autoSpaceDN/>
              <w:bidi w:val="0"/>
              <w:snapToGrid w:val="0"/>
              <w:spacing w:line="240" w:lineRule="auto"/>
              <w:ind w:firstLine="0"/>
              <w:jc w:val="center"/>
              <w:textAlignment w:val="auto"/>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4" w:type="pct"/>
            <w:shd w:val="clear" w:color="auto" w:fill="auto"/>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textAlignment w:val="auto"/>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kern w:val="2"/>
                <w:sz w:val="24"/>
                <w:szCs w:val="24"/>
                <w:highlight w:val="none"/>
                <w:lang w:val="en-US" w:eastAsia="zh-CN" w:bidi="ar-SA"/>
              </w:rPr>
              <w:t>5</w:t>
            </w:r>
          </w:p>
        </w:tc>
        <w:tc>
          <w:tcPr>
            <w:tcW w:w="597" w:type="pct"/>
            <w:vMerge w:val="continue"/>
            <w:vAlign w:val="center"/>
          </w:tcPr>
          <w:p>
            <w:pPr>
              <w:keepNext w:val="0"/>
              <w:keepLines w:val="0"/>
              <w:pageBreakBefore w:val="0"/>
              <w:kinsoku/>
              <w:wordWrap/>
              <w:overflowPunct/>
              <w:topLinePunct w:val="0"/>
              <w:autoSpaceDE/>
              <w:autoSpaceDN/>
              <w:bidi w:val="0"/>
              <w:snapToGrid w:val="0"/>
              <w:spacing w:line="240" w:lineRule="auto"/>
              <w:ind w:firstLine="0"/>
              <w:jc w:val="center"/>
              <w:textAlignment w:val="auto"/>
              <w:rPr>
                <w:rFonts w:hint="default" w:cs="仿宋_GB2312" w:asciiTheme="minorEastAsia" w:hAnsiTheme="minorEastAsia" w:eastAsiaTheme="minorEastAsia"/>
                <w:color w:val="auto"/>
                <w:sz w:val="24"/>
                <w:highlight w:val="none"/>
                <w:lang w:val="en-US" w:eastAsia="zh-CN"/>
              </w:rPr>
            </w:pPr>
          </w:p>
        </w:tc>
        <w:tc>
          <w:tcPr>
            <w:tcW w:w="2464" w:type="pct"/>
            <w:vAlign w:val="center"/>
          </w:tcPr>
          <w:p>
            <w:pPr>
              <w:keepNext w:val="0"/>
              <w:keepLines w:val="0"/>
              <w:pageBreakBefore w:val="0"/>
              <w:numPr>
                <w:ilvl w:val="0"/>
                <w:numId w:val="0"/>
              </w:numPr>
              <w:kinsoku/>
              <w:wordWrap/>
              <w:overflowPunct/>
              <w:topLinePunct w:val="0"/>
              <w:autoSpaceDE/>
              <w:autoSpaceDN/>
              <w:bidi w:val="0"/>
              <w:snapToGrid w:val="0"/>
              <w:spacing w:line="240" w:lineRule="auto"/>
              <w:jc w:val="both"/>
              <w:textAlignment w:val="auto"/>
              <w:rPr>
                <w:rFonts w:hint="eastAsia" w:ascii="宋体" w:hAnsi="宋体"/>
                <w:sz w:val="24"/>
              </w:rPr>
            </w:pPr>
            <w:r>
              <w:rPr>
                <w:rFonts w:hint="eastAsia" w:ascii="宋体" w:hAnsi="宋体"/>
                <w:sz w:val="24"/>
              </w:rPr>
              <w:t>项目组其他成员（不含项目负责人）：</w:t>
            </w:r>
          </w:p>
          <w:p>
            <w:pPr>
              <w:keepNext w:val="0"/>
              <w:keepLines w:val="0"/>
              <w:pageBreakBefore w:val="0"/>
              <w:numPr>
                <w:ilvl w:val="0"/>
                <w:numId w:val="0"/>
              </w:numPr>
              <w:kinsoku/>
              <w:wordWrap/>
              <w:overflowPunct/>
              <w:topLinePunct w:val="0"/>
              <w:autoSpaceDE/>
              <w:autoSpaceDN/>
              <w:bidi w:val="0"/>
              <w:snapToGrid w:val="0"/>
              <w:spacing w:line="240" w:lineRule="auto"/>
              <w:jc w:val="both"/>
              <w:textAlignment w:val="auto"/>
              <w:rPr>
                <w:rFonts w:hint="eastAsia" w:ascii="宋体" w:hAnsi="宋体"/>
                <w:sz w:val="24"/>
              </w:rPr>
            </w:pPr>
            <w:r>
              <w:rPr>
                <w:rFonts w:hint="eastAsia" w:ascii="宋体" w:hAnsi="宋体"/>
                <w:sz w:val="24"/>
              </w:rPr>
              <w:t>具有中级及以上技术职称的人数大于4人</w:t>
            </w:r>
            <w:r>
              <w:rPr>
                <w:rFonts w:hint="eastAsia" w:ascii="宋体" w:hAnsi="宋体"/>
                <w:sz w:val="24"/>
                <w:lang w:eastAsia="zh-CN"/>
              </w:rPr>
              <w:t>的，</w:t>
            </w:r>
            <w:r>
              <w:rPr>
                <w:rFonts w:hint="eastAsia" w:ascii="宋体" w:hAnsi="宋体"/>
                <w:sz w:val="24"/>
              </w:rPr>
              <w:t>每增加1个具有中级及以上技术职称</w:t>
            </w:r>
            <w:r>
              <w:rPr>
                <w:rFonts w:hint="eastAsia" w:ascii="宋体" w:hAnsi="宋体"/>
                <w:sz w:val="24"/>
                <w:lang w:eastAsia="zh-CN"/>
              </w:rPr>
              <w:t>的</w:t>
            </w:r>
            <w:r>
              <w:rPr>
                <w:rFonts w:hint="eastAsia" w:ascii="宋体" w:hAnsi="宋体"/>
                <w:sz w:val="24"/>
              </w:rPr>
              <w:t>专业技术人员得2分，最多得5分。</w:t>
            </w:r>
          </w:p>
          <w:p>
            <w:pPr>
              <w:keepNext w:val="0"/>
              <w:keepLines w:val="0"/>
              <w:pageBreakBefore w:val="0"/>
              <w:numPr>
                <w:ilvl w:val="0"/>
                <w:numId w:val="0"/>
              </w:numPr>
              <w:kinsoku/>
              <w:wordWrap/>
              <w:overflowPunct/>
              <w:topLinePunct w:val="0"/>
              <w:autoSpaceDE/>
              <w:autoSpaceDN/>
              <w:bidi w:val="0"/>
              <w:snapToGrid w:val="0"/>
              <w:spacing w:line="240" w:lineRule="auto"/>
              <w:jc w:val="both"/>
              <w:textAlignment w:val="auto"/>
              <w:rPr>
                <w:rFonts w:hint="eastAsia" w:ascii="宋体" w:hAnsi="宋体"/>
                <w:sz w:val="24"/>
                <w:lang w:val="en-US" w:eastAsia="zh-CN"/>
              </w:rPr>
            </w:pPr>
            <w:r>
              <w:rPr>
                <w:rFonts w:hint="eastAsia" w:ascii="宋体" w:hAnsi="宋体"/>
                <w:sz w:val="24"/>
                <w:lang w:val="en-US" w:eastAsia="zh-CN"/>
              </w:rPr>
              <w:t>（提供投标人为其缴纳的社保证明材料，不提供不得分）</w:t>
            </w:r>
          </w:p>
        </w:tc>
        <w:tc>
          <w:tcPr>
            <w:tcW w:w="338" w:type="pct"/>
            <w:vAlign w:val="center"/>
          </w:tcPr>
          <w:p>
            <w:pPr>
              <w:keepNext w:val="0"/>
              <w:keepLines w:val="0"/>
              <w:pageBreakBefore w:val="0"/>
              <w:kinsoku/>
              <w:wordWrap/>
              <w:overflowPunct/>
              <w:topLinePunct w:val="0"/>
              <w:autoSpaceDE/>
              <w:autoSpaceDN/>
              <w:bidi w:val="0"/>
              <w:snapToGrid w:val="0"/>
              <w:spacing w:line="240" w:lineRule="auto"/>
              <w:ind w:firstLine="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485" w:type="pct"/>
            <w:vAlign w:val="center"/>
          </w:tcPr>
          <w:p>
            <w:pPr>
              <w:keepNext w:val="0"/>
              <w:keepLines w:val="0"/>
              <w:pageBreakBefore w:val="0"/>
              <w:kinsoku/>
              <w:wordWrap/>
              <w:overflowPunct/>
              <w:topLinePunct w:val="0"/>
              <w:autoSpaceDE/>
              <w:autoSpaceDN/>
              <w:bidi w:val="0"/>
              <w:snapToGrid w:val="0"/>
              <w:spacing w:line="240" w:lineRule="auto"/>
              <w:ind w:firstLine="0"/>
              <w:jc w:val="center"/>
              <w:textAlignment w:val="auto"/>
              <w:rPr>
                <w:rFonts w:hint="default" w:cs="仿宋_GB2312" w:asciiTheme="minorEastAsia" w:hAnsiTheme="minorEastAsia" w:eastAsiaTheme="minorEastAsia"/>
                <w:bCs/>
                <w:color w:val="auto"/>
                <w:sz w:val="24"/>
                <w:highlight w:val="none"/>
                <w:lang w:val="en-US" w:eastAsia="zh-CN"/>
              </w:rPr>
            </w:pPr>
            <w:r>
              <w:rPr>
                <w:rFonts w:hint="eastAsia" w:cs="仿宋_GB2312" w:asciiTheme="minorEastAsia" w:hAnsiTheme="minorEastAsia" w:eastAsiaTheme="minorEastAsia"/>
                <w:bCs/>
                <w:color w:val="auto"/>
                <w:sz w:val="24"/>
                <w:highlight w:val="none"/>
                <w:lang w:val="en-US" w:eastAsia="zh-CN"/>
              </w:rPr>
              <w:t>客观分</w:t>
            </w:r>
          </w:p>
        </w:tc>
        <w:tc>
          <w:tcPr>
            <w:tcW w:w="809" w:type="pct"/>
          </w:tcPr>
          <w:p>
            <w:pPr>
              <w:keepNext w:val="0"/>
              <w:keepLines w:val="0"/>
              <w:pageBreakBefore w:val="0"/>
              <w:kinsoku/>
              <w:wordWrap/>
              <w:overflowPunct/>
              <w:topLinePunct w:val="0"/>
              <w:autoSpaceDE/>
              <w:autoSpaceDN/>
              <w:bidi w:val="0"/>
              <w:snapToGrid w:val="0"/>
              <w:spacing w:line="240" w:lineRule="auto"/>
              <w:ind w:firstLine="0"/>
              <w:jc w:val="center"/>
              <w:textAlignment w:val="auto"/>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4" w:type="pct"/>
            <w:shd w:val="clear" w:color="auto" w:fill="auto"/>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textAlignment w:val="auto"/>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6</w:t>
            </w:r>
          </w:p>
        </w:tc>
        <w:tc>
          <w:tcPr>
            <w:tcW w:w="597" w:type="pct"/>
            <w:vAlign w:val="center"/>
          </w:tcPr>
          <w:p>
            <w:pPr>
              <w:keepNext w:val="0"/>
              <w:keepLines w:val="0"/>
              <w:pageBreakBefore w:val="0"/>
              <w:numPr>
                <w:ilvl w:val="0"/>
                <w:numId w:val="0"/>
              </w:numPr>
              <w:kinsoku/>
              <w:wordWrap/>
              <w:overflowPunct/>
              <w:topLinePunct w:val="0"/>
              <w:autoSpaceDE/>
              <w:autoSpaceDN/>
              <w:bidi w:val="0"/>
              <w:snapToGrid w:val="0"/>
              <w:spacing w:line="240" w:lineRule="auto"/>
              <w:jc w:val="center"/>
              <w:textAlignment w:val="auto"/>
              <w:rPr>
                <w:rFonts w:hint="eastAsia" w:ascii="宋体" w:hAnsi="宋体"/>
                <w:sz w:val="24"/>
                <w:lang w:val="zh-CN" w:eastAsia="zh-CN"/>
              </w:rPr>
            </w:pPr>
            <w:r>
              <w:rPr>
                <w:rFonts w:hint="eastAsia" w:ascii="宋体" w:hAnsi="宋体"/>
                <w:sz w:val="24"/>
                <w:lang w:val="en-US" w:eastAsia="zh-CN"/>
              </w:rPr>
              <w:t>对本项目的理解</w:t>
            </w:r>
          </w:p>
        </w:tc>
        <w:tc>
          <w:tcPr>
            <w:tcW w:w="2464" w:type="pct"/>
            <w:vAlign w:val="center"/>
          </w:tcPr>
          <w:p>
            <w:pPr>
              <w:keepNext w:val="0"/>
              <w:keepLines w:val="0"/>
              <w:pageBreakBefore w:val="0"/>
              <w:numPr>
                <w:ilvl w:val="0"/>
                <w:numId w:val="0"/>
              </w:numPr>
              <w:kinsoku/>
              <w:wordWrap/>
              <w:overflowPunct/>
              <w:topLinePunct w:val="0"/>
              <w:autoSpaceDE/>
              <w:autoSpaceDN/>
              <w:bidi w:val="0"/>
              <w:snapToGrid w:val="0"/>
              <w:spacing w:line="240" w:lineRule="auto"/>
              <w:jc w:val="both"/>
              <w:textAlignment w:val="auto"/>
              <w:rPr>
                <w:rFonts w:hint="eastAsia" w:ascii="宋体" w:hAnsi="宋体"/>
                <w:sz w:val="24"/>
                <w:lang w:val="en-US" w:eastAsia="zh-CN"/>
              </w:rPr>
            </w:pPr>
            <w:r>
              <w:rPr>
                <w:rFonts w:hint="eastAsia" w:cs="仿宋_GB2312" w:asciiTheme="minorEastAsia" w:hAnsiTheme="minorEastAsia" w:eastAsiaTheme="minorEastAsia"/>
                <w:color w:val="auto"/>
                <w:sz w:val="24"/>
                <w:highlight w:val="none"/>
              </w:rPr>
              <w:t>投标人对本项目的特点掌握和理解阐述，评委根据概述内容的完整性、针对性、合理性进行评价给分。分值（5、4、3、2、1、0）。</w:t>
            </w:r>
          </w:p>
        </w:tc>
        <w:tc>
          <w:tcPr>
            <w:tcW w:w="338" w:type="pct"/>
            <w:vAlign w:val="center"/>
          </w:tcPr>
          <w:p>
            <w:pPr>
              <w:keepNext w:val="0"/>
              <w:keepLines w:val="0"/>
              <w:pageBreakBefore w:val="0"/>
              <w:kinsoku/>
              <w:wordWrap/>
              <w:overflowPunct/>
              <w:topLinePunct w:val="0"/>
              <w:autoSpaceDE/>
              <w:autoSpaceDN/>
              <w:bidi w:val="0"/>
              <w:snapToGrid w:val="0"/>
              <w:spacing w:line="240" w:lineRule="auto"/>
              <w:ind w:firstLine="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485" w:type="pct"/>
            <w:shd w:val="clear" w:color="auto" w:fill="auto"/>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textAlignment w:val="auto"/>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bCs/>
                <w:color w:val="auto"/>
                <w:sz w:val="24"/>
                <w:highlight w:val="none"/>
              </w:rPr>
              <w:t>主观分</w:t>
            </w:r>
          </w:p>
        </w:tc>
        <w:tc>
          <w:tcPr>
            <w:tcW w:w="809" w:type="pct"/>
          </w:tcPr>
          <w:p>
            <w:pPr>
              <w:keepNext w:val="0"/>
              <w:keepLines w:val="0"/>
              <w:pageBreakBefore w:val="0"/>
              <w:kinsoku/>
              <w:wordWrap/>
              <w:overflowPunct/>
              <w:topLinePunct w:val="0"/>
              <w:autoSpaceDE/>
              <w:autoSpaceDN/>
              <w:bidi w:val="0"/>
              <w:snapToGrid w:val="0"/>
              <w:spacing w:line="240" w:lineRule="auto"/>
              <w:ind w:firstLine="0"/>
              <w:jc w:val="center"/>
              <w:textAlignment w:val="auto"/>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4" w:type="pct"/>
            <w:shd w:val="clear" w:color="auto" w:fill="auto"/>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textAlignment w:val="auto"/>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7</w:t>
            </w:r>
          </w:p>
        </w:tc>
        <w:tc>
          <w:tcPr>
            <w:tcW w:w="597" w:type="pct"/>
            <w:vAlign w:val="center"/>
          </w:tcPr>
          <w:p>
            <w:pPr>
              <w:keepNext w:val="0"/>
              <w:keepLines w:val="0"/>
              <w:pageBreakBefore w:val="0"/>
              <w:numPr>
                <w:ilvl w:val="0"/>
                <w:numId w:val="0"/>
              </w:numPr>
              <w:kinsoku/>
              <w:wordWrap/>
              <w:overflowPunct/>
              <w:topLinePunct w:val="0"/>
              <w:autoSpaceDE/>
              <w:autoSpaceDN/>
              <w:bidi w:val="0"/>
              <w:snapToGrid w:val="0"/>
              <w:spacing w:line="240" w:lineRule="auto"/>
              <w:jc w:val="center"/>
              <w:textAlignment w:val="auto"/>
              <w:rPr>
                <w:rFonts w:hint="eastAsia" w:ascii="宋体" w:hAnsi="宋体"/>
                <w:sz w:val="24"/>
                <w:lang w:val="zh-CN" w:eastAsia="zh-CN"/>
              </w:rPr>
            </w:pPr>
            <w:r>
              <w:rPr>
                <w:rFonts w:hint="eastAsia" w:ascii="宋体" w:hAnsi="宋体"/>
                <w:sz w:val="24"/>
                <w:lang w:val="en-US" w:eastAsia="zh-CN"/>
              </w:rPr>
              <w:t>总体思路</w:t>
            </w:r>
          </w:p>
        </w:tc>
        <w:tc>
          <w:tcPr>
            <w:tcW w:w="2464" w:type="pct"/>
            <w:vAlign w:val="center"/>
          </w:tcPr>
          <w:p>
            <w:pPr>
              <w:keepNext w:val="0"/>
              <w:keepLines w:val="0"/>
              <w:pageBreakBefore w:val="0"/>
              <w:numPr>
                <w:ilvl w:val="0"/>
                <w:numId w:val="0"/>
              </w:numPr>
              <w:kinsoku/>
              <w:wordWrap/>
              <w:overflowPunct/>
              <w:topLinePunct w:val="0"/>
              <w:autoSpaceDE/>
              <w:autoSpaceDN/>
              <w:bidi w:val="0"/>
              <w:snapToGrid w:val="0"/>
              <w:spacing w:line="240" w:lineRule="auto"/>
              <w:jc w:val="both"/>
              <w:textAlignment w:val="auto"/>
              <w:rPr>
                <w:rFonts w:hint="eastAsia" w:ascii="宋体" w:hAnsi="宋体" w:eastAsia="宋体" w:cs="Times New Roman"/>
                <w:sz w:val="24"/>
                <w:lang w:val="en-US" w:eastAsia="zh-CN"/>
              </w:rPr>
            </w:pPr>
            <w:r>
              <w:rPr>
                <w:rFonts w:hint="eastAsia" w:cs="仿宋_GB2312" w:asciiTheme="minorEastAsia" w:hAnsiTheme="minorEastAsia" w:eastAsiaTheme="minorEastAsia"/>
                <w:color w:val="auto"/>
                <w:sz w:val="24"/>
                <w:highlight w:val="none"/>
              </w:rPr>
              <w:t>投标人对本项目研究总体思路的阐述，评委根据对项目理解内容的完整性、针对性、合理性进行评价给分。分值（5、4、3、2、1、0）。</w:t>
            </w:r>
          </w:p>
        </w:tc>
        <w:tc>
          <w:tcPr>
            <w:tcW w:w="338" w:type="pct"/>
            <w:vAlign w:val="center"/>
          </w:tcPr>
          <w:p>
            <w:pPr>
              <w:keepNext w:val="0"/>
              <w:keepLines w:val="0"/>
              <w:pageBreakBefore w:val="0"/>
              <w:kinsoku/>
              <w:wordWrap/>
              <w:overflowPunct/>
              <w:topLinePunct w:val="0"/>
              <w:autoSpaceDE/>
              <w:autoSpaceDN/>
              <w:bidi w:val="0"/>
              <w:snapToGrid w:val="0"/>
              <w:spacing w:line="240" w:lineRule="auto"/>
              <w:ind w:firstLine="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485" w:type="pct"/>
            <w:shd w:val="clear" w:color="auto" w:fill="auto"/>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textAlignment w:val="auto"/>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bCs/>
                <w:color w:val="auto"/>
                <w:sz w:val="24"/>
                <w:highlight w:val="none"/>
              </w:rPr>
              <w:t>主观分</w:t>
            </w:r>
          </w:p>
        </w:tc>
        <w:tc>
          <w:tcPr>
            <w:tcW w:w="809" w:type="pct"/>
          </w:tcPr>
          <w:p>
            <w:pPr>
              <w:keepNext w:val="0"/>
              <w:keepLines w:val="0"/>
              <w:pageBreakBefore w:val="0"/>
              <w:kinsoku/>
              <w:wordWrap/>
              <w:overflowPunct/>
              <w:topLinePunct w:val="0"/>
              <w:autoSpaceDE/>
              <w:autoSpaceDN/>
              <w:bidi w:val="0"/>
              <w:snapToGrid w:val="0"/>
              <w:spacing w:line="240" w:lineRule="auto"/>
              <w:ind w:firstLine="0"/>
              <w:jc w:val="center"/>
              <w:textAlignment w:val="auto"/>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4" w:type="pct"/>
            <w:shd w:val="clear" w:color="auto" w:fill="auto"/>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textAlignment w:val="auto"/>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8</w:t>
            </w:r>
          </w:p>
        </w:tc>
        <w:tc>
          <w:tcPr>
            <w:tcW w:w="597" w:type="pct"/>
            <w:vMerge w:val="restart"/>
            <w:vAlign w:val="center"/>
          </w:tcPr>
          <w:p>
            <w:pPr>
              <w:keepNext w:val="0"/>
              <w:keepLines w:val="0"/>
              <w:pageBreakBefore w:val="0"/>
              <w:numPr>
                <w:ilvl w:val="0"/>
                <w:numId w:val="0"/>
              </w:numPr>
              <w:kinsoku/>
              <w:wordWrap/>
              <w:overflowPunct/>
              <w:topLinePunct w:val="0"/>
              <w:autoSpaceDE/>
              <w:autoSpaceDN/>
              <w:bidi w:val="0"/>
              <w:snapToGrid w:val="0"/>
              <w:spacing w:line="240" w:lineRule="auto"/>
              <w:jc w:val="center"/>
              <w:textAlignment w:val="auto"/>
              <w:rPr>
                <w:rFonts w:hint="eastAsia" w:ascii="宋体" w:hAnsi="宋体"/>
                <w:sz w:val="24"/>
                <w:lang w:val="zh-CN" w:eastAsia="zh-CN"/>
              </w:rPr>
            </w:pPr>
          </w:p>
          <w:p>
            <w:pPr>
              <w:keepNext w:val="0"/>
              <w:keepLines w:val="0"/>
              <w:pageBreakBefore w:val="0"/>
              <w:numPr>
                <w:ilvl w:val="0"/>
                <w:numId w:val="0"/>
              </w:numPr>
              <w:kinsoku/>
              <w:wordWrap/>
              <w:overflowPunct/>
              <w:topLinePunct w:val="0"/>
              <w:autoSpaceDE/>
              <w:autoSpaceDN/>
              <w:bidi w:val="0"/>
              <w:snapToGrid w:val="0"/>
              <w:spacing w:line="240" w:lineRule="auto"/>
              <w:jc w:val="center"/>
              <w:textAlignment w:val="auto"/>
              <w:rPr>
                <w:rFonts w:hint="eastAsia" w:ascii="宋体" w:hAnsi="宋体" w:eastAsia="宋体" w:cs="Times New Roman"/>
                <w:sz w:val="24"/>
                <w:lang w:val="en-US" w:eastAsia="zh-CN"/>
              </w:rPr>
            </w:pPr>
            <w:r>
              <w:rPr>
                <w:rFonts w:hint="eastAsia" w:ascii="宋体" w:hAnsi="宋体" w:eastAsia="宋体" w:cs="Times New Roman"/>
                <w:sz w:val="24"/>
                <w:szCs w:val="24"/>
              </w:rPr>
              <w:t>技术路线</w:t>
            </w:r>
            <w:r>
              <w:rPr>
                <w:rFonts w:hint="eastAsia" w:ascii="宋体" w:hAnsi="宋体" w:eastAsia="宋体" w:cs="Times New Roman"/>
                <w:sz w:val="24"/>
              </w:rPr>
              <w:t>阐述</w:t>
            </w:r>
          </w:p>
        </w:tc>
        <w:tc>
          <w:tcPr>
            <w:tcW w:w="2464" w:type="pct"/>
            <w:vAlign w:val="center"/>
          </w:tcPr>
          <w:p>
            <w:pPr>
              <w:keepNext w:val="0"/>
              <w:keepLines w:val="0"/>
              <w:pageBreakBefore w:val="0"/>
              <w:numPr>
                <w:ilvl w:val="0"/>
                <w:numId w:val="0"/>
              </w:numPr>
              <w:kinsoku/>
              <w:wordWrap/>
              <w:overflowPunct/>
              <w:topLinePunct w:val="0"/>
              <w:autoSpaceDE/>
              <w:autoSpaceDN/>
              <w:bidi w:val="0"/>
              <w:snapToGrid w:val="0"/>
              <w:spacing w:line="240" w:lineRule="auto"/>
              <w:jc w:val="both"/>
              <w:textAlignment w:val="auto"/>
              <w:rPr>
                <w:rFonts w:hint="eastAsia" w:ascii="宋体" w:hAnsi="宋体" w:eastAsia="宋体" w:cs="Times New Roman"/>
                <w:sz w:val="24"/>
                <w:lang w:val="en-US" w:eastAsia="zh-CN"/>
              </w:rPr>
            </w:pPr>
            <w:r>
              <w:rPr>
                <w:rFonts w:hint="eastAsia" w:cs="仿宋_GB2312" w:asciiTheme="minorEastAsia" w:hAnsiTheme="minorEastAsia" w:eastAsiaTheme="minorEastAsia"/>
                <w:color w:val="auto"/>
                <w:sz w:val="24"/>
                <w:highlight w:val="none"/>
              </w:rPr>
              <w:t>投标人对开展杭州湾江海联运发展总体评价的技术路线和主要研究内容进行阐述。评委根据对内容的的完整性、针对性、合理性进行评价给分。分值（5、4、3、2、1、0）</w:t>
            </w:r>
            <w:r>
              <w:rPr>
                <w:rFonts w:hint="eastAsia" w:cs="仿宋_GB2312" w:asciiTheme="minorEastAsia" w:hAnsiTheme="minorEastAsia" w:eastAsiaTheme="minorEastAsia"/>
                <w:color w:val="auto"/>
                <w:sz w:val="24"/>
                <w:highlight w:val="none"/>
                <w:lang w:eastAsia="zh-CN"/>
              </w:rPr>
              <w:t>。</w:t>
            </w:r>
          </w:p>
        </w:tc>
        <w:tc>
          <w:tcPr>
            <w:tcW w:w="338" w:type="pct"/>
            <w:vAlign w:val="center"/>
          </w:tcPr>
          <w:p>
            <w:pPr>
              <w:keepNext w:val="0"/>
              <w:keepLines w:val="0"/>
              <w:pageBreakBefore w:val="0"/>
              <w:kinsoku/>
              <w:wordWrap/>
              <w:overflowPunct/>
              <w:topLinePunct w:val="0"/>
              <w:autoSpaceDE/>
              <w:autoSpaceDN/>
              <w:bidi w:val="0"/>
              <w:snapToGrid w:val="0"/>
              <w:spacing w:line="240" w:lineRule="auto"/>
              <w:ind w:firstLine="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485" w:type="pct"/>
            <w:shd w:val="clear" w:color="auto" w:fill="auto"/>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textAlignment w:val="auto"/>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bCs/>
                <w:color w:val="auto"/>
                <w:sz w:val="24"/>
                <w:highlight w:val="none"/>
              </w:rPr>
              <w:t>主观分</w:t>
            </w:r>
          </w:p>
        </w:tc>
        <w:tc>
          <w:tcPr>
            <w:tcW w:w="809" w:type="pct"/>
          </w:tcPr>
          <w:p>
            <w:pPr>
              <w:keepNext w:val="0"/>
              <w:keepLines w:val="0"/>
              <w:pageBreakBefore w:val="0"/>
              <w:kinsoku/>
              <w:wordWrap/>
              <w:overflowPunct/>
              <w:topLinePunct w:val="0"/>
              <w:autoSpaceDE/>
              <w:autoSpaceDN/>
              <w:bidi w:val="0"/>
              <w:snapToGrid w:val="0"/>
              <w:spacing w:line="240" w:lineRule="auto"/>
              <w:ind w:firstLine="0"/>
              <w:jc w:val="center"/>
              <w:textAlignment w:val="auto"/>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4" w:type="pct"/>
            <w:shd w:val="clear" w:color="auto" w:fill="auto"/>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textAlignment w:val="auto"/>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9</w:t>
            </w:r>
          </w:p>
        </w:tc>
        <w:tc>
          <w:tcPr>
            <w:tcW w:w="597" w:type="pct"/>
            <w:vMerge w:val="continue"/>
            <w:vAlign w:val="center"/>
          </w:tcPr>
          <w:p>
            <w:pPr>
              <w:keepNext w:val="0"/>
              <w:keepLines w:val="0"/>
              <w:pageBreakBefore w:val="0"/>
              <w:numPr>
                <w:ilvl w:val="0"/>
                <w:numId w:val="0"/>
              </w:numPr>
              <w:kinsoku/>
              <w:wordWrap/>
              <w:overflowPunct/>
              <w:topLinePunct w:val="0"/>
              <w:autoSpaceDE/>
              <w:autoSpaceDN/>
              <w:bidi w:val="0"/>
              <w:snapToGrid w:val="0"/>
              <w:spacing w:line="240" w:lineRule="auto"/>
              <w:jc w:val="left"/>
              <w:textAlignment w:val="auto"/>
              <w:rPr>
                <w:rFonts w:hint="eastAsia" w:ascii="宋体" w:hAnsi="宋体" w:eastAsia="宋体" w:cs="Times New Roman"/>
                <w:sz w:val="24"/>
                <w:lang w:val="en-US" w:eastAsia="zh-CN"/>
              </w:rPr>
            </w:pPr>
          </w:p>
        </w:tc>
        <w:tc>
          <w:tcPr>
            <w:tcW w:w="2464" w:type="pct"/>
            <w:vAlign w:val="center"/>
          </w:tcPr>
          <w:p>
            <w:pPr>
              <w:keepNext w:val="0"/>
              <w:keepLines w:val="0"/>
              <w:pageBreakBefore w:val="0"/>
              <w:numPr>
                <w:ilvl w:val="0"/>
                <w:numId w:val="0"/>
              </w:numPr>
              <w:kinsoku/>
              <w:wordWrap/>
              <w:overflowPunct/>
              <w:topLinePunct w:val="0"/>
              <w:autoSpaceDE/>
              <w:autoSpaceDN/>
              <w:bidi w:val="0"/>
              <w:snapToGrid w:val="0"/>
              <w:spacing w:line="240" w:lineRule="auto"/>
              <w:jc w:val="both"/>
              <w:textAlignment w:val="auto"/>
              <w:rPr>
                <w:rFonts w:hint="eastAsia" w:ascii="宋体" w:hAnsi="宋体" w:eastAsia="宋体" w:cs="Times New Roman"/>
                <w:sz w:val="24"/>
                <w:lang w:val="en-US" w:eastAsia="zh-CN"/>
              </w:rPr>
            </w:pPr>
            <w:r>
              <w:rPr>
                <w:rFonts w:hint="eastAsia" w:ascii="宋体" w:hAnsi="宋体" w:eastAsia="宋体" w:cs="Times New Roman"/>
                <w:sz w:val="24"/>
                <w:szCs w:val="24"/>
                <w:lang w:val="en-US" w:eastAsia="zh-CN"/>
              </w:rPr>
              <w:t>投标人对开展腹地经济社会发展趋势分析的技术路线和主要研究内容进行阐述。评委根据对内容的完整性、针对性、合理性进行评价给分。分值（5、4、3、2、1、0）</w:t>
            </w:r>
            <w:r>
              <w:rPr>
                <w:rFonts w:hint="eastAsia" w:ascii="宋体" w:hAnsi="宋体" w:cs="Times New Roman"/>
                <w:sz w:val="24"/>
                <w:szCs w:val="24"/>
                <w:lang w:val="en-US" w:eastAsia="zh-CN"/>
              </w:rPr>
              <w:t>。</w:t>
            </w:r>
          </w:p>
        </w:tc>
        <w:tc>
          <w:tcPr>
            <w:tcW w:w="338" w:type="pct"/>
            <w:shd w:val="clear" w:color="auto" w:fill="auto"/>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textAlignment w:val="auto"/>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5</w:t>
            </w:r>
          </w:p>
        </w:tc>
        <w:tc>
          <w:tcPr>
            <w:tcW w:w="485" w:type="pct"/>
            <w:shd w:val="clear" w:color="auto" w:fill="auto"/>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textAlignment w:val="auto"/>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bCs/>
                <w:color w:val="auto"/>
                <w:sz w:val="24"/>
                <w:highlight w:val="none"/>
              </w:rPr>
              <w:t>主观分</w:t>
            </w:r>
          </w:p>
        </w:tc>
        <w:tc>
          <w:tcPr>
            <w:tcW w:w="809" w:type="pct"/>
          </w:tcPr>
          <w:p>
            <w:pPr>
              <w:keepNext w:val="0"/>
              <w:keepLines w:val="0"/>
              <w:pageBreakBefore w:val="0"/>
              <w:kinsoku/>
              <w:wordWrap/>
              <w:overflowPunct/>
              <w:topLinePunct w:val="0"/>
              <w:autoSpaceDE/>
              <w:autoSpaceDN/>
              <w:bidi w:val="0"/>
              <w:snapToGrid w:val="0"/>
              <w:spacing w:line="240" w:lineRule="auto"/>
              <w:ind w:firstLine="0"/>
              <w:jc w:val="center"/>
              <w:textAlignment w:val="auto"/>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4" w:type="pct"/>
            <w:shd w:val="clear" w:color="auto" w:fill="auto"/>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textAlignment w:val="auto"/>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10</w:t>
            </w:r>
          </w:p>
        </w:tc>
        <w:tc>
          <w:tcPr>
            <w:tcW w:w="597" w:type="pct"/>
            <w:vMerge w:val="continue"/>
            <w:vAlign w:val="center"/>
          </w:tcPr>
          <w:p>
            <w:pPr>
              <w:keepNext w:val="0"/>
              <w:keepLines w:val="0"/>
              <w:pageBreakBefore w:val="0"/>
              <w:numPr>
                <w:ilvl w:val="0"/>
                <w:numId w:val="0"/>
              </w:numPr>
              <w:kinsoku/>
              <w:wordWrap/>
              <w:overflowPunct/>
              <w:topLinePunct w:val="0"/>
              <w:autoSpaceDE/>
              <w:autoSpaceDN/>
              <w:bidi w:val="0"/>
              <w:snapToGrid w:val="0"/>
              <w:spacing w:line="240" w:lineRule="auto"/>
              <w:jc w:val="left"/>
              <w:textAlignment w:val="auto"/>
              <w:rPr>
                <w:rFonts w:hint="eastAsia" w:ascii="宋体" w:hAnsi="宋体" w:eastAsia="宋体" w:cs="Times New Roman"/>
                <w:sz w:val="24"/>
                <w:szCs w:val="24"/>
              </w:rPr>
            </w:pPr>
          </w:p>
        </w:tc>
        <w:tc>
          <w:tcPr>
            <w:tcW w:w="2464" w:type="pct"/>
            <w:vAlign w:val="center"/>
          </w:tcPr>
          <w:p>
            <w:pPr>
              <w:keepNext w:val="0"/>
              <w:keepLines w:val="0"/>
              <w:pageBreakBefore w:val="0"/>
              <w:numPr>
                <w:ilvl w:val="0"/>
                <w:numId w:val="0"/>
              </w:numPr>
              <w:kinsoku/>
              <w:wordWrap/>
              <w:overflowPunct/>
              <w:topLinePunct w:val="0"/>
              <w:autoSpaceDE/>
              <w:autoSpaceDN/>
              <w:bidi w:val="0"/>
              <w:snapToGrid w:val="0"/>
              <w:spacing w:line="240" w:lineRule="auto"/>
              <w:jc w:val="both"/>
              <w:textAlignment w:val="auto"/>
              <w:rPr>
                <w:rFonts w:hint="eastAsia" w:ascii="宋体" w:hAnsi="宋体" w:eastAsia="宋体" w:cs="Times New Roman"/>
                <w:sz w:val="24"/>
                <w:szCs w:val="24"/>
              </w:rPr>
            </w:pPr>
            <w:bookmarkStart w:id="448" w:name="OLE_LINK83"/>
            <w:bookmarkStart w:id="449" w:name="OLE_LINK82"/>
            <w:bookmarkStart w:id="450" w:name="OLE_LINK86"/>
            <w:r>
              <w:rPr>
                <w:rFonts w:hint="eastAsia" w:ascii="宋体" w:hAnsi="宋体" w:eastAsia="宋体" w:cs="Times New Roman"/>
                <w:sz w:val="24"/>
                <w:szCs w:val="24"/>
                <w:lang w:val="en-US" w:eastAsia="zh-CN"/>
              </w:rPr>
              <w:t>投标人对开展腹地综合交通发展格局分析的技术路线和主要研究内容进行阐述。评委根据对内容的完整性、针对性、合理性进行评价给分。分值（5、4、3、2、1、0）</w:t>
            </w:r>
            <w:r>
              <w:rPr>
                <w:rFonts w:hint="eastAsia" w:ascii="宋体" w:hAnsi="宋体" w:cs="Times New Roman"/>
                <w:sz w:val="24"/>
                <w:szCs w:val="24"/>
                <w:lang w:val="en-US" w:eastAsia="zh-CN"/>
              </w:rPr>
              <w:t>。</w:t>
            </w:r>
            <w:bookmarkEnd w:id="448"/>
            <w:bookmarkEnd w:id="449"/>
            <w:bookmarkEnd w:id="450"/>
          </w:p>
        </w:tc>
        <w:tc>
          <w:tcPr>
            <w:tcW w:w="338" w:type="pct"/>
            <w:shd w:val="clear" w:color="auto" w:fill="auto"/>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485" w:type="pct"/>
            <w:shd w:val="clear" w:color="auto" w:fill="auto"/>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textAlignment w:val="auto"/>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809" w:type="pct"/>
          </w:tcPr>
          <w:p>
            <w:pPr>
              <w:keepNext w:val="0"/>
              <w:keepLines w:val="0"/>
              <w:pageBreakBefore w:val="0"/>
              <w:kinsoku/>
              <w:wordWrap/>
              <w:overflowPunct/>
              <w:topLinePunct w:val="0"/>
              <w:autoSpaceDE/>
              <w:autoSpaceDN/>
              <w:bidi w:val="0"/>
              <w:snapToGrid w:val="0"/>
              <w:spacing w:line="240" w:lineRule="auto"/>
              <w:ind w:firstLine="0"/>
              <w:jc w:val="center"/>
              <w:textAlignment w:val="auto"/>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4" w:type="pct"/>
            <w:shd w:val="clear" w:color="auto" w:fill="auto"/>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textAlignment w:val="auto"/>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11</w:t>
            </w:r>
          </w:p>
        </w:tc>
        <w:tc>
          <w:tcPr>
            <w:tcW w:w="597" w:type="pct"/>
            <w:vMerge w:val="continue"/>
            <w:vAlign w:val="center"/>
          </w:tcPr>
          <w:p>
            <w:pPr>
              <w:keepNext w:val="0"/>
              <w:keepLines w:val="0"/>
              <w:pageBreakBefore w:val="0"/>
              <w:numPr>
                <w:ilvl w:val="0"/>
                <w:numId w:val="0"/>
              </w:numPr>
              <w:kinsoku/>
              <w:wordWrap/>
              <w:overflowPunct/>
              <w:topLinePunct w:val="0"/>
              <w:autoSpaceDE/>
              <w:autoSpaceDN/>
              <w:bidi w:val="0"/>
              <w:snapToGrid w:val="0"/>
              <w:spacing w:line="240" w:lineRule="auto"/>
              <w:jc w:val="left"/>
              <w:textAlignment w:val="auto"/>
              <w:rPr>
                <w:rFonts w:hint="eastAsia" w:ascii="宋体" w:hAnsi="宋体" w:eastAsia="宋体" w:cs="Times New Roman"/>
                <w:sz w:val="24"/>
                <w:szCs w:val="24"/>
              </w:rPr>
            </w:pPr>
          </w:p>
        </w:tc>
        <w:tc>
          <w:tcPr>
            <w:tcW w:w="2464" w:type="pct"/>
            <w:vAlign w:val="center"/>
          </w:tcPr>
          <w:p>
            <w:pPr>
              <w:keepNext w:val="0"/>
              <w:keepLines w:val="0"/>
              <w:pageBreakBefore w:val="0"/>
              <w:numPr>
                <w:ilvl w:val="0"/>
                <w:numId w:val="0"/>
              </w:numPr>
              <w:kinsoku/>
              <w:wordWrap/>
              <w:overflowPunct/>
              <w:topLinePunct w:val="0"/>
              <w:autoSpaceDE/>
              <w:autoSpaceDN/>
              <w:bidi w:val="0"/>
              <w:snapToGrid w:val="0"/>
              <w:spacing w:line="240" w:lineRule="auto"/>
              <w:jc w:val="both"/>
              <w:textAlignment w:val="auto"/>
              <w:rPr>
                <w:rFonts w:hint="eastAsia" w:ascii="宋体" w:hAnsi="宋体" w:eastAsia="宋体" w:cs="Times New Roman"/>
                <w:sz w:val="24"/>
                <w:szCs w:val="24"/>
              </w:rPr>
            </w:pPr>
            <w:bookmarkStart w:id="451" w:name="OLE_LINK92"/>
            <w:r>
              <w:rPr>
                <w:rFonts w:hint="eastAsia" w:ascii="宋体" w:hAnsi="宋体" w:cs="Times New Roman"/>
                <w:sz w:val="24"/>
                <w:szCs w:val="24"/>
                <w:lang w:val="en-US" w:eastAsia="zh-CN"/>
              </w:rPr>
              <w:t>投</w:t>
            </w:r>
            <w:r>
              <w:rPr>
                <w:rFonts w:hint="eastAsia" w:ascii="宋体" w:hAnsi="宋体" w:eastAsia="宋体" w:cs="Times New Roman"/>
                <w:sz w:val="24"/>
                <w:szCs w:val="24"/>
                <w:lang w:val="en-US" w:eastAsia="zh-CN"/>
              </w:rPr>
              <w:t>标人对开展钱塘江出海通道运输需求分析的技术路线和主要研究内容进行阐述。评委根据对内容的完整性、针对性、合理性进行评价给分。分值（5、4、3、2、1、0）</w:t>
            </w:r>
            <w:r>
              <w:rPr>
                <w:rFonts w:hint="eastAsia" w:ascii="宋体" w:hAnsi="宋体" w:cs="Times New Roman"/>
                <w:sz w:val="24"/>
                <w:szCs w:val="24"/>
                <w:lang w:val="en-US" w:eastAsia="zh-CN"/>
              </w:rPr>
              <w:t>。</w:t>
            </w:r>
            <w:bookmarkEnd w:id="451"/>
          </w:p>
        </w:tc>
        <w:tc>
          <w:tcPr>
            <w:tcW w:w="338" w:type="pct"/>
            <w:shd w:val="clear" w:color="auto" w:fill="auto"/>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485" w:type="pct"/>
            <w:shd w:val="clear" w:color="auto" w:fill="auto"/>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textAlignment w:val="auto"/>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809" w:type="pct"/>
          </w:tcPr>
          <w:p>
            <w:pPr>
              <w:keepNext w:val="0"/>
              <w:keepLines w:val="0"/>
              <w:pageBreakBefore w:val="0"/>
              <w:kinsoku/>
              <w:wordWrap/>
              <w:overflowPunct/>
              <w:topLinePunct w:val="0"/>
              <w:autoSpaceDE/>
              <w:autoSpaceDN/>
              <w:bidi w:val="0"/>
              <w:snapToGrid w:val="0"/>
              <w:spacing w:line="240" w:lineRule="auto"/>
              <w:ind w:firstLine="0"/>
              <w:jc w:val="center"/>
              <w:textAlignment w:val="auto"/>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4" w:type="pct"/>
            <w:shd w:val="clear" w:color="auto" w:fill="auto"/>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textAlignment w:val="auto"/>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12</w:t>
            </w:r>
          </w:p>
        </w:tc>
        <w:tc>
          <w:tcPr>
            <w:tcW w:w="597" w:type="pct"/>
            <w:vMerge w:val="continue"/>
            <w:vAlign w:val="center"/>
          </w:tcPr>
          <w:p>
            <w:pPr>
              <w:keepNext w:val="0"/>
              <w:keepLines w:val="0"/>
              <w:pageBreakBefore w:val="0"/>
              <w:numPr>
                <w:ilvl w:val="0"/>
                <w:numId w:val="0"/>
              </w:numPr>
              <w:kinsoku/>
              <w:wordWrap/>
              <w:overflowPunct/>
              <w:topLinePunct w:val="0"/>
              <w:autoSpaceDE/>
              <w:autoSpaceDN/>
              <w:bidi w:val="0"/>
              <w:snapToGrid w:val="0"/>
              <w:spacing w:line="240" w:lineRule="auto"/>
              <w:jc w:val="left"/>
              <w:textAlignment w:val="auto"/>
              <w:rPr>
                <w:rFonts w:hint="eastAsia" w:ascii="宋体" w:hAnsi="宋体" w:eastAsia="宋体" w:cs="Times New Roman"/>
                <w:sz w:val="24"/>
                <w:szCs w:val="24"/>
              </w:rPr>
            </w:pPr>
          </w:p>
        </w:tc>
        <w:tc>
          <w:tcPr>
            <w:tcW w:w="2464" w:type="pct"/>
            <w:vAlign w:val="center"/>
          </w:tcPr>
          <w:p>
            <w:pPr>
              <w:keepNext w:val="0"/>
              <w:keepLines w:val="0"/>
              <w:pageBreakBefore w:val="0"/>
              <w:numPr>
                <w:ilvl w:val="0"/>
                <w:numId w:val="0"/>
              </w:numPr>
              <w:kinsoku/>
              <w:wordWrap/>
              <w:overflowPunct/>
              <w:topLinePunct w:val="0"/>
              <w:autoSpaceDE/>
              <w:autoSpaceDN/>
              <w:bidi w:val="0"/>
              <w:snapToGrid w:val="0"/>
              <w:spacing w:line="240" w:lineRule="auto"/>
              <w:jc w:val="both"/>
              <w:textAlignment w:val="auto"/>
              <w:rPr>
                <w:rFonts w:hint="eastAsia" w:ascii="宋体" w:hAnsi="宋体" w:eastAsia="宋体" w:cs="Times New Roman"/>
                <w:sz w:val="24"/>
                <w:szCs w:val="24"/>
              </w:rPr>
            </w:pPr>
            <w:r>
              <w:rPr>
                <w:rFonts w:hint="eastAsia" w:ascii="宋体" w:hAnsi="宋体" w:eastAsia="宋体" w:cs="Times New Roman"/>
                <w:sz w:val="24"/>
                <w:szCs w:val="24"/>
                <w:lang w:val="en-US" w:eastAsia="zh-CN"/>
              </w:rPr>
              <w:t>投标人对开展长江南翼（长三角）经钱塘江</w:t>
            </w:r>
            <w:r>
              <w:rPr>
                <w:rFonts w:hint="eastAsia" w:ascii="宋体" w:hAnsi="宋体" w:cs="Times New Roman"/>
                <w:sz w:val="24"/>
                <w:szCs w:val="24"/>
                <w:lang w:val="en-US" w:eastAsia="zh-CN"/>
              </w:rPr>
              <w:t>航运通江达海工程建</w:t>
            </w:r>
            <w:r>
              <w:rPr>
                <w:rFonts w:hint="eastAsia" w:ascii="宋体" w:hAnsi="宋体" w:eastAsia="宋体" w:cs="Times New Roman"/>
                <w:sz w:val="24"/>
                <w:szCs w:val="24"/>
                <w:lang w:val="en-US" w:eastAsia="zh-CN"/>
              </w:rPr>
              <w:t>设必要性的技术路线和主要研究研究内容进行阐述。评委根据内容的完整性、针对性、合理性进行评价给分。分值（5、4、3、2、1、0）</w:t>
            </w:r>
            <w:r>
              <w:rPr>
                <w:rFonts w:hint="eastAsia" w:ascii="宋体" w:hAnsi="宋体" w:cs="Times New Roman"/>
                <w:sz w:val="24"/>
                <w:szCs w:val="24"/>
                <w:lang w:val="en-US" w:eastAsia="zh-CN"/>
              </w:rPr>
              <w:t>。</w:t>
            </w:r>
          </w:p>
        </w:tc>
        <w:tc>
          <w:tcPr>
            <w:tcW w:w="338" w:type="pct"/>
            <w:shd w:val="clear" w:color="auto" w:fill="auto"/>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485" w:type="pct"/>
            <w:shd w:val="clear" w:color="auto" w:fill="auto"/>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textAlignment w:val="auto"/>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809" w:type="pct"/>
          </w:tcPr>
          <w:p>
            <w:pPr>
              <w:keepNext w:val="0"/>
              <w:keepLines w:val="0"/>
              <w:pageBreakBefore w:val="0"/>
              <w:kinsoku/>
              <w:wordWrap/>
              <w:overflowPunct/>
              <w:topLinePunct w:val="0"/>
              <w:autoSpaceDE/>
              <w:autoSpaceDN/>
              <w:bidi w:val="0"/>
              <w:snapToGrid w:val="0"/>
              <w:spacing w:line="240" w:lineRule="auto"/>
              <w:ind w:firstLine="0"/>
              <w:jc w:val="center"/>
              <w:textAlignment w:val="auto"/>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4" w:type="pct"/>
            <w:shd w:val="clear" w:color="auto" w:fill="auto"/>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textAlignment w:val="auto"/>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13</w:t>
            </w:r>
          </w:p>
        </w:tc>
        <w:tc>
          <w:tcPr>
            <w:tcW w:w="597" w:type="pct"/>
            <w:vAlign w:val="center"/>
          </w:tcPr>
          <w:p>
            <w:pPr>
              <w:keepNext w:val="0"/>
              <w:keepLines w:val="0"/>
              <w:pageBreakBefore w:val="0"/>
              <w:numPr>
                <w:ilvl w:val="0"/>
                <w:numId w:val="0"/>
              </w:numPr>
              <w:kinsoku/>
              <w:wordWrap/>
              <w:overflowPunct/>
              <w:topLinePunct w:val="0"/>
              <w:autoSpaceDE/>
              <w:autoSpaceDN/>
              <w:bidi w:val="0"/>
              <w:snapToGrid w:val="0"/>
              <w:spacing w:line="240" w:lineRule="auto"/>
              <w:jc w:val="center"/>
              <w:textAlignment w:val="auto"/>
              <w:rPr>
                <w:rFonts w:hint="eastAsia" w:ascii="宋体" w:hAnsi="宋体"/>
                <w:sz w:val="24"/>
                <w:lang w:val="zh-CN" w:eastAsia="zh-CN"/>
              </w:rPr>
            </w:pPr>
            <w:r>
              <w:rPr>
                <w:rFonts w:hint="eastAsia" w:ascii="宋体" w:hAnsi="宋体"/>
                <w:sz w:val="24"/>
                <w:lang w:val="zh-CN" w:eastAsia="zh-CN"/>
              </w:rPr>
              <w:t>重点、难点及关键性技术问题把握程度</w:t>
            </w:r>
          </w:p>
        </w:tc>
        <w:tc>
          <w:tcPr>
            <w:tcW w:w="2464" w:type="pct"/>
            <w:vAlign w:val="center"/>
          </w:tcPr>
          <w:p>
            <w:pPr>
              <w:keepNext w:val="0"/>
              <w:keepLines w:val="0"/>
              <w:pageBreakBefore w:val="0"/>
              <w:numPr>
                <w:ilvl w:val="0"/>
                <w:numId w:val="0"/>
              </w:numPr>
              <w:kinsoku/>
              <w:wordWrap/>
              <w:overflowPunct/>
              <w:topLinePunct w:val="0"/>
              <w:autoSpaceDE/>
              <w:autoSpaceDN/>
              <w:bidi w:val="0"/>
              <w:snapToGrid w:val="0"/>
              <w:spacing w:line="240" w:lineRule="auto"/>
              <w:jc w:val="both"/>
              <w:textAlignment w:val="auto"/>
              <w:rPr>
                <w:rFonts w:hint="eastAsia" w:ascii="宋体" w:hAnsi="宋体" w:eastAsia="宋体" w:cs="Times New Roman"/>
                <w:sz w:val="24"/>
                <w:lang w:val="en-US" w:eastAsia="zh-CN"/>
              </w:rPr>
            </w:pPr>
            <w:r>
              <w:rPr>
                <w:rFonts w:hint="eastAsia" w:cs="仿宋_GB2312" w:asciiTheme="minorEastAsia" w:hAnsiTheme="minorEastAsia" w:eastAsiaTheme="minorEastAsia"/>
                <w:color w:val="auto"/>
                <w:sz w:val="24"/>
                <w:highlight w:val="none"/>
              </w:rPr>
              <w:t>投标人对本项目的重点、难点及关键性技术问题把握程度进行阐述。评委根据阐述和解决方案的全面性、可行性进行评价给分。分值（5、4、3、2、1、0）。</w:t>
            </w:r>
          </w:p>
        </w:tc>
        <w:tc>
          <w:tcPr>
            <w:tcW w:w="338" w:type="pct"/>
            <w:vAlign w:val="center"/>
          </w:tcPr>
          <w:p>
            <w:pPr>
              <w:keepNext w:val="0"/>
              <w:keepLines w:val="0"/>
              <w:pageBreakBefore w:val="0"/>
              <w:kinsoku/>
              <w:wordWrap/>
              <w:overflowPunct/>
              <w:topLinePunct w:val="0"/>
              <w:autoSpaceDE/>
              <w:autoSpaceDN/>
              <w:bidi w:val="0"/>
              <w:snapToGrid w:val="0"/>
              <w:spacing w:line="240" w:lineRule="auto"/>
              <w:ind w:firstLine="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485" w:type="pct"/>
            <w:shd w:val="clear" w:color="auto" w:fill="auto"/>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textAlignment w:val="auto"/>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bCs/>
                <w:color w:val="auto"/>
                <w:sz w:val="24"/>
                <w:highlight w:val="none"/>
              </w:rPr>
              <w:t>主观分</w:t>
            </w:r>
          </w:p>
        </w:tc>
        <w:tc>
          <w:tcPr>
            <w:tcW w:w="809" w:type="pct"/>
          </w:tcPr>
          <w:p>
            <w:pPr>
              <w:keepNext w:val="0"/>
              <w:keepLines w:val="0"/>
              <w:pageBreakBefore w:val="0"/>
              <w:kinsoku/>
              <w:wordWrap/>
              <w:overflowPunct/>
              <w:topLinePunct w:val="0"/>
              <w:autoSpaceDE/>
              <w:autoSpaceDN/>
              <w:bidi w:val="0"/>
              <w:snapToGrid w:val="0"/>
              <w:spacing w:line="240" w:lineRule="auto"/>
              <w:ind w:firstLine="0"/>
              <w:jc w:val="center"/>
              <w:textAlignment w:val="auto"/>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4" w:type="pct"/>
            <w:shd w:val="clear" w:color="auto" w:fill="auto"/>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textAlignment w:val="auto"/>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14</w:t>
            </w:r>
          </w:p>
        </w:tc>
        <w:tc>
          <w:tcPr>
            <w:tcW w:w="597" w:type="pct"/>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textAlignment w:val="auto"/>
              <w:rPr>
                <w:rFonts w:hint="eastAsia" w:cs="仿宋_GB2312" w:asciiTheme="minorEastAsia" w:hAnsiTheme="minorEastAsia" w:eastAsiaTheme="minorEastAsia"/>
                <w:color w:val="auto"/>
                <w:kern w:val="2"/>
                <w:sz w:val="24"/>
                <w:szCs w:val="24"/>
                <w:highlight w:val="none"/>
                <w:lang w:val="zh-CN" w:eastAsia="zh-CN" w:bidi="ar-SA"/>
              </w:rPr>
            </w:pPr>
            <w:r>
              <w:rPr>
                <w:rFonts w:hint="eastAsia" w:ascii="宋体" w:hAnsi="宋体" w:eastAsia="宋体" w:cs="Times New Roman"/>
                <w:sz w:val="24"/>
                <w:lang w:val="en-US" w:eastAsia="zh-CN"/>
              </w:rPr>
              <w:t>工作计划</w:t>
            </w:r>
          </w:p>
        </w:tc>
        <w:tc>
          <w:tcPr>
            <w:tcW w:w="2464" w:type="pct"/>
            <w:vAlign w:val="center"/>
          </w:tcPr>
          <w:p>
            <w:pPr>
              <w:keepNext w:val="0"/>
              <w:keepLines w:val="0"/>
              <w:pageBreakBefore w:val="0"/>
              <w:numPr>
                <w:ilvl w:val="0"/>
                <w:numId w:val="0"/>
              </w:numPr>
              <w:kinsoku/>
              <w:wordWrap/>
              <w:overflowPunct/>
              <w:topLinePunct w:val="0"/>
              <w:autoSpaceDE/>
              <w:autoSpaceDN/>
              <w:bidi w:val="0"/>
              <w:snapToGrid w:val="0"/>
              <w:spacing w:line="240" w:lineRule="auto"/>
              <w:ind w:left="0" w:leftChars="0" w:firstLine="0" w:firstLineChars="0"/>
              <w:jc w:val="both"/>
              <w:textAlignment w:val="auto"/>
              <w:rPr>
                <w:rFonts w:hint="eastAsia" w:ascii="宋体" w:hAnsi="宋体" w:eastAsia="宋体" w:cs="Times New Roman"/>
                <w:kern w:val="2"/>
                <w:sz w:val="24"/>
                <w:szCs w:val="24"/>
                <w:lang w:val="en-US" w:eastAsia="zh-CN" w:bidi="ar-SA"/>
              </w:rPr>
            </w:pPr>
            <w:r>
              <w:rPr>
                <w:rFonts w:hint="eastAsia" w:cs="仿宋_GB2312" w:asciiTheme="minorEastAsia" w:hAnsiTheme="minorEastAsia" w:eastAsiaTheme="minorEastAsia"/>
                <w:color w:val="auto"/>
                <w:sz w:val="24"/>
                <w:highlight w:val="none"/>
              </w:rPr>
              <w:t>投标人对本项目的工作计划安排的阐述。评委根据内容的完整性、针对性、合理性进行评价给分。分值（5、4、3、2、1、0）。</w:t>
            </w:r>
          </w:p>
        </w:tc>
        <w:tc>
          <w:tcPr>
            <w:tcW w:w="338" w:type="pct"/>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textAlignment w:val="auto"/>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5</w:t>
            </w:r>
          </w:p>
        </w:tc>
        <w:tc>
          <w:tcPr>
            <w:tcW w:w="485" w:type="pct"/>
            <w:shd w:val="clear" w:color="auto" w:fill="auto"/>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textAlignment w:val="auto"/>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bCs/>
                <w:color w:val="auto"/>
                <w:sz w:val="24"/>
                <w:highlight w:val="none"/>
              </w:rPr>
              <w:t>主观分</w:t>
            </w:r>
          </w:p>
        </w:tc>
        <w:tc>
          <w:tcPr>
            <w:tcW w:w="809" w:type="pct"/>
          </w:tcPr>
          <w:p>
            <w:pPr>
              <w:keepNext w:val="0"/>
              <w:keepLines w:val="0"/>
              <w:pageBreakBefore w:val="0"/>
              <w:kinsoku/>
              <w:wordWrap/>
              <w:overflowPunct/>
              <w:topLinePunct w:val="0"/>
              <w:autoSpaceDE/>
              <w:autoSpaceDN/>
              <w:bidi w:val="0"/>
              <w:snapToGrid w:val="0"/>
              <w:spacing w:line="240" w:lineRule="auto"/>
              <w:ind w:firstLine="0"/>
              <w:jc w:val="center"/>
              <w:textAlignment w:val="auto"/>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4" w:type="pct"/>
            <w:shd w:val="clear" w:color="auto" w:fill="auto"/>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textAlignment w:val="auto"/>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15</w:t>
            </w:r>
          </w:p>
        </w:tc>
        <w:tc>
          <w:tcPr>
            <w:tcW w:w="597" w:type="pct"/>
            <w:vAlign w:val="center"/>
          </w:tcPr>
          <w:p>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cs="仿宋_GB2312" w:asciiTheme="minorEastAsia" w:hAnsiTheme="minorEastAsia" w:eastAsiaTheme="minorEastAsia"/>
                <w:color w:val="auto"/>
                <w:sz w:val="24"/>
                <w:highlight w:val="none"/>
                <w:lang w:val="zh-CN"/>
              </w:rPr>
            </w:pPr>
            <w:r>
              <w:rPr>
                <w:rFonts w:hint="eastAsia" w:ascii="宋体" w:hAnsi="宋体" w:eastAsia="宋体" w:cs="Times New Roman"/>
                <w:sz w:val="24"/>
                <w:lang w:val="en-US" w:eastAsia="zh-CN"/>
              </w:rPr>
              <w:t>进度保证措施</w:t>
            </w:r>
          </w:p>
        </w:tc>
        <w:tc>
          <w:tcPr>
            <w:tcW w:w="2464" w:type="pct"/>
            <w:vAlign w:val="center"/>
          </w:tcPr>
          <w:p>
            <w:pPr>
              <w:keepNext w:val="0"/>
              <w:keepLines w:val="0"/>
              <w:pageBreakBefore w:val="0"/>
              <w:numPr>
                <w:ilvl w:val="0"/>
                <w:numId w:val="0"/>
              </w:numPr>
              <w:kinsoku/>
              <w:wordWrap/>
              <w:overflowPunct/>
              <w:topLinePunct w:val="0"/>
              <w:autoSpaceDE/>
              <w:autoSpaceDN/>
              <w:bidi w:val="0"/>
              <w:snapToGrid w:val="0"/>
              <w:spacing w:line="240" w:lineRule="auto"/>
              <w:jc w:val="both"/>
              <w:textAlignment w:val="auto"/>
              <w:rPr>
                <w:rFonts w:hint="eastAsia" w:ascii="宋体" w:hAnsi="宋体" w:eastAsia="宋体" w:cs="Times New Roman"/>
                <w:sz w:val="24"/>
                <w:lang w:val="en-US" w:eastAsia="zh-CN"/>
              </w:rPr>
            </w:pPr>
            <w:r>
              <w:rPr>
                <w:rFonts w:hint="eastAsia" w:cs="仿宋_GB2312" w:asciiTheme="minorEastAsia" w:hAnsiTheme="minorEastAsia" w:eastAsiaTheme="minorEastAsia"/>
                <w:color w:val="auto"/>
                <w:sz w:val="24"/>
                <w:highlight w:val="none"/>
              </w:rPr>
              <w:t>投标人对本项目进度安排及保证措施进行阐述，评委根据根据内容完整性、针对性、合理性进行评价给分。分值（5、4、3、2、1、0）。</w:t>
            </w:r>
          </w:p>
        </w:tc>
        <w:tc>
          <w:tcPr>
            <w:tcW w:w="338" w:type="pct"/>
            <w:vAlign w:val="center"/>
          </w:tcPr>
          <w:p>
            <w:pPr>
              <w:keepNext w:val="0"/>
              <w:keepLines w:val="0"/>
              <w:pageBreakBefore w:val="0"/>
              <w:kinsoku/>
              <w:wordWrap/>
              <w:overflowPunct/>
              <w:topLinePunct w:val="0"/>
              <w:autoSpaceDE/>
              <w:autoSpaceDN/>
              <w:bidi w:val="0"/>
              <w:snapToGrid w:val="0"/>
              <w:spacing w:line="240" w:lineRule="auto"/>
              <w:ind w:firstLine="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485" w:type="pct"/>
            <w:shd w:val="clear" w:color="auto" w:fill="auto"/>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textAlignment w:val="auto"/>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bCs/>
                <w:color w:val="auto"/>
                <w:sz w:val="24"/>
                <w:highlight w:val="none"/>
              </w:rPr>
              <w:t>主观分</w:t>
            </w:r>
          </w:p>
        </w:tc>
        <w:tc>
          <w:tcPr>
            <w:tcW w:w="809" w:type="pct"/>
          </w:tcPr>
          <w:p>
            <w:pPr>
              <w:keepNext w:val="0"/>
              <w:keepLines w:val="0"/>
              <w:pageBreakBefore w:val="0"/>
              <w:kinsoku/>
              <w:wordWrap/>
              <w:overflowPunct/>
              <w:topLinePunct w:val="0"/>
              <w:autoSpaceDE/>
              <w:autoSpaceDN/>
              <w:bidi w:val="0"/>
              <w:snapToGrid w:val="0"/>
              <w:spacing w:line="240" w:lineRule="auto"/>
              <w:ind w:firstLine="0"/>
              <w:jc w:val="center"/>
              <w:textAlignment w:val="auto"/>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4" w:type="pct"/>
            <w:shd w:val="clear" w:color="auto" w:fill="auto"/>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16</w:t>
            </w:r>
          </w:p>
        </w:tc>
        <w:tc>
          <w:tcPr>
            <w:tcW w:w="597" w:type="pct"/>
            <w:vAlign w:val="center"/>
          </w:tcPr>
          <w:p>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cs="仿宋_GB2312" w:asciiTheme="minorEastAsia" w:hAnsiTheme="minorEastAsia" w:eastAsiaTheme="minorEastAsia"/>
                <w:color w:val="auto"/>
                <w:sz w:val="24"/>
                <w:highlight w:val="none"/>
                <w:lang w:val="zh-CN"/>
              </w:rPr>
            </w:pPr>
            <w:r>
              <w:rPr>
                <w:rFonts w:hint="eastAsia" w:ascii="宋体" w:hAnsi="宋体" w:eastAsia="宋体" w:cs="Times New Roman"/>
                <w:sz w:val="24"/>
                <w:lang w:val="en-US" w:eastAsia="zh-CN"/>
              </w:rPr>
              <w:t>质量保障</w:t>
            </w:r>
          </w:p>
        </w:tc>
        <w:tc>
          <w:tcPr>
            <w:tcW w:w="2464" w:type="pct"/>
            <w:vAlign w:val="center"/>
          </w:tcPr>
          <w:p>
            <w:pPr>
              <w:keepNext w:val="0"/>
              <w:keepLines w:val="0"/>
              <w:pageBreakBefore w:val="0"/>
              <w:numPr>
                <w:ilvl w:val="0"/>
                <w:numId w:val="0"/>
              </w:numPr>
              <w:kinsoku/>
              <w:wordWrap/>
              <w:overflowPunct/>
              <w:topLinePunct w:val="0"/>
              <w:autoSpaceDE/>
              <w:autoSpaceDN/>
              <w:bidi w:val="0"/>
              <w:snapToGrid w:val="0"/>
              <w:spacing w:line="240" w:lineRule="auto"/>
              <w:jc w:val="both"/>
              <w:textAlignment w:val="auto"/>
              <w:rPr>
                <w:rFonts w:hint="eastAsia" w:ascii="宋体" w:hAnsi="宋体" w:eastAsia="宋体" w:cs="Times New Roman"/>
                <w:sz w:val="24"/>
                <w:lang w:val="en-US" w:eastAsia="zh-CN"/>
              </w:rPr>
            </w:pPr>
            <w:r>
              <w:rPr>
                <w:rFonts w:hint="eastAsia" w:cs="仿宋_GB2312" w:asciiTheme="minorEastAsia" w:hAnsiTheme="minorEastAsia" w:eastAsiaTheme="minorEastAsia"/>
                <w:color w:val="auto"/>
                <w:sz w:val="24"/>
                <w:highlight w:val="none"/>
              </w:rPr>
              <w:t>投标人对本项目过程中的质量保障阐述。评委根内容的完整性、针对性、合理性进行评价给分。分值（（5、4、3、2、1、0）。</w:t>
            </w:r>
          </w:p>
        </w:tc>
        <w:tc>
          <w:tcPr>
            <w:tcW w:w="338" w:type="pct"/>
            <w:vAlign w:val="center"/>
          </w:tcPr>
          <w:p>
            <w:pPr>
              <w:keepNext w:val="0"/>
              <w:keepLines w:val="0"/>
              <w:pageBreakBefore w:val="0"/>
              <w:kinsoku/>
              <w:wordWrap/>
              <w:overflowPunct/>
              <w:topLinePunct w:val="0"/>
              <w:autoSpaceDE/>
              <w:autoSpaceDN/>
              <w:bidi w:val="0"/>
              <w:snapToGrid w:val="0"/>
              <w:spacing w:line="240" w:lineRule="auto"/>
              <w:ind w:firstLine="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485" w:type="pct"/>
            <w:shd w:val="clear" w:color="auto" w:fill="auto"/>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textAlignment w:val="auto"/>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bCs/>
                <w:color w:val="auto"/>
                <w:sz w:val="24"/>
                <w:highlight w:val="none"/>
              </w:rPr>
              <w:t>主观分</w:t>
            </w:r>
          </w:p>
        </w:tc>
        <w:tc>
          <w:tcPr>
            <w:tcW w:w="809" w:type="pct"/>
          </w:tcPr>
          <w:p>
            <w:pPr>
              <w:keepNext w:val="0"/>
              <w:keepLines w:val="0"/>
              <w:pageBreakBefore w:val="0"/>
              <w:kinsoku/>
              <w:wordWrap/>
              <w:overflowPunct/>
              <w:topLinePunct w:val="0"/>
              <w:autoSpaceDE/>
              <w:autoSpaceDN/>
              <w:bidi w:val="0"/>
              <w:snapToGrid w:val="0"/>
              <w:spacing w:line="240" w:lineRule="auto"/>
              <w:ind w:firstLine="0"/>
              <w:jc w:val="center"/>
              <w:textAlignment w:val="auto"/>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4" w:type="pct"/>
            <w:shd w:val="clear" w:color="auto" w:fill="auto"/>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17</w:t>
            </w:r>
          </w:p>
        </w:tc>
        <w:tc>
          <w:tcPr>
            <w:tcW w:w="597" w:type="pct"/>
            <w:vAlign w:val="center"/>
          </w:tcPr>
          <w:p>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cs="仿宋_GB2312" w:asciiTheme="minorEastAsia" w:hAnsiTheme="minorEastAsia" w:eastAsiaTheme="minorEastAsia"/>
                <w:color w:val="auto"/>
                <w:sz w:val="24"/>
                <w:highlight w:val="none"/>
                <w:lang w:val="zh-CN"/>
              </w:rPr>
            </w:pPr>
            <w:r>
              <w:rPr>
                <w:rFonts w:hint="eastAsia" w:ascii="宋体" w:hAnsi="宋体" w:eastAsia="宋体" w:cs="Times New Roman"/>
                <w:sz w:val="24"/>
                <w:lang w:val="en-US" w:eastAsia="zh-CN"/>
              </w:rPr>
              <w:t>合理化建议</w:t>
            </w:r>
          </w:p>
        </w:tc>
        <w:tc>
          <w:tcPr>
            <w:tcW w:w="2464" w:type="pct"/>
            <w:vAlign w:val="center"/>
          </w:tcPr>
          <w:p>
            <w:pPr>
              <w:keepNext w:val="0"/>
              <w:keepLines w:val="0"/>
              <w:pageBreakBefore w:val="0"/>
              <w:numPr>
                <w:ilvl w:val="0"/>
                <w:numId w:val="0"/>
              </w:numPr>
              <w:kinsoku/>
              <w:wordWrap/>
              <w:overflowPunct/>
              <w:topLinePunct w:val="0"/>
              <w:autoSpaceDE/>
              <w:autoSpaceDN/>
              <w:bidi w:val="0"/>
              <w:snapToGrid w:val="0"/>
              <w:spacing w:line="240" w:lineRule="auto"/>
              <w:jc w:val="both"/>
              <w:textAlignment w:val="auto"/>
              <w:rPr>
                <w:rFonts w:hint="eastAsia" w:ascii="宋体" w:hAnsi="宋体" w:eastAsia="宋体" w:cs="Times New Roman"/>
                <w:sz w:val="24"/>
                <w:lang w:val="en-US" w:eastAsia="zh-CN"/>
              </w:rPr>
            </w:pPr>
            <w:r>
              <w:rPr>
                <w:rFonts w:hint="eastAsia" w:cs="仿宋_GB2312" w:asciiTheme="minorEastAsia" w:hAnsiTheme="minorEastAsia" w:eastAsiaTheme="minorEastAsia"/>
                <w:color w:val="auto"/>
                <w:sz w:val="24"/>
                <w:highlight w:val="none"/>
              </w:rPr>
              <w:t>投标人基于自身对本项目采购需求理解与分析的结论，对本项目的服务实施提出合理化建议。评委根据建议的合理性、可行性进行评价给分。分值（5、4、3、2、1、0）。</w:t>
            </w:r>
          </w:p>
        </w:tc>
        <w:tc>
          <w:tcPr>
            <w:tcW w:w="338" w:type="pct"/>
            <w:vAlign w:val="center"/>
          </w:tcPr>
          <w:p>
            <w:pPr>
              <w:keepNext w:val="0"/>
              <w:keepLines w:val="0"/>
              <w:pageBreakBefore w:val="0"/>
              <w:kinsoku/>
              <w:wordWrap/>
              <w:overflowPunct/>
              <w:topLinePunct w:val="0"/>
              <w:autoSpaceDE/>
              <w:autoSpaceDN/>
              <w:bidi w:val="0"/>
              <w:snapToGrid w:val="0"/>
              <w:spacing w:line="240" w:lineRule="auto"/>
              <w:ind w:firstLine="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485" w:type="pct"/>
            <w:shd w:val="clear" w:color="auto" w:fill="auto"/>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textAlignment w:val="auto"/>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bCs/>
                <w:color w:val="auto"/>
                <w:sz w:val="24"/>
                <w:highlight w:val="none"/>
              </w:rPr>
              <w:t>主观分</w:t>
            </w:r>
          </w:p>
        </w:tc>
        <w:tc>
          <w:tcPr>
            <w:tcW w:w="809" w:type="pct"/>
          </w:tcPr>
          <w:p>
            <w:pPr>
              <w:keepNext w:val="0"/>
              <w:keepLines w:val="0"/>
              <w:pageBreakBefore w:val="0"/>
              <w:kinsoku/>
              <w:wordWrap/>
              <w:overflowPunct/>
              <w:topLinePunct w:val="0"/>
              <w:autoSpaceDE/>
              <w:autoSpaceDN/>
              <w:bidi w:val="0"/>
              <w:snapToGrid w:val="0"/>
              <w:spacing w:line="240" w:lineRule="auto"/>
              <w:ind w:firstLine="0"/>
              <w:jc w:val="center"/>
              <w:textAlignment w:val="auto"/>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4" w:type="pct"/>
            <w:shd w:val="clear" w:color="auto" w:fill="auto"/>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18</w:t>
            </w:r>
          </w:p>
        </w:tc>
        <w:tc>
          <w:tcPr>
            <w:tcW w:w="597" w:type="pct"/>
            <w:vAlign w:val="center"/>
          </w:tcPr>
          <w:p>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cs="仿宋_GB2312" w:asciiTheme="minorEastAsia" w:hAnsiTheme="minorEastAsia" w:eastAsiaTheme="minorEastAsia"/>
                <w:color w:val="auto"/>
                <w:sz w:val="24"/>
                <w:highlight w:val="none"/>
                <w:lang w:val="zh-CN"/>
              </w:rPr>
            </w:pPr>
            <w:r>
              <w:rPr>
                <w:rFonts w:hint="eastAsia" w:ascii="宋体" w:hAnsi="宋体" w:eastAsia="宋体" w:cs="Times New Roman"/>
                <w:sz w:val="24"/>
                <w:lang w:val="en-US" w:eastAsia="zh-CN"/>
              </w:rPr>
              <w:t>人员专业架构</w:t>
            </w:r>
          </w:p>
        </w:tc>
        <w:tc>
          <w:tcPr>
            <w:tcW w:w="2464" w:type="pct"/>
            <w:shd w:val="clear" w:color="auto" w:fill="auto"/>
            <w:vAlign w:val="center"/>
          </w:tcPr>
          <w:p>
            <w:pPr>
              <w:keepNext w:val="0"/>
              <w:keepLines w:val="0"/>
              <w:pageBreakBefore w:val="0"/>
              <w:numPr>
                <w:ilvl w:val="0"/>
                <w:numId w:val="0"/>
              </w:numPr>
              <w:kinsoku/>
              <w:wordWrap/>
              <w:overflowPunct/>
              <w:topLinePunct w:val="0"/>
              <w:autoSpaceDE/>
              <w:autoSpaceDN/>
              <w:bidi w:val="0"/>
              <w:snapToGrid w:val="0"/>
              <w:spacing w:line="240" w:lineRule="auto"/>
              <w:ind w:left="0" w:leftChars="0" w:firstLine="0" w:firstLineChars="0"/>
              <w:jc w:val="both"/>
              <w:textAlignment w:val="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投标人拟投入本项目的人员在专业架构上与本项目的实际切合情况进行阐述。</w:t>
            </w:r>
          </w:p>
          <w:p>
            <w:pPr>
              <w:keepNext w:val="0"/>
              <w:keepLines w:val="0"/>
              <w:pageBreakBefore w:val="0"/>
              <w:numPr>
                <w:ilvl w:val="0"/>
                <w:numId w:val="0"/>
              </w:numPr>
              <w:kinsoku/>
              <w:wordWrap/>
              <w:overflowPunct/>
              <w:topLinePunct w:val="0"/>
              <w:autoSpaceDE/>
              <w:autoSpaceDN/>
              <w:bidi w:val="0"/>
              <w:snapToGrid w:val="0"/>
              <w:spacing w:line="240" w:lineRule="auto"/>
              <w:ind w:left="0" w:leftChars="0" w:firstLine="0" w:firstLineChars="0"/>
              <w:jc w:val="both"/>
              <w:textAlignment w:val="auto"/>
              <w:rPr>
                <w:rFonts w:hint="eastAsia" w:ascii="宋体" w:hAnsi="宋体" w:eastAsia="宋体" w:cs="Times New Roman"/>
                <w:kern w:val="2"/>
                <w:sz w:val="24"/>
                <w:szCs w:val="24"/>
                <w:lang w:val="en-US" w:eastAsia="zh-CN" w:bidi="ar-SA"/>
              </w:rPr>
            </w:pPr>
            <w:r>
              <w:rPr>
                <w:rFonts w:hint="eastAsia" w:cs="仿宋_GB2312" w:asciiTheme="minorEastAsia" w:hAnsiTheme="minorEastAsia" w:eastAsiaTheme="minorEastAsia"/>
                <w:color w:val="auto"/>
                <w:sz w:val="24"/>
                <w:highlight w:val="none"/>
              </w:rPr>
              <w:t>评委根据内容的完整性、针对性、合理性进行评价给分。分值（4、3、2、1、0）。</w:t>
            </w:r>
          </w:p>
        </w:tc>
        <w:tc>
          <w:tcPr>
            <w:tcW w:w="338" w:type="pct"/>
            <w:shd w:val="clear" w:color="auto" w:fill="auto"/>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textAlignment w:val="auto"/>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kern w:val="2"/>
                <w:sz w:val="24"/>
                <w:szCs w:val="24"/>
                <w:highlight w:val="none"/>
                <w:lang w:val="en-US" w:eastAsia="zh-CN" w:bidi="ar-SA"/>
              </w:rPr>
              <w:t>4</w:t>
            </w:r>
          </w:p>
        </w:tc>
        <w:tc>
          <w:tcPr>
            <w:tcW w:w="485" w:type="pct"/>
            <w:shd w:val="clear" w:color="auto" w:fill="auto"/>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textAlignment w:val="auto"/>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bCs/>
                <w:color w:val="auto"/>
                <w:sz w:val="24"/>
                <w:highlight w:val="none"/>
              </w:rPr>
              <w:t>主观分</w:t>
            </w:r>
          </w:p>
        </w:tc>
        <w:tc>
          <w:tcPr>
            <w:tcW w:w="809" w:type="pct"/>
          </w:tcPr>
          <w:p>
            <w:pPr>
              <w:keepNext w:val="0"/>
              <w:keepLines w:val="0"/>
              <w:pageBreakBefore w:val="0"/>
              <w:kinsoku/>
              <w:wordWrap/>
              <w:overflowPunct/>
              <w:topLinePunct w:val="0"/>
              <w:autoSpaceDE/>
              <w:autoSpaceDN/>
              <w:bidi w:val="0"/>
              <w:snapToGrid w:val="0"/>
              <w:spacing w:line="240" w:lineRule="auto"/>
              <w:ind w:firstLine="0"/>
              <w:jc w:val="center"/>
              <w:textAlignment w:val="auto"/>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4" w:type="pct"/>
            <w:shd w:val="clear" w:color="auto" w:fill="auto"/>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19</w:t>
            </w:r>
          </w:p>
        </w:tc>
        <w:tc>
          <w:tcPr>
            <w:tcW w:w="597" w:type="pct"/>
            <w:vAlign w:val="center"/>
          </w:tcPr>
          <w:p>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cs="仿宋_GB2312" w:asciiTheme="minorEastAsia" w:hAnsiTheme="minorEastAsia" w:eastAsiaTheme="minorEastAsia"/>
                <w:color w:val="auto"/>
                <w:sz w:val="24"/>
                <w:highlight w:val="none"/>
                <w:lang w:val="zh-CN"/>
              </w:rPr>
            </w:pPr>
            <w:r>
              <w:rPr>
                <w:rFonts w:hint="eastAsia" w:ascii="宋体" w:hAnsi="宋体" w:eastAsia="宋体" w:cs="Times New Roman"/>
                <w:sz w:val="24"/>
                <w:lang w:val="en-US" w:eastAsia="zh-CN"/>
              </w:rPr>
              <w:t>后续服务安排及措施</w:t>
            </w:r>
          </w:p>
        </w:tc>
        <w:tc>
          <w:tcPr>
            <w:tcW w:w="2464" w:type="pct"/>
            <w:vAlign w:val="center"/>
          </w:tcPr>
          <w:p>
            <w:pPr>
              <w:keepNext w:val="0"/>
              <w:keepLines w:val="0"/>
              <w:pageBreakBefore w:val="0"/>
              <w:numPr>
                <w:ilvl w:val="0"/>
                <w:numId w:val="0"/>
              </w:numPr>
              <w:kinsoku/>
              <w:wordWrap/>
              <w:overflowPunct/>
              <w:topLinePunct w:val="0"/>
              <w:autoSpaceDE/>
              <w:autoSpaceDN/>
              <w:bidi w:val="0"/>
              <w:snapToGrid w:val="0"/>
              <w:spacing w:line="240" w:lineRule="auto"/>
              <w:jc w:val="both"/>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rPr>
              <w:t>投标人针对本项目提供的具体的后续服务安排及措施进行阐述。评委根据内容的完整性、针对性、合理性进行评价给分。分值（4、3、2、1、0）。</w:t>
            </w:r>
          </w:p>
        </w:tc>
        <w:tc>
          <w:tcPr>
            <w:tcW w:w="338" w:type="pct"/>
            <w:vAlign w:val="center"/>
          </w:tcPr>
          <w:p>
            <w:pPr>
              <w:keepNext w:val="0"/>
              <w:keepLines w:val="0"/>
              <w:pageBreakBefore w:val="0"/>
              <w:kinsoku/>
              <w:wordWrap/>
              <w:overflowPunct/>
              <w:topLinePunct w:val="0"/>
              <w:autoSpaceDE/>
              <w:autoSpaceDN/>
              <w:bidi w:val="0"/>
              <w:snapToGrid w:val="0"/>
              <w:spacing w:line="240" w:lineRule="auto"/>
              <w:ind w:firstLine="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485" w:type="pct"/>
            <w:vAlign w:val="center"/>
          </w:tcPr>
          <w:p>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809" w:type="pct"/>
          </w:tcPr>
          <w:p>
            <w:pPr>
              <w:keepNext w:val="0"/>
              <w:keepLines w:val="0"/>
              <w:pageBreakBefore w:val="0"/>
              <w:kinsoku/>
              <w:wordWrap/>
              <w:overflowPunct/>
              <w:topLinePunct w:val="0"/>
              <w:autoSpaceDE/>
              <w:autoSpaceDN/>
              <w:bidi w:val="0"/>
              <w:snapToGrid w:val="0"/>
              <w:spacing w:line="240" w:lineRule="auto"/>
              <w:ind w:firstLine="0"/>
              <w:jc w:val="center"/>
              <w:textAlignment w:val="auto"/>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4" w:type="pct"/>
            <w:shd w:val="clear" w:color="auto" w:fill="auto"/>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20</w:t>
            </w:r>
          </w:p>
        </w:tc>
        <w:tc>
          <w:tcPr>
            <w:tcW w:w="597" w:type="pct"/>
            <w:vAlign w:val="center"/>
          </w:tcPr>
          <w:p>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售后服务</w:t>
            </w:r>
          </w:p>
        </w:tc>
        <w:tc>
          <w:tcPr>
            <w:tcW w:w="2464" w:type="pct"/>
            <w:vAlign w:val="center"/>
          </w:tcPr>
          <w:p>
            <w:pPr>
              <w:keepNext w:val="0"/>
              <w:keepLines w:val="0"/>
              <w:pageBreakBefore w:val="0"/>
              <w:numPr>
                <w:ilvl w:val="0"/>
                <w:numId w:val="0"/>
              </w:numPr>
              <w:kinsoku/>
              <w:wordWrap/>
              <w:overflowPunct/>
              <w:topLinePunct w:val="0"/>
              <w:autoSpaceDE/>
              <w:autoSpaceDN/>
              <w:bidi w:val="0"/>
              <w:snapToGrid w:val="0"/>
              <w:spacing w:line="240" w:lineRule="auto"/>
              <w:jc w:val="both"/>
              <w:textAlignment w:val="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售后服务期从验收合同之日起计算，承诺售后服务期为1年及以上的得1分，本项目最多得1分。</w:t>
            </w:r>
          </w:p>
        </w:tc>
        <w:tc>
          <w:tcPr>
            <w:tcW w:w="338" w:type="pct"/>
            <w:vAlign w:val="center"/>
          </w:tcPr>
          <w:p>
            <w:pPr>
              <w:keepNext w:val="0"/>
              <w:keepLines w:val="0"/>
              <w:pageBreakBefore w:val="0"/>
              <w:kinsoku/>
              <w:wordWrap/>
              <w:overflowPunct/>
              <w:topLinePunct w:val="0"/>
              <w:autoSpaceDE/>
              <w:autoSpaceDN/>
              <w:bidi w:val="0"/>
              <w:snapToGrid w:val="0"/>
              <w:spacing w:line="240" w:lineRule="auto"/>
              <w:ind w:firstLine="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w:t>
            </w:r>
          </w:p>
        </w:tc>
        <w:tc>
          <w:tcPr>
            <w:tcW w:w="485" w:type="pct"/>
            <w:vAlign w:val="center"/>
          </w:tcPr>
          <w:p>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cs="仿宋_GB2312" w:asciiTheme="minorEastAsia" w:hAnsiTheme="minorEastAsia" w:eastAsiaTheme="minorEastAsia"/>
                <w:bCs/>
                <w:color w:val="auto"/>
                <w:sz w:val="24"/>
                <w:highlight w:val="none"/>
                <w:lang w:val="en-US" w:eastAsia="zh-CN"/>
              </w:rPr>
            </w:pPr>
            <w:r>
              <w:rPr>
                <w:rFonts w:hint="eastAsia" w:cs="仿宋_GB2312" w:asciiTheme="minorEastAsia" w:hAnsiTheme="minorEastAsia" w:eastAsiaTheme="minorEastAsia"/>
                <w:bCs/>
                <w:color w:val="auto"/>
                <w:sz w:val="24"/>
                <w:highlight w:val="none"/>
                <w:lang w:val="en-US" w:eastAsia="zh-CN"/>
              </w:rPr>
              <w:t>客观分</w:t>
            </w:r>
          </w:p>
        </w:tc>
        <w:tc>
          <w:tcPr>
            <w:tcW w:w="809" w:type="pct"/>
          </w:tcPr>
          <w:p>
            <w:pPr>
              <w:keepNext w:val="0"/>
              <w:keepLines w:val="0"/>
              <w:pageBreakBefore w:val="0"/>
              <w:kinsoku/>
              <w:wordWrap/>
              <w:overflowPunct/>
              <w:topLinePunct w:val="0"/>
              <w:autoSpaceDE/>
              <w:autoSpaceDN/>
              <w:bidi w:val="0"/>
              <w:snapToGrid w:val="0"/>
              <w:spacing w:line="240" w:lineRule="auto"/>
              <w:ind w:firstLine="0"/>
              <w:jc w:val="center"/>
              <w:textAlignment w:val="auto"/>
              <w:rPr>
                <w:rFonts w:cs="仿宋_GB2312" w:asciiTheme="minorEastAsia" w:hAnsiTheme="minorEastAsia" w:eastAsiaTheme="minorEastAsia"/>
                <w:color w:val="auto"/>
                <w:sz w:val="24"/>
                <w:highlight w:val="none"/>
              </w:rPr>
            </w:pPr>
          </w:p>
        </w:tc>
      </w:tr>
      <w:bookmarkEnd w:id="4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4" w:type="pct"/>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21</w:t>
            </w:r>
          </w:p>
        </w:tc>
        <w:tc>
          <w:tcPr>
            <w:tcW w:w="597" w:type="pct"/>
            <w:vAlign w:val="center"/>
          </w:tcPr>
          <w:p>
            <w:pPr>
              <w:keepNext w:val="0"/>
              <w:keepLines w:val="0"/>
              <w:pageBreakBefore w:val="0"/>
              <w:widowControl/>
              <w:shd w:val="clear" w:color="auto" w:fill="FFFFFF"/>
              <w:kinsoku/>
              <w:wordWrap/>
              <w:overflowPunct/>
              <w:topLinePunct w:val="0"/>
              <w:autoSpaceDE/>
              <w:autoSpaceDN/>
              <w:bidi w:val="0"/>
              <w:adjustRightInd/>
              <w:spacing w:line="240" w:lineRule="auto"/>
              <w:ind w:firstLine="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价格分</w:t>
            </w:r>
          </w:p>
        </w:tc>
        <w:tc>
          <w:tcPr>
            <w:tcW w:w="2464" w:type="pct"/>
            <w:vAlign w:val="center"/>
          </w:tcPr>
          <w:p>
            <w:pPr>
              <w:keepNext w:val="0"/>
              <w:keepLines w:val="0"/>
              <w:pageBreakBefore w:val="0"/>
              <w:kinsoku/>
              <w:wordWrap/>
              <w:overflowPunct/>
              <w:topLinePunct w:val="0"/>
              <w:autoSpaceDE/>
              <w:autoSpaceDN/>
              <w:bidi w:val="0"/>
              <w:spacing w:line="240" w:lineRule="auto"/>
              <w:ind w:firstLine="0"/>
              <w:jc w:val="both"/>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lang w:val="en-US" w:eastAsia="zh-CN"/>
              </w:rPr>
              <w:t>10%</w:t>
            </w:r>
            <w:r>
              <w:rPr>
                <w:rFonts w:cs="仿宋_GB2312" w:asciiTheme="minorEastAsia" w:hAnsiTheme="minorEastAsia" w:eastAsiaTheme="minorEastAsia"/>
                <w:color w:val="auto"/>
                <w:sz w:val="24"/>
                <w:highlight w:val="none"/>
              </w:rPr>
              <w:t>］的计算公式计算。</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0"/>
              <w:jc w:val="both"/>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评标过程中，不得去掉报价中的最高报价和最低报价。</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0"/>
              <w:jc w:val="both"/>
              <w:textAlignment w:val="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对于未预留份额专门面向中小企业的政府采购服务项目，以及预留份额政府采购服务项目中的非预留部分标项，对小型和微型企业的投标报价给予</w:t>
            </w:r>
            <w:r>
              <w:rPr>
                <w:rFonts w:hint="eastAsia" w:cs="仿宋_GB2312" w:asciiTheme="minorEastAsia" w:hAnsiTheme="minorEastAsia" w:eastAsiaTheme="minorEastAsia"/>
                <w:color w:val="auto"/>
                <w:sz w:val="24"/>
                <w:highlight w:val="none"/>
                <w:lang w:val="en-US" w:eastAsia="zh-CN"/>
              </w:rPr>
              <w:t>10</w:t>
            </w:r>
            <w:r>
              <w:rPr>
                <w:rFonts w:hint="eastAsia" w:cs="仿宋_GB2312" w:asciiTheme="minorEastAsia" w:hAnsiTheme="minorEastAsia" w:eastAsiaTheme="minorEastAsia"/>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color w:val="auto"/>
                <w:sz w:val="24"/>
                <w:highlight w:val="none"/>
                <w:lang w:val="en-US" w:eastAsia="zh-CN"/>
              </w:rPr>
              <w:t>4</w:t>
            </w:r>
            <w:r>
              <w:rPr>
                <w:rFonts w:hint="eastAsia" w:cs="仿宋_GB2312" w:asciiTheme="minorEastAsia" w:hAnsiTheme="minorEastAsia" w:eastAsiaTheme="minorEastAsia"/>
                <w:color w:val="auto"/>
                <w:sz w:val="24"/>
                <w:highlight w:val="none"/>
              </w:rPr>
              <w:t>%的扣除，用扣除后的价格参加评审</w:t>
            </w:r>
            <w:r>
              <w:rPr>
                <w:rFonts w:cs="仿宋_GB2312" w:asciiTheme="minorEastAsia" w:hAnsiTheme="minorEastAsia" w:eastAsiaTheme="minorEastAsia"/>
                <w:color w:val="auto"/>
                <w:sz w:val="24"/>
                <w:highlight w:val="none"/>
              </w:rPr>
              <w:t>。</w:t>
            </w:r>
          </w:p>
        </w:tc>
        <w:tc>
          <w:tcPr>
            <w:tcW w:w="338" w:type="pct"/>
            <w:vAlign w:val="center"/>
          </w:tcPr>
          <w:p>
            <w:pPr>
              <w:keepNext w:val="0"/>
              <w:keepLines w:val="0"/>
              <w:pageBreakBefore w:val="0"/>
              <w:kinsoku/>
              <w:wordWrap/>
              <w:overflowPunct/>
              <w:topLinePunct w:val="0"/>
              <w:autoSpaceDE/>
              <w:autoSpaceDN/>
              <w:bidi w:val="0"/>
              <w:spacing w:line="240" w:lineRule="auto"/>
              <w:ind w:firstLine="0"/>
              <w:jc w:val="center"/>
              <w:textAlignment w:val="auto"/>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485" w:type="pct"/>
            <w:vAlign w:val="center"/>
          </w:tcPr>
          <w:p>
            <w:pPr>
              <w:keepNext w:val="0"/>
              <w:keepLines w:val="0"/>
              <w:pageBreakBefore w:val="0"/>
              <w:kinsoku/>
              <w:wordWrap/>
              <w:overflowPunct/>
              <w:topLinePunct w:val="0"/>
              <w:autoSpaceDE/>
              <w:autoSpaceDN/>
              <w:bidi w:val="0"/>
              <w:spacing w:line="240" w:lineRule="auto"/>
              <w:ind w:firstLine="0"/>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lang w:val="en-US" w:eastAsia="zh-CN"/>
              </w:rPr>
              <w:t>客</w:t>
            </w:r>
            <w:r>
              <w:rPr>
                <w:rFonts w:hint="eastAsia" w:cs="仿宋_GB2312" w:asciiTheme="minorEastAsia" w:hAnsiTheme="minorEastAsia" w:eastAsiaTheme="minorEastAsia"/>
                <w:bCs/>
                <w:color w:val="auto"/>
                <w:sz w:val="24"/>
                <w:highlight w:val="none"/>
              </w:rPr>
              <w:t>观分</w:t>
            </w:r>
          </w:p>
        </w:tc>
        <w:tc>
          <w:tcPr>
            <w:tcW w:w="809" w:type="pct"/>
            <w:vAlign w:val="center"/>
          </w:tcPr>
          <w:p>
            <w:pPr>
              <w:keepNext w:val="0"/>
              <w:keepLines w:val="0"/>
              <w:pageBreakBefore w:val="0"/>
              <w:kinsoku/>
              <w:wordWrap/>
              <w:overflowPunct/>
              <w:topLinePunct w:val="0"/>
              <w:autoSpaceDE/>
              <w:autoSpaceDN/>
              <w:bidi w:val="0"/>
              <w:spacing w:line="240" w:lineRule="auto"/>
              <w:ind w:firstLine="0"/>
              <w:jc w:val="center"/>
              <w:textAlignment w:val="auto"/>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bookmarkEnd w:id="444"/>
      <w:bookmarkEnd w:id="446"/>
      <w:bookmarkEnd w:id="447"/>
    </w:tbl>
    <w:p>
      <w:pPr>
        <w:rPr>
          <w:color w:val="000000" w:themeColor="text1"/>
          <w:highlight w:val="none"/>
          <w14:textFill>
            <w14:solidFill>
              <w14:schemeClr w14:val="tx1"/>
            </w14:solidFill>
          </w14:textFill>
        </w:rPr>
      </w:pPr>
    </w:p>
    <w:p>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0"/>
          <w:szCs w:val="20"/>
          <w:highlight w:val="none"/>
          <w:shd w:val="clear" w:color="auto" w:fill="FFFFFF"/>
          <w14:textFill>
            <w14:solidFill>
              <w14:schemeClr w14:val="tx1"/>
            </w14:solidFill>
          </w14:textFill>
        </w:rPr>
        <w:t> *</w:t>
      </w:r>
      <w:r>
        <w:rPr>
          <w:rFonts w:hint="eastAsia" w:ascii="宋体" w:hAnsi="宋体" w:cs="宋体"/>
          <w:b/>
          <w:color w:val="000000" w:themeColor="text1"/>
          <w:sz w:val="24"/>
          <w:highlight w:val="none"/>
          <w14:textFill>
            <w14:solidFill>
              <w14:schemeClr w14:val="tx1"/>
            </w14:solidFill>
          </w14:textFill>
        </w:rPr>
        <w:t>备注：</w:t>
      </w:r>
      <w:r>
        <w:rPr>
          <w:rFonts w:hint="eastAsia" w:ascii="宋体" w:hAnsi="宋体" w:cs="宋体"/>
          <w:color w:val="000000" w:themeColor="text1"/>
          <w:sz w:val="24"/>
          <w:highlight w:val="none"/>
          <w14:textFill>
            <w14:solidFill>
              <w14:schemeClr w14:val="tx1"/>
            </w14:solidFill>
          </w14:textFill>
        </w:rPr>
        <w:t>投标人编制投标文件（商务技术文件部分）时，建议按此目录（序号和内容）提供评标标准相应的商务技术资料。 </w:t>
      </w:r>
    </w:p>
    <w:p>
      <w:pPr>
        <w:snapToGrid w:val="0"/>
        <w:spacing w:line="360" w:lineRule="auto"/>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一、评标方法</w:t>
      </w:r>
    </w:p>
    <w:p>
      <w:pPr>
        <w:adjustRightInd/>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二、评标标准</w:t>
      </w:r>
    </w:p>
    <w:p>
      <w:pPr>
        <w:spacing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评标标准：</w:t>
      </w:r>
      <w:r>
        <w:rPr>
          <w:rFonts w:hint="eastAsia" w:ascii="宋体" w:hAnsi="宋体" w:cs="宋体"/>
          <w:color w:val="000000" w:themeColor="text1"/>
          <w:kern w:val="0"/>
          <w:sz w:val="24"/>
          <w:highlight w:val="none"/>
          <w14:textFill>
            <w14:solidFill>
              <w14:schemeClr w14:val="tx1"/>
            </w14:solidFill>
          </w14:textFill>
        </w:rPr>
        <w:t>见评标办法前附表。</w:t>
      </w:r>
    </w:p>
    <w:p>
      <w:pPr>
        <w:spacing w:line="360" w:lineRule="auto"/>
        <w:outlineLvl w:val="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三、评标程序</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比较与评价。</w:t>
      </w:r>
      <w:r>
        <w:rPr>
          <w:rFonts w:hint="eastAsia" w:ascii="宋体" w:hAnsi="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3.3汇总商务技术得分。</w:t>
      </w:r>
      <w:r>
        <w:rPr>
          <w:rFonts w:hint="eastAsia" w:ascii="宋体" w:hAnsi="宋体"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3.4报价评审。</w:t>
      </w:r>
    </w:p>
    <w:p>
      <w:pPr>
        <w:pStyle w:val="131"/>
        <w:spacing w:before="0"/>
        <w:ind w:firstLine="508" w:firstLineChars="212"/>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3.4.1投标文件报价出现前后不一致的，按照下列规定修正：</w:t>
      </w:r>
    </w:p>
    <w:p>
      <w:pPr>
        <w:pStyle w:val="131"/>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pPr>
        <w:pStyle w:val="131"/>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3.4.1.2大写金额和小写金额不一致的，以大写金额为准;</w:t>
      </w:r>
    </w:p>
    <w:p>
      <w:pPr>
        <w:pStyle w:val="131"/>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pPr>
        <w:pStyle w:val="131"/>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3.4.1.4总价金额与按单价汇总金额不一致的，以单价金额计算结果为准。</w:t>
      </w:r>
    </w:p>
    <w:p>
      <w:pPr>
        <w:pStyle w:val="131"/>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3.4.2投标文件出现不是唯一的、有选择性投标报价的，投标无效。</w:t>
      </w:r>
    </w:p>
    <w:p>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3.4.3投标报价超过招标文件中规定的预算金额或者最高限价的，投标无效。</w:t>
      </w:r>
    </w:p>
    <w:p>
      <w:pPr>
        <w:pStyle w:val="131"/>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3.4.5对于未预留份额专门面向中小企业的政府采购服务项目，以及预留份额政府采购服务项目中的非预留部分标项，对小型和微型企业的投标报价给予10%-</w:t>
      </w:r>
      <w:r>
        <w:rPr>
          <w:rFonts w:ascii="宋体" w:hAnsi="宋体" w:cs="宋体"/>
          <w:color w:val="000000" w:themeColor="text1"/>
          <w:kern w:val="0"/>
          <w:szCs w:val="24"/>
          <w:highlight w:val="none"/>
          <w14:textFill>
            <w14:solidFill>
              <w14:schemeClr w14:val="tx1"/>
            </w14:solidFill>
          </w14:textFill>
        </w:rPr>
        <w:t>20</w:t>
      </w:r>
      <w:r>
        <w:rPr>
          <w:rFonts w:hint="eastAsia" w:ascii="宋体" w:hAnsi="宋体" w:cs="宋体"/>
          <w:color w:val="000000" w:themeColor="text1"/>
          <w:kern w:val="0"/>
          <w:szCs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000000" w:themeColor="text1"/>
          <w:kern w:val="0"/>
          <w:szCs w:val="24"/>
          <w:highlight w:val="none"/>
          <w14:textFill>
            <w14:solidFill>
              <w14:schemeClr w14:val="tx1"/>
            </w14:solidFill>
          </w14:textFill>
        </w:rPr>
        <w:t>6</w:t>
      </w:r>
      <w:r>
        <w:rPr>
          <w:rFonts w:hint="eastAsia" w:ascii="宋体" w:hAnsi="宋体" w:cs="宋体"/>
          <w:color w:val="000000" w:themeColor="text1"/>
          <w:kern w:val="0"/>
          <w:szCs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000000" w:themeColor="text1"/>
          <w:kern w:val="0"/>
          <w:sz w:val="24"/>
          <w:highlight w:val="none"/>
          <w:lang w:val="en" w:eastAsia="zh-CN"/>
          <w14:textFill>
            <w14:solidFill>
              <w14:schemeClr w14:val="tx1"/>
            </w14:solidFill>
          </w14:textFill>
        </w:rPr>
        <w:t>本项目推荐的中标候选人数量：</w:t>
      </w:r>
      <w:r>
        <w:rPr>
          <w:rFonts w:hint="eastAsia" w:ascii="宋体" w:hAnsi="宋体" w:cs="宋体"/>
          <w:color w:val="000000" w:themeColor="text1"/>
          <w:kern w:val="0"/>
          <w:sz w:val="24"/>
          <w:highlight w:val="none"/>
          <w:u w:val="single"/>
          <w:lang w:val="en-US" w:eastAsia="zh-CN"/>
          <w14:textFill>
            <w14:solidFill>
              <w14:schemeClr w14:val="tx1"/>
            </w14:solidFill>
          </w14:textFill>
        </w:rPr>
        <w:t>3家</w:t>
      </w:r>
      <w:r>
        <w:rPr>
          <w:rFonts w:hint="eastAsia" w:ascii="宋体" w:hAnsi="宋体" w:cs="宋体"/>
          <w:color w:val="000000" w:themeColor="text1"/>
          <w:kern w:val="0"/>
          <w:sz w:val="24"/>
          <w:highlight w:val="none"/>
          <w:lang w:val="en" w:eastAsia="zh-CN"/>
          <w14:textFill>
            <w14:solidFill>
              <w14:schemeClr w14:val="tx1"/>
            </w14:solidFill>
          </w14:textFill>
        </w:rPr>
        <w:t>。</w:t>
      </w:r>
    </w:p>
    <w:p>
      <w:pPr>
        <w:spacing w:line="360" w:lineRule="auto"/>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3.6编写评标报告。</w:t>
      </w:r>
      <w:r>
        <w:rPr>
          <w:rFonts w:hint="eastAsia" w:ascii="宋体" w:hAnsi="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四、评标中的其他事项</w:t>
      </w:r>
    </w:p>
    <w:p>
      <w:pPr>
        <w:pStyle w:val="131"/>
        <w:spacing w:before="0"/>
        <w:ind w:firstLine="472" w:firstLineChars="196"/>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4.1投标人澄清、说明或者补正。</w:t>
      </w:r>
      <w:r>
        <w:rPr>
          <w:rFonts w:hint="eastAsia" w:ascii="宋体" w:hAnsi="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line="360" w:lineRule="auto"/>
        <w:ind w:left="954" w:leftChars="226" w:hanging="479" w:firstLineChars="0"/>
        <w:rPr>
          <w:rFonts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4.2投标无效。</w:t>
      </w:r>
      <w:r>
        <w:rPr>
          <w:rFonts w:hint="eastAsia" w:cs="宋体"/>
          <w:color w:val="000000" w:themeColor="text1"/>
          <w:szCs w:val="21"/>
          <w:highlight w:val="none"/>
          <w14:textFill>
            <w14:solidFill>
              <w14:schemeClr w14:val="tx1"/>
            </w14:solidFill>
          </w14:textFill>
        </w:rPr>
        <w:t>有下列情形之一的，投标无效：</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4.2.2投标文件未按照招标文件要求签署、盖章的；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4.2.4投标文件含有采购人不能接受的附加条件的；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4.2.5投标文件中承诺的投标有效期少于招标文件中载明的投标有效期的；</w:t>
      </w:r>
    </w:p>
    <w:p>
      <w:pPr>
        <w:snapToGrid w:val="0"/>
        <w:spacing w:line="360" w:lineRule="auto"/>
        <w:ind w:firstLine="120" w:firstLineChars="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4.2.6投标文件出现不是唯一的、有选择性投标报价的;</w:t>
      </w:r>
    </w:p>
    <w:p>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4.2.7投标报价超过招标文件中规定的预算金额或者最高限价的;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w:t>
      </w:r>
      <w:r>
        <w:rPr>
          <w:rFonts w:hint="eastAsia" w:ascii="宋体" w:hAnsi="宋体" w:cs="宋体"/>
          <w:color w:val="000000" w:themeColor="text1"/>
          <w:kern w:val="0"/>
          <w:sz w:val="24"/>
          <w:highlight w:val="none"/>
          <w:lang w:val="en-US" w:eastAsia="zh-CN"/>
          <w14:textFill>
            <w14:solidFill>
              <w14:schemeClr w14:val="tx1"/>
            </w14:solidFill>
          </w14:textFill>
        </w:rPr>
        <w:t>8</w:t>
      </w:r>
      <w:r>
        <w:rPr>
          <w:rFonts w:hint="eastAsia" w:ascii="宋体" w:hAnsi="宋体" w:cs="宋体"/>
          <w:color w:val="000000" w:themeColor="text1"/>
          <w:kern w:val="0"/>
          <w:sz w:val="24"/>
          <w:highlight w:val="none"/>
          <w14:textFill>
            <w14:solidFill>
              <w14:schemeClr w14:val="tx1"/>
            </w14:solidFill>
          </w14:textFill>
        </w:rPr>
        <w:t>投标人对根据修正原则修正后的报价不确认的；</w:t>
      </w:r>
    </w:p>
    <w:p>
      <w:pPr>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w:t>
      </w:r>
      <w:r>
        <w:rPr>
          <w:rFonts w:hint="eastAsia" w:ascii="宋体" w:hAnsi="宋体" w:cs="宋体"/>
          <w:color w:val="000000" w:themeColor="text1"/>
          <w:kern w:val="0"/>
          <w:sz w:val="24"/>
          <w:highlight w:val="none"/>
          <w:lang w:val="en-US" w:eastAsia="zh-CN"/>
          <w14:textFill>
            <w14:solidFill>
              <w14:schemeClr w14:val="tx1"/>
            </w14:solidFill>
          </w14:textFill>
        </w:rPr>
        <w:t>9</w:t>
      </w:r>
      <w:r>
        <w:rPr>
          <w:rFonts w:hint="eastAsia" w:ascii="宋体" w:hAnsi="宋体" w:cs="宋体"/>
          <w:color w:val="000000" w:themeColor="text1"/>
          <w:kern w:val="0"/>
          <w:sz w:val="24"/>
          <w:highlight w:val="none"/>
          <w14:textFill>
            <w14:solidFill>
              <w14:schemeClr w14:val="tx1"/>
            </w14:solidFill>
          </w14:textFill>
        </w:rPr>
        <w:t>投标人提供虚假材料投标的；</w:t>
      </w:r>
    </w:p>
    <w:p>
      <w:pPr>
        <w:spacing w:line="360" w:lineRule="auto"/>
        <w:ind w:firstLine="240" w:firstLineChars="1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4.2.1</w:t>
      </w:r>
      <w:r>
        <w:rPr>
          <w:rFonts w:hint="eastAsia" w:ascii="宋体" w:hAnsi="宋体" w:cs="宋体"/>
          <w:color w:val="000000" w:themeColor="text1"/>
          <w:kern w:val="0"/>
          <w:sz w:val="24"/>
          <w:highlight w:val="none"/>
          <w:lang w:val="en-US" w:eastAsia="zh-CN"/>
          <w14:textFill>
            <w14:solidFill>
              <w14:schemeClr w14:val="tx1"/>
            </w14:solidFill>
          </w14:textFill>
        </w:rPr>
        <w:t>0</w:t>
      </w:r>
      <w:r>
        <w:rPr>
          <w:rFonts w:hint="eastAsia" w:ascii="宋体" w:hAnsi="宋体" w:cs="宋体"/>
          <w:color w:val="000000" w:themeColor="text1"/>
          <w:kern w:val="0"/>
          <w:sz w:val="24"/>
          <w:highlight w:val="none"/>
          <w14:textFill>
            <w14:solidFill>
              <w14:schemeClr w14:val="tx1"/>
            </w14:solidFill>
          </w14:textFill>
        </w:rPr>
        <w:t>投标人有恶意串通、妨碍其他投标人的竞争行为、损害采购人或者其他投标人的合法权益情形的；</w:t>
      </w:r>
    </w:p>
    <w:p>
      <w:pPr>
        <w:spacing w:line="360" w:lineRule="auto"/>
        <w:ind w:firstLine="48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w:t>
      </w:r>
      <w:r>
        <w:rPr>
          <w:rFonts w:hint="eastAsia" w:ascii="宋体" w:hAnsi="宋体" w:cs="宋体"/>
          <w:color w:val="000000" w:themeColor="text1"/>
          <w:kern w:val="0"/>
          <w:sz w:val="24"/>
          <w:highlight w:val="none"/>
          <w:lang w:val="en-US" w:eastAsia="zh-CN"/>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投标人仅提交备份投标文件，未在电子交易平台传输递交投标文件的，投标无效；</w:t>
      </w:r>
    </w:p>
    <w:p>
      <w:pPr>
        <w:pStyle w:val="4"/>
        <w:ind w:left="862" w:leftChars="205"/>
        <w:rPr>
          <w:rFonts w:ascii="宋体" w:hAnsi="宋体" w:eastAsia="宋体" w:cs="宋体"/>
          <w:b w:val="0"/>
          <w:bCs w:val="0"/>
          <w:color w:val="000000" w:themeColor="text1"/>
          <w:kern w:val="0"/>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4.2.1</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 xml:space="preserve"> 投标文件不满足招标文件的其它实质性要求的；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w:t>
      </w: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法律、法规、规章（适用本市的）及省级以上规范性文件（适用本市的）规定的其他无效情形。</w:t>
      </w:r>
    </w:p>
    <w:p>
      <w:pPr>
        <w:pStyle w:val="27"/>
        <w:snapToGrid w:val="0"/>
        <w:spacing w:line="360" w:lineRule="auto"/>
        <w:ind w:firstLine="472" w:firstLineChars="196"/>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5.废标。</w:t>
      </w:r>
      <w:r>
        <w:rPr>
          <w:rFonts w:hint="eastAsia" w:cs="宋体"/>
          <w:color w:val="000000" w:themeColor="text1"/>
          <w:highlight w:val="none"/>
          <w14:textFill>
            <w14:solidFill>
              <w14:schemeClr w14:val="tx1"/>
            </w14:solidFill>
          </w14:textFill>
        </w:rPr>
        <w:t>根据《中华人民共和国政府采购法》第三十六条之规定，在采购中，出现下列情形之一的，应予废标：</w:t>
      </w:r>
    </w:p>
    <w:p>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5.1符合专业条件的供应商或者对招标文件作实质响应的供应商不足3家的；</w:t>
      </w:r>
    </w:p>
    <w:p>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5.3投标人的报价均超过了采购预算，采购人不能支付的；</w:t>
      </w:r>
    </w:p>
    <w:p>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5.4因重大变故，采购任务取消的。</w:t>
      </w:r>
    </w:p>
    <w:p>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废标后，</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应当将废标理由通知所有投标人。</w:t>
      </w:r>
    </w:p>
    <w:p>
      <w:pPr>
        <w:pStyle w:val="27"/>
        <w:snapToGrid w:val="0"/>
        <w:spacing w:line="360" w:lineRule="auto"/>
        <w:ind w:firstLine="590" w:firstLineChars="245"/>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6.修改招标文件，重新组织采购活动。</w:t>
      </w:r>
      <w:r>
        <w:rPr>
          <w:rFonts w:hint="eastAsia"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沟通并作书面记录。采购人、</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确认后，将修改招标文件，重新组织采购活动。</w:t>
      </w:r>
    </w:p>
    <w:p>
      <w:pPr>
        <w:pStyle w:val="27"/>
        <w:snapToGrid w:val="0"/>
        <w:spacing w:line="360" w:lineRule="auto"/>
        <w:ind w:firstLine="482"/>
        <w:rPr>
          <w:rFonts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7.重新开展采购。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7.1未确定中标供应商的，终止本次政府采购活动，重新开展政府采购活动。</w:t>
      </w:r>
    </w:p>
    <w:p>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7.4政府采购合同已经履行，给采购人、供应商造成损失的，由责任人承担赔偿责任。</w:t>
      </w:r>
    </w:p>
    <w:p>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pPr>
        <w:pStyle w:val="27"/>
        <w:snapToGrid w:val="0"/>
        <w:spacing w:line="360" w:lineRule="auto"/>
        <w:ind w:firstLine="0" w:firstLineChars="0"/>
        <w:rPr>
          <w:rFonts w:cs="宋体"/>
          <w:color w:val="000000" w:themeColor="text1"/>
          <w:highlight w:val="none"/>
          <w14:textFill>
            <w14:solidFill>
              <w14:schemeClr w14:val="tx1"/>
            </w14:solidFill>
          </w14:textFill>
        </w:rPr>
      </w:pPr>
    </w:p>
    <w:bookmarkEnd w:id="71"/>
    <w:p>
      <w:pPr>
        <w:widowControl/>
        <w:adjustRightInd/>
        <w:jc w:val="left"/>
        <w:rPr>
          <w:rFonts w:ascii="宋体" w:hAnsi="宋体" w:cs="宋体"/>
          <w:b/>
          <w:color w:val="000000" w:themeColor="text1"/>
          <w:sz w:val="36"/>
          <w:szCs w:val="36"/>
          <w:highlight w:val="none"/>
          <w14:textFill>
            <w14:solidFill>
              <w14:schemeClr w14:val="tx1"/>
            </w14:solidFill>
          </w14:textFill>
        </w:rPr>
      </w:pPr>
      <w:bookmarkStart w:id="452" w:name="第五部分"/>
      <w:bookmarkStart w:id="453" w:name="_Toc86217003"/>
      <w:r>
        <w:rPr>
          <w:rFonts w:ascii="宋体" w:hAnsi="宋体" w:cs="宋体"/>
          <w:b/>
          <w:color w:val="000000" w:themeColor="text1"/>
          <w:sz w:val="36"/>
          <w:szCs w:val="36"/>
          <w:highlight w:val="none"/>
          <w14:textFill>
            <w14:solidFill>
              <w14:schemeClr w14:val="tx1"/>
            </w14:solidFill>
          </w14:textFill>
        </w:rPr>
        <w:br w:type="page"/>
      </w:r>
    </w:p>
    <w:p>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第五部分 拟签订的合同文本</w:t>
      </w:r>
    </w:p>
    <w:p>
      <w:pPr>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合同编号：</w:t>
      </w:r>
      <w:r>
        <w:rPr>
          <w:rFonts w:hint="eastAsia" w:ascii="宋体" w:hAnsi="宋体" w:cs="宋体"/>
          <w:color w:val="000000" w:themeColor="text1"/>
          <w:sz w:val="24"/>
          <w:u w:val="single"/>
          <w14:textFill>
            <w14:solidFill>
              <w14:schemeClr w14:val="tx1"/>
            </w14:solidFill>
          </w14:textFill>
        </w:rPr>
        <w:t xml:space="preserve">           </w:t>
      </w:r>
    </w:p>
    <w:p>
      <w:pPr>
        <w:spacing w:line="480" w:lineRule="auto"/>
        <w:jc w:val="center"/>
        <w:rPr>
          <w:rFonts w:ascii="宋体" w:hAnsi="宋体" w:cs="宋体"/>
          <w:b/>
          <w:color w:val="000000" w:themeColor="text1"/>
          <w:sz w:val="28"/>
          <w:szCs w:val="28"/>
          <w14:textFill>
            <w14:solidFill>
              <w14:schemeClr w14:val="tx1"/>
            </w14:solidFill>
          </w14:textFill>
        </w:rPr>
      </w:pPr>
    </w:p>
    <w:p>
      <w:pPr>
        <w:spacing w:line="480" w:lineRule="auto"/>
        <w:jc w:val="center"/>
        <w:rPr>
          <w:rFonts w:ascii="宋体" w:hAnsi="宋体" w:cs="宋体"/>
          <w:b/>
          <w:color w:val="000000" w:themeColor="text1"/>
          <w:sz w:val="24"/>
          <w14:textFill>
            <w14:solidFill>
              <w14:schemeClr w14:val="tx1"/>
            </w14:solidFill>
          </w14:textFill>
        </w:rPr>
      </w:pPr>
    </w:p>
    <w:p>
      <w:pPr>
        <w:spacing w:line="480" w:lineRule="auto"/>
        <w:jc w:val="center"/>
        <w:rPr>
          <w:rFonts w:ascii="宋体" w:hAnsi="宋体" w:cs="宋体"/>
          <w:b/>
          <w:color w:val="000000" w:themeColor="text1"/>
          <w:sz w:val="24"/>
          <w14:textFill>
            <w14:solidFill>
              <w14:schemeClr w14:val="tx1"/>
            </w14:solidFill>
          </w14:textFill>
        </w:rPr>
      </w:pPr>
    </w:p>
    <w:p>
      <w:pPr>
        <w:spacing w:line="48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政府采购合同参考范本</w:t>
      </w:r>
    </w:p>
    <w:p>
      <w:pPr>
        <w:spacing w:line="48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（服务类）</w:t>
      </w:r>
    </w:p>
    <w:p>
      <w:pPr>
        <w:pStyle w:val="702"/>
        <w:ind w:firstLine="2843" w:firstLineChars="118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第一部分 合同书</w:t>
      </w:r>
    </w:p>
    <w:p>
      <w:pPr>
        <w:spacing w:before="120" w:line="22" w:lineRule="atLeast"/>
        <w:rPr>
          <w:rFonts w:ascii="宋体" w:hAnsi="宋体" w:cs="宋体"/>
          <w:color w:val="000000" w:themeColor="text1"/>
          <w:sz w:val="24"/>
          <w14:textFill>
            <w14:solidFill>
              <w14:schemeClr w14:val="tx1"/>
            </w14:solidFill>
          </w14:textFill>
        </w:rPr>
      </w:pPr>
    </w:p>
    <w:p>
      <w:pPr>
        <w:pStyle w:val="4"/>
        <w:rPr>
          <w:rFonts w:ascii="宋体" w:hAnsi="宋体" w:eastAsia="宋体" w:cs="宋体"/>
          <w:color w:val="000000" w:themeColor="text1"/>
          <w14:textFill>
            <w14:solidFill>
              <w14:schemeClr w14:val="tx1"/>
            </w14:solidFill>
          </w14:textFill>
        </w:rPr>
      </w:pPr>
    </w:p>
    <w:p>
      <w:pPr>
        <w:spacing w:before="120" w:line="22" w:lineRule="atLeast"/>
        <w:ind w:left="2160" w:leftChars="457" w:hanging="1200" w:hangingChars="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u w:val="single"/>
          <w:lang w:eastAsia="zh-CN"/>
          <w14:textFill>
            <w14:solidFill>
              <w14:schemeClr w14:val="tx1"/>
            </w14:solidFill>
          </w14:textFill>
        </w:rPr>
        <w:t>长江南翼经钱塘江航运通江达海工程研究（运输需求分析）</w:t>
      </w:r>
      <w:r>
        <w:rPr>
          <w:rFonts w:hint="eastAsia" w:ascii="宋体" w:hAnsi="宋体" w:cs="宋体"/>
          <w:color w:val="000000" w:themeColor="text1"/>
          <w:sz w:val="24"/>
          <w:u w:val="single"/>
          <w14:textFill>
            <w14:solidFill>
              <w14:schemeClr w14:val="tx1"/>
            </w14:solidFill>
          </w14:textFill>
        </w:rPr>
        <w:t xml:space="preserve"> </w:t>
      </w:r>
    </w:p>
    <w:p>
      <w:pPr>
        <w:pStyle w:val="599"/>
        <w:spacing w:before="120" w:line="22" w:lineRule="atLeast"/>
        <w:rPr>
          <w:rFonts w:ascii="宋体" w:hAnsi="宋体" w:eastAsia="宋体" w:cs="宋体"/>
          <w:color w:val="000000" w:themeColor="text1"/>
          <w:szCs w:val="24"/>
          <w14:textFill>
            <w14:solidFill>
              <w14:schemeClr w14:val="tx1"/>
            </w14:solidFill>
          </w14:textFill>
        </w:rPr>
      </w:pPr>
    </w:p>
    <w:p>
      <w:pPr>
        <w:pStyle w:val="599"/>
        <w:spacing w:before="120" w:line="22" w:lineRule="atLeast"/>
        <w:rPr>
          <w:rFonts w:ascii="宋体" w:hAnsi="宋体" w:eastAsia="宋体" w:cs="宋体"/>
          <w:color w:val="000000" w:themeColor="text1"/>
          <w:szCs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p>
    <w:p>
      <w:pPr>
        <w:spacing w:before="120" w:line="22" w:lineRule="atLeast"/>
        <w:ind w:left="96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w:t>
      </w:r>
      <w:r>
        <w:rPr>
          <w:rFonts w:hint="eastAsia" w:ascii="宋体" w:hAnsi="宋体" w:cs="宋体"/>
          <w:color w:val="000000" w:themeColor="text1"/>
          <w:sz w:val="24"/>
          <w:u w:val="single"/>
          <w14:textFill>
            <w14:solidFill>
              <w14:schemeClr w14:val="tx1"/>
            </w14:solidFill>
          </w14:textFill>
        </w:rPr>
        <w:t>杭州市公路与港航管理服务中心</w:t>
      </w:r>
    </w:p>
    <w:p>
      <w:pPr>
        <w:spacing w:before="120" w:line="22" w:lineRule="atLeast"/>
        <w:rPr>
          <w:rFonts w:ascii="宋体" w:hAnsi="宋体" w:cs="宋体"/>
          <w:color w:val="000000" w:themeColor="text1"/>
          <w:sz w:val="24"/>
          <w14:textFill>
            <w14:solidFill>
              <w14:schemeClr w14:val="tx1"/>
            </w14:solidFill>
          </w14:textFill>
        </w:rPr>
      </w:pPr>
    </w:p>
    <w:p>
      <w:pPr>
        <w:spacing w:before="120" w:line="22" w:lineRule="atLeast"/>
        <w:ind w:left="96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w:t>
      </w:r>
      <w:r>
        <w:rPr>
          <w:rFonts w:hint="eastAsia" w:ascii="宋体" w:hAnsi="宋体" w:cs="宋体"/>
          <w:color w:val="000000" w:themeColor="text1"/>
          <w:sz w:val="24"/>
          <w:u w:val="single"/>
          <w14:textFill>
            <w14:solidFill>
              <w14:schemeClr w14:val="tx1"/>
            </w14:solidFill>
          </w14:textFill>
        </w:rPr>
        <w:t xml:space="preserve">                                       </w:t>
      </w:r>
    </w:p>
    <w:p>
      <w:pPr>
        <w:spacing w:before="120" w:line="22" w:lineRule="atLeast"/>
        <w:rPr>
          <w:rFonts w:ascii="宋体" w:hAnsi="宋体" w:cs="宋体"/>
          <w:color w:val="000000" w:themeColor="text1"/>
          <w:sz w:val="24"/>
          <w14:textFill>
            <w14:solidFill>
              <w14:schemeClr w14:val="tx1"/>
            </w14:solidFill>
          </w14:textFill>
        </w:rPr>
      </w:pPr>
    </w:p>
    <w:p>
      <w:pPr>
        <w:spacing w:before="120" w:line="22" w:lineRule="atLeast"/>
        <w:ind w:firstLine="960" w:firstLineChars="4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签订地：</w:t>
      </w:r>
      <w:r>
        <w:rPr>
          <w:rFonts w:hint="eastAsia" w:ascii="宋体" w:hAnsi="宋体" w:cs="宋体"/>
          <w:color w:val="000000" w:themeColor="text1"/>
          <w:sz w:val="24"/>
          <w:u w:val="single"/>
          <w14:textFill>
            <w14:solidFill>
              <w14:schemeClr w14:val="tx1"/>
            </w14:solidFill>
          </w14:textFill>
        </w:rPr>
        <w:t xml:space="preserve">                                     </w:t>
      </w:r>
    </w:p>
    <w:p>
      <w:pPr>
        <w:spacing w:before="120" w:line="22" w:lineRule="atLeast"/>
        <w:rPr>
          <w:rFonts w:ascii="宋体" w:hAnsi="宋体" w:cs="宋体"/>
          <w:color w:val="000000" w:themeColor="text1"/>
          <w:sz w:val="24"/>
          <w14:textFill>
            <w14:solidFill>
              <w14:schemeClr w14:val="tx1"/>
            </w14:solidFill>
          </w14:textFill>
        </w:rPr>
      </w:pPr>
    </w:p>
    <w:p>
      <w:pPr>
        <w:spacing w:before="120" w:line="22" w:lineRule="atLeast"/>
        <w:ind w:firstLine="960" w:firstLineChars="4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签订日期：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widowControl/>
        <w:jc w:val="left"/>
        <w:rPr>
          <w:rFonts w:ascii="宋体" w:hAnsi="宋体" w:cs="宋体"/>
          <w:color w:val="000000" w:themeColor="text1"/>
          <w:kern w:val="0"/>
          <w:sz w:val="24"/>
          <w14:textFill>
            <w14:solidFill>
              <w14:schemeClr w14:val="tx1"/>
            </w14:solidFill>
          </w14:textFill>
        </w:rPr>
        <w:sectPr>
          <w:pgSz w:w="11905" w:h="16838"/>
          <w:pgMar w:top="1474" w:right="1474" w:bottom="1474" w:left="1474" w:header="851" w:footer="850" w:gutter="0"/>
          <w:cols w:space="0" w:num="1"/>
        </w:sectPr>
      </w:pP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lang w:val="zh-CN"/>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年</w:t>
      </w:r>
      <w:r>
        <w:rPr>
          <w:rFonts w:hint="eastAsia" w:ascii="宋体" w:hAnsi="宋体" w:cs="宋体"/>
          <w:color w:val="000000" w:themeColor="text1"/>
          <w:sz w:val="24"/>
          <w:u w:val="single"/>
          <w:lang w:val="zh-CN"/>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月</w:t>
      </w:r>
      <w:r>
        <w:rPr>
          <w:rFonts w:hint="eastAsia" w:ascii="宋体" w:hAnsi="宋体" w:cs="宋体"/>
          <w:color w:val="000000" w:themeColor="text1"/>
          <w:sz w:val="24"/>
          <w:u w:val="single"/>
          <w:lang w:val="zh-CN"/>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杭州市公路与港航管理服务中心</w:t>
      </w:r>
      <w:r>
        <w:rPr>
          <w:rFonts w:hint="eastAsia" w:ascii="宋体" w:hAnsi="宋体" w:cs="宋体"/>
          <w:color w:val="000000" w:themeColor="text1"/>
          <w:sz w:val="24"/>
          <w14:textFill>
            <w14:solidFill>
              <w14:schemeClr w14:val="tx1"/>
            </w14:solidFill>
          </w14:textFill>
        </w:rPr>
        <w:t>以</w:t>
      </w:r>
      <w:r>
        <w:rPr>
          <w:rFonts w:hint="eastAsia" w:ascii="宋体" w:hAnsi="宋体" w:cs="宋体"/>
          <w:color w:val="000000" w:themeColor="text1"/>
          <w:sz w:val="24"/>
          <w:u w:val="single"/>
          <w14:textFill>
            <w14:solidFill>
              <w14:schemeClr w14:val="tx1"/>
            </w14:solidFill>
          </w14:textFill>
        </w:rPr>
        <w:t xml:space="preserve">公开招标方式 </w:t>
      </w:r>
      <w:r>
        <w:rPr>
          <w:rFonts w:hint="eastAsia" w:ascii="宋体" w:hAnsi="宋体" w:cs="宋体"/>
          <w:color w:val="000000" w:themeColor="text1"/>
          <w:sz w:val="24"/>
          <w14:textFill>
            <w14:solidFill>
              <w14:schemeClr w14:val="tx1"/>
            </w14:solidFill>
          </w14:textFill>
        </w:rPr>
        <w:t>对</w:t>
      </w:r>
      <w:r>
        <w:rPr>
          <w:rFonts w:hint="eastAsia" w:ascii="宋体" w:hAnsi="宋体" w:cs="宋体"/>
          <w:color w:val="000000" w:themeColor="text1"/>
          <w:sz w:val="24"/>
          <w:u w:val="single"/>
          <w:lang w:eastAsia="zh-CN"/>
          <w14:textFill>
            <w14:solidFill>
              <w14:schemeClr w14:val="tx1"/>
            </w14:solidFill>
          </w14:textFill>
        </w:rPr>
        <w:t>长江南翼经钱塘江航运通江达海工程研究（运输需求分析）</w:t>
      </w:r>
      <w:r>
        <w:rPr>
          <w:rFonts w:hint="eastAsia" w:ascii="宋体" w:hAnsi="宋体" w:cs="宋体"/>
          <w:color w:val="000000" w:themeColor="text1"/>
          <w:sz w:val="24"/>
          <w14:textFill>
            <w14:solidFill>
              <w14:schemeClr w14:val="tx1"/>
            </w14:solidFill>
          </w14:textFill>
        </w:rPr>
        <w:t>进行了采购。经</w:t>
      </w:r>
      <w:r>
        <w:rPr>
          <w:rFonts w:hint="eastAsia" w:ascii="宋体" w:hAnsi="宋体" w:cs="宋体"/>
          <w:color w:val="000000" w:themeColor="text1"/>
          <w:sz w:val="24"/>
          <w:u w:val="single"/>
          <w14:textFill>
            <w14:solidFill>
              <w14:schemeClr w14:val="tx1"/>
            </w14:solidFill>
          </w14:textFill>
        </w:rPr>
        <w:t xml:space="preserve">   （相关评定主体名称）   </w:t>
      </w:r>
      <w:r>
        <w:rPr>
          <w:rFonts w:hint="eastAsia" w:ascii="宋体" w:hAnsi="宋体" w:cs="宋体"/>
          <w:color w:val="000000" w:themeColor="text1"/>
          <w:sz w:val="24"/>
          <w14:textFill>
            <w14:solidFill>
              <w14:schemeClr w14:val="tx1"/>
            </w14:solidFill>
          </w14:textFill>
        </w:rPr>
        <w:t>评定，</w:t>
      </w:r>
      <w:r>
        <w:rPr>
          <w:rFonts w:hint="eastAsia" w:ascii="宋体" w:hAnsi="宋体" w:cs="宋体"/>
          <w:color w:val="000000" w:themeColor="text1"/>
          <w:sz w:val="24"/>
          <w:u w:val="single"/>
          <w14:textFill>
            <w14:solidFill>
              <w14:schemeClr w14:val="tx1"/>
            </w14:solidFill>
          </w14:textFill>
        </w:rPr>
        <w:t xml:space="preserve">   （中标供应商名称）</w:t>
      </w:r>
      <w:r>
        <w:rPr>
          <w:rFonts w:hint="eastAsia" w:ascii="宋体" w:hAnsi="宋体" w:cs="宋体"/>
          <w:color w:val="000000" w:themeColor="text1"/>
          <w:sz w:val="24"/>
          <w14:textFill>
            <w14:solidFill>
              <w14:schemeClr w14:val="tx1"/>
            </w14:solidFill>
          </w14:textFill>
        </w:rPr>
        <w:t>为该项目中标供应商。现于中标通知书发出之日起三十日内，按照采购文件确定的事项签订本合同。</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根据《中华人民共和国民法典》、《中华人民共和国政府采购法》等相关法律法规之规定，按照平等、自愿、公平、诚实信用和绿色的原则，经</w:t>
      </w:r>
      <w:r>
        <w:rPr>
          <w:rFonts w:hint="eastAsia" w:ascii="宋体" w:hAnsi="宋体" w:cs="宋体"/>
          <w:color w:val="000000" w:themeColor="text1"/>
          <w:sz w:val="24"/>
          <w:u w:val="single"/>
          <w14:textFill>
            <w14:solidFill>
              <w14:schemeClr w14:val="tx1"/>
            </w14:solidFill>
          </w14:textFill>
        </w:rPr>
        <w:t xml:space="preserve"> 杭州市公路与港航管理服务中心 </w:t>
      </w:r>
      <w:r>
        <w:rPr>
          <w:rFonts w:hint="eastAsia" w:ascii="宋体" w:hAnsi="宋体" w:cs="宋体"/>
          <w:color w:val="000000" w:themeColor="text1"/>
          <w:sz w:val="24"/>
          <w:lang w:val="zh-CN"/>
          <w14:textFill>
            <w14:solidFill>
              <w14:schemeClr w14:val="tx1"/>
            </w14:solidFill>
          </w14:textFill>
        </w:rPr>
        <w:t>(以下简称：甲方)和</w:t>
      </w:r>
      <w:r>
        <w:rPr>
          <w:rFonts w:hint="eastAsia" w:ascii="宋体" w:hAnsi="宋体" w:cs="宋体"/>
          <w:color w:val="000000" w:themeColor="text1"/>
          <w:sz w:val="24"/>
          <w:u w:val="single"/>
          <w14:textFill>
            <w14:solidFill>
              <w14:schemeClr w14:val="tx1"/>
            </w14:solidFill>
          </w14:textFill>
        </w:rPr>
        <w:t xml:space="preserve">   （中标供应商名称）   </w:t>
      </w:r>
      <w:r>
        <w:rPr>
          <w:rFonts w:hint="eastAsia" w:ascii="宋体" w:hAnsi="宋体" w:cs="宋体"/>
          <w:color w:val="000000" w:themeColor="text1"/>
          <w:sz w:val="24"/>
          <w:lang w:val="zh-CN"/>
          <w14:textFill>
            <w14:solidFill>
              <w14:schemeClr w14:val="tx1"/>
            </w14:solidFill>
          </w14:textFill>
        </w:rPr>
        <w:t>(以下简称：乙方)协商一致，约定以下合同</w:t>
      </w:r>
      <w:r>
        <w:rPr>
          <w:rFonts w:hint="eastAsia" w:ascii="宋体" w:hAnsi="宋体" w:cs="宋体"/>
          <w:color w:val="000000" w:themeColor="text1"/>
          <w:sz w:val="24"/>
          <w14:textFill>
            <w14:solidFill>
              <w14:schemeClr w14:val="tx1"/>
            </w14:solidFill>
          </w14:textFill>
        </w:rPr>
        <w:t>条款，以兹共同遵守、全面履行。</w:t>
      </w:r>
    </w:p>
    <w:p>
      <w:pPr>
        <w:snapToGrid w:val="0"/>
        <w:spacing w:line="360" w:lineRule="auto"/>
        <w:ind w:firstLine="482" w:firstLineChars="200"/>
        <w:outlineLvl w:val="1"/>
        <w:rPr>
          <w:rFonts w:ascii="宋体" w:hAnsi="宋体" w:cs="宋体"/>
          <w:b/>
          <w:color w:val="000000" w:themeColor="text1"/>
          <w:sz w:val="24"/>
          <w14:textFill>
            <w14:solidFill>
              <w14:schemeClr w14:val="tx1"/>
            </w14:solidFill>
          </w14:textFill>
        </w:rPr>
      </w:pPr>
      <w:bookmarkStart w:id="454" w:name="_Toc2232"/>
      <w:bookmarkStart w:id="455" w:name="_Toc24059"/>
      <w:bookmarkStart w:id="456" w:name="_Toc3029"/>
      <w:r>
        <w:rPr>
          <w:rFonts w:hint="eastAsia" w:ascii="宋体" w:hAnsi="宋体" w:cs="宋体"/>
          <w:b/>
          <w:color w:val="000000" w:themeColor="text1"/>
          <w:sz w:val="24"/>
          <w14:textFill>
            <w14:solidFill>
              <w14:schemeClr w14:val="tx1"/>
            </w14:solidFill>
          </w14:textFill>
        </w:rPr>
        <w:t>1.1 合同组成部分</w:t>
      </w:r>
      <w:bookmarkEnd w:id="454"/>
      <w:bookmarkEnd w:id="455"/>
      <w:bookmarkEnd w:id="456"/>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 本合同及其补充合同、变更协议；</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 中标通知书；</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 投标文件（含澄清或者说明文件）；</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1.1.4 招标文件（含澄清或者修改文件）；</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1.1.5 其他相关采购文件。</w:t>
      </w:r>
      <w:bookmarkStart w:id="457" w:name="_Toc24300"/>
      <w:bookmarkStart w:id="458" w:name="_Toc21295"/>
      <w:bookmarkStart w:id="459" w:name="_Toc27126"/>
    </w:p>
    <w:p>
      <w:pPr>
        <w:snapToGrid w:val="0"/>
        <w:spacing w:line="360" w:lineRule="auto"/>
        <w:ind w:firstLine="482" w:firstLineChars="200"/>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1.2 </w:t>
      </w:r>
      <w:bookmarkEnd w:id="457"/>
      <w:bookmarkEnd w:id="458"/>
      <w:bookmarkEnd w:id="459"/>
      <w:r>
        <w:rPr>
          <w:rFonts w:hint="eastAsia" w:ascii="宋体" w:hAnsi="宋体" w:cs="宋体"/>
          <w:b/>
          <w:color w:val="000000" w:themeColor="text1"/>
          <w:sz w:val="24"/>
          <w14:textFill>
            <w14:solidFill>
              <w14:schemeClr w14:val="tx1"/>
            </w14:solidFill>
          </w14:textFill>
        </w:rPr>
        <w:t>标的</w:t>
      </w:r>
    </w:p>
    <w:p>
      <w:pPr>
        <w:pStyle w:val="27"/>
        <w:rPr>
          <w:rFonts w:hint="default" w:eastAsia="宋体"/>
          <w:lang w:val="en-US" w:eastAsia="zh-CN"/>
        </w:rPr>
      </w:pPr>
      <w:r>
        <w:rPr>
          <w:rFonts w:hint="eastAsia"/>
          <w:lang w:val="en-US" w:eastAsia="zh-CN"/>
        </w:rPr>
        <w:t>1.2.1标的内容：</w:t>
      </w:r>
    </w:p>
    <w:tbl>
      <w:tblPr>
        <w:tblStyle w:val="63"/>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58"/>
        <w:gridCol w:w="2409"/>
        <w:gridCol w:w="1360"/>
        <w:gridCol w:w="303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仿宋_GB2312"/>
                <w:sz w:val="24"/>
                <w:szCs w:val="24"/>
              </w:rPr>
            </w:pPr>
            <w:r>
              <w:rPr>
                <w:rFonts w:hint="eastAsia" w:ascii="宋体" w:hAnsi="宋体" w:cs="仿宋_GB2312"/>
                <w:sz w:val="24"/>
                <w:szCs w:val="24"/>
              </w:rPr>
              <w:t>标的内容</w:t>
            </w:r>
          </w:p>
        </w:tc>
        <w:tc>
          <w:tcPr>
            <w:tcW w:w="6804"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仿宋_GB2312"/>
                <w:sz w:val="24"/>
                <w:szCs w:val="24"/>
                <w:lang w:val="en-US" w:eastAsia="zh-CN"/>
              </w:rPr>
            </w:pPr>
            <w:r>
              <w:rPr>
                <w:rFonts w:hint="eastAsia" w:ascii="宋体" w:hAnsi="宋体" w:cs="宋体"/>
                <w:strike w:val="0"/>
                <w:color w:val="000000"/>
                <w:sz w:val="24"/>
                <w:szCs w:val="24"/>
                <w:lang w:val="en-US" w:eastAsia="zh-CN"/>
              </w:rPr>
              <w:t>长江南翼经钱塘江航运通江达海工程研究（运输需求分析）</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仿宋_GB2312"/>
                <w:sz w:val="24"/>
                <w:szCs w:val="24"/>
              </w:rPr>
            </w:pPr>
            <w:r>
              <w:rPr>
                <w:rFonts w:hint="eastAsia" w:ascii="宋体" w:hAnsi="宋体" w:cs="仿宋_GB2312"/>
                <w:sz w:val="24"/>
                <w:szCs w:val="24"/>
              </w:rPr>
              <w:t>数量</w:t>
            </w:r>
          </w:p>
        </w:tc>
        <w:tc>
          <w:tcPr>
            <w:tcW w:w="240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仿宋_GB2312"/>
                <w:sz w:val="24"/>
                <w:szCs w:val="24"/>
                <w:lang w:val="en-US" w:eastAsia="zh-CN"/>
              </w:rPr>
            </w:pPr>
            <w:r>
              <w:rPr>
                <w:rFonts w:hint="eastAsia" w:ascii="宋体" w:hAnsi="宋体" w:cs="仿宋_GB2312"/>
                <w:sz w:val="24"/>
                <w:szCs w:val="24"/>
                <w:lang w:val="en-US" w:eastAsia="zh-CN"/>
              </w:rPr>
              <w:t>1</w:t>
            </w:r>
          </w:p>
        </w:tc>
        <w:tc>
          <w:tcPr>
            <w:tcW w:w="13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仿宋_GB2312"/>
                <w:sz w:val="24"/>
                <w:szCs w:val="24"/>
              </w:rPr>
            </w:pPr>
            <w:r>
              <w:rPr>
                <w:rFonts w:hint="eastAsia" w:ascii="宋体" w:hAnsi="宋体" w:cs="仿宋_GB2312"/>
                <w:sz w:val="24"/>
                <w:szCs w:val="24"/>
              </w:rPr>
              <w:t>单位</w:t>
            </w:r>
          </w:p>
        </w:tc>
        <w:tc>
          <w:tcPr>
            <w:tcW w:w="30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仿宋_GB2312"/>
                <w:sz w:val="24"/>
                <w:szCs w:val="24"/>
                <w:lang w:val="en-US" w:eastAsia="zh-CN"/>
              </w:rPr>
            </w:pPr>
            <w:r>
              <w:rPr>
                <w:rFonts w:hint="eastAsia" w:ascii="宋体" w:hAnsi="宋体" w:cs="仿宋_GB2312"/>
                <w:sz w:val="24"/>
                <w:szCs w:val="24"/>
                <w:lang w:val="en-US" w:eastAsia="zh-CN"/>
              </w:rPr>
              <w:t>项</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45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仿宋_GB2312"/>
                <w:sz w:val="24"/>
                <w:szCs w:val="24"/>
              </w:rPr>
            </w:pPr>
            <w:r>
              <w:rPr>
                <w:rFonts w:hint="eastAsia" w:ascii="宋体" w:hAnsi="宋体" w:cs="仿宋_GB2312"/>
                <w:sz w:val="24"/>
                <w:szCs w:val="24"/>
              </w:rPr>
              <w:t>功能和质量</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仿宋_GB2312"/>
                <w:sz w:val="24"/>
                <w:szCs w:val="24"/>
              </w:rPr>
            </w:pPr>
            <w:r>
              <w:rPr>
                <w:rFonts w:hint="eastAsia" w:ascii="宋体" w:hAnsi="宋体" w:cs="仿宋_GB2312"/>
                <w:sz w:val="24"/>
                <w:szCs w:val="24"/>
              </w:rPr>
              <w:t>要求</w:t>
            </w:r>
          </w:p>
        </w:tc>
        <w:tc>
          <w:tcPr>
            <w:tcW w:w="6804" w:type="dxa"/>
            <w:gridSpan w:val="3"/>
            <w:shd w:val="clear" w:color="auto" w:fill="auto"/>
            <w:vAlign w:val="center"/>
          </w:tcPr>
          <w:p>
            <w:pPr>
              <w:ind w:firstLine="480" w:firstLineChars="200"/>
              <w:jc w:val="both"/>
              <w:rPr>
                <w:rFonts w:ascii="宋体" w:hAnsi="宋体" w:cs="仿宋_GB2312"/>
                <w:sz w:val="24"/>
                <w:szCs w:val="24"/>
                <w:u w:val="none"/>
              </w:rPr>
            </w:pPr>
            <w:r>
              <w:rPr>
                <w:rFonts w:hint="default" w:ascii="宋体" w:hAnsi="宋体" w:cs="宋体"/>
                <w:strike w:val="0"/>
                <w:color w:val="000000"/>
                <w:sz w:val="24"/>
                <w:szCs w:val="24"/>
                <w:lang w:val="en-US" w:eastAsia="zh-CN"/>
              </w:rPr>
              <w:t>制定</w:t>
            </w:r>
            <w:r>
              <w:rPr>
                <w:rFonts w:hint="eastAsia" w:ascii="宋体" w:hAnsi="宋体" w:cs="宋体"/>
                <w:strike w:val="0"/>
                <w:color w:val="000000"/>
                <w:sz w:val="24"/>
                <w:szCs w:val="24"/>
                <w:lang w:val="en-US" w:eastAsia="zh-CN"/>
              </w:rPr>
              <w:t>工作大纲</w:t>
            </w:r>
            <w:r>
              <w:rPr>
                <w:rFonts w:hint="default" w:ascii="宋体" w:hAnsi="宋体" w:cs="宋体"/>
                <w:strike w:val="0"/>
                <w:color w:val="000000"/>
                <w:sz w:val="24"/>
                <w:szCs w:val="24"/>
                <w:lang w:val="en-US" w:eastAsia="zh-CN"/>
              </w:rPr>
              <w:t>，开展资料收集和调研</w:t>
            </w:r>
            <w:r>
              <w:rPr>
                <w:rFonts w:hint="eastAsia" w:ascii="宋体" w:hAnsi="宋体" w:cs="宋体"/>
                <w:strike w:val="0"/>
                <w:color w:val="000000"/>
                <w:sz w:val="24"/>
                <w:szCs w:val="24"/>
                <w:lang w:val="en-US" w:eastAsia="zh-CN"/>
              </w:rPr>
              <w:t>，</w:t>
            </w:r>
            <w:r>
              <w:rPr>
                <w:rFonts w:hint="default" w:ascii="宋体" w:hAnsi="宋体" w:cs="宋体"/>
                <w:strike w:val="0"/>
                <w:color w:val="000000"/>
                <w:sz w:val="24"/>
                <w:szCs w:val="24"/>
                <w:lang w:val="en-US" w:eastAsia="zh-CN"/>
              </w:rPr>
              <w:t>完成报告编制</w:t>
            </w:r>
            <w:r>
              <w:rPr>
                <w:rFonts w:hint="eastAsia" w:ascii="宋体" w:hAnsi="宋体" w:cs="宋体"/>
                <w:strike w:val="0"/>
                <w:color w:val="000000"/>
                <w:sz w:val="24"/>
                <w:szCs w:val="24"/>
                <w:lang w:val="en-US" w:eastAsia="zh-CN"/>
              </w:rPr>
              <w:t>,</w:t>
            </w:r>
            <w:r>
              <w:rPr>
                <w:rFonts w:hint="eastAsia" w:ascii="宋体" w:hAnsi="宋体" w:cs="宋体"/>
                <w:color w:val="000000"/>
                <w:sz w:val="24"/>
              </w:rPr>
              <w:t>通过专家审查</w:t>
            </w:r>
            <w:r>
              <w:rPr>
                <w:rFonts w:hint="eastAsia" w:ascii="宋体" w:hAnsi="宋体" w:cs="宋体"/>
                <w:strike w:val="0"/>
                <w:color w:val="000000"/>
                <w:sz w:val="24"/>
                <w:szCs w:val="24"/>
                <w:lang w:val="en-US" w:eastAsia="zh-CN"/>
              </w:rPr>
              <w:t>。</w:t>
            </w:r>
          </w:p>
        </w:tc>
      </w:tr>
    </w:tbl>
    <w:p>
      <w:pPr>
        <w:pStyle w:val="27"/>
        <w:rPr>
          <w:rFonts w:hint="eastAsia"/>
        </w:rPr>
      </w:pPr>
    </w:p>
    <w:p>
      <w:pPr>
        <w:snapToGrid w:val="0"/>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1.2.2 </w:t>
      </w:r>
      <w:bookmarkStart w:id="460" w:name="OLE_LINK54"/>
      <w:r>
        <w:rPr>
          <w:rFonts w:hint="eastAsia" w:ascii="宋体" w:hAnsi="宋体" w:cs="宋体"/>
          <w:color w:val="000000" w:themeColor="text1"/>
          <w:sz w:val="24"/>
          <w14:textFill>
            <w14:solidFill>
              <w14:schemeClr w14:val="tx1"/>
            </w14:solidFill>
          </w14:textFill>
        </w:rPr>
        <w:t>服务标准</w:t>
      </w:r>
      <w:bookmarkEnd w:id="460"/>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1.2.3 技术保障：</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1.2.4 服务人员组成：</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1.2.5合同</w:t>
      </w:r>
      <w:r>
        <w:rPr>
          <w:rFonts w:hint="eastAsia" w:ascii="宋体" w:hAnsi="宋体" w:cs="宋体"/>
          <w:color w:val="000000" w:themeColor="text1"/>
          <w:sz w:val="24"/>
          <w:u w:val="single"/>
          <w:lang w:val="en-US" w:eastAsia="zh-CN"/>
          <w14:textFill>
            <w14:solidFill>
              <w14:schemeClr w14:val="tx1"/>
            </w14:solidFill>
          </w14:textFill>
        </w:rPr>
        <w:t>是</w:t>
      </w:r>
      <w:r>
        <w:rPr>
          <w:rFonts w:hint="eastAsia" w:ascii="宋体" w:hAnsi="宋体" w:cs="宋体"/>
          <w:color w:val="000000" w:themeColor="text1"/>
          <w:sz w:val="24"/>
          <w14:textFill>
            <w14:solidFill>
              <w14:schemeClr w14:val="tx1"/>
            </w14:solidFill>
          </w14:textFill>
        </w:rPr>
        <w:t>（是/否）涉及货物。若涉及货物的，则：</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1.2.5.1 货物名称、品牌、规格型号、花色：                      ；</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1.2.5.2 货物数量：</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1.2.5.3 货物质量：</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bookmarkStart w:id="461" w:name="_Toc23292"/>
      <w:bookmarkStart w:id="462" w:name="_Toc21631"/>
      <w:bookmarkStart w:id="463" w:name="_Toc21551"/>
    </w:p>
    <w:p>
      <w:pPr>
        <w:snapToGrid w:val="0"/>
        <w:spacing w:line="360" w:lineRule="auto"/>
        <w:ind w:firstLine="482" w:firstLineChars="200"/>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1.3 价款</w:t>
      </w:r>
      <w:bookmarkEnd w:id="461"/>
      <w:bookmarkEnd w:id="462"/>
      <w:bookmarkEnd w:id="463"/>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本项目采用以下第</w:t>
      </w:r>
      <w:r>
        <w:rPr>
          <w:rFonts w:hint="eastAsia" w:ascii="宋体" w:hAnsi="宋体" w:cs="宋体"/>
          <w:color w:val="000000" w:themeColor="text1"/>
          <w:sz w:val="24"/>
          <w:u w:val="single"/>
          <w:lang w:val="en-US" w:eastAsia="zh-CN"/>
          <w14:textFill>
            <w14:solidFill>
              <w14:schemeClr w14:val="tx1"/>
            </w14:solidFill>
          </w14:textFill>
        </w:rPr>
        <w:t>1.3.1</w:t>
      </w:r>
      <w:r>
        <w:rPr>
          <w:rFonts w:hint="eastAsia" w:ascii="宋体" w:hAnsi="宋体" w:cs="宋体"/>
          <w:color w:val="000000" w:themeColor="text1"/>
          <w:sz w:val="24"/>
          <w14:textFill>
            <w14:solidFill>
              <w14:schemeClr w14:val="tx1"/>
            </w14:solidFill>
          </w14:textFill>
        </w:rPr>
        <w:t>条款规定的计价方式计价。</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1.3.1总价合同，本合同总价（含税）为：￥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元（大写：</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元人民币）。</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3402"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分项名称</w:t>
            </w:r>
          </w:p>
        </w:tc>
        <w:tc>
          <w:tcPr>
            <w:tcW w:w="2552"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keepNext w:val="0"/>
              <w:keepLines w:val="0"/>
              <w:suppressLineNumbers w:val="0"/>
              <w:snapToGrid w:val="0"/>
              <w:spacing w:before="0" w:beforeAutospacing="0" w:after="0" w:afterAutospacing="0"/>
              <w:ind w:left="0" w:right="0" w:firstLine="480" w:firstLineChars="200"/>
              <w:jc w:val="center"/>
              <w:rPr>
                <w:rFonts w:hint="default" w:ascii="宋体" w:hAnsi="宋体" w:cs="宋体"/>
                <w:color w:val="000000" w:themeColor="text1"/>
                <w:sz w:val="24"/>
                <w14:textFill>
                  <w14:solidFill>
                    <w14:schemeClr w14:val="tx1"/>
                  </w14:solidFill>
                </w14:textFill>
              </w:rPr>
            </w:pPr>
          </w:p>
        </w:tc>
        <w:tc>
          <w:tcPr>
            <w:tcW w:w="3402" w:type="dxa"/>
            <w:vAlign w:val="center"/>
          </w:tcPr>
          <w:p>
            <w:pPr>
              <w:keepNext w:val="0"/>
              <w:keepLines w:val="0"/>
              <w:suppressLineNumbers w:val="0"/>
              <w:snapToGrid w:val="0"/>
              <w:spacing w:before="0" w:beforeAutospacing="0" w:after="0" w:afterAutospacing="0"/>
              <w:ind w:left="0" w:right="0" w:firstLine="480" w:firstLineChars="200"/>
              <w:jc w:val="center"/>
              <w:rPr>
                <w:rFonts w:hint="default" w:ascii="宋体" w:hAnsi="宋体" w:cs="宋体"/>
                <w:color w:val="000000" w:themeColor="text1"/>
                <w:sz w:val="24"/>
                <w14:textFill>
                  <w14:solidFill>
                    <w14:schemeClr w14:val="tx1"/>
                  </w14:solidFill>
                </w14:textFill>
              </w:rPr>
            </w:pPr>
          </w:p>
        </w:tc>
        <w:tc>
          <w:tcPr>
            <w:tcW w:w="2552" w:type="dxa"/>
            <w:vAlign w:val="center"/>
          </w:tcPr>
          <w:p>
            <w:pPr>
              <w:keepNext w:val="0"/>
              <w:keepLines w:val="0"/>
              <w:suppressLineNumbers w:val="0"/>
              <w:snapToGrid w:val="0"/>
              <w:spacing w:before="0" w:beforeAutospacing="0" w:after="0" w:afterAutospacing="0"/>
              <w:ind w:left="0" w:right="0" w:firstLine="480" w:firstLineChars="200"/>
              <w:jc w:val="center"/>
              <w:rPr>
                <w:rFonts w:hint="default"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keepNext w:val="0"/>
              <w:keepLines w:val="0"/>
              <w:suppressLineNumbers w:val="0"/>
              <w:snapToGrid w:val="0"/>
              <w:spacing w:before="0" w:beforeAutospacing="0" w:after="0" w:afterAutospacing="0"/>
              <w:ind w:left="0" w:right="0" w:firstLine="480" w:firstLineChars="200"/>
              <w:jc w:val="center"/>
              <w:rPr>
                <w:rFonts w:hint="default" w:ascii="宋体" w:hAnsi="宋体" w:cs="宋体"/>
                <w:color w:val="000000" w:themeColor="text1"/>
                <w:sz w:val="24"/>
                <w14:textFill>
                  <w14:solidFill>
                    <w14:schemeClr w14:val="tx1"/>
                  </w14:solidFill>
                </w14:textFill>
              </w:rPr>
            </w:pPr>
          </w:p>
        </w:tc>
        <w:tc>
          <w:tcPr>
            <w:tcW w:w="3402" w:type="dxa"/>
            <w:vAlign w:val="center"/>
          </w:tcPr>
          <w:p>
            <w:pPr>
              <w:keepNext w:val="0"/>
              <w:keepLines w:val="0"/>
              <w:suppressLineNumbers w:val="0"/>
              <w:snapToGrid w:val="0"/>
              <w:spacing w:before="0" w:beforeAutospacing="0" w:after="0" w:afterAutospacing="0"/>
              <w:ind w:left="0" w:right="0" w:firstLine="480" w:firstLineChars="200"/>
              <w:jc w:val="center"/>
              <w:rPr>
                <w:rFonts w:hint="default" w:ascii="宋体" w:hAnsi="宋体" w:cs="宋体"/>
                <w:color w:val="000000" w:themeColor="text1"/>
                <w:sz w:val="24"/>
                <w14:textFill>
                  <w14:solidFill>
                    <w14:schemeClr w14:val="tx1"/>
                  </w14:solidFill>
                </w14:textFill>
              </w:rPr>
            </w:pPr>
          </w:p>
        </w:tc>
        <w:tc>
          <w:tcPr>
            <w:tcW w:w="2552" w:type="dxa"/>
            <w:vAlign w:val="center"/>
          </w:tcPr>
          <w:p>
            <w:pPr>
              <w:keepNext w:val="0"/>
              <w:keepLines w:val="0"/>
              <w:suppressLineNumbers w:val="0"/>
              <w:snapToGrid w:val="0"/>
              <w:spacing w:before="0" w:beforeAutospacing="0" w:after="0" w:afterAutospacing="0"/>
              <w:ind w:left="0" w:right="0" w:firstLine="480" w:firstLineChars="200"/>
              <w:jc w:val="center"/>
              <w:rPr>
                <w:rFonts w:hint="default"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keepNext w:val="0"/>
              <w:keepLines w:val="0"/>
              <w:suppressLineNumbers w:val="0"/>
              <w:snapToGrid w:val="0"/>
              <w:spacing w:before="0" w:beforeAutospacing="0" w:after="0" w:afterAutospacing="0"/>
              <w:ind w:left="0" w:right="0" w:firstLine="480" w:firstLineChars="200"/>
              <w:jc w:val="center"/>
              <w:rPr>
                <w:rFonts w:hint="default" w:ascii="宋体" w:hAnsi="宋体" w:cs="宋体"/>
                <w:color w:val="000000" w:themeColor="text1"/>
                <w:sz w:val="24"/>
                <w14:textFill>
                  <w14:solidFill>
                    <w14:schemeClr w14:val="tx1"/>
                  </w14:solidFill>
                </w14:textFill>
              </w:rPr>
            </w:pPr>
          </w:p>
        </w:tc>
        <w:tc>
          <w:tcPr>
            <w:tcW w:w="3402" w:type="dxa"/>
            <w:vAlign w:val="center"/>
          </w:tcPr>
          <w:p>
            <w:pPr>
              <w:keepNext w:val="0"/>
              <w:keepLines w:val="0"/>
              <w:suppressLineNumbers w:val="0"/>
              <w:snapToGrid w:val="0"/>
              <w:spacing w:before="0" w:beforeAutospacing="0" w:after="0" w:afterAutospacing="0"/>
              <w:ind w:left="0" w:right="0" w:firstLine="480" w:firstLineChars="200"/>
              <w:jc w:val="center"/>
              <w:rPr>
                <w:rFonts w:hint="default" w:ascii="宋体" w:hAnsi="宋体" w:cs="宋体"/>
                <w:color w:val="000000" w:themeColor="text1"/>
                <w:sz w:val="24"/>
                <w14:textFill>
                  <w14:solidFill>
                    <w14:schemeClr w14:val="tx1"/>
                  </w14:solidFill>
                </w14:textFill>
              </w:rPr>
            </w:pPr>
          </w:p>
        </w:tc>
        <w:tc>
          <w:tcPr>
            <w:tcW w:w="2552" w:type="dxa"/>
            <w:vAlign w:val="center"/>
          </w:tcPr>
          <w:p>
            <w:pPr>
              <w:keepNext w:val="0"/>
              <w:keepLines w:val="0"/>
              <w:suppressLineNumbers w:val="0"/>
              <w:snapToGrid w:val="0"/>
              <w:spacing w:before="0" w:beforeAutospacing="0" w:after="0" w:afterAutospacing="0"/>
              <w:ind w:left="0" w:right="0" w:firstLine="480" w:firstLineChars="200"/>
              <w:jc w:val="center"/>
              <w:rPr>
                <w:rFonts w:hint="default"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keepNext w:val="0"/>
              <w:keepLines w:val="0"/>
              <w:suppressLineNumbers w:val="0"/>
              <w:snapToGrid w:val="0"/>
              <w:spacing w:before="0" w:beforeAutospacing="0" w:after="0" w:afterAutospacing="0"/>
              <w:ind w:left="0" w:right="0" w:firstLine="480" w:firstLineChars="200"/>
              <w:jc w:val="center"/>
              <w:rPr>
                <w:rFonts w:hint="default" w:ascii="宋体" w:hAnsi="宋体" w:cs="宋体"/>
                <w:color w:val="000000" w:themeColor="text1"/>
                <w:sz w:val="24"/>
                <w14:textFill>
                  <w14:solidFill>
                    <w14:schemeClr w14:val="tx1"/>
                  </w14:solidFill>
                </w14:textFill>
              </w:rPr>
            </w:pPr>
          </w:p>
        </w:tc>
        <w:tc>
          <w:tcPr>
            <w:tcW w:w="3402" w:type="dxa"/>
            <w:vAlign w:val="center"/>
          </w:tcPr>
          <w:p>
            <w:pPr>
              <w:keepNext w:val="0"/>
              <w:keepLines w:val="0"/>
              <w:suppressLineNumbers w:val="0"/>
              <w:snapToGrid w:val="0"/>
              <w:spacing w:before="0" w:beforeAutospacing="0" w:after="0" w:afterAutospacing="0"/>
              <w:ind w:left="0" w:right="0" w:firstLine="480" w:firstLineChars="200"/>
              <w:jc w:val="center"/>
              <w:rPr>
                <w:rFonts w:hint="default" w:ascii="宋体" w:hAnsi="宋体" w:cs="宋体"/>
                <w:color w:val="000000" w:themeColor="text1"/>
                <w:sz w:val="24"/>
                <w14:textFill>
                  <w14:solidFill>
                    <w14:schemeClr w14:val="tx1"/>
                  </w14:solidFill>
                </w14:textFill>
              </w:rPr>
            </w:pPr>
          </w:p>
        </w:tc>
        <w:tc>
          <w:tcPr>
            <w:tcW w:w="2552" w:type="dxa"/>
            <w:vAlign w:val="center"/>
          </w:tcPr>
          <w:p>
            <w:pPr>
              <w:keepNext w:val="0"/>
              <w:keepLines w:val="0"/>
              <w:suppressLineNumbers w:val="0"/>
              <w:snapToGrid w:val="0"/>
              <w:spacing w:before="0" w:beforeAutospacing="0" w:after="0" w:afterAutospacing="0"/>
              <w:ind w:left="0" w:right="0" w:firstLine="480" w:firstLineChars="200"/>
              <w:jc w:val="center"/>
              <w:rPr>
                <w:rFonts w:hint="default"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总价</w:t>
            </w:r>
          </w:p>
        </w:tc>
        <w:tc>
          <w:tcPr>
            <w:tcW w:w="2552" w:type="dxa"/>
            <w:vAlign w:val="center"/>
          </w:tcPr>
          <w:p>
            <w:pPr>
              <w:keepNext w:val="0"/>
              <w:keepLines w:val="0"/>
              <w:suppressLineNumbers w:val="0"/>
              <w:snapToGrid w:val="0"/>
              <w:spacing w:before="0" w:beforeAutospacing="0" w:after="0" w:afterAutospacing="0"/>
              <w:ind w:left="0" w:right="0" w:firstLine="480" w:firstLineChars="200"/>
              <w:rPr>
                <w:rFonts w:hint="default" w:ascii="宋体" w:hAnsi="宋体" w:cs="宋体"/>
                <w:color w:val="000000" w:themeColor="text1"/>
                <w:sz w:val="24"/>
                <w14:textFill>
                  <w14:solidFill>
                    <w14:schemeClr w14:val="tx1"/>
                  </w14:solidFill>
                </w14:textFill>
              </w:rPr>
            </w:pPr>
          </w:p>
        </w:tc>
      </w:tr>
    </w:tbl>
    <w:p>
      <w:pPr>
        <w:snapToGrid w:val="0"/>
        <w:spacing w:line="360" w:lineRule="auto"/>
        <w:ind w:firstLine="480" w:firstLineChars="200"/>
        <w:rPr>
          <w:rFonts w:ascii="宋体" w:hAnsi="宋体" w:cs="宋体"/>
          <w:color w:val="000000" w:themeColor="text1"/>
          <w:sz w:val="24"/>
          <w14:textFill>
            <w14:solidFill>
              <w14:schemeClr w14:val="tx1"/>
            </w14:solidFill>
          </w14:textFill>
        </w:rPr>
      </w:pPr>
    </w:p>
    <w:p>
      <w:pPr>
        <w:snapToGrid w:val="0"/>
        <w:spacing w:line="360" w:lineRule="auto"/>
        <w:ind w:firstLine="482" w:firstLineChars="200"/>
        <w:outlineLvl w:val="1"/>
        <w:rPr>
          <w:rFonts w:ascii="宋体" w:hAnsi="宋体" w:cs="宋体"/>
          <w:b/>
          <w:color w:val="000000" w:themeColor="text1"/>
          <w:sz w:val="24"/>
          <w14:textFill>
            <w14:solidFill>
              <w14:schemeClr w14:val="tx1"/>
            </w14:solidFill>
          </w14:textFill>
        </w:rPr>
      </w:pPr>
      <w:bookmarkStart w:id="464" w:name="_Toc32071"/>
      <w:bookmarkStart w:id="465" w:name="_Toc2846"/>
      <w:bookmarkStart w:id="466" w:name="_Toc19304"/>
      <w:r>
        <w:rPr>
          <w:rFonts w:hint="eastAsia" w:ascii="宋体" w:hAnsi="宋体" w:cs="宋体"/>
          <w:b/>
          <w:color w:val="000000" w:themeColor="text1"/>
          <w:sz w:val="24"/>
          <w14:textFill>
            <w14:solidFill>
              <w14:schemeClr w14:val="tx1"/>
            </w14:solidFill>
          </w14:textFill>
        </w:rPr>
        <w:t>1.4履约保证金</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w:t>
      </w:r>
      <w:r>
        <w:rPr>
          <w:rFonts w:hint="eastAsia" w:ascii="宋体" w:hAnsi="宋体" w:cs="宋体"/>
          <w:color w:val="000000" w:themeColor="text1"/>
          <w:sz w:val="24"/>
          <w:u w:val="single"/>
          <w14:textFill>
            <w14:solidFill>
              <w14:schemeClr w14:val="tx1"/>
            </w14:solidFill>
          </w14:textFill>
        </w:rPr>
        <w:t xml:space="preserve"> 否 </w:t>
      </w:r>
      <w:r>
        <w:rPr>
          <w:rFonts w:hint="eastAsia" w:ascii="宋体" w:hAnsi="宋体" w:cs="宋体"/>
          <w:color w:val="000000" w:themeColor="text1"/>
          <w:sz w:val="24"/>
          <w14:textFill>
            <w14:solidFill>
              <w14:schemeClr w14:val="tx1"/>
            </w14:solidFill>
          </w14:textFill>
        </w:rPr>
        <w:t>（是/否）需要支付履约保证金。若需要支付履约保证金的，则：</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1.4.1履约保证金的比例为合同金额的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1.4.2履约保证金支付方式详见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i/>
          <w:iCs/>
          <w:color w:val="000000" w:themeColor="text1"/>
          <w:sz w:val="24"/>
          <w:u w:val="single"/>
          <w14:textFill>
            <w14:solidFill>
              <w14:schemeClr w14:val="tx1"/>
            </w14:solidFill>
          </w14:textFill>
        </w:rPr>
        <w:t>合同专用条款</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1.4.4甲方在项目验收结束后及时退还履约保证金。甲方在项目通过验收之日起</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cs="宋体"/>
          <w:color w:val="000000" w:themeColor="text1"/>
          <w:sz w:val="24"/>
          <w:u w:val="single"/>
          <w14:textFill>
            <w14:solidFill>
              <w14:schemeClr w14:val="tx1"/>
            </w14:solidFill>
          </w14:textFill>
        </w:rPr>
        <w:t xml:space="preserve"> 0.05（可根据情况修改） </w:t>
      </w:r>
      <w:r>
        <w:rPr>
          <w:rFonts w:hint="eastAsia" w:ascii="宋体" w:hAnsi="宋体" w:cs="宋体"/>
          <w:color w:val="000000" w:themeColor="text1"/>
          <w:sz w:val="24"/>
          <w14:textFill>
            <w14:solidFill>
              <w14:schemeClr w14:val="tx1"/>
            </w14:solidFill>
          </w14:textFill>
        </w:rPr>
        <w:t xml:space="preserve"> %计算，最高限额为本合同履约保证金的</w:t>
      </w:r>
      <w:r>
        <w:rPr>
          <w:rFonts w:hint="eastAsia" w:ascii="宋体" w:hAnsi="宋体" w:cs="宋体"/>
          <w:color w:val="000000" w:themeColor="text1"/>
          <w:sz w:val="24"/>
          <w:u w:val="single"/>
          <w14:textFill>
            <w14:solidFill>
              <w14:schemeClr w14:val="tx1"/>
            </w14:solidFill>
          </w14:textFill>
        </w:rPr>
        <w:t xml:space="preserve">  20   </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482" w:firstLineChars="200"/>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1.5预付款</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w:t>
      </w:r>
      <w:r>
        <w:rPr>
          <w:rFonts w:hint="eastAsia" w:ascii="宋体" w:hAnsi="宋体" w:cs="宋体"/>
          <w:color w:val="000000" w:themeColor="text1"/>
          <w:sz w:val="24"/>
          <w:u w:val="single"/>
          <w:lang w:val="en-US" w:eastAsia="zh-CN"/>
          <w14:textFill>
            <w14:solidFill>
              <w14:schemeClr w14:val="tx1"/>
            </w14:solidFill>
          </w14:textFill>
        </w:rPr>
        <w:t>是</w:t>
      </w:r>
      <w:r>
        <w:rPr>
          <w:rFonts w:hint="eastAsia" w:ascii="宋体" w:hAnsi="宋体" w:cs="宋体"/>
          <w:color w:val="000000" w:themeColor="text1"/>
          <w:sz w:val="24"/>
          <w14:textFill>
            <w14:solidFill>
              <w14:schemeClr w14:val="tx1"/>
            </w14:solidFill>
          </w14:textFill>
        </w:rPr>
        <w:t>（是/否）需要支付预付款。若需要支付预付款的，则：</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1.5.1预付款比例、支付方式、时间详见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i/>
          <w:iCs/>
          <w:color w:val="000000" w:themeColor="text1"/>
          <w:sz w:val="24"/>
          <w:u w:val="single"/>
          <w14:textFill>
            <w14:solidFill>
              <w14:schemeClr w14:val="tx1"/>
            </w14:solidFill>
          </w14:textFill>
        </w:rPr>
        <w:t>合同专用条款</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1.5.2预付款的扣回方式详见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i/>
          <w:iCs/>
          <w:color w:val="000000" w:themeColor="text1"/>
          <w:sz w:val="24"/>
          <w:u w:val="single"/>
          <w14:textFill>
            <w14:solidFill>
              <w14:schemeClr w14:val="tx1"/>
            </w14:solidFill>
          </w14:textFill>
        </w:rPr>
        <w:t>合同专用条款</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1.5.3预付款的担保措施详见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i/>
          <w:iCs/>
          <w:color w:val="000000" w:themeColor="text1"/>
          <w:sz w:val="24"/>
          <w:u w:val="single"/>
          <w14:textFill>
            <w14:solidFill>
              <w14:schemeClr w14:val="tx1"/>
            </w14:solidFill>
          </w14:textFill>
        </w:rPr>
        <w:t>合同专用条款</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482" w:firstLineChars="200"/>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1.6资金支付</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1.6.2资金支付的方式、时间和条件详见</w:t>
      </w:r>
      <w:r>
        <w:rPr>
          <w:rFonts w:hint="eastAsia" w:ascii="宋体" w:hAnsi="宋体" w:cs="宋体"/>
          <w:i/>
          <w:iCs/>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482" w:firstLineChars="200"/>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1.7 </w:t>
      </w:r>
      <w:bookmarkEnd w:id="464"/>
      <w:bookmarkEnd w:id="465"/>
      <w:bookmarkEnd w:id="466"/>
      <w:r>
        <w:rPr>
          <w:rFonts w:hint="eastAsia" w:ascii="宋体" w:hAnsi="宋体" w:cs="宋体"/>
          <w:b/>
          <w:color w:val="000000" w:themeColor="text1"/>
          <w:sz w:val="24"/>
          <w14:textFill>
            <w14:solidFill>
              <w14:schemeClr w14:val="tx1"/>
            </w14:solidFill>
          </w14:textFill>
        </w:rPr>
        <w:t>履行期限、地点和方式</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1.7.1 服务交付（实施）的时间（期限）：</w:t>
      </w:r>
      <w:r>
        <w:rPr>
          <w:rFonts w:hint="eastAsia" w:ascii="宋体" w:hAnsi="宋体" w:cs="宋体"/>
          <w:i/>
          <w:iCs/>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1.7.2 服务交付（实施）的地点（地域范围）：</w:t>
      </w:r>
      <w:r>
        <w:rPr>
          <w:rFonts w:hint="eastAsia" w:ascii="宋体" w:hAnsi="宋体" w:cs="宋体"/>
          <w:i/>
          <w:iCs/>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1.7.3 服务交付（实施）的方式：</w:t>
      </w:r>
      <w:r>
        <w:rPr>
          <w:rFonts w:hint="eastAsia" w:ascii="宋体" w:hAnsi="宋体" w:cs="宋体"/>
          <w:i/>
          <w:iCs/>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1.7.4若服务涉及货物的，则货物的：</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1.7.4.1 交付期限：详见</w:t>
      </w:r>
      <w:r>
        <w:rPr>
          <w:rFonts w:hint="eastAsia" w:ascii="宋体" w:hAnsi="宋体" w:cs="宋体"/>
          <w:i/>
          <w:iCs/>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1.7.4.2 交付地点：</w:t>
      </w:r>
      <w:r>
        <w:rPr>
          <w:rFonts w:hint="eastAsia" w:ascii="宋体" w:hAnsi="宋体" w:cs="宋体"/>
          <w:i/>
          <w:iCs/>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1.7.4.3 交付方式：</w:t>
      </w:r>
      <w:r>
        <w:rPr>
          <w:rFonts w:hint="eastAsia" w:ascii="宋体" w:hAnsi="宋体" w:cs="宋体"/>
          <w:i/>
          <w:iCs/>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bookmarkStart w:id="467" w:name="_Toc19554"/>
      <w:bookmarkStart w:id="468" w:name="_Toc27250"/>
      <w:bookmarkStart w:id="469" w:name="_Toc21423"/>
    </w:p>
    <w:p>
      <w:pPr>
        <w:snapToGrid w:val="0"/>
        <w:spacing w:line="360" w:lineRule="auto"/>
        <w:ind w:firstLine="482" w:firstLineChars="200"/>
        <w:outlineLvl w:val="1"/>
        <w:rPr>
          <w:rFonts w:ascii="宋体" w:hAnsi="宋体" w:cs="宋体"/>
          <w:b/>
          <w:color w:val="000000" w:themeColor="text1"/>
          <w:sz w:val="24"/>
          <w14:textFill>
            <w14:solidFill>
              <w14:schemeClr w14:val="tx1"/>
            </w14:solidFill>
          </w14:textFill>
        </w:rPr>
      </w:pPr>
      <w:bookmarkStart w:id="470" w:name="OLE_LINK46"/>
      <w:r>
        <w:rPr>
          <w:rFonts w:hint="eastAsia" w:ascii="宋体" w:hAnsi="宋体" w:cs="宋体"/>
          <w:b/>
          <w:color w:val="000000" w:themeColor="text1"/>
          <w:sz w:val="24"/>
          <w14:textFill>
            <w14:solidFill>
              <w14:schemeClr w14:val="tx1"/>
            </w14:solidFill>
          </w14:textFill>
        </w:rPr>
        <w:t>1.8 违约责任</w:t>
      </w:r>
      <w:bookmarkEnd w:id="467"/>
      <w:bookmarkEnd w:id="468"/>
      <w:bookmarkEnd w:id="469"/>
    </w:p>
    <w:p>
      <w:pPr>
        <w:snapToGrid w:val="0"/>
        <w:spacing w:line="360" w:lineRule="auto"/>
        <w:ind w:firstLine="480" w:firstLineChars="200"/>
        <w:rPr>
          <w:rFonts w:ascii="宋体" w:hAnsi="宋体" w:cs="宋体"/>
          <w:color w:val="000000" w:themeColor="text1"/>
          <w:sz w:val="24"/>
          <w14:textFill>
            <w14:solidFill>
              <w14:schemeClr w14:val="tx1"/>
            </w14:solidFill>
          </w14:textFill>
        </w:rPr>
      </w:pPr>
      <w:bookmarkStart w:id="471" w:name="OLE_LINK5"/>
      <w:r>
        <w:rPr>
          <w:rFonts w:hint="eastAsia" w:ascii="宋体" w:hAnsi="宋体" w:cs="宋体"/>
          <w:color w:val="000000" w:themeColor="text1"/>
          <w:sz w:val="24"/>
          <w14:textFill>
            <w14:solidFill>
              <w14:schemeClr w14:val="tx1"/>
            </w14:solidFill>
          </w14:textFill>
        </w:rPr>
        <w:t>1.8.1 除不可抗力外，如果乙方没有按照本合同约定的期限、地点和方式履行，那么甲方可要求乙方支付违约金，违约金按每迟延履行一日的应提供而未提供服务价格的</w:t>
      </w:r>
      <w:r>
        <w:rPr>
          <w:rFonts w:hint="eastAsia" w:ascii="宋体" w:hAnsi="宋体" w:cs="宋体"/>
          <w:color w:val="000000" w:themeColor="text1"/>
          <w:sz w:val="24"/>
          <w:u w:val="single"/>
          <w14:textFill>
            <w14:solidFill>
              <w14:schemeClr w14:val="tx1"/>
            </w14:solidFill>
          </w14:textFill>
        </w:rPr>
        <w:t xml:space="preserve">  0.05  </w:t>
      </w:r>
      <w:r>
        <w:rPr>
          <w:rFonts w:hint="eastAsia" w:ascii="宋体" w:hAnsi="宋体" w:cs="宋体"/>
          <w:color w:val="000000" w:themeColor="text1"/>
          <w:sz w:val="24"/>
          <w14:textFill>
            <w14:solidFill>
              <w14:schemeClr w14:val="tx1"/>
            </w14:solidFill>
          </w14:textFill>
        </w:rPr>
        <w:t>%计算（可根据情况修改），最高限额为本合同总价的</w:t>
      </w:r>
      <w:r>
        <w:rPr>
          <w:rFonts w:hint="eastAsia" w:ascii="宋体" w:hAnsi="宋体" w:cs="宋体"/>
          <w:color w:val="000000" w:themeColor="text1"/>
          <w:sz w:val="24"/>
          <w:u w:val="single"/>
          <w14:textFill>
            <w14:solidFill>
              <w14:schemeClr w14:val="tx1"/>
            </w14:solidFill>
          </w14:textFill>
        </w:rPr>
        <w:t xml:space="preserve"> 20  </w:t>
      </w:r>
      <w:r>
        <w:rPr>
          <w:rFonts w:hint="eastAsia" w:ascii="宋体" w:hAnsi="宋体" w:cs="宋体"/>
          <w:color w:val="000000" w:themeColor="text1"/>
          <w:sz w:val="24"/>
          <w14:textFill>
            <w14:solidFill>
              <w14:schemeClr w14:val="tx1"/>
            </w14:solidFill>
          </w14:textFill>
        </w:rPr>
        <w:t>%；迟延履行的违约金计算数额达到前述最高限额之日起，甲方有权在要求乙方支付违约金的同时，书面通知乙方解除本合同；</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000000" w:themeColor="text1"/>
          <w:sz w:val="24"/>
          <w:u w:val="single"/>
          <w14:textFill>
            <w14:solidFill>
              <w14:schemeClr w14:val="tx1"/>
            </w14:solidFill>
          </w14:textFill>
        </w:rPr>
        <w:t xml:space="preserve"> 0.05</w:t>
      </w:r>
      <w:r>
        <w:rPr>
          <w:rFonts w:hint="eastAsia" w:ascii="宋体" w:hAnsi="宋体" w:cs="宋体"/>
          <w:color w:val="000000" w:themeColor="text1"/>
          <w:sz w:val="24"/>
          <w14:textFill>
            <w14:solidFill>
              <w14:schemeClr w14:val="tx1"/>
            </w14:solidFill>
          </w14:textFill>
        </w:rPr>
        <w:t>%（可根据情况修改）计算，最高限额为本合同总价的</w:t>
      </w:r>
      <w:r>
        <w:rPr>
          <w:rFonts w:hint="eastAsia" w:ascii="宋体" w:hAnsi="宋体" w:cs="宋体"/>
          <w:color w:val="000000" w:themeColor="text1"/>
          <w:sz w:val="24"/>
          <w:u w:val="single"/>
          <w14:textFill>
            <w14:solidFill>
              <w14:schemeClr w14:val="tx1"/>
            </w14:solidFill>
          </w14:textFill>
        </w:rPr>
        <w:t xml:space="preserve">  20  </w:t>
      </w:r>
      <w:r>
        <w:rPr>
          <w:rFonts w:hint="eastAsia" w:ascii="宋体" w:hAnsi="宋体" w:cs="宋体"/>
          <w:color w:val="000000" w:themeColor="text1"/>
          <w:sz w:val="24"/>
          <w14:textFill>
            <w14:solidFill>
              <w14:schemeClr w14:val="tx1"/>
            </w14:solidFill>
          </w14:textFill>
        </w:rPr>
        <w:t>%；迟延交付货物的违约金计算数额达到前述最高限额之日起，甲方有权在要求乙方支付违约金的同时，书面通知乙方解除本合同；</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1.8.3除不可抗力外，如果甲方没有按照本合同约定的付款方式付款，那么乙方可要求甲方支付违约金，违约金按每迟延付款一日的应付而未付款的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 w:val="24"/>
          <w:u w:val="single"/>
          <w14:textFill>
            <w14:solidFill>
              <w14:schemeClr w14:val="tx1"/>
            </w14:solidFill>
          </w14:textFill>
        </w:rPr>
        <w:t xml:space="preserve">  0.05  </w:t>
      </w:r>
      <w:r>
        <w:rPr>
          <w:rFonts w:hint="eastAsia" w:ascii="宋体" w:hAnsi="宋体" w:cs="宋体"/>
          <w:color w:val="000000" w:themeColor="text1"/>
          <w:sz w:val="24"/>
          <w14:textFill>
            <w14:solidFill>
              <w14:schemeClr w14:val="tx1"/>
            </w14:solidFill>
          </w14:textFill>
        </w:rPr>
        <w:t>%（可根据情况修改）计算，最高限额为本合同总价的</w:t>
      </w:r>
      <w:r>
        <w:rPr>
          <w:rFonts w:hint="eastAsia" w:ascii="宋体" w:hAnsi="宋体" w:cs="宋体"/>
          <w:color w:val="000000" w:themeColor="text1"/>
          <w:sz w:val="24"/>
          <w:u w:val="single"/>
          <w14:textFill>
            <w14:solidFill>
              <w14:schemeClr w14:val="tx1"/>
            </w14:solidFill>
          </w14:textFill>
        </w:rPr>
        <w:t xml:space="preserve">  20   </w:t>
      </w:r>
      <w:r>
        <w:rPr>
          <w:rFonts w:hint="eastAsia" w:ascii="宋体" w:hAnsi="宋体" w:cs="宋体"/>
          <w:color w:val="000000" w:themeColor="text1"/>
          <w:sz w:val="24"/>
          <w14:textFill>
            <w14:solidFill>
              <w14:schemeClr w14:val="tx1"/>
            </w14:solidFill>
          </w14:textFill>
        </w:rPr>
        <w:t>%；迟延付款的违约金计算数额达到前述最高限额之日起，乙方有权在要求甲方支付违约金的同时，书面通知甲方解除本合同；</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1.8.6 如果出现政府采购监督管理部门在处理投诉事项期间，书面通知甲方暂停采购活动的情形，或者询问或质疑事项可能影响中标结果的，导致甲方中止履行合同的情形，均不视为甲方违约。</w:t>
      </w:r>
    </w:p>
    <w:bookmarkEnd w:id="471"/>
    <w:p>
      <w:pPr>
        <w:snapToGrid w:val="0"/>
        <w:spacing w:line="360" w:lineRule="auto"/>
        <w:ind w:left="-420" w:leftChars="-200" w:right="-420" w:rightChars="-200"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1.8.7违约责任</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另有约定的，从其约定。</w:t>
      </w:r>
      <w:bookmarkStart w:id="472" w:name="_Toc16021"/>
      <w:bookmarkStart w:id="473" w:name="_Toc15583"/>
      <w:bookmarkStart w:id="474" w:name="_Toc28375"/>
    </w:p>
    <w:p>
      <w:pPr>
        <w:snapToGrid w:val="0"/>
        <w:spacing w:line="360" w:lineRule="auto"/>
        <w:ind w:firstLine="482" w:firstLineChars="200"/>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1.9 合同争议的解决</w:t>
      </w:r>
      <w:bookmarkEnd w:id="472"/>
      <w:bookmarkEnd w:id="473"/>
      <w:bookmarkEnd w:id="474"/>
    </w:p>
    <w:p>
      <w:pPr>
        <w:snapToGrid w:val="0"/>
        <w:spacing w:line="360" w:lineRule="auto"/>
        <w:ind w:firstLine="480" w:firstLineChars="200"/>
        <w:rPr>
          <w:rFonts w:ascii="宋体" w:hAnsi="宋体" w:cs="宋体"/>
          <w:color w:val="000000" w:themeColor="text1"/>
          <w:sz w:val="24"/>
          <w14:textFill>
            <w14:solidFill>
              <w14:schemeClr w14:val="tx1"/>
            </w14:solidFill>
          </w14:textFill>
        </w:rPr>
      </w:pPr>
      <w:bookmarkStart w:id="475" w:name="OLE_LINK6"/>
      <w:r>
        <w:rPr>
          <w:rFonts w:hint="eastAsia" w:ascii="宋体" w:hAnsi="宋体" w:cs="宋体"/>
          <w:color w:val="000000" w:themeColor="text1"/>
          <w:sz w:val="24"/>
          <w14:textFill>
            <w14:solidFill>
              <w14:schemeClr w14:val="tx1"/>
            </w14:solidFill>
          </w14:textFill>
        </w:rPr>
        <w:t>本合同履行过程中发生的任何争议，双方当事人均可通过和解或者调解解决；不愿和解、调解或者和解、调解不成的，可以选择以下第</w:t>
      </w:r>
      <w:r>
        <w:rPr>
          <w:rFonts w:hint="eastAsia" w:ascii="宋体" w:hAnsi="宋体" w:cs="宋体"/>
          <w:color w:val="000000" w:themeColor="text1"/>
          <w:sz w:val="24"/>
          <w:u w:val="single"/>
          <w:lang w:val="en-US" w:eastAsia="zh-CN"/>
          <w14:textFill>
            <w14:solidFill>
              <w14:schemeClr w14:val="tx1"/>
            </w14:solidFill>
          </w14:textFill>
        </w:rPr>
        <w:t>1.9.1</w:t>
      </w:r>
      <w:r>
        <w:rPr>
          <w:rFonts w:hint="eastAsia" w:ascii="宋体" w:hAnsi="宋体" w:cs="宋体"/>
          <w:color w:val="000000" w:themeColor="text1"/>
          <w:sz w:val="24"/>
          <w14:textFill>
            <w14:solidFill>
              <w14:schemeClr w14:val="tx1"/>
            </w14:solidFill>
          </w14:textFill>
        </w:rPr>
        <w:t>条款规定的方式解决：</w:t>
      </w:r>
    </w:p>
    <w:p>
      <w:pPr>
        <w:snapToGrid w:val="0"/>
        <w:spacing w:line="360" w:lineRule="auto"/>
        <w:ind w:left="-420" w:leftChars="-200" w:right="-420" w:rightChars="-200"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1.9.1 将争议提交</w:t>
      </w:r>
      <w:r>
        <w:rPr>
          <w:rFonts w:hint="eastAsia" w:ascii="宋体" w:hAnsi="宋体" w:cs="宋体"/>
          <w:i/>
          <w:iCs/>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仲裁委员会依申请仲裁时其现行有效的仲裁规则裁决；</w:t>
      </w:r>
    </w:p>
    <w:bookmarkEnd w:id="470"/>
    <w:bookmarkEnd w:id="475"/>
    <w:p>
      <w:pPr>
        <w:snapToGrid w:val="0"/>
        <w:spacing w:line="360" w:lineRule="auto"/>
        <w:ind w:left="-420" w:leftChars="-200" w:right="-420" w:rightChars="-200"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1.9.2 向</w:t>
      </w:r>
      <w:r>
        <w:rPr>
          <w:rFonts w:hint="eastAsia" w:ascii="宋体" w:hAnsi="宋体" w:cs="宋体"/>
          <w:i/>
          <w:iCs/>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人民法院起诉。</w:t>
      </w:r>
      <w:bookmarkStart w:id="476" w:name="_Toc15322"/>
      <w:bookmarkStart w:id="477" w:name="_Toc7245"/>
      <w:bookmarkStart w:id="478" w:name="_Toc11173"/>
    </w:p>
    <w:p>
      <w:pPr>
        <w:snapToGrid w:val="0"/>
        <w:spacing w:line="360" w:lineRule="auto"/>
        <w:ind w:firstLine="482" w:firstLineChars="200"/>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2.0 合同生效</w:t>
      </w:r>
      <w:bookmarkEnd w:id="476"/>
      <w:bookmarkEnd w:id="477"/>
      <w:bookmarkEnd w:id="478"/>
    </w:p>
    <w:p>
      <w:pPr>
        <w:snapToGrid w:val="0"/>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本合同自双方当事人盖章或者签字时生效。</w:t>
      </w:r>
    </w:p>
    <w:p>
      <w:pPr>
        <w:autoSpaceDE w:val="0"/>
        <w:autoSpaceDN w:val="0"/>
        <w:spacing w:line="560" w:lineRule="exact"/>
        <w:rPr>
          <w:rFonts w:ascii="宋体" w:hAnsi="宋体" w:cs="宋体"/>
          <w:color w:val="000000" w:themeColor="text1"/>
          <w:sz w:val="24"/>
          <w:lang w:val="zh-CN"/>
          <w14:textFill>
            <w14:solidFill>
              <w14:schemeClr w14:val="tx1"/>
            </w14:solidFill>
          </w14:textFill>
        </w:rPr>
      </w:pPr>
    </w:p>
    <w:p>
      <w:pPr>
        <w:autoSpaceDE w:val="0"/>
        <w:autoSpaceDN w:val="0"/>
        <w:snapToGrid w:val="0"/>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甲方</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b/>
          <w:color w:val="000000" w:themeColor="text1"/>
          <w:sz w:val="24"/>
          <w:lang w:val="zh-CN"/>
          <w14:textFill>
            <w14:solidFill>
              <w14:schemeClr w14:val="tx1"/>
            </w14:solidFill>
          </w14:textFill>
        </w:rPr>
        <w:t xml:space="preserve">      乙方</w:t>
      </w:r>
      <w:r>
        <w:rPr>
          <w:rFonts w:hint="eastAsia" w:ascii="宋体" w:hAnsi="宋体" w:cs="宋体"/>
          <w:color w:val="000000" w:themeColor="text1"/>
          <w:sz w:val="24"/>
          <w:lang w:val="zh-CN"/>
          <w14:textFill>
            <w14:solidFill>
              <w14:schemeClr w14:val="tx1"/>
            </w14:solidFill>
          </w14:textFill>
        </w:rPr>
        <w:t>：</w:t>
      </w:r>
    </w:p>
    <w:p>
      <w:pPr>
        <w:autoSpaceDE w:val="0"/>
        <w:autoSpaceDN w:val="0"/>
        <w:snapToGrid w:val="0"/>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统一社会信用代码：                        统一社会信用代码或身份证号码：</w:t>
      </w:r>
    </w:p>
    <w:p>
      <w:pPr>
        <w:autoSpaceDE w:val="0"/>
        <w:autoSpaceDN w:val="0"/>
        <w:snapToGrid w:val="0"/>
        <w:spacing w:line="360" w:lineRule="auto"/>
        <w:rPr>
          <w:rFonts w:ascii="宋体" w:hAnsi="宋体" w:cs="宋体"/>
          <w:color w:val="000000" w:themeColor="text1"/>
          <w:sz w:val="24"/>
          <w:lang w:val="zh-CN"/>
          <w14:textFill>
            <w14:solidFill>
              <w14:schemeClr w14:val="tx1"/>
            </w14:solidFill>
          </w14:textFill>
        </w:rPr>
      </w:pPr>
    </w:p>
    <w:p>
      <w:pPr>
        <w:autoSpaceDE w:val="0"/>
        <w:autoSpaceDN w:val="0"/>
        <w:snapToGrid w:val="0"/>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住所：                                   住所：</w:t>
      </w:r>
    </w:p>
    <w:p>
      <w:pPr>
        <w:autoSpaceDE w:val="0"/>
        <w:autoSpaceDN w:val="0"/>
        <w:snapToGrid w:val="0"/>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法定代表人或                             法定代表人</w:t>
      </w:r>
    </w:p>
    <w:p>
      <w:pPr>
        <w:autoSpaceDE w:val="0"/>
        <w:autoSpaceDN w:val="0"/>
        <w:snapToGrid w:val="0"/>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 xml:space="preserve">授权代表（签字）：                        或授权代表（签字）: </w:t>
      </w:r>
    </w:p>
    <w:p>
      <w:pPr>
        <w:autoSpaceDE w:val="0"/>
        <w:autoSpaceDN w:val="0"/>
        <w:snapToGrid w:val="0"/>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联系人：                                 联系人：</w:t>
      </w:r>
    </w:p>
    <w:p>
      <w:pPr>
        <w:autoSpaceDE w:val="0"/>
        <w:autoSpaceDN w:val="0"/>
        <w:snapToGrid w:val="0"/>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约定送达地址：                           约定送达地址：</w:t>
      </w:r>
    </w:p>
    <w:p>
      <w:pPr>
        <w:autoSpaceDE w:val="0"/>
        <w:autoSpaceDN w:val="0"/>
        <w:snapToGrid w:val="0"/>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邮政编码：                               邮政编码：</w:t>
      </w:r>
    </w:p>
    <w:p>
      <w:pPr>
        <w:autoSpaceDE w:val="0"/>
        <w:autoSpaceDN w:val="0"/>
        <w:snapToGrid w:val="0"/>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 xml:space="preserve">电话:                                    电话: </w:t>
      </w:r>
    </w:p>
    <w:p>
      <w:pPr>
        <w:autoSpaceDE w:val="0"/>
        <w:autoSpaceDN w:val="0"/>
        <w:snapToGrid w:val="0"/>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传真:                                    传真:</w:t>
      </w:r>
    </w:p>
    <w:p>
      <w:pPr>
        <w:autoSpaceDE w:val="0"/>
        <w:autoSpaceDN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电子邮箱：                               电子邮箱：</w:t>
      </w:r>
    </w:p>
    <w:p>
      <w:pPr>
        <w:autoSpaceDE w:val="0"/>
        <w:autoSpaceDN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开户银行：                               开户银行： </w:t>
      </w:r>
    </w:p>
    <w:p>
      <w:pPr>
        <w:autoSpaceDE w:val="0"/>
        <w:autoSpaceDN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开户名称：                               开户名称： </w:t>
      </w:r>
    </w:p>
    <w:p>
      <w:pPr>
        <w:autoSpaceDE w:val="0"/>
        <w:autoSpaceDN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开户账号：</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开户账号：</w:t>
      </w:r>
    </w:p>
    <w:p>
      <w:pPr>
        <w:rPr>
          <w:rFonts w:ascii="宋体" w:hAnsi="宋体" w:cs="宋体"/>
          <w:b/>
          <w:color w:val="000000" w:themeColor="text1"/>
          <w:sz w:val="24"/>
          <w14:textFill>
            <w14:solidFill>
              <w14:schemeClr w14:val="tx1"/>
            </w14:solidFill>
          </w14:textFill>
        </w:rPr>
      </w:pPr>
      <w:bookmarkStart w:id="479" w:name="_Toc331685783"/>
      <w:r>
        <w:rPr>
          <w:rFonts w:hint="eastAsia" w:ascii="宋体" w:hAnsi="宋体" w:cs="宋体"/>
          <w:b/>
          <w:color w:val="000000" w:themeColor="text1"/>
          <w:sz w:val="24"/>
          <w14:textFill>
            <w14:solidFill>
              <w14:schemeClr w14:val="tx1"/>
            </w14:solidFill>
          </w14:textFill>
        </w:rPr>
        <w:br w:type="page"/>
      </w:r>
    </w:p>
    <w:p>
      <w:pPr>
        <w:snapToGrid w:val="0"/>
        <w:spacing w:before="120" w:beforeLines="50" w:after="120" w:afterLines="50" w:line="360" w:lineRule="auto"/>
        <w:jc w:val="center"/>
        <w:outlineLvl w:val="0"/>
        <w:rPr>
          <w:rFonts w:ascii="宋体" w:hAnsi="宋体" w:cs="宋体"/>
          <w:b/>
          <w:color w:val="000000" w:themeColor="text1"/>
          <w:sz w:val="24"/>
          <w14:textFill>
            <w14:solidFill>
              <w14:schemeClr w14:val="tx1"/>
            </w14:solidFill>
          </w14:textFill>
        </w:rPr>
      </w:pPr>
      <w:bookmarkStart w:id="480" w:name="_Toc20959"/>
      <w:r>
        <w:rPr>
          <w:rFonts w:hint="eastAsia" w:ascii="宋体" w:hAnsi="宋体" w:cs="宋体"/>
          <w:b/>
          <w:color w:val="000000" w:themeColor="text1"/>
          <w:sz w:val="24"/>
          <w14:textFill>
            <w14:solidFill>
              <w14:schemeClr w14:val="tx1"/>
            </w14:solidFill>
          </w14:textFill>
        </w:rPr>
        <w:t>第二部分 合同一般条款</w:t>
      </w:r>
      <w:bookmarkEnd w:id="479"/>
      <w:bookmarkEnd w:id="480"/>
    </w:p>
    <w:p>
      <w:pPr>
        <w:snapToGrid w:val="0"/>
        <w:spacing w:line="360" w:lineRule="auto"/>
        <w:ind w:firstLine="482" w:firstLineChars="200"/>
        <w:outlineLvl w:val="1"/>
        <w:rPr>
          <w:rFonts w:ascii="宋体" w:hAnsi="宋体" w:cs="宋体"/>
          <w:b/>
          <w:color w:val="000000" w:themeColor="text1"/>
          <w:sz w:val="24"/>
          <w14:textFill>
            <w14:solidFill>
              <w14:schemeClr w14:val="tx1"/>
            </w14:solidFill>
          </w14:textFill>
        </w:rPr>
      </w:pPr>
      <w:bookmarkStart w:id="481" w:name="_Ref467378499"/>
      <w:bookmarkStart w:id="482" w:name="_Toc259093669"/>
      <w:bookmarkStart w:id="483" w:name="_Toc16917"/>
      <w:bookmarkStart w:id="484" w:name="_Toc279701240"/>
      <w:bookmarkStart w:id="485" w:name="_Toc19614"/>
      <w:bookmarkStart w:id="486" w:name="_Ref467379225"/>
      <w:bookmarkStart w:id="487" w:name="_Ref467379195"/>
      <w:bookmarkStart w:id="488" w:name="_Toc487900349"/>
      <w:bookmarkStart w:id="489" w:name="_Ref467379214"/>
      <w:bookmarkStart w:id="490" w:name="_Ref467379205"/>
      <w:bookmarkStart w:id="491" w:name="_Ref467379101"/>
      <w:bookmarkStart w:id="492" w:name="_Ref467379109"/>
      <w:bookmarkStart w:id="493" w:name="_Toc28763"/>
      <w:bookmarkStart w:id="494" w:name="_Ref467378463"/>
      <w:bookmarkStart w:id="495" w:name="_Ref467379094"/>
      <w:bookmarkStart w:id="496" w:name="_Ref467378404"/>
      <w:r>
        <w:rPr>
          <w:rFonts w:hint="eastAsia" w:ascii="宋体" w:hAnsi="宋体" w:cs="宋体"/>
          <w:b/>
          <w:color w:val="000000" w:themeColor="text1"/>
          <w:sz w:val="24"/>
          <w14:textFill>
            <w14:solidFill>
              <w14:schemeClr w14:val="tx1"/>
            </w14:solidFill>
          </w14:textFill>
        </w:rPr>
        <w:t>2.1 定义</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本合同中的下列词语应按以下内容进行解释：</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 “合同”系指采购人和中标供应商签订的载明双方当事人所达成的协议，并包括所有的附件、附录和构成合同的其他文件。</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 “合同价”系指根据合同约定，中标供应商在完全履行合同义务后，采购人应支付给中标供应商的价格。</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2.1.3 “服务”系指中标供应商根据合同约定应向采购人履行的除货物和工程以外的其他政府采购对象，包括采购人自身需要的服务和向社会公众提供的公共服务。</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bookmarkStart w:id="497" w:name="_Ref467378840"/>
      <w:r>
        <w:rPr>
          <w:rFonts w:hint="eastAsia" w:ascii="宋体" w:hAnsi="宋体" w:cs="宋体"/>
          <w:color w:val="000000" w:themeColor="text1"/>
          <w:sz w:val="24"/>
          <w14:textFill>
            <w14:solidFill>
              <w14:schemeClr w14:val="tx1"/>
            </w14:solidFill>
          </w14:textFill>
        </w:rPr>
        <w:t>2.1.4 “甲方”系指与中标供应商签署合同的采购人</w:t>
      </w:r>
      <w:bookmarkEnd w:id="497"/>
      <w:r>
        <w:rPr>
          <w:rFonts w:hint="eastAsia" w:ascii="宋体" w:hAnsi="宋体" w:cs="宋体"/>
          <w:color w:val="000000" w:themeColor="text1"/>
          <w:sz w:val="24"/>
          <w14:textFill>
            <w14:solidFill>
              <w14:schemeClr w14:val="tx1"/>
            </w14:solidFill>
          </w14:textFill>
        </w:rPr>
        <w:t>；采购人委托采购代理机构代表其与乙方签订合同的，采购人的授权委托书作为合同附件。</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bookmarkStart w:id="498" w:name="_Ref467379400"/>
      <w:r>
        <w:rPr>
          <w:rFonts w:hint="eastAsia" w:ascii="宋体" w:hAnsi="宋体" w:cs="宋体"/>
          <w:color w:val="000000" w:themeColor="text1"/>
          <w:sz w:val="24"/>
          <w14:textFill>
            <w14:solidFill>
              <w14:schemeClr w14:val="tx1"/>
            </w14:solidFill>
          </w14:textFill>
        </w:rPr>
        <w:t>2.1.5 “乙方”系指根据合同约定提供服务的中标供应商</w:t>
      </w:r>
      <w:bookmarkEnd w:id="498"/>
      <w:r>
        <w:rPr>
          <w:rFonts w:hint="eastAsia" w:ascii="宋体" w:hAnsi="宋体" w:cs="宋体"/>
          <w:color w:val="000000" w:themeColor="text1"/>
          <w:sz w:val="24"/>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bookmarkStart w:id="499" w:name="_Ref467379436"/>
      <w:r>
        <w:rPr>
          <w:rFonts w:hint="eastAsia" w:ascii="宋体" w:hAnsi="宋体" w:cs="宋体"/>
          <w:color w:val="000000" w:themeColor="text1"/>
          <w:sz w:val="24"/>
          <w14:textFill>
            <w14:solidFill>
              <w14:schemeClr w14:val="tx1"/>
            </w14:solidFill>
          </w14:textFill>
        </w:rPr>
        <w:t>2.1.6 “现场”系指合同约定提供服务的地点。</w:t>
      </w:r>
      <w:bookmarkEnd w:id="499"/>
    </w:p>
    <w:p>
      <w:pPr>
        <w:snapToGrid w:val="0"/>
        <w:spacing w:line="360" w:lineRule="auto"/>
        <w:ind w:firstLine="482" w:firstLineChars="200"/>
        <w:outlineLvl w:val="1"/>
        <w:rPr>
          <w:rFonts w:ascii="宋体" w:hAnsi="宋体" w:cs="宋体"/>
          <w:b/>
          <w:color w:val="000000" w:themeColor="text1"/>
          <w:sz w:val="24"/>
          <w14:textFill>
            <w14:solidFill>
              <w14:schemeClr w14:val="tx1"/>
            </w14:solidFill>
          </w14:textFill>
        </w:rPr>
      </w:pPr>
      <w:bookmarkStart w:id="500" w:name="_Toc487900350"/>
      <w:bookmarkStart w:id="501" w:name="_Toc279701241"/>
      <w:bookmarkStart w:id="502" w:name="_Toc13336"/>
      <w:bookmarkStart w:id="503" w:name="_Toc32504"/>
      <w:bookmarkStart w:id="504" w:name="_Toc27635"/>
      <w:bookmarkStart w:id="505" w:name="_Toc259093670"/>
      <w:r>
        <w:rPr>
          <w:rFonts w:hint="eastAsia" w:ascii="宋体" w:hAnsi="宋体" w:cs="宋体"/>
          <w:b/>
          <w:color w:val="000000" w:themeColor="text1"/>
          <w:sz w:val="24"/>
          <w14:textFill>
            <w14:solidFill>
              <w14:schemeClr w14:val="tx1"/>
            </w14:solidFill>
          </w14:textFill>
        </w:rPr>
        <w:t>2.2 技术规范</w:t>
      </w:r>
      <w:bookmarkEnd w:id="500"/>
      <w:bookmarkEnd w:id="501"/>
      <w:bookmarkEnd w:id="502"/>
      <w:bookmarkEnd w:id="503"/>
      <w:bookmarkEnd w:id="504"/>
      <w:bookmarkEnd w:id="505"/>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napToGrid w:val="0"/>
        <w:spacing w:line="360" w:lineRule="auto"/>
        <w:ind w:firstLine="482" w:firstLineChars="200"/>
        <w:outlineLvl w:val="1"/>
        <w:rPr>
          <w:rFonts w:ascii="宋体" w:hAnsi="宋体" w:cs="宋体"/>
          <w:b/>
          <w:color w:val="000000" w:themeColor="text1"/>
          <w:sz w:val="24"/>
          <w14:textFill>
            <w14:solidFill>
              <w14:schemeClr w14:val="tx1"/>
            </w14:solidFill>
          </w14:textFill>
        </w:rPr>
      </w:pPr>
      <w:bookmarkStart w:id="506" w:name="_Toc9829"/>
      <w:bookmarkStart w:id="507" w:name="_Toc259093671"/>
      <w:bookmarkStart w:id="508" w:name="_Toc27853"/>
      <w:bookmarkStart w:id="509" w:name="_Toc279701242"/>
      <w:bookmarkStart w:id="510" w:name="_Toc487900351"/>
      <w:bookmarkStart w:id="511" w:name="_Toc31634"/>
      <w:r>
        <w:rPr>
          <w:rFonts w:hint="eastAsia" w:ascii="宋体" w:hAnsi="宋体" w:cs="宋体"/>
          <w:b/>
          <w:color w:val="000000" w:themeColor="text1"/>
          <w:sz w:val="24"/>
          <w14:textFill>
            <w14:solidFill>
              <w14:schemeClr w14:val="tx1"/>
            </w14:solidFill>
          </w14:textFill>
        </w:rPr>
        <w:t>2.3 知识产权</w:t>
      </w:r>
      <w:bookmarkEnd w:id="506"/>
      <w:bookmarkEnd w:id="507"/>
      <w:bookmarkEnd w:id="508"/>
      <w:bookmarkEnd w:id="509"/>
      <w:bookmarkEnd w:id="510"/>
      <w:bookmarkEnd w:id="511"/>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2.3.1 </w:t>
      </w:r>
      <w:bookmarkStart w:id="512" w:name="OLE_LINK45"/>
      <w:r>
        <w:rPr>
          <w:rFonts w:hint="eastAsia" w:ascii="宋体" w:hAnsi="宋体" w:cs="宋体"/>
          <w:color w:val="000000" w:themeColor="text1"/>
          <w:sz w:val="24"/>
          <w14:textFill>
            <w14:solidFill>
              <w14:schemeClr w14:val="tx1"/>
            </w14:solidFill>
          </w14:textFill>
        </w:rPr>
        <w:t>乙方应保证其提供的服务不受任何第三方提出的侵犯其著作权、商标权、专利权等知识产权方面的起诉；如果任何第三方提出侵权指控，那么乙方须与该第三方交涉并承担由此发生的一切责任、费用和赔偿；</w:t>
      </w:r>
    </w:p>
    <w:bookmarkEnd w:id="512"/>
    <w:p>
      <w:pPr>
        <w:snapToGrid w:val="0"/>
        <w:spacing w:line="360" w:lineRule="auto"/>
        <w:ind w:firstLine="480" w:firstLineChars="200"/>
        <w:rPr>
          <w:rFonts w:ascii="宋体" w:hAnsi="宋体" w:cs="宋体"/>
          <w:color w:val="000000" w:themeColor="text1"/>
          <w:sz w:val="24"/>
          <w14:textFill>
            <w14:solidFill>
              <w14:schemeClr w14:val="tx1"/>
            </w14:solidFill>
          </w14:textFill>
        </w:rPr>
      </w:pPr>
      <w:bookmarkStart w:id="513" w:name="OLE_LINK44"/>
      <w:r>
        <w:rPr>
          <w:rFonts w:hint="eastAsia" w:ascii="宋体" w:hAnsi="宋体" w:cs="宋体"/>
          <w:color w:val="000000" w:themeColor="text1"/>
          <w:sz w:val="24"/>
          <w14:textFill>
            <w14:solidFill>
              <w14:schemeClr w14:val="tx1"/>
            </w14:solidFill>
          </w14:textFill>
        </w:rPr>
        <w:t>2.3.2</w:t>
      </w:r>
      <w:bookmarkEnd w:id="513"/>
      <w:r>
        <w:rPr>
          <w:rFonts w:hint="eastAsia" w:ascii="宋体" w:hAnsi="宋体" w:cs="宋体"/>
          <w:color w:val="000000" w:themeColor="text1"/>
          <w:sz w:val="24"/>
          <w14:textFill>
            <w14:solidFill>
              <w14:schemeClr w14:val="tx1"/>
            </w14:solidFill>
          </w14:textFill>
        </w:rPr>
        <w:t>合同涉及技术成果的归属和收益的分成办法的，详见</w:t>
      </w:r>
      <w:bookmarkStart w:id="514" w:name="OLE_LINK43"/>
      <w:r>
        <w:rPr>
          <w:rFonts w:hint="eastAsia" w:ascii="宋体" w:hAnsi="宋体" w:cs="宋体"/>
          <w:b/>
          <w:i/>
          <w:color w:val="000000" w:themeColor="text1"/>
          <w:sz w:val="24"/>
          <w:u w:val="single"/>
          <w14:textFill>
            <w14:solidFill>
              <w14:schemeClr w14:val="tx1"/>
            </w14:solidFill>
          </w14:textFill>
        </w:rPr>
        <w:t>合同专用条款</w:t>
      </w:r>
      <w:bookmarkEnd w:id="514"/>
      <w:r>
        <w:rPr>
          <w:rFonts w:hint="eastAsia" w:ascii="宋体" w:hAnsi="宋体" w:cs="宋体"/>
          <w:color w:val="000000" w:themeColor="text1"/>
          <w:sz w:val="24"/>
          <w14:textFill>
            <w14:solidFill>
              <w14:schemeClr w14:val="tx1"/>
            </w14:solidFill>
          </w14:textFill>
        </w:rPr>
        <w:t>。</w:t>
      </w:r>
    </w:p>
    <w:p>
      <w:pPr>
        <w:snapToGrid w:val="0"/>
        <w:spacing w:line="360" w:lineRule="auto"/>
        <w:ind w:firstLine="482" w:firstLineChars="200"/>
        <w:outlineLvl w:val="1"/>
        <w:rPr>
          <w:rFonts w:ascii="宋体" w:hAnsi="宋体" w:cs="宋体"/>
          <w:b/>
          <w:color w:val="000000" w:themeColor="text1"/>
          <w:sz w:val="24"/>
          <w14:textFill>
            <w14:solidFill>
              <w14:schemeClr w14:val="tx1"/>
            </w14:solidFill>
          </w14:textFill>
        </w:rPr>
      </w:pPr>
      <w:bookmarkStart w:id="515" w:name="_Ref467378541"/>
      <w:bookmarkStart w:id="516" w:name="_Toc487900354"/>
      <w:bookmarkStart w:id="517" w:name="_Ref467379527"/>
      <w:bookmarkStart w:id="518" w:name="_Toc259093674"/>
      <w:bookmarkStart w:id="519" w:name="_Ref467379542"/>
      <w:bookmarkStart w:id="520" w:name="_Toc279701245"/>
      <w:bookmarkStart w:id="521" w:name="_Ref467379536"/>
      <w:bookmarkStart w:id="522" w:name="_Ref467378591"/>
      <w:bookmarkStart w:id="523" w:name="_Toc30272"/>
      <w:bookmarkStart w:id="524" w:name="_Toc19074"/>
      <w:bookmarkStart w:id="525" w:name="_Toc26182"/>
      <w:r>
        <w:rPr>
          <w:rFonts w:hint="eastAsia" w:ascii="宋体" w:hAnsi="宋体" w:cs="宋体"/>
          <w:b/>
          <w:color w:val="000000" w:themeColor="text1"/>
          <w:sz w:val="24"/>
          <w14:textFill>
            <w14:solidFill>
              <w14:schemeClr w14:val="tx1"/>
            </w14:solidFill>
          </w14:textFill>
        </w:rPr>
        <w:t>2.</w:t>
      </w:r>
      <w:bookmarkEnd w:id="515"/>
      <w:bookmarkEnd w:id="516"/>
      <w:bookmarkEnd w:id="517"/>
      <w:bookmarkEnd w:id="518"/>
      <w:bookmarkEnd w:id="519"/>
      <w:bookmarkEnd w:id="520"/>
      <w:bookmarkEnd w:id="521"/>
      <w:bookmarkEnd w:id="522"/>
      <w:r>
        <w:rPr>
          <w:rFonts w:hint="eastAsia" w:ascii="宋体" w:hAnsi="宋体" w:cs="宋体"/>
          <w:b/>
          <w:color w:val="000000" w:themeColor="text1"/>
          <w:sz w:val="24"/>
          <w14:textFill>
            <w14:solidFill>
              <w14:schemeClr w14:val="tx1"/>
            </w14:solidFill>
          </w14:textFill>
        </w:rPr>
        <w:t>4 履约检查和问题反馈</w:t>
      </w:r>
      <w:bookmarkEnd w:id="523"/>
      <w:bookmarkEnd w:id="524"/>
      <w:bookmarkEnd w:id="525"/>
    </w:p>
    <w:p>
      <w:pPr>
        <w:snapToGrid w:val="0"/>
        <w:spacing w:line="360" w:lineRule="auto"/>
        <w:ind w:firstLine="480" w:firstLineChars="200"/>
        <w:rPr>
          <w:rFonts w:ascii="宋体" w:hAnsi="宋体" w:cs="宋体"/>
          <w:color w:val="000000" w:themeColor="text1"/>
          <w:sz w:val="24"/>
          <w14:textFill>
            <w14:solidFill>
              <w14:schemeClr w14:val="tx1"/>
            </w14:solidFill>
          </w14:textFill>
        </w:rPr>
      </w:pPr>
      <w:bookmarkStart w:id="526" w:name="_Ref467379657"/>
      <w:r>
        <w:rPr>
          <w:rFonts w:hint="eastAsia" w:ascii="宋体" w:hAnsi="宋体" w:cs="宋体"/>
          <w:color w:val="000000" w:themeColor="text1"/>
          <w:sz w:val="24"/>
          <w14:textFill>
            <w14:solidFill>
              <w14:schemeClr w14:val="tx1"/>
            </w14:solidFill>
          </w14:textFill>
        </w:rPr>
        <w:t>2.4.1</w:t>
      </w:r>
      <w:bookmarkEnd w:id="526"/>
      <w:bookmarkStart w:id="527" w:name="_Toc186431854"/>
      <w:bookmarkStart w:id="528" w:name="_Ref467379807"/>
      <w:bookmarkStart w:id="529" w:name="_Toc487900357"/>
      <w:bookmarkStart w:id="530" w:name="_Toc259093676"/>
      <w:bookmarkStart w:id="531" w:name="_Toc279701247"/>
      <w:bookmarkStart w:id="532" w:name="_Ref467379793"/>
      <w:r>
        <w:rPr>
          <w:rFonts w:hint="eastAsia" w:ascii="宋体" w:hAnsi="宋体" w:cs="宋体"/>
          <w:color w:val="000000" w:themeColor="text1"/>
          <w:sz w:val="24"/>
          <w14:textFill>
            <w14:solidFill>
              <w14:schemeClr w14:val="tx1"/>
            </w14:solidFill>
          </w14:textFill>
        </w:rPr>
        <w:t>甲方有权在其认为必要时，对乙方是否能够按照合同约定提供服务进行履约检查，以确保乙方所提供的服务能够依约满足甲方之项目需求，但不得因履约检查妨碍乙方的正常工作，乙方应予积极配合；</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2.4.2 合同履行期间，甲方有权将履行过程中出现的问题反馈给乙方，双方当事人应以书面形式约定需要完善和改进的内容</w:t>
      </w:r>
      <w:bookmarkEnd w:id="527"/>
      <w:bookmarkStart w:id="533" w:name="_Toc186431855"/>
      <w:r>
        <w:rPr>
          <w:rFonts w:hint="eastAsia" w:ascii="宋体" w:hAnsi="宋体" w:cs="宋体"/>
          <w:color w:val="000000" w:themeColor="text1"/>
          <w:sz w:val="24"/>
          <w14:textFill>
            <w14:solidFill>
              <w14:schemeClr w14:val="tx1"/>
            </w14:solidFill>
          </w14:textFill>
        </w:rPr>
        <w:t>。</w:t>
      </w:r>
    </w:p>
    <w:bookmarkEnd w:id="528"/>
    <w:bookmarkEnd w:id="529"/>
    <w:bookmarkEnd w:id="530"/>
    <w:bookmarkEnd w:id="531"/>
    <w:bookmarkEnd w:id="532"/>
    <w:bookmarkEnd w:id="533"/>
    <w:p>
      <w:pPr>
        <w:snapToGrid w:val="0"/>
        <w:spacing w:line="360" w:lineRule="auto"/>
        <w:ind w:firstLine="482" w:firstLineChars="200"/>
        <w:outlineLvl w:val="1"/>
        <w:rPr>
          <w:rFonts w:ascii="宋体" w:hAnsi="宋体" w:cs="宋体"/>
          <w:b/>
          <w:color w:val="000000" w:themeColor="text1"/>
          <w:sz w:val="24"/>
          <w14:textFill>
            <w14:solidFill>
              <w14:schemeClr w14:val="tx1"/>
            </w14:solidFill>
          </w14:textFill>
        </w:rPr>
      </w:pPr>
      <w:bookmarkStart w:id="534" w:name="_Toc774"/>
      <w:bookmarkStart w:id="535" w:name="_Toc259093677"/>
      <w:bookmarkStart w:id="536" w:name="_Ref467379863"/>
      <w:bookmarkStart w:id="537" w:name="_Toc279701248"/>
      <w:bookmarkStart w:id="538" w:name="_Ref467379923"/>
      <w:bookmarkStart w:id="539" w:name="_Toc3225"/>
      <w:bookmarkStart w:id="540" w:name="_Ref467379852"/>
      <w:bookmarkStart w:id="541" w:name="_Toc487900358"/>
      <w:bookmarkStart w:id="542" w:name="_Toc16110"/>
      <w:r>
        <w:rPr>
          <w:rFonts w:hint="eastAsia" w:ascii="宋体" w:hAnsi="宋体" w:cs="宋体"/>
          <w:b/>
          <w:color w:val="000000" w:themeColor="text1"/>
          <w:sz w:val="24"/>
          <w14:textFill>
            <w14:solidFill>
              <w14:schemeClr w14:val="tx1"/>
            </w14:solidFill>
          </w14:textFill>
        </w:rPr>
        <w:t xml:space="preserve">2.5 </w:t>
      </w:r>
      <w:bookmarkEnd w:id="534"/>
      <w:bookmarkEnd w:id="535"/>
      <w:bookmarkEnd w:id="536"/>
      <w:bookmarkEnd w:id="537"/>
      <w:bookmarkEnd w:id="538"/>
      <w:bookmarkEnd w:id="539"/>
      <w:bookmarkEnd w:id="540"/>
      <w:bookmarkEnd w:id="541"/>
      <w:bookmarkEnd w:id="542"/>
      <w:r>
        <w:rPr>
          <w:rFonts w:hint="eastAsia" w:ascii="宋体" w:hAnsi="宋体" w:cs="宋体"/>
          <w:b/>
          <w:color w:val="000000" w:themeColor="text1"/>
          <w:sz w:val="24"/>
          <w14:textFill>
            <w14:solidFill>
              <w14:schemeClr w14:val="tx1"/>
            </w14:solidFill>
          </w14:textFill>
        </w:rPr>
        <w:t>结算方式和付款条件</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详见</w:t>
      </w:r>
      <w:r>
        <w:rPr>
          <w:rFonts w:hint="eastAsia" w:ascii="宋体" w:hAnsi="宋体" w:cs="宋体"/>
          <w:b/>
          <w:bCs/>
          <w:i/>
          <w:iCs/>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482" w:firstLineChars="200"/>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2.6 技术资料和保密义务</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2.6.1 乙方有权依据合同约定和项目需要，向甲方了解有关情况，调阅有关资料等，甲方应予积极配合；</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2.6.2 乙方有义务妥善保管和保护由甲方提供的前款信息和资料等；</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napToGrid w:val="0"/>
        <w:spacing w:line="360" w:lineRule="auto"/>
        <w:ind w:firstLine="482" w:firstLineChars="200"/>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2.7 质量保证</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2.7.1 乙方应建立和完善履行合同的内部质量保证体系，并提供相关内部规章制度给甲方，以便甲方进行监督检查；</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2.7.2 乙方应保证履行合同的人员数量和素质、软件和硬件设备的配置、场地、环境和设施等满足全面履行合同的要求，并应接受甲方的监督检查。</w:t>
      </w:r>
    </w:p>
    <w:p>
      <w:pPr>
        <w:snapToGrid w:val="0"/>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2.8 延迟履行</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napToGrid w:val="0"/>
        <w:spacing w:line="360" w:lineRule="auto"/>
        <w:ind w:firstLine="482" w:firstLineChars="200"/>
        <w:outlineLvl w:val="1"/>
        <w:rPr>
          <w:rFonts w:ascii="宋体" w:hAnsi="宋体" w:cs="宋体"/>
          <w:b/>
          <w:color w:val="000000" w:themeColor="text1"/>
          <w:sz w:val="24"/>
          <w14:textFill>
            <w14:solidFill>
              <w14:schemeClr w14:val="tx1"/>
            </w14:solidFill>
          </w14:textFill>
        </w:rPr>
      </w:pPr>
      <w:bookmarkStart w:id="543" w:name="_Toc7502"/>
      <w:bookmarkStart w:id="544" w:name="_Toc487900364"/>
      <w:bookmarkStart w:id="545" w:name="_Ref467378121"/>
      <w:bookmarkStart w:id="546" w:name="_Toc259093683"/>
      <w:bookmarkStart w:id="547" w:name="_Toc279701254"/>
      <w:r>
        <w:rPr>
          <w:rFonts w:hint="eastAsia" w:ascii="宋体" w:hAnsi="宋体" w:cs="宋体"/>
          <w:b/>
          <w:color w:val="000000" w:themeColor="text1"/>
          <w:sz w:val="24"/>
          <w14:textFill>
            <w14:solidFill>
              <w14:schemeClr w14:val="tx1"/>
            </w14:solidFill>
          </w14:textFill>
        </w:rPr>
        <w:t>2.9 合同变更</w:t>
      </w:r>
      <w:bookmarkEnd w:id="543"/>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bookmarkStart w:id="548" w:name="_Toc259093688"/>
      <w:bookmarkStart w:id="549" w:name="_Toc487900369"/>
      <w:bookmarkStart w:id="550" w:name="_Toc279701259"/>
    </w:p>
    <w:p>
      <w:pPr>
        <w:snapToGrid w:val="0"/>
        <w:spacing w:line="360" w:lineRule="auto"/>
        <w:ind w:firstLine="482" w:firstLineChars="200"/>
        <w:outlineLvl w:val="1"/>
        <w:rPr>
          <w:rFonts w:ascii="宋体" w:hAnsi="宋体" w:cs="宋体"/>
          <w:b/>
          <w:color w:val="000000" w:themeColor="text1"/>
          <w:sz w:val="24"/>
          <w14:textFill>
            <w14:solidFill>
              <w14:schemeClr w14:val="tx1"/>
            </w14:solidFill>
          </w14:textFill>
        </w:rPr>
      </w:pPr>
      <w:bookmarkStart w:id="551" w:name="_Toc15237"/>
      <w:bookmarkStart w:id="552" w:name="_Toc22955"/>
      <w:bookmarkStart w:id="553" w:name="_Toc10366"/>
      <w:r>
        <w:rPr>
          <w:rFonts w:hint="eastAsia" w:ascii="宋体" w:hAnsi="宋体" w:cs="宋体"/>
          <w:b/>
          <w:color w:val="000000" w:themeColor="text1"/>
          <w:sz w:val="24"/>
          <w14:textFill>
            <w14:solidFill>
              <w14:schemeClr w14:val="tx1"/>
            </w14:solidFill>
          </w14:textFill>
        </w:rPr>
        <w:t>2.10 合同转让</w:t>
      </w:r>
      <w:bookmarkEnd w:id="548"/>
      <w:bookmarkEnd w:id="549"/>
      <w:bookmarkEnd w:id="550"/>
      <w:r>
        <w:rPr>
          <w:rFonts w:hint="eastAsia" w:ascii="宋体" w:hAnsi="宋体" w:cs="宋体"/>
          <w:b/>
          <w:color w:val="000000" w:themeColor="text1"/>
          <w:sz w:val="24"/>
          <w14:textFill>
            <w14:solidFill>
              <w14:schemeClr w14:val="tx1"/>
            </w14:solidFill>
          </w14:textFill>
        </w:rPr>
        <w:t>和分包</w:t>
      </w:r>
      <w:bookmarkEnd w:id="551"/>
      <w:bookmarkEnd w:id="552"/>
      <w:bookmarkEnd w:id="553"/>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napToGrid w:val="0"/>
        <w:spacing w:line="360" w:lineRule="auto"/>
        <w:ind w:firstLine="482" w:firstLineChars="200"/>
        <w:outlineLvl w:val="1"/>
        <w:rPr>
          <w:rFonts w:ascii="宋体" w:hAnsi="宋体" w:cs="宋体"/>
          <w:b/>
          <w:color w:val="000000" w:themeColor="text1"/>
          <w:sz w:val="24"/>
          <w14:textFill>
            <w14:solidFill>
              <w14:schemeClr w14:val="tx1"/>
            </w14:solidFill>
          </w14:textFill>
        </w:rPr>
      </w:pPr>
      <w:bookmarkStart w:id="554" w:name="_Toc16508"/>
      <w:bookmarkStart w:id="555" w:name="_Toc13566"/>
      <w:bookmarkStart w:id="556" w:name="_Toc14066"/>
      <w:r>
        <w:rPr>
          <w:rFonts w:hint="eastAsia" w:ascii="宋体" w:hAnsi="宋体" w:cs="宋体"/>
          <w:b/>
          <w:color w:val="000000" w:themeColor="text1"/>
          <w:sz w:val="24"/>
          <w14:textFill>
            <w14:solidFill>
              <w14:schemeClr w14:val="tx1"/>
            </w14:solidFill>
          </w14:textFill>
        </w:rPr>
        <w:t>2.11 不可抗力</w:t>
      </w:r>
      <w:bookmarkEnd w:id="554"/>
      <w:bookmarkEnd w:id="555"/>
      <w:bookmarkEnd w:id="556"/>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2.11.1如果任何一方遭遇法律规定的不可抗力，致使合同履行受阻时，履行合同的期限应予延长，延长的期限应相当于不可抗力所影响的时间；</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2.11.2 因不可抗力致使不能实现合同目的的，当事人可以解除合同；</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2.11.3 因不可抗力致使合同有变更必要的，双方当事人应在</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约定时间内以书面形式变更合同；</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2.11.4受不可抗力影响的一方在不可抗力发生后，应在</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约定时间内以书面形式通知对方当事人，并在</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约定时间内，将有关部门出具的证明文件送达对方当事人。</w:t>
      </w:r>
    </w:p>
    <w:p>
      <w:pPr>
        <w:snapToGrid w:val="0"/>
        <w:spacing w:line="360" w:lineRule="auto"/>
        <w:ind w:firstLine="482" w:firstLineChars="200"/>
        <w:outlineLvl w:val="1"/>
        <w:rPr>
          <w:rFonts w:ascii="宋体" w:hAnsi="宋体" w:cs="宋体"/>
          <w:b/>
          <w:color w:val="000000" w:themeColor="text1"/>
          <w:sz w:val="24"/>
          <w14:textFill>
            <w14:solidFill>
              <w14:schemeClr w14:val="tx1"/>
            </w14:solidFill>
          </w14:textFill>
        </w:rPr>
      </w:pPr>
      <w:bookmarkStart w:id="557" w:name="_Toc30676"/>
      <w:bookmarkStart w:id="558" w:name="_Toc689"/>
      <w:bookmarkStart w:id="559" w:name="_Toc487900365"/>
      <w:bookmarkStart w:id="560" w:name="_Toc6969"/>
      <w:bookmarkStart w:id="561" w:name="_Toc259093684"/>
      <w:bookmarkStart w:id="562" w:name="_Toc279701255"/>
      <w:r>
        <w:rPr>
          <w:rFonts w:hint="eastAsia" w:ascii="宋体" w:hAnsi="宋体" w:cs="宋体"/>
          <w:b/>
          <w:color w:val="000000" w:themeColor="text1"/>
          <w:sz w:val="24"/>
          <w14:textFill>
            <w14:solidFill>
              <w14:schemeClr w14:val="tx1"/>
            </w14:solidFill>
          </w14:textFill>
        </w:rPr>
        <w:t>2.12 税费</w:t>
      </w:r>
      <w:bookmarkEnd w:id="557"/>
      <w:bookmarkEnd w:id="558"/>
      <w:bookmarkEnd w:id="559"/>
      <w:bookmarkEnd w:id="560"/>
      <w:bookmarkEnd w:id="561"/>
      <w:bookmarkEnd w:id="562"/>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与合同有关的一切税费，均按照中华人民共和国法律的相关规定。</w:t>
      </w:r>
    </w:p>
    <w:p>
      <w:pPr>
        <w:snapToGrid w:val="0"/>
        <w:spacing w:line="360" w:lineRule="auto"/>
        <w:ind w:firstLine="482" w:firstLineChars="200"/>
        <w:outlineLvl w:val="1"/>
        <w:rPr>
          <w:rFonts w:ascii="宋体" w:hAnsi="宋体" w:cs="宋体"/>
          <w:b/>
          <w:color w:val="000000" w:themeColor="text1"/>
          <w:sz w:val="24"/>
          <w14:textFill>
            <w14:solidFill>
              <w14:schemeClr w14:val="tx1"/>
            </w14:solidFill>
          </w14:textFill>
        </w:rPr>
      </w:pPr>
      <w:bookmarkStart w:id="563" w:name="_Toc16959"/>
      <w:bookmarkStart w:id="564" w:name="_Toc487900368"/>
      <w:bookmarkStart w:id="565" w:name="_Toc259093687"/>
      <w:bookmarkStart w:id="566" w:name="_Toc279701258"/>
      <w:bookmarkStart w:id="567" w:name="_Toc7102"/>
      <w:bookmarkStart w:id="568" w:name="_Toc8298"/>
      <w:r>
        <w:rPr>
          <w:rFonts w:hint="eastAsia" w:ascii="宋体" w:hAnsi="宋体" w:cs="宋体"/>
          <w:b/>
          <w:color w:val="000000" w:themeColor="text1"/>
          <w:sz w:val="24"/>
          <w14:textFill>
            <w14:solidFill>
              <w14:schemeClr w14:val="tx1"/>
            </w14:solidFill>
          </w14:textFill>
        </w:rPr>
        <w:t>2.13乙方破产</w:t>
      </w:r>
      <w:bookmarkEnd w:id="563"/>
      <w:bookmarkEnd w:id="564"/>
      <w:bookmarkEnd w:id="565"/>
      <w:bookmarkEnd w:id="566"/>
      <w:bookmarkEnd w:id="567"/>
      <w:bookmarkEnd w:id="568"/>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napToGrid w:val="0"/>
        <w:spacing w:line="360" w:lineRule="auto"/>
        <w:ind w:firstLine="482" w:firstLineChars="200"/>
        <w:outlineLvl w:val="1"/>
        <w:rPr>
          <w:rFonts w:ascii="宋体" w:hAnsi="宋体" w:cs="宋体"/>
          <w:b/>
          <w:color w:val="000000" w:themeColor="text1"/>
          <w:sz w:val="24"/>
          <w14:textFill>
            <w14:solidFill>
              <w14:schemeClr w14:val="tx1"/>
            </w14:solidFill>
          </w14:textFill>
        </w:rPr>
      </w:pPr>
      <w:bookmarkStart w:id="569" w:name="_Toc6134"/>
      <w:bookmarkStart w:id="570" w:name="_Toc29333"/>
      <w:bookmarkStart w:id="571" w:name="_Toc15387"/>
      <w:r>
        <w:rPr>
          <w:rFonts w:hint="eastAsia" w:ascii="宋体" w:hAnsi="宋体" w:cs="宋体"/>
          <w:b/>
          <w:color w:val="000000" w:themeColor="text1"/>
          <w:sz w:val="24"/>
          <w14:textFill>
            <w14:solidFill>
              <w14:schemeClr w14:val="tx1"/>
            </w14:solidFill>
          </w14:textFill>
        </w:rPr>
        <w:t>2.14合同中止、终止</w:t>
      </w:r>
      <w:bookmarkEnd w:id="569"/>
      <w:bookmarkEnd w:id="570"/>
      <w:bookmarkEnd w:id="571"/>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2.14.1 双方当事人不得擅自中止或者终止合同；</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pPr>
        <w:snapToGrid w:val="0"/>
        <w:spacing w:line="360" w:lineRule="auto"/>
        <w:ind w:firstLine="482" w:firstLineChars="200"/>
        <w:outlineLvl w:val="1"/>
        <w:rPr>
          <w:rFonts w:ascii="宋体" w:hAnsi="宋体" w:cs="宋体"/>
          <w:b/>
          <w:color w:val="000000" w:themeColor="text1"/>
          <w:sz w:val="24"/>
          <w14:textFill>
            <w14:solidFill>
              <w14:schemeClr w14:val="tx1"/>
            </w14:solidFill>
          </w14:textFill>
        </w:rPr>
      </w:pPr>
      <w:bookmarkStart w:id="572" w:name="_Toc1125"/>
      <w:bookmarkStart w:id="573" w:name="_Toc14563"/>
      <w:bookmarkStart w:id="574" w:name="_Toc6596"/>
      <w:r>
        <w:rPr>
          <w:rFonts w:hint="eastAsia" w:ascii="宋体" w:hAnsi="宋体" w:cs="宋体"/>
          <w:b/>
          <w:color w:val="000000" w:themeColor="text1"/>
          <w:sz w:val="24"/>
          <w14:textFill>
            <w14:solidFill>
              <w14:schemeClr w14:val="tx1"/>
            </w14:solidFill>
          </w14:textFill>
        </w:rPr>
        <w:t>2.15检验和验收</w:t>
      </w:r>
      <w:bookmarkEnd w:id="572"/>
      <w:bookmarkEnd w:id="573"/>
      <w:bookmarkEnd w:id="574"/>
    </w:p>
    <w:p>
      <w:pPr>
        <w:tabs>
          <w:tab w:val="left" w:pos="360"/>
          <w:tab w:val="left" w:pos="540"/>
          <w:tab w:val="left" w:pos="1080"/>
        </w:tabs>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2.15.1乙方按照</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的约定，定期提交服务报告，甲方按照</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的约定进行定期验收；</w:t>
      </w:r>
    </w:p>
    <w:p>
      <w:pPr>
        <w:tabs>
          <w:tab w:val="left" w:pos="360"/>
          <w:tab w:val="left" w:pos="540"/>
          <w:tab w:val="left" w:pos="1080"/>
        </w:tabs>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2.15.3 检验和验收标准、程序等具体内容以及前述验收书的效力详见</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i/>
          <w:color w:val="000000" w:themeColor="text1"/>
          <w:sz w:val="24"/>
          <w14:textFill>
            <w14:solidFill>
              <w14:schemeClr w14:val="tx1"/>
            </w14:solidFill>
          </w14:textFill>
        </w:rPr>
        <w:t>。</w:t>
      </w:r>
    </w:p>
    <w:bookmarkEnd w:id="544"/>
    <w:bookmarkEnd w:id="545"/>
    <w:bookmarkEnd w:id="546"/>
    <w:bookmarkEnd w:id="547"/>
    <w:p>
      <w:pPr>
        <w:snapToGrid w:val="0"/>
        <w:spacing w:line="360" w:lineRule="auto"/>
        <w:ind w:firstLine="482" w:firstLineChars="200"/>
        <w:outlineLvl w:val="1"/>
        <w:rPr>
          <w:rFonts w:ascii="宋体" w:hAnsi="宋体" w:cs="宋体"/>
          <w:b/>
          <w:color w:val="000000" w:themeColor="text1"/>
          <w:sz w:val="24"/>
          <w14:textFill>
            <w14:solidFill>
              <w14:schemeClr w14:val="tx1"/>
            </w14:solidFill>
          </w14:textFill>
        </w:rPr>
      </w:pPr>
      <w:bookmarkStart w:id="575" w:name="_Toc279701261"/>
      <w:bookmarkStart w:id="576" w:name="_Toc487900371"/>
      <w:bookmarkStart w:id="577" w:name="_Toc259093690"/>
      <w:bookmarkStart w:id="578" w:name="_Toc25182"/>
      <w:bookmarkStart w:id="579" w:name="_Toc19604"/>
      <w:bookmarkStart w:id="580" w:name="_Toc11284"/>
      <w:r>
        <w:rPr>
          <w:rFonts w:hint="eastAsia" w:ascii="宋体" w:hAnsi="宋体" w:cs="宋体"/>
          <w:b/>
          <w:color w:val="000000" w:themeColor="text1"/>
          <w:sz w:val="24"/>
          <w14:textFill>
            <w14:solidFill>
              <w14:schemeClr w14:val="tx1"/>
            </w14:solidFill>
          </w14:textFill>
        </w:rPr>
        <w:t>2.16 通知</w:t>
      </w:r>
      <w:bookmarkEnd w:id="575"/>
      <w:bookmarkEnd w:id="576"/>
      <w:bookmarkEnd w:id="577"/>
      <w:r>
        <w:rPr>
          <w:rFonts w:hint="eastAsia" w:ascii="宋体" w:hAnsi="宋体" w:cs="宋体"/>
          <w:b/>
          <w:color w:val="000000" w:themeColor="text1"/>
          <w:sz w:val="24"/>
          <w14:textFill>
            <w14:solidFill>
              <w14:schemeClr w14:val="tx1"/>
            </w14:solidFill>
          </w14:textFill>
        </w:rPr>
        <w:t>和送达</w:t>
      </w:r>
      <w:bookmarkEnd w:id="578"/>
      <w:bookmarkEnd w:id="579"/>
      <w:bookmarkEnd w:id="580"/>
    </w:p>
    <w:p>
      <w:pPr>
        <w:snapToGrid w:val="0"/>
        <w:spacing w:line="360" w:lineRule="auto"/>
        <w:ind w:firstLine="480" w:firstLineChars="200"/>
        <w:rPr>
          <w:rFonts w:ascii="宋体" w:hAnsi="宋体" w:cs="宋体"/>
          <w:color w:val="000000" w:themeColor="text1"/>
          <w:sz w:val="24"/>
          <w14:textFill>
            <w14:solidFill>
              <w14:schemeClr w14:val="tx1"/>
            </w14:solidFill>
          </w14:textFill>
        </w:rPr>
      </w:pPr>
      <w:bookmarkStart w:id="581" w:name="_Toc6698"/>
      <w:bookmarkStart w:id="582" w:name="_Toc3135"/>
      <w:bookmarkStart w:id="583" w:name="_Toc259093691"/>
      <w:bookmarkStart w:id="584" w:name="_Toc279701262"/>
      <w:bookmarkStart w:id="585" w:name="_Toc487900372"/>
      <w:r>
        <w:rPr>
          <w:rFonts w:hint="eastAsia" w:ascii="宋体" w:hAnsi="宋体" w:cs="宋体"/>
          <w:color w:val="000000" w:themeColor="text1"/>
          <w:sz w:val="24"/>
          <w14:textFill>
            <w14:solidFill>
              <w14:schemeClr w14:val="tx1"/>
            </w14:solidFill>
          </w14:textFill>
        </w:rPr>
        <w:t xml:space="preserve">2.16.1任何一方因履行合同而以合同第一部分尾部所列明的传真或电子邮件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发出的所有通知、文件、材料，均视为已向对方当事人送达；任何一方变更上述送达方式或者地址的，应于</w:t>
      </w:r>
      <w:r>
        <w:rPr>
          <w:rFonts w:hint="eastAsia" w:ascii="宋体" w:hAnsi="宋体" w:cs="宋体"/>
          <w:color w:val="000000" w:themeColor="text1"/>
          <w:sz w:val="24"/>
          <w:u w:val="single"/>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个工作日内书面通知对方当事人，在对方当事人收到有关变更通知之前，变更前的约定送达方式或者地址仍视为有效。</w:t>
      </w:r>
      <w:bookmarkEnd w:id="581"/>
      <w:bookmarkEnd w:id="582"/>
    </w:p>
    <w:p>
      <w:pPr>
        <w:snapToGrid w:val="0"/>
        <w:spacing w:line="360" w:lineRule="auto"/>
        <w:ind w:firstLine="480" w:firstLineChars="200"/>
        <w:rPr>
          <w:rFonts w:ascii="宋体" w:hAnsi="宋体" w:cs="宋体"/>
          <w:color w:val="000000" w:themeColor="text1"/>
          <w:sz w:val="24"/>
          <w14:textFill>
            <w14:solidFill>
              <w14:schemeClr w14:val="tx1"/>
            </w14:solidFill>
          </w14:textFill>
        </w:rPr>
      </w:pPr>
      <w:bookmarkStart w:id="586" w:name="_Toc23294"/>
      <w:bookmarkStart w:id="587" w:name="_Toc23128"/>
      <w:r>
        <w:rPr>
          <w:rFonts w:hint="eastAsia" w:ascii="宋体" w:hAnsi="宋体" w:cs="宋体"/>
          <w:color w:val="000000" w:themeColor="text1"/>
          <w:sz w:val="24"/>
          <w14:textFill>
            <w14:solidFill>
              <w14:schemeClr w14:val="tx1"/>
            </w14:solidFill>
          </w14:textFill>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586"/>
      <w:bookmarkEnd w:id="587"/>
    </w:p>
    <w:bookmarkEnd w:id="583"/>
    <w:bookmarkEnd w:id="584"/>
    <w:bookmarkEnd w:id="585"/>
    <w:p>
      <w:pPr>
        <w:snapToGrid w:val="0"/>
        <w:spacing w:line="360" w:lineRule="auto"/>
        <w:ind w:firstLine="482" w:firstLineChars="200"/>
        <w:outlineLvl w:val="1"/>
        <w:rPr>
          <w:rFonts w:ascii="宋体" w:hAnsi="宋体" w:cs="宋体"/>
          <w:b/>
          <w:color w:val="000000" w:themeColor="text1"/>
          <w:sz w:val="24"/>
          <w14:textFill>
            <w14:solidFill>
              <w14:schemeClr w14:val="tx1"/>
            </w14:solidFill>
          </w14:textFill>
        </w:rPr>
      </w:pPr>
      <w:bookmarkStart w:id="588" w:name="_Toc12773"/>
      <w:bookmarkStart w:id="589" w:name="_Toc279701263"/>
      <w:bookmarkStart w:id="590" w:name="_Toc259093692"/>
      <w:bookmarkStart w:id="591" w:name="_Toc10330"/>
      <w:bookmarkStart w:id="592" w:name="_Toc18567"/>
      <w:bookmarkStart w:id="593" w:name="_Toc487900373"/>
      <w:r>
        <w:rPr>
          <w:rFonts w:hint="eastAsia" w:ascii="宋体" w:hAnsi="宋体" w:cs="宋体"/>
          <w:b/>
          <w:color w:val="000000" w:themeColor="text1"/>
          <w:sz w:val="24"/>
          <w14:textFill>
            <w14:solidFill>
              <w14:schemeClr w14:val="tx1"/>
            </w14:solidFill>
          </w14:textFill>
        </w:rPr>
        <w:t>2.17合同使用的文字和适用的法律</w:t>
      </w:r>
      <w:bookmarkEnd w:id="588"/>
      <w:bookmarkEnd w:id="589"/>
      <w:bookmarkEnd w:id="590"/>
      <w:bookmarkEnd w:id="591"/>
      <w:bookmarkEnd w:id="592"/>
      <w:bookmarkEnd w:id="593"/>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2.17.1 合同使用汉语书就、变更和解释；</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2.17.2 合同适用中华人民共和国法律。</w:t>
      </w:r>
    </w:p>
    <w:p>
      <w:pPr>
        <w:snapToGrid w:val="0"/>
        <w:spacing w:line="360" w:lineRule="auto"/>
        <w:ind w:firstLine="482" w:firstLineChars="200"/>
        <w:outlineLvl w:val="1"/>
        <w:rPr>
          <w:rFonts w:ascii="宋体" w:hAnsi="宋体" w:cs="宋体"/>
          <w:b/>
          <w:color w:val="000000" w:themeColor="text1"/>
          <w:sz w:val="24"/>
          <w14:textFill>
            <w14:solidFill>
              <w14:schemeClr w14:val="tx1"/>
            </w14:solidFill>
          </w14:textFill>
        </w:rPr>
      </w:pPr>
      <w:bookmarkStart w:id="594" w:name="_Toc4355"/>
      <w:bookmarkStart w:id="595" w:name="_Toc30599"/>
      <w:bookmarkStart w:id="596" w:name="_Toc18540"/>
      <w:bookmarkStart w:id="597" w:name="_Toc487900374"/>
      <w:r>
        <w:rPr>
          <w:rFonts w:hint="eastAsia" w:ascii="宋体" w:hAnsi="宋体" w:cs="宋体"/>
          <w:b/>
          <w:color w:val="000000" w:themeColor="text1"/>
          <w:sz w:val="24"/>
          <w14:textFill>
            <w14:solidFill>
              <w14:schemeClr w14:val="tx1"/>
            </w14:solidFill>
          </w14:textFill>
        </w:rPr>
        <w:t>2.18 计量单位</w:t>
      </w:r>
      <w:bookmarkEnd w:id="594"/>
      <w:bookmarkEnd w:id="595"/>
      <w:bookmarkEnd w:id="596"/>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除技术规范中另有规定外,合同的计量单位均使用国家法定计量单位。</w:t>
      </w:r>
    </w:p>
    <w:bookmarkEnd w:id="597"/>
    <w:p>
      <w:pPr>
        <w:snapToGrid w:val="0"/>
        <w:spacing w:line="360" w:lineRule="auto"/>
        <w:ind w:firstLine="482" w:firstLineChars="200"/>
        <w:outlineLvl w:val="1"/>
        <w:rPr>
          <w:rFonts w:ascii="宋体" w:hAnsi="宋体" w:cs="宋体"/>
          <w:b/>
          <w:color w:val="000000" w:themeColor="text1"/>
          <w:sz w:val="24"/>
          <w14:textFill>
            <w14:solidFill>
              <w14:schemeClr w14:val="tx1"/>
            </w14:solidFill>
          </w14:textFill>
        </w:rPr>
      </w:pPr>
      <w:bookmarkStart w:id="598" w:name="_Toc14001"/>
      <w:bookmarkStart w:id="599" w:name="_Toc19890"/>
      <w:bookmarkStart w:id="600" w:name="_Toc6885"/>
      <w:r>
        <w:rPr>
          <w:rFonts w:hint="eastAsia" w:ascii="宋体" w:hAnsi="宋体" w:cs="宋体"/>
          <w:b/>
          <w:color w:val="000000" w:themeColor="text1"/>
          <w:sz w:val="24"/>
          <w14:textFill>
            <w14:solidFill>
              <w14:schemeClr w14:val="tx1"/>
            </w14:solidFill>
          </w14:textFill>
        </w:rPr>
        <w:t>2.19合同份数</w:t>
      </w:r>
      <w:bookmarkEnd w:id="598"/>
      <w:bookmarkEnd w:id="599"/>
      <w:bookmarkEnd w:id="600"/>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合同份数按</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规定，每份均具有同等法律效力。</w:t>
      </w:r>
    </w:p>
    <w:p>
      <w:pP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br w:type="page"/>
      </w:r>
    </w:p>
    <w:p>
      <w:pPr>
        <w:snapToGrid w:val="0"/>
        <w:spacing w:before="120" w:beforeLines="50" w:after="120" w:afterLines="50" w:line="360" w:lineRule="auto"/>
        <w:jc w:val="center"/>
        <w:outlineLvl w:val="0"/>
        <w:rPr>
          <w:rFonts w:ascii="宋体" w:hAnsi="宋体" w:cs="宋体"/>
          <w:b/>
          <w:color w:val="000000" w:themeColor="text1"/>
          <w:sz w:val="24"/>
          <w:highlight w:val="none"/>
          <w14:textFill>
            <w14:solidFill>
              <w14:schemeClr w14:val="tx1"/>
            </w14:solidFill>
          </w14:textFill>
        </w:rPr>
      </w:pPr>
      <w:bookmarkStart w:id="601" w:name="_Toc11897"/>
      <w:r>
        <w:rPr>
          <w:rFonts w:hint="eastAsia" w:ascii="宋体" w:hAnsi="宋体" w:cs="宋体"/>
          <w:b/>
          <w:color w:val="000000" w:themeColor="text1"/>
          <w:sz w:val="24"/>
          <w:highlight w:val="none"/>
          <w14:textFill>
            <w14:solidFill>
              <w14:schemeClr w14:val="tx1"/>
            </w14:solidFill>
          </w14:textFill>
        </w:rPr>
        <w:t>第三部分  合同专用条款</w:t>
      </w:r>
      <w:bookmarkEnd w:id="601"/>
    </w:p>
    <w:p>
      <w:pPr>
        <w:snapToGrid w:val="0"/>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01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81"/>
        <w:gridCol w:w="81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881" w:type="dxa"/>
            <w:tcBorders>
              <w:lef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条款号</w:t>
            </w:r>
          </w:p>
        </w:tc>
        <w:tc>
          <w:tcPr>
            <w:tcW w:w="8132"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881" w:type="dxa"/>
            <w:tcBorders>
              <w:lef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w:t>
            </w:r>
          </w:p>
        </w:tc>
        <w:tc>
          <w:tcPr>
            <w:tcW w:w="8132" w:type="dxa"/>
            <w:vAlign w:val="center"/>
          </w:tcPr>
          <w:p>
            <w:pPr>
              <w:keepNext w:val="0"/>
              <w:keepLines w:val="0"/>
              <w:suppressLineNumbers w:val="0"/>
              <w:snapToGrid w:val="0"/>
              <w:spacing w:before="0" w:beforeAutospacing="0" w:after="0" w:afterAutospacing="0"/>
              <w:ind w:right="0"/>
              <w:rPr>
                <w:rFonts w:hint="default" w:ascii="宋体" w:hAnsi="宋体" w:cs="宋体"/>
                <w:color w:val="000000" w:themeColor="text1"/>
                <w:sz w:val="24"/>
                <w:highlight w:val="none"/>
                <w14:textFill>
                  <w14:solidFill>
                    <w14:schemeClr w14:val="tx1"/>
                  </w14:solidFill>
                </w14:textFill>
              </w:rPr>
            </w:pPr>
            <w:r>
              <w:rPr>
                <w:rFonts w:hint="eastAsia" w:ascii="宋体" w:hAnsi="宋体" w:cs="宋体"/>
                <w:kern w:val="0"/>
                <w:sz w:val="24"/>
              </w:rPr>
              <w:t>以</w:t>
            </w:r>
            <w:r>
              <w:rPr>
                <w:rFonts w:hint="eastAsia" w:ascii="宋体" w:hAnsi="宋体" w:cs="宋体"/>
                <w:color w:val="000000" w:themeColor="text1"/>
                <w:kern w:val="0"/>
                <w:sz w:val="24"/>
                <w:highlight w:val="none"/>
                <w14:textFill>
                  <w14:solidFill>
                    <w14:schemeClr w14:val="tx1"/>
                  </w14:solidFill>
                </w14:textFill>
              </w:rPr>
              <w:t>支票、汇票、本票或者金融机构、担保机构出具的保函等非现金形式提交</w:t>
            </w: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881" w:type="dxa"/>
            <w:tcBorders>
              <w:lef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 w:val="24"/>
                <w:highlight w:val="none"/>
                <w14:textFill>
                  <w14:solidFill>
                    <w14:schemeClr w14:val="tx1"/>
                  </w14:solidFill>
                </w14:textFill>
              </w:rPr>
            </w:pPr>
            <w:bookmarkStart w:id="602" w:name="OLE_LINK33"/>
            <w:r>
              <w:rPr>
                <w:rFonts w:hint="eastAsia" w:ascii="宋体" w:hAnsi="宋体" w:cs="宋体"/>
                <w:color w:val="000000" w:themeColor="text1"/>
                <w:sz w:val="24"/>
                <w:highlight w:val="none"/>
                <w14:textFill>
                  <w14:solidFill>
                    <w14:schemeClr w14:val="tx1"/>
                  </w14:solidFill>
                </w14:textFill>
              </w:rPr>
              <w:t>1.5.1</w:t>
            </w:r>
            <w:bookmarkEnd w:id="602"/>
          </w:p>
        </w:tc>
        <w:tc>
          <w:tcPr>
            <w:tcW w:w="8132" w:type="dxa"/>
            <w:vAlign w:val="center"/>
          </w:tcPr>
          <w:p>
            <w:pPr>
              <w:keepNext w:val="0"/>
              <w:keepLines w:val="0"/>
              <w:suppressLineNumbers w:val="0"/>
              <w:tabs>
                <w:tab w:val="left" w:pos="0"/>
              </w:tabs>
              <w:snapToGrid/>
              <w:spacing w:before="0" w:beforeAutospacing="0" w:after="0" w:afterAutospacing="0" w:line="360" w:lineRule="auto"/>
              <w:ind w:left="0" w:right="0" w:firstLine="480"/>
              <w:rPr>
                <w:rFonts w:hint="default"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预付款比例、支付方式、时间：</w:t>
            </w:r>
            <w:r>
              <w:rPr>
                <w:rFonts w:hint="default" w:ascii="Times New Roman" w:hAnsi="Times New Roman" w:eastAsia="宋体" w:cs="Times New Roman"/>
                <w:strike w:val="0"/>
                <w:color w:val="auto"/>
                <w:sz w:val="24"/>
                <w:szCs w:val="24"/>
                <w:highlight w:val="none"/>
                <w:lang w:val="en-US" w:eastAsia="zh-CN"/>
              </w:rPr>
              <w:t>合同签订后，且具备实施条件后5个工作日内，支付合同金额的</w:t>
            </w:r>
            <w:r>
              <w:rPr>
                <w:rFonts w:hint="eastAsia" w:cs="Times New Roman"/>
                <w:strike w:val="0"/>
                <w:color w:val="auto"/>
                <w:sz w:val="24"/>
                <w:szCs w:val="24"/>
                <w:highlight w:val="none"/>
                <w:lang w:val="en-US" w:eastAsia="zh-CN"/>
              </w:rPr>
              <w:t>7</w:t>
            </w:r>
            <w:r>
              <w:rPr>
                <w:rFonts w:hint="default" w:ascii="Times New Roman" w:hAnsi="Times New Roman" w:cs="Times New Roman"/>
                <w:strike w:val="0"/>
                <w:color w:val="auto"/>
                <w:sz w:val="24"/>
                <w:szCs w:val="24"/>
                <w:highlight w:val="none"/>
                <w:lang w:val="en-US" w:eastAsia="zh-CN"/>
              </w:rPr>
              <w:t>0</w:t>
            </w:r>
            <w:r>
              <w:rPr>
                <w:rFonts w:hint="default" w:ascii="Times New Roman" w:hAnsi="Times New Roman" w:eastAsia="宋体" w:cs="Times New Roman"/>
                <w:strike w:val="0"/>
                <w:color w:val="auto"/>
                <w:sz w:val="24"/>
                <w:szCs w:val="24"/>
                <w:highlight w:val="none"/>
                <w:lang w:val="en-US" w:eastAsia="zh-CN"/>
              </w:rPr>
              <w:t>%</w:t>
            </w:r>
            <w:r>
              <w:rPr>
                <w:rFonts w:hint="default" w:ascii="Times New Roman" w:hAnsi="Times New Roman" w:cs="Times New Roman"/>
                <w:strike w:val="0"/>
                <w:color w:val="auto"/>
                <w:sz w:val="24"/>
                <w:szCs w:val="24"/>
                <w:highlight w:val="none"/>
                <w:lang w:val="en-US" w:eastAsia="zh-CN"/>
              </w:rPr>
              <w:t>预付款。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881" w:type="dxa"/>
            <w:tcBorders>
              <w:left w:val="single" w:color="auto" w:sz="4" w:space="0"/>
            </w:tcBorders>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rPr>
              <w:t>1.5.2</w:t>
            </w:r>
          </w:p>
        </w:tc>
        <w:tc>
          <w:tcPr>
            <w:tcW w:w="8132" w:type="dxa"/>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cs="宋体"/>
                <w:sz w:val="24"/>
              </w:rPr>
              <w:t>不扣回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881" w:type="dxa"/>
            <w:tcBorders>
              <w:lef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1.5.3</w:t>
            </w:r>
          </w:p>
        </w:tc>
        <w:tc>
          <w:tcPr>
            <w:tcW w:w="8132" w:type="dxa"/>
            <w:vAlign w:val="center"/>
          </w:tcPr>
          <w:p>
            <w:pPr>
              <w:keepNext w:val="0"/>
              <w:keepLines w:val="0"/>
              <w:suppressLineNumbers w:val="0"/>
              <w:tabs>
                <w:tab w:val="left" w:pos="0"/>
              </w:tabs>
              <w:snapToGrid/>
              <w:spacing w:before="0" w:beforeAutospacing="0" w:after="0" w:afterAutospacing="0" w:line="360" w:lineRule="auto"/>
              <w:ind w:right="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w:t>
            </w:r>
            <w:r>
              <w:rPr>
                <w:rFonts w:hint="eastAsia" w:ascii="宋体" w:hAnsi="宋体" w:cs="宋体"/>
                <w:color w:val="000000" w:themeColor="text1"/>
                <w:kern w:val="0"/>
                <w:sz w:val="24"/>
                <w:highlight w:val="none"/>
                <w14:textFill>
                  <w14:solidFill>
                    <w14:schemeClr w14:val="tx1"/>
                  </w14:solidFill>
                </w14:textFill>
              </w:rPr>
              <w:t>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881" w:type="dxa"/>
            <w:tcBorders>
              <w:lef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w:t>
            </w:r>
          </w:p>
        </w:tc>
        <w:tc>
          <w:tcPr>
            <w:tcW w:w="8132" w:type="dxa"/>
            <w:vAlign w:val="center"/>
          </w:tcPr>
          <w:p>
            <w:pPr>
              <w:numPr>
                <w:ilvl w:val="0"/>
                <w:numId w:val="1"/>
              </w:numPr>
              <w:tabs>
                <w:tab w:val="left" w:pos="0"/>
                <w:tab w:val="clear" w:pos="312"/>
              </w:tabs>
              <w:spacing w:line="360" w:lineRule="auto"/>
              <w:ind w:firstLine="480"/>
              <w:rPr>
                <w:rFonts w:hint="eastAsia" w:ascii="宋体" w:hAnsi="宋体" w:cs="宋体"/>
                <w:color w:val="000000" w:themeColor="text1"/>
                <w:sz w:val="24"/>
                <w:lang w:eastAsia="zh-CN"/>
                <w14:textFill>
                  <w14:solidFill>
                    <w14:schemeClr w14:val="tx1"/>
                  </w14:solidFill>
                </w14:textFill>
              </w:rPr>
            </w:pPr>
            <w:bookmarkStart w:id="603" w:name="OLE_LINK53"/>
            <w:r>
              <w:rPr>
                <w:rFonts w:hint="default" w:ascii="Times New Roman" w:hAnsi="Times New Roman" w:eastAsia="宋体" w:cs="Times New Roman"/>
                <w:strike w:val="0"/>
                <w:color w:val="auto"/>
                <w:sz w:val="24"/>
                <w:szCs w:val="24"/>
                <w:highlight w:val="none"/>
                <w:lang w:val="en-US" w:eastAsia="zh-CN"/>
              </w:rPr>
              <w:t>合同签订后，且具备实施条件后5个工作日内，支付合同金额的</w:t>
            </w:r>
            <w:r>
              <w:rPr>
                <w:rFonts w:hint="eastAsia" w:cs="Times New Roman"/>
                <w:strike w:val="0"/>
                <w:color w:val="auto"/>
                <w:sz w:val="24"/>
                <w:szCs w:val="24"/>
                <w:highlight w:val="none"/>
                <w:lang w:val="en-US" w:eastAsia="zh-CN"/>
              </w:rPr>
              <w:t>7</w:t>
            </w:r>
            <w:r>
              <w:rPr>
                <w:rFonts w:hint="default" w:ascii="Times New Roman" w:hAnsi="Times New Roman" w:cs="Times New Roman"/>
                <w:strike w:val="0"/>
                <w:color w:val="auto"/>
                <w:sz w:val="24"/>
                <w:szCs w:val="24"/>
                <w:highlight w:val="none"/>
                <w:lang w:val="en-US" w:eastAsia="zh-CN"/>
              </w:rPr>
              <w:t>0</w:t>
            </w:r>
            <w:r>
              <w:rPr>
                <w:rFonts w:hint="default" w:ascii="Times New Roman" w:hAnsi="Times New Roman" w:eastAsia="宋体" w:cs="Times New Roman"/>
                <w:strike w:val="0"/>
                <w:color w:val="auto"/>
                <w:sz w:val="24"/>
                <w:szCs w:val="24"/>
                <w:highlight w:val="none"/>
                <w:lang w:val="en-US" w:eastAsia="zh-CN"/>
              </w:rPr>
              <w:t>%</w:t>
            </w:r>
            <w:r>
              <w:rPr>
                <w:rFonts w:hint="default" w:ascii="Times New Roman" w:hAnsi="Times New Roman" w:cs="Times New Roman"/>
                <w:strike w:val="0"/>
                <w:color w:val="auto"/>
                <w:sz w:val="24"/>
                <w:szCs w:val="24"/>
                <w:highlight w:val="none"/>
                <w:lang w:val="en-US" w:eastAsia="zh-CN"/>
              </w:rPr>
              <w:t>预付款</w:t>
            </w:r>
            <w:r>
              <w:rPr>
                <w:rFonts w:hint="eastAsia" w:ascii="宋体" w:hAnsi="宋体" w:cs="宋体"/>
                <w:color w:val="000000" w:themeColor="text1"/>
                <w:sz w:val="24"/>
                <w:lang w:eastAsia="zh-CN"/>
                <w14:textFill>
                  <w14:solidFill>
                    <w14:schemeClr w14:val="tx1"/>
                  </w14:solidFill>
                </w14:textFill>
              </w:rPr>
              <w:t>；</w:t>
            </w:r>
          </w:p>
          <w:p>
            <w:pPr>
              <w:numPr>
                <w:ilvl w:val="0"/>
                <w:numId w:val="1"/>
              </w:numPr>
              <w:tabs>
                <w:tab w:val="left" w:pos="0"/>
                <w:tab w:val="clear" w:pos="312"/>
              </w:tabs>
              <w:spacing w:line="360" w:lineRule="auto"/>
              <w:ind w:firstLine="480"/>
              <w:rPr>
                <w:rFonts w:hint="default" w:ascii="宋体" w:hAnsi="宋体" w:cs="宋体"/>
                <w:color w:val="000000" w:themeColor="text1"/>
                <w:sz w:val="24"/>
                <w:highlight w:val="none"/>
                <w14:textFill>
                  <w14:solidFill>
                    <w14:schemeClr w14:val="tx1"/>
                  </w14:solidFill>
                </w14:textFill>
              </w:rPr>
            </w:pPr>
            <w:r>
              <w:rPr>
                <w:rFonts w:hint="eastAsia" w:cs="Times New Roman"/>
                <w:strike w:val="0"/>
                <w:color w:val="auto"/>
                <w:sz w:val="24"/>
                <w:szCs w:val="24"/>
                <w:highlight w:val="none"/>
                <w:lang w:val="en-US" w:eastAsia="zh-CN"/>
              </w:rPr>
              <w:t>分析研究报告通过专家审查</w:t>
            </w:r>
            <w:r>
              <w:rPr>
                <w:rFonts w:hint="default" w:ascii="Times New Roman" w:hAnsi="Times New Roman" w:cs="Times New Roman"/>
                <w:strike w:val="0"/>
                <w:color w:val="auto"/>
                <w:sz w:val="24"/>
                <w:szCs w:val="24"/>
                <w:highlight w:val="none"/>
                <w:lang w:val="en-US" w:eastAsia="zh-CN"/>
              </w:rPr>
              <w:t>，</w:t>
            </w:r>
            <w:r>
              <w:rPr>
                <w:rFonts w:hint="default" w:ascii="Times New Roman" w:hAnsi="Times New Roman" w:eastAsia="宋体" w:cs="Times New Roman"/>
                <w:strike w:val="0"/>
                <w:color w:val="auto"/>
                <w:sz w:val="24"/>
                <w:szCs w:val="24"/>
                <w:highlight w:val="none"/>
                <w:lang w:val="en-US" w:eastAsia="zh-CN"/>
              </w:rPr>
              <w:t>且具备支付条件后5个工作日内支付剩余合同尾款。</w:t>
            </w:r>
            <w:bookmarkEnd w:id="603"/>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881" w:type="dxa"/>
            <w:tcBorders>
              <w:lef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w:t>
            </w:r>
          </w:p>
        </w:tc>
        <w:tc>
          <w:tcPr>
            <w:tcW w:w="81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default"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服务交付（实施）的时间（期限）：</w:t>
            </w:r>
            <w:bookmarkStart w:id="604" w:name="OLE_LINK127"/>
            <w:bookmarkStart w:id="605" w:name="OLE_LINK50"/>
            <w:r>
              <w:rPr>
                <w:rFonts w:hint="default" w:ascii="Times New Roman" w:hAnsi="Times New Roman" w:cs="Times New Roman"/>
                <w:strike w:val="0"/>
                <w:color w:val="auto"/>
                <w:sz w:val="24"/>
                <w:szCs w:val="24"/>
                <w:highlight w:val="none"/>
                <w:u w:val="single"/>
                <w:lang w:val="en-US" w:eastAsia="zh-CN"/>
              </w:rPr>
              <w:t>约4个月，具体以合同签订日期为准</w:t>
            </w:r>
            <w:r>
              <w:rPr>
                <w:rFonts w:hint="eastAsia" w:ascii="Times New Roman" w:hAnsi="Times New Roman" w:cs="Times New Roman"/>
                <w:strike w:val="0"/>
                <w:color w:val="auto"/>
                <w:sz w:val="24"/>
                <w:szCs w:val="24"/>
                <w:highlight w:val="none"/>
                <w:u w:val="single"/>
                <w:lang w:val="en-US" w:eastAsia="zh-CN"/>
              </w:rPr>
              <w:t>。</w:t>
            </w:r>
            <w:r>
              <w:rPr>
                <w:rFonts w:hint="default" w:ascii="Times New Roman" w:hAnsi="Times New Roman" w:cs="Times New Roman"/>
                <w:color w:val="auto"/>
                <w:sz w:val="24"/>
                <w:highlight w:val="none"/>
                <w:u w:val="single"/>
                <w:lang w:val="en-US" w:eastAsia="zh-CN"/>
              </w:rPr>
              <w:t>合同签订后10天内完成工作大纲编制，组织专家审查，确定研究的技术线路，开展资料收集和调研工作</w:t>
            </w:r>
            <w:r>
              <w:rPr>
                <w:rFonts w:hint="eastAsia" w:cs="Times New Roman"/>
                <w:color w:val="auto"/>
                <w:sz w:val="24"/>
                <w:highlight w:val="none"/>
                <w:u w:val="single"/>
                <w:lang w:val="en-US" w:eastAsia="zh-CN"/>
              </w:rPr>
              <w:t>；</w:t>
            </w:r>
            <w:r>
              <w:rPr>
                <w:rFonts w:hint="default" w:ascii="Times New Roman" w:hAnsi="Times New Roman" w:cs="Times New Roman"/>
                <w:color w:val="auto"/>
                <w:sz w:val="24"/>
                <w:highlight w:val="none"/>
                <w:u w:val="single"/>
                <w:lang w:val="en-US" w:eastAsia="zh-CN"/>
              </w:rPr>
              <w:t>9月底完成分析研究报告初稿编制</w:t>
            </w:r>
            <w:r>
              <w:rPr>
                <w:rFonts w:hint="eastAsia" w:cs="Times New Roman"/>
                <w:color w:val="auto"/>
                <w:sz w:val="24"/>
                <w:highlight w:val="none"/>
                <w:u w:val="single"/>
                <w:lang w:val="en-US" w:eastAsia="zh-CN"/>
              </w:rPr>
              <w:t>；</w:t>
            </w:r>
            <w:r>
              <w:rPr>
                <w:rFonts w:hint="default" w:ascii="Times New Roman" w:hAnsi="Times New Roman" w:cs="Times New Roman"/>
                <w:color w:val="auto"/>
                <w:sz w:val="24"/>
                <w:highlight w:val="none"/>
                <w:u w:val="single"/>
                <w:lang w:val="en-US" w:eastAsia="zh-CN"/>
              </w:rPr>
              <w:t>10月具备专家审查的条件</w:t>
            </w:r>
            <w:r>
              <w:rPr>
                <w:rFonts w:hint="eastAsia" w:cs="Times New Roman"/>
                <w:color w:val="auto"/>
                <w:sz w:val="24"/>
                <w:highlight w:val="none"/>
                <w:u w:val="single"/>
                <w:lang w:val="en-US" w:eastAsia="zh-CN"/>
              </w:rPr>
              <w:t>；</w:t>
            </w:r>
            <w:r>
              <w:rPr>
                <w:rFonts w:hint="default" w:ascii="Times New Roman" w:hAnsi="Times New Roman" w:cs="Times New Roman"/>
                <w:color w:val="auto"/>
                <w:sz w:val="24"/>
                <w:highlight w:val="none"/>
                <w:u w:val="single"/>
                <w:lang w:val="en-US" w:eastAsia="zh-CN"/>
              </w:rPr>
              <w:t>11月20日前完成工作报告通过验收。</w:t>
            </w:r>
            <w:bookmarkEnd w:id="604"/>
            <w:bookmarkEnd w:id="605"/>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881" w:type="dxa"/>
            <w:tcBorders>
              <w:lef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1.7.2</w:t>
            </w:r>
          </w:p>
        </w:tc>
        <w:tc>
          <w:tcPr>
            <w:tcW w:w="8132" w:type="dxa"/>
            <w:vAlign w:val="center"/>
          </w:tcPr>
          <w:p>
            <w:pPr>
              <w:keepNext w:val="0"/>
              <w:keepLines w:val="0"/>
              <w:suppressLineNumbers w:val="0"/>
              <w:snapToGrid w:val="0"/>
              <w:spacing w:before="0" w:beforeAutospacing="0" w:after="0" w:afterAutospacing="0"/>
              <w:ind w:left="0" w:right="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服务交付（实施）的地点（地域范围）：杭州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881" w:type="dxa"/>
            <w:tcBorders>
              <w:lef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1.7.3</w:t>
            </w:r>
          </w:p>
        </w:tc>
        <w:tc>
          <w:tcPr>
            <w:tcW w:w="8132" w:type="dxa"/>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服务交付（实施）的方式：</w:t>
            </w:r>
            <w:r>
              <w:rPr>
                <w:rFonts w:hint="eastAsia" w:ascii="宋体" w:hAnsi="宋体" w:cs="宋体"/>
                <w:color w:val="000000"/>
                <w:sz w:val="24"/>
              </w:rPr>
              <w:t>现实履行</w:t>
            </w:r>
            <w:r>
              <w:rPr>
                <w:rFonts w:hint="eastAsia" w:ascii="宋体" w:hAnsi="宋体" w:cs="宋体"/>
                <w:color w:val="000000"/>
                <w:sz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881" w:type="dxa"/>
            <w:tcBorders>
              <w:lef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1.9.1</w:t>
            </w:r>
          </w:p>
        </w:tc>
        <w:tc>
          <w:tcPr>
            <w:tcW w:w="8132" w:type="dxa"/>
            <w:vAlign w:val="center"/>
          </w:tcPr>
          <w:p>
            <w:pPr>
              <w:keepNext w:val="0"/>
              <w:keepLines w:val="0"/>
              <w:suppressLineNumbers w:val="0"/>
              <w:snapToGrid w:val="0"/>
              <w:spacing w:before="0" w:beforeAutospacing="0" w:after="0" w:afterAutospacing="0"/>
              <w:ind w:left="0" w:right="0"/>
              <w:rPr>
                <w:rFonts w:hint="default" w:ascii="宋体" w:hAnsi="宋体" w:cs="宋体"/>
                <w:color w:val="000000" w:themeColor="text1"/>
                <w:sz w:val="24"/>
                <w14:textFill>
                  <w14:solidFill>
                    <w14:schemeClr w14:val="tx1"/>
                  </w14:solidFill>
                </w14:textFill>
              </w:rPr>
            </w:pPr>
            <w:bookmarkStart w:id="606" w:name="OLE_LINK125"/>
            <w:r>
              <w:rPr>
                <w:rFonts w:hint="eastAsia" w:ascii="宋体" w:hAnsi="宋体" w:cs="宋体"/>
                <w:color w:val="000000" w:themeColor="text1"/>
                <w:sz w:val="24"/>
                <w14:textFill>
                  <w14:solidFill>
                    <w14:schemeClr w14:val="tx1"/>
                  </w14:solidFill>
                </w14:textFill>
              </w:rPr>
              <w:t>杭州</w:t>
            </w:r>
            <w:bookmarkEnd w:id="606"/>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881" w:type="dxa"/>
            <w:tcBorders>
              <w:lef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1.9.2</w:t>
            </w:r>
          </w:p>
        </w:tc>
        <w:tc>
          <w:tcPr>
            <w:tcW w:w="8132" w:type="dxa"/>
            <w:vAlign w:val="center"/>
          </w:tcPr>
          <w:p>
            <w:pPr>
              <w:keepNext w:val="0"/>
              <w:keepLines w:val="0"/>
              <w:suppressLineNumbers w:val="0"/>
              <w:snapToGrid w:val="0"/>
              <w:spacing w:before="0" w:beforeAutospacing="0" w:after="0" w:afterAutospacing="0"/>
              <w:ind w:left="0" w:right="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881" w:type="dxa"/>
            <w:tcBorders>
              <w:left w:val="single" w:color="auto" w:sz="4" w:space="0"/>
            </w:tcBorders>
            <w:vAlign w:val="center"/>
          </w:tcPr>
          <w:p>
            <w:pPr>
              <w:spacing w:line="360" w:lineRule="auto"/>
              <w:jc w:val="center"/>
              <w:rPr>
                <w:rFonts w:hint="eastAsia" w:ascii="宋体" w:hAnsi="宋体" w:eastAsia="宋体" w:cs="宋体"/>
                <w:kern w:val="2"/>
                <w:sz w:val="24"/>
                <w:szCs w:val="24"/>
                <w:lang w:val="en-US" w:eastAsia="zh-CN" w:bidi="ar-SA"/>
              </w:rPr>
            </w:pPr>
            <w:bookmarkStart w:id="607" w:name="OLE_LINK89" w:colFirst="1" w:colLast="1"/>
            <w:r>
              <w:rPr>
                <w:rFonts w:hint="eastAsia" w:ascii="宋体" w:hAnsi="宋体" w:cs="宋体"/>
                <w:sz w:val="24"/>
              </w:rPr>
              <w:t>2.3.2</w:t>
            </w:r>
          </w:p>
        </w:tc>
        <w:tc>
          <w:tcPr>
            <w:tcW w:w="81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kern w:val="2"/>
                <w:sz w:val="24"/>
                <w:szCs w:val="24"/>
                <w:u w:val="none"/>
                <w:lang w:val="en-US" w:eastAsia="zh-CN" w:bidi="ar-SA"/>
              </w:rPr>
            </w:pPr>
            <w:r>
              <w:rPr>
                <w:rFonts w:hint="default" w:ascii="Times New Roman" w:hAnsi="Times New Roman" w:eastAsia="宋体" w:cs="Times New Roman"/>
                <w:iCs/>
                <w:color w:val="auto"/>
                <w:sz w:val="24"/>
                <w:highlight w:val="none"/>
                <w:u w:val="none"/>
                <w:lang w:val="en-US" w:eastAsia="zh-CN"/>
              </w:rPr>
              <w:t>研究成果的知识产权归</w:t>
            </w:r>
            <w:r>
              <w:rPr>
                <w:rFonts w:hint="eastAsia" w:cs="Times New Roman"/>
                <w:iCs/>
                <w:color w:val="auto"/>
                <w:sz w:val="24"/>
                <w:highlight w:val="none"/>
                <w:u w:val="none"/>
                <w:lang w:val="en-US" w:eastAsia="zh-CN"/>
              </w:rPr>
              <w:t>甲方</w:t>
            </w:r>
            <w:r>
              <w:rPr>
                <w:rFonts w:hint="default" w:ascii="Times New Roman" w:hAnsi="Times New Roman" w:eastAsia="宋体" w:cs="Times New Roman"/>
                <w:iCs/>
                <w:color w:val="auto"/>
                <w:sz w:val="24"/>
                <w:highlight w:val="none"/>
                <w:u w:val="none"/>
                <w:lang w:val="en-US" w:eastAsia="zh-CN"/>
              </w:rPr>
              <w:t>所有，双方应签署保密协议。未经</w:t>
            </w:r>
            <w:r>
              <w:rPr>
                <w:rFonts w:hint="eastAsia" w:cs="Times New Roman"/>
                <w:iCs/>
                <w:color w:val="auto"/>
                <w:sz w:val="24"/>
                <w:highlight w:val="none"/>
                <w:u w:val="none"/>
                <w:lang w:val="en-US" w:eastAsia="zh-CN"/>
              </w:rPr>
              <w:t>甲方</w:t>
            </w:r>
            <w:r>
              <w:rPr>
                <w:rFonts w:hint="default" w:ascii="Times New Roman" w:hAnsi="Times New Roman" w:eastAsia="宋体" w:cs="Times New Roman"/>
                <w:iCs/>
                <w:color w:val="auto"/>
                <w:sz w:val="24"/>
                <w:highlight w:val="none"/>
                <w:u w:val="none"/>
                <w:lang w:val="en-US" w:eastAsia="zh-CN"/>
              </w:rPr>
              <w:t>允许，</w:t>
            </w:r>
            <w:r>
              <w:rPr>
                <w:rFonts w:hint="eastAsia" w:cs="Times New Roman"/>
                <w:iCs/>
                <w:color w:val="auto"/>
                <w:sz w:val="24"/>
                <w:highlight w:val="none"/>
                <w:u w:val="none"/>
                <w:lang w:val="en-US" w:eastAsia="zh-CN"/>
              </w:rPr>
              <w:t>乙方</w:t>
            </w:r>
            <w:r>
              <w:rPr>
                <w:rFonts w:hint="default" w:ascii="Times New Roman" w:hAnsi="Times New Roman" w:eastAsia="宋体" w:cs="Times New Roman"/>
                <w:iCs/>
                <w:color w:val="auto"/>
                <w:sz w:val="24"/>
                <w:highlight w:val="none"/>
                <w:u w:val="none"/>
                <w:lang w:val="en-US" w:eastAsia="zh-CN"/>
              </w:rPr>
              <w:t>不得对</w:t>
            </w:r>
            <w:r>
              <w:rPr>
                <w:rFonts w:hint="eastAsia" w:cs="Times New Roman"/>
                <w:iCs/>
                <w:color w:val="auto"/>
                <w:sz w:val="24"/>
                <w:highlight w:val="none"/>
                <w:u w:val="none"/>
                <w:lang w:val="en-US" w:eastAsia="zh-CN"/>
              </w:rPr>
              <w:t>甲方</w:t>
            </w:r>
            <w:r>
              <w:rPr>
                <w:rFonts w:hint="default" w:ascii="Times New Roman" w:hAnsi="Times New Roman" w:eastAsia="宋体" w:cs="Times New Roman"/>
                <w:iCs/>
                <w:color w:val="auto"/>
                <w:sz w:val="24"/>
                <w:highlight w:val="none"/>
                <w:u w:val="none"/>
                <w:lang w:val="en-US" w:eastAsia="zh-CN"/>
              </w:rPr>
              <w:t>的资料及文件擅自修改、复制或向第三人转让或用于本合同项目外的项目。如发生以上情况，泄密方承担一切由此引起的后果并承担赔偿责任。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881" w:type="dxa"/>
            <w:tcBorders>
              <w:lef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w:t>
            </w:r>
          </w:p>
        </w:tc>
        <w:tc>
          <w:tcPr>
            <w:tcW w:w="8132" w:type="dxa"/>
            <w:vAlign w:val="center"/>
          </w:tcPr>
          <w:p>
            <w:pPr>
              <w:keepNext w:val="0"/>
              <w:keepLines w:val="0"/>
              <w:suppressLineNumbers w:val="0"/>
              <w:snapToGrid w:val="0"/>
              <w:spacing w:before="0" w:beforeAutospacing="0" w:after="0" w:afterAutospacing="0"/>
              <w:ind w:left="0" w:right="0"/>
              <w:rPr>
                <w:rFonts w:hint="default" w:ascii="宋体" w:hAnsi="宋体" w:cs="宋体"/>
                <w:color w:val="000000" w:themeColor="text1"/>
                <w:sz w:val="24"/>
                <w:highlight w:val="none"/>
                <w14:textFill>
                  <w14:solidFill>
                    <w14:schemeClr w14:val="tx1"/>
                  </w14:solidFill>
                </w14:textFill>
              </w:rPr>
            </w:pPr>
            <w:bookmarkStart w:id="608" w:name="OLE_LINK69"/>
            <w:r>
              <w:rPr>
                <w:rFonts w:hint="eastAsia" w:ascii="宋体" w:hAnsi="宋体" w:cs="宋体"/>
                <w:color w:val="000000" w:themeColor="text1"/>
                <w:sz w:val="24"/>
                <w:highlight w:val="none"/>
                <w14:textFill>
                  <w14:solidFill>
                    <w14:schemeClr w14:val="tx1"/>
                  </w14:solidFill>
                </w14:textFill>
              </w:rPr>
              <w:t>结算方式和付款条件</w:t>
            </w:r>
            <w:bookmarkEnd w:id="608"/>
            <w:r>
              <w:rPr>
                <w:rFonts w:hint="eastAsia" w:ascii="宋体" w:hAnsi="宋体" w:cs="宋体"/>
                <w:color w:val="000000" w:themeColor="text1"/>
                <w:sz w:val="24"/>
                <w:highlight w:val="none"/>
                <w14:textFill>
                  <w14:solidFill>
                    <w14:schemeClr w14:val="tx1"/>
                  </w14:solidFill>
                </w14:textFill>
              </w:rPr>
              <w:t>：</w:t>
            </w:r>
          </w:p>
          <w:p>
            <w:pPr>
              <w:numPr>
                <w:ilvl w:val="-1"/>
                <w:numId w:val="0"/>
              </w:numPr>
              <w:tabs>
                <w:tab w:val="left" w:pos="0"/>
              </w:tabs>
              <w:spacing w:line="360" w:lineRule="auto"/>
              <w:ind w:firstLine="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default" w:ascii="Times New Roman" w:hAnsi="Times New Roman" w:eastAsia="宋体" w:cs="Times New Roman"/>
                <w:strike w:val="0"/>
                <w:color w:val="auto"/>
                <w:sz w:val="24"/>
                <w:szCs w:val="24"/>
                <w:highlight w:val="none"/>
                <w:lang w:val="en-US" w:eastAsia="zh-CN"/>
              </w:rPr>
              <w:t>合同签订后，且具备实施条件后5个工作日内，支付合同金额的</w:t>
            </w:r>
            <w:r>
              <w:rPr>
                <w:rFonts w:hint="eastAsia" w:cs="Times New Roman"/>
                <w:strike w:val="0"/>
                <w:color w:val="auto"/>
                <w:sz w:val="24"/>
                <w:szCs w:val="24"/>
                <w:highlight w:val="none"/>
                <w:lang w:val="en-US" w:eastAsia="zh-CN"/>
              </w:rPr>
              <w:t>7</w:t>
            </w:r>
            <w:r>
              <w:rPr>
                <w:rFonts w:hint="default" w:ascii="Times New Roman" w:hAnsi="Times New Roman" w:cs="Times New Roman"/>
                <w:strike w:val="0"/>
                <w:color w:val="auto"/>
                <w:sz w:val="24"/>
                <w:szCs w:val="24"/>
                <w:highlight w:val="none"/>
                <w:lang w:val="en-US" w:eastAsia="zh-CN"/>
              </w:rPr>
              <w:t>0</w:t>
            </w:r>
            <w:r>
              <w:rPr>
                <w:rFonts w:hint="default" w:ascii="Times New Roman" w:hAnsi="Times New Roman" w:eastAsia="宋体" w:cs="Times New Roman"/>
                <w:strike w:val="0"/>
                <w:color w:val="auto"/>
                <w:sz w:val="24"/>
                <w:szCs w:val="24"/>
                <w:highlight w:val="none"/>
                <w:lang w:val="en-US" w:eastAsia="zh-CN"/>
              </w:rPr>
              <w:t>%</w:t>
            </w:r>
            <w:r>
              <w:rPr>
                <w:rFonts w:hint="default" w:ascii="Times New Roman" w:hAnsi="Times New Roman" w:cs="Times New Roman"/>
                <w:strike w:val="0"/>
                <w:color w:val="auto"/>
                <w:sz w:val="24"/>
                <w:szCs w:val="24"/>
                <w:highlight w:val="none"/>
                <w:lang w:val="en-US" w:eastAsia="zh-CN"/>
              </w:rPr>
              <w:t>预付款</w:t>
            </w:r>
            <w:r>
              <w:rPr>
                <w:rFonts w:hint="eastAsia" w:ascii="宋体" w:hAnsi="宋体" w:cs="宋体"/>
                <w:color w:val="000000" w:themeColor="text1"/>
                <w:sz w:val="24"/>
                <w:lang w:eastAsia="zh-CN"/>
                <w14:textFill>
                  <w14:solidFill>
                    <w14:schemeClr w14:val="tx1"/>
                  </w14:solidFill>
                </w14:textFill>
              </w:rPr>
              <w:t>；</w:t>
            </w:r>
          </w:p>
          <w:p>
            <w:pPr>
              <w:keepNext w:val="0"/>
              <w:keepLines w:val="0"/>
              <w:suppressLineNumbers w:val="0"/>
              <w:snapToGrid w:val="0"/>
              <w:spacing w:before="0" w:beforeAutospacing="0" w:after="0" w:afterAutospacing="0"/>
              <w:ind w:left="0" w:right="0"/>
              <w:rPr>
                <w:rFonts w:hint="default"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cs="Times New Roman"/>
                <w:strike w:val="0"/>
                <w:color w:val="auto"/>
                <w:sz w:val="24"/>
                <w:szCs w:val="24"/>
                <w:highlight w:val="none"/>
                <w:lang w:val="en-US" w:eastAsia="zh-CN"/>
              </w:rPr>
              <w:t>分析研究报告通过专家审查</w:t>
            </w:r>
            <w:r>
              <w:rPr>
                <w:rFonts w:hint="default" w:ascii="Times New Roman" w:hAnsi="Times New Roman" w:cs="Times New Roman"/>
                <w:strike w:val="0"/>
                <w:color w:val="auto"/>
                <w:sz w:val="24"/>
                <w:szCs w:val="24"/>
                <w:highlight w:val="none"/>
                <w:lang w:val="en-US" w:eastAsia="zh-CN"/>
              </w:rPr>
              <w:t>，</w:t>
            </w:r>
            <w:r>
              <w:rPr>
                <w:rFonts w:hint="default" w:ascii="Times New Roman" w:hAnsi="Times New Roman" w:eastAsia="宋体" w:cs="Times New Roman"/>
                <w:strike w:val="0"/>
                <w:color w:val="auto"/>
                <w:sz w:val="24"/>
                <w:szCs w:val="24"/>
                <w:highlight w:val="none"/>
                <w:lang w:val="en-US" w:eastAsia="zh-CN"/>
              </w:rPr>
              <w:t>且具备支付条件后5个工作日内支付剩余合同尾款。</w:t>
            </w:r>
          </w:p>
        </w:tc>
      </w:tr>
      <w:bookmarkEnd w:id="607"/>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881" w:type="dxa"/>
            <w:tcBorders>
              <w:lef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 w:val="24"/>
                <w14:textFill>
                  <w14:solidFill>
                    <w14:schemeClr w14:val="tx1"/>
                  </w14:solidFill>
                </w14:textFill>
              </w:rPr>
            </w:pPr>
            <w:bookmarkStart w:id="609" w:name="OLE_LINK126"/>
            <w:r>
              <w:rPr>
                <w:rFonts w:hint="eastAsia" w:ascii="宋体" w:hAnsi="宋体" w:cs="宋体"/>
                <w:color w:val="000000" w:themeColor="text1"/>
                <w:sz w:val="24"/>
                <w14:textFill>
                  <w14:solidFill>
                    <w14:schemeClr w14:val="tx1"/>
                  </w14:solidFill>
                </w14:textFill>
              </w:rPr>
              <w:t>2.11.3</w:t>
            </w:r>
            <w:bookmarkEnd w:id="609"/>
          </w:p>
        </w:tc>
        <w:tc>
          <w:tcPr>
            <w:tcW w:w="8132" w:type="dxa"/>
            <w:vAlign w:val="center"/>
          </w:tcPr>
          <w:p>
            <w:pPr>
              <w:keepNext w:val="0"/>
              <w:keepLines w:val="0"/>
              <w:suppressLineNumbers w:val="0"/>
              <w:snapToGrid w:val="0"/>
              <w:spacing w:before="0" w:beforeAutospacing="0" w:after="0" w:afterAutospacing="0"/>
              <w:ind w:left="0" w:right="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因不可抗力致使合同有变更必要的，双方当事人应在</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个工作日内以书面形式变更合同；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881" w:type="dxa"/>
            <w:tcBorders>
              <w:lef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2.11.4</w:t>
            </w:r>
          </w:p>
        </w:tc>
        <w:tc>
          <w:tcPr>
            <w:tcW w:w="8132" w:type="dxa"/>
          </w:tcPr>
          <w:p>
            <w:pPr>
              <w:keepNext w:val="0"/>
              <w:keepLines w:val="0"/>
              <w:suppressLineNumbers w:val="0"/>
              <w:snapToGrid w:val="0"/>
              <w:spacing w:before="0" w:beforeAutospacing="0" w:after="0" w:afterAutospacing="0"/>
              <w:ind w:left="0" w:right="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受不可抗力影响的一方在不可抗力发生后，应在</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个工作日内以书面形式通知对方当事人，并在</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个工作日内，将有关部门出具的证明文件送达对方当事人。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881" w:type="dxa"/>
            <w:tcBorders>
              <w:lef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 w:val="24"/>
                <w14:textFill>
                  <w14:solidFill>
                    <w14:schemeClr w14:val="tx1"/>
                  </w14:solidFill>
                </w14:textFill>
              </w:rPr>
            </w:pPr>
            <w:bookmarkStart w:id="610" w:name="OLE_LINK91"/>
            <w:r>
              <w:rPr>
                <w:rFonts w:hint="eastAsia" w:ascii="宋体" w:hAnsi="宋体" w:cs="宋体"/>
                <w:color w:val="000000" w:themeColor="text1"/>
                <w:sz w:val="24"/>
                <w14:textFill>
                  <w14:solidFill>
                    <w14:schemeClr w14:val="tx1"/>
                  </w14:solidFill>
                </w14:textFill>
              </w:rPr>
              <w:t>2.15.1</w:t>
            </w:r>
            <w:bookmarkEnd w:id="610"/>
          </w:p>
        </w:tc>
        <w:tc>
          <w:tcPr>
            <w:tcW w:w="81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cs="宋体"/>
                <w:color w:val="000000" w:themeColor="text1"/>
                <w:sz w:val="24"/>
                <w14:textFill>
                  <w14:solidFill>
                    <w14:schemeClr w14:val="tx1"/>
                  </w14:solidFill>
                </w14:textFill>
              </w:rPr>
            </w:pPr>
            <w:r>
              <w:rPr>
                <w:rFonts w:hint="default" w:ascii="Times New Roman" w:hAnsi="Times New Roman" w:cs="Times New Roman"/>
                <w:color w:val="auto"/>
                <w:sz w:val="24"/>
                <w:highlight w:val="none"/>
                <w:u w:val="none"/>
                <w:lang w:val="en-US" w:eastAsia="zh-CN"/>
              </w:rPr>
              <w:t>9月底完成分析研究报告初稿编制</w:t>
            </w:r>
            <w:r>
              <w:rPr>
                <w:rFonts w:hint="eastAsia" w:cs="Times New Roman"/>
                <w:color w:val="auto"/>
                <w:sz w:val="24"/>
                <w:highlight w:val="none"/>
                <w:u w:val="none"/>
                <w:lang w:val="en-US" w:eastAsia="zh-CN"/>
              </w:rPr>
              <w:t>；</w:t>
            </w:r>
            <w:r>
              <w:rPr>
                <w:rFonts w:hint="default" w:ascii="Times New Roman" w:hAnsi="Times New Roman" w:cs="Times New Roman"/>
                <w:color w:val="auto"/>
                <w:sz w:val="24"/>
                <w:highlight w:val="none"/>
                <w:u w:val="none"/>
                <w:lang w:val="en-US" w:eastAsia="zh-CN"/>
              </w:rPr>
              <w:t>10月具备专家审查的条件</w:t>
            </w:r>
            <w:r>
              <w:rPr>
                <w:rFonts w:hint="eastAsia" w:cs="Times New Roman"/>
                <w:color w:val="auto"/>
                <w:sz w:val="24"/>
                <w:highlight w:val="none"/>
                <w:u w:val="none"/>
                <w:lang w:val="en-US" w:eastAsia="zh-CN"/>
              </w:rPr>
              <w:t>；</w:t>
            </w:r>
            <w:r>
              <w:rPr>
                <w:rFonts w:hint="default" w:ascii="Times New Roman" w:hAnsi="Times New Roman" w:cs="Times New Roman"/>
                <w:color w:val="auto"/>
                <w:sz w:val="24"/>
                <w:highlight w:val="none"/>
                <w:u w:val="none"/>
                <w:lang w:val="en-US" w:eastAsia="zh-CN"/>
              </w:rPr>
              <w:t>11月20日前完成工作报告通过验收。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881" w:type="dxa"/>
            <w:tcBorders>
              <w:lef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2.15.3</w:t>
            </w:r>
          </w:p>
        </w:tc>
        <w:tc>
          <w:tcPr>
            <w:tcW w:w="8132" w:type="dxa"/>
            <w:vAlign w:val="center"/>
          </w:tcPr>
          <w:p>
            <w:pPr>
              <w:keepNext w:val="0"/>
              <w:keepLines w:val="0"/>
              <w:suppressLineNumbers w:val="0"/>
              <w:snapToGrid w:val="0"/>
              <w:spacing w:before="0" w:beforeAutospacing="0" w:after="0" w:afterAutospacing="0"/>
              <w:ind w:left="0" w:right="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检验和验收标准、程序等具体内容以及前述验收书具有同等法律效力。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881" w:type="dxa"/>
            <w:tcBorders>
              <w:lef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2.19</w:t>
            </w:r>
          </w:p>
        </w:tc>
        <w:tc>
          <w:tcPr>
            <w:tcW w:w="8132" w:type="dxa"/>
          </w:tcPr>
          <w:p>
            <w:pPr>
              <w:keepNext w:val="0"/>
              <w:keepLines w:val="0"/>
              <w:suppressLineNumbers w:val="0"/>
              <w:snapToGrid w:val="0"/>
              <w:spacing w:before="0" w:beforeAutospacing="0" w:after="0" w:afterAutospacing="0"/>
              <w:ind w:left="0" w:right="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本合同一式</w:t>
            </w:r>
            <w:r>
              <w:rPr>
                <w:rFonts w:hint="eastAsia" w:ascii="宋体" w:hAnsi="宋体" w:cs="宋体"/>
                <w:color w:val="000000" w:themeColor="text1"/>
                <w:sz w:val="24"/>
                <w:lang w:eastAsia="zh-CN"/>
                <w14:textFill>
                  <w14:solidFill>
                    <w14:schemeClr w14:val="tx1"/>
                  </w14:solidFill>
                </w14:textFill>
              </w:rPr>
              <w:t>捌</w:t>
            </w:r>
            <w:r>
              <w:rPr>
                <w:rFonts w:hint="eastAsia" w:ascii="宋体" w:hAnsi="宋体" w:cs="宋体"/>
                <w:color w:val="000000" w:themeColor="text1"/>
                <w:sz w:val="24"/>
                <w14:textFill>
                  <w14:solidFill>
                    <w14:schemeClr w14:val="tx1"/>
                  </w14:solidFill>
                </w14:textFill>
              </w:rPr>
              <w:t>份，双方各执</w:t>
            </w:r>
            <w:r>
              <w:rPr>
                <w:rFonts w:hint="eastAsia" w:ascii="宋体" w:hAnsi="宋体" w:cs="宋体"/>
                <w:color w:val="000000" w:themeColor="text1"/>
                <w:sz w:val="24"/>
                <w:lang w:eastAsia="zh-CN"/>
                <w14:textFill>
                  <w14:solidFill>
                    <w14:schemeClr w14:val="tx1"/>
                  </w14:solidFill>
                </w14:textFill>
              </w:rPr>
              <w:t>肆</w:t>
            </w:r>
            <w:r>
              <w:rPr>
                <w:rFonts w:hint="eastAsia" w:ascii="宋体" w:hAnsi="宋体" w:cs="宋体"/>
                <w:color w:val="000000" w:themeColor="text1"/>
                <w:sz w:val="24"/>
                <w14:textFill>
                  <w14:solidFill>
                    <w14:schemeClr w14:val="tx1"/>
                  </w14:solidFill>
                </w14:textFill>
              </w:rPr>
              <w:t>份，自双方当事人盖章和签字时生效。</w:t>
            </w:r>
          </w:p>
        </w:tc>
      </w:tr>
    </w:tbl>
    <w:p>
      <w:pPr>
        <w:widowControl/>
        <w:adjustRightInd/>
        <w:jc w:val="center"/>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24"/>
          <w14:textFill>
            <w14:solidFill>
              <w14:schemeClr w14:val="tx1"/>
            </w14:solidFill>
          </w14:textFill>
        </w:rPr>
        <w:br w:type="page"/>
      </w:r>
      <w:r>
        <w:rPr>
          <w:rFonts w:hint="eastAsia" w:ascii="宋体" w:hAnsi="宋体" w:cs="宋体"/>
          <w:b/>
          <w:color w:val="000000" w:themeColor="text1"/>
          <w:sz w:val="36"/>
          <w:szCs w:val="20"/>
          <w:highlight w:val="none"/>
          <w14:textFill>
            <w14:solidFill>
              <w14:schemeClr w14:val="tx1"/>
            </w14:solidFill>
          </w14:textFill>
        </w:rPr>
        <w:t>第六部分</w:t>
      </w:r>
      <w:bookmarkEnd w:id="452"/>
      <w:r>
        <w:rPr>
          <w:rFonts w:hint="eastAsia" w:ascii="宋体" w:hAnsi="宋体" w:cs="宋体"/>
          <w:b/>
          <w:color w:val="000000" w:themeColor="text1"/>
          <w:sz w:val="36"/>
          <w:szCs w:val="20"/>
          <w:highlight w:val="none"/>
          <w14:textFill>
            <w14:solidFill>
              <w14:schemeClr w14:val="tx1"/>
            </w14:solidFill>
          </w14:textFill>
        </w:rPr>
        <w:t xml:space="preserve"> </w:t>
      </w:r>
      <w:bookmarkEnd w:id="453"/>
      <w:r>
        <w:rPr>
          <w:rFonts w:hint="eastAsia" w:ascii="宋体" w:hAnsi="宋体" w:cs="宋体"/>
          <w:b/>
          <w:color w:val="000000" w:themeColor="text1"/>
          <w:sz w:val="36"/>
          <w:szCs w:val="20"/>
          <w:highlight w:val="none"/>
          <w14:textFill>
            <w14:solidFill>
              <w14:schemeClr w14:val="tx1"/>
            </w14:solidFill>
          </w14:textFill>
        </w:rPr>
        <w:t>应提交的有关格式范例</w:t>
      </w: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资格文件部分</w:t>
      </w: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bookmarkStart w:id="611" w:name="OLE_LINK111"/>
      <w:r>
        <w:rPr>
          <w:rFonts w:hint="eastAsia" w:ascii="宋体" w:hAnsi="宋体" w:cs="宋体"/>
          <w:color w:val="000000" w:themeColor="text1"/>
          <w:sz w:val="24"/>
          <w:highlight w:val="none"/>
          <w14:textFill>
            <w14:solidFill>
              <w14:schemeClr w14:val="tx1"/>
            </w14:solidFill>
          </w14:textFill>
        </w:rPr>
        <w:t>符合参加政府采购活动应当具备的一般条件的承诺函</w:t>
      </w:r>
      <w:bookmarkEnd w:id="611"/>
      <w:r>
        <w:rPr>
          <w:rFonts w:hint="eastAsia" w:ascii="宋体" w:hAnsi="宋体" w:cs="宋体"/>
          <w:color w:val="000000" w:themeColor="text1"/>
          <w:sz w:val="24"/>
          <w:highlight w:val="none"/>
          <w14:textFill>
            <w14:solidFill>
              <w14:schemeClr w14:val="tx1"/>
            </w14:solidFill>
          </w14:textFill>
        </w:rPr>
        <w:t>……………（页码）</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w:t>
      </w:r>
      <w:bookmarkStart w:id="612" w:name="OLE_LINK112"/>
      <w:r>
        <w:rPr>
          <w:rFonts w:hint="eastAsia" w:ascii="宋体" w:hAnsi="宋体" w:cs="宋体"/>
          <w:snapToGrid w:val="0"/>
          <w:color w:val="000000" w:themeColor="text1"/>
          <w:kern w:val="28"/>
          <w:sz w:val="24"/>
          <w:szCs w:val="20"/>
          <w:highlight w:val="none"/>
          <w14:textFill>
            <w14:solidFill>
              <w14:schemeClr w14:val="tx1"/>
            </w14:solidFill>
          </w14:textFill>
        </w:rPr>
        <w:t>联合协议</w:t>
      </w:r>
      <w:bookmarkEnd w:id="612"/>
      <w:r>
        <w:rPr>
          <w:rFonts w:hint="eastAsia" w:ascii="宋体" w:hAnsi="宋体" w:cs="宋体"/>
          <w:color w:val="000000" w:themeColor="text1"/>
          <w:sz w:val="24"/>
          <w:highlight w:val="none"/>
          <w14:textFill>
            <w14:solidFill>
              <w14:schemeClr w14:val="tx1"/>
            </w14:solidFill>
          </w14:textFill>
        </w:rPr>
        <w:t>………………………………………………………………（页码）</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w:t>
      </w:r>
      <w:bookmarkStart w:id="613" w:name="OLE_LINK113"/>
      <w:r>
        <w:rPr>
          <w:rFonts w:hint="eastAsia" w:ascii="宋体" w:hAnsi="宋体" w:cs="宋体"/>
          <w:color w:val="000000" w:themeColor="text1"/>
          <w:sz w:val="24"/>
          <w:highlight w:val="none"/>
          <w14:textFill>
            <w14:solidFill>
              <w14:schemeClr w14:val="tx1"/>
            </w14:solidFill>
          </w14:textFill>
        </w:rPr>
        <w:t>落实政府采购政策需满足的资格要求</w:t>
      </w:r>
      <w:bookmarkEnd w:id="613"/>
      <w:r>
        <w:rPr>
          <w:rFonts w:hint="eastAsia" w:ascii="宋体" w:hAnsi="宋体" w:cs="宋体"/>
          <w:color w:val="000000" w:themeColor="text1"/>
          <w:sz w:val="24"/>
          <w:highlight w:val="none"/>
          <w14:textFill>
            <w14:solidFill>
              <w14:schemeClr w14:val="tx1"/>
            </w14:solidFill>
          </w14:textFill>
        </w:rPr>
        <w:t>………………………………（页码）</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）本项目的特定资格要求………………………………………………（页码）</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我方参与（项目名称）【招标编号：（采购编号）】政府采购活动，郑重承诺：</w:t>
      </w:r>
    </w:p>
    <w:p>
      <w:pPr>
        <w:snapToGrid w:val="0"/>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投标人名称(电子签名)：</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pPr>
        <w:widowControl/>
        <w:spacing w:line="360" w:lineRule="auto"/>
        <w:ind w:firstLine="643" w:firstLineChars="20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二、联合协议（如果有）</w:t>
      </w:r>
    </w:p>
    <w:p>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三、落实政府采购政策需满足的资格要求</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.专门面向中小企业，服务全部由符合政策要求的中小企业（或小微企业）承接的，提供相应的中小企业声明函（附件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 xml:space="preserve">）。 </w:t>
      </w:r>
    </w:p>
    <w:p>
      <w:pPr>
        <w:widowControl/>
        <w:spacing w:line="360" w:lineRule="auto"/>
        <w:ind w:firstLine="480"/>
        <w:jc w:val="left"/>
        <w:rPr>
          <w:rFonts w:ascii="宋体" w:hAnsi="宋体" w:cs="宋体"/>
          <w:color w:val="000000" w:themeColor="text1"/>
          <w:sz w:val="24"/>
          <w:highlight w:val="none"/>
          <w14:textFill>
            <w14:solidFill>
              <w14:schemeClr w14:val="tx1"/>
            </w14:solidFill>
          </w14:textFill>
        </w:rPr>
      </w:pPr>
    </w:p>
    <w:p>
      <w:pPr>
        <w:widowControl/>
        <w:spacing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要求以联合体形式参加的，提供联合协议（附件</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14:textFill>
            <w14:solidFill>
              <w14:schemeClr w14:val="tx1"/>
            </w14:solidFill>
          </w14:textFill>
        </w:rPr>
        <w:t>要求合同分包的，提供分包意向协议（附件6）和中小企业声明函（附件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视同符合了资格条件，无需再向中小企业分包，无需提供分包意向协议。</w:t>
      </w:r>
    </w:p>
    <w:p>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p>
    <w:p>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四、本项目的特定资格要求</w:t>
      </w: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（根据招标公告本项目的特定资格要求提供相应的材料；未要求的，无需提供）</w:t>
      </w:r>
    </w:p>
    <w:p>
      <w:pPr>
        <w:rPr>
          <w:rFonts w:ascii="宋体" w:hAnsi="宋体" w:cs="宋体"/>
          <w:color w:val="000000" w:themeColor="text1"/>
          <w:highlight w:val="none"/>
          <w14:textFill>
            <w14:solidFill>
              <w14:schemeClr w14:val="tx1"/>
            </w14:solidFill>
          </w14:textFill>
        </w:rPr>
      </w:pPr>
    </w:p>
    <w:p>
      <w:pPr>
        <w:widowControl/>
        <w:adjustRightInd/>
        <w:jc w:val="left"/>
        <w:rPr>
          <w:rFonts w:ascii="宋体" w:hAnsi="宋体" w:cs="宋体"/>
          <w:b/>
          <w:color w:val="000000" w:themeColor="text1"/>
          <w:kern w:val="0"/>
          <w:sz w:val="36"/>
          <w:szCs w:val="36"/>
          <w:highlight w:val="none"/>
          <w14:textFill>
            <w14:solidFill>
              <w14:schemeClr w14:val="tx1"/>
            </w14:solidFill>
          </w14:textFill>
        </w:rPr>
      </w:pPr>
      <w:r>
        <w:rPr>
          <w:rFonts w:ascii="宋体" w:hAnsi="宋体" w:cs="宋体"/>
          <w:b/>
          <w:color w:val="000000" w:themeColor="text1"/>
          <w:kern w:val="0"/>
          <w:sz w:val="36"/>
          <w:szCs w:val="36"/>
          <w:highlight w:val="none"/>
          <w14:textFill>
            <w14:solidFill>
              <w14:schemeClr w14:val="tx1"/>
            </w14:solidFill>
          </w14:textFill>
        </w:rPr>
        <w:br w:type="page"/>
      </w: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商务技术文件部分</w:t>
      </w:r>
    </w:p>
    <w:p>
      <w:pPr>
        <w:spacing w:line="360" w:lineRule="auto"/>
        <w:jc w:val="center"/>
        <w:outlineLvl w:val="0"/>
        <w:rPr>
          <w:rFonts w:ascii="宋体" w:hAnsi="宋体" w:cs="宋体"/>
          <w:b/>
          <w:color w:val="000000" w:themeColor="text1"/>
          <w:kern w:val="0"/>
          <w:sz w:val="24"/>
          <w:highlight w:val="none"/>
          <w14:textFill>
            <w14:solidFill>
              <w14:schemeClr w14:val="tx1"/>
            </w14:solidFill>
          </w14:textFill>
        </w:rPr>
      </w:pPr>
    </w:p>
    <w:p>
      <w:pPr>
        <w:spacing w:line="360" w:lineRule="auto"/>
        <w:jc w:val="center"/>
        <w:outlineLvl w:val="0"/>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目录</w:t>
      </w:r>
    </w:p>
    <w:p>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cs="宋体"/>
          <w:color w:val="000000" w:themeColor="text1"/>
          <w:highlight w:val="none"/>
          <w14:textFill>
            <w14:solidFill>
              <w14:schemeClr w14:val="tx1"/>
            </w14:solidFill>
          </w14:textFill>
        </w:rPr>
        <w:t>………（页码）</w:t>
      </w:r>
    </w:p>
    <w:p>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color w:val="000000" w:themeColor="text1"/>
          <w:highlight w:val="none"/>
          <w14:textFill>
            <w14:solidFill>
              <w14:schemeClr w14:val="tx1"/>
            </w14:solidFill>
          </w14:textFill>
        </w:rPr>
        <w:t>…………………………………………………………………………（页码）</w:t>
      </w:r>
    </w:p>
    <w:p>
      <w:pPr>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r>
        <w:rPr>
          <w:rFonts w:hint="eastAsia" w:ascii="宋体" w:hAnsi="宋体" w:cs="宋体"/>
          <w:color w:val="000000" w:themeColor="text1"/>
          <w:highlight w:val="none"/>
          <w14:textFill>
            <w14:solidFill>
              <w14:schemeClr w14:val="tx1"/>
            </w14:solidFill>
          </w14:textFill>
        </w:rPr>
        <w:t>………………………………………………………………………（页码）</w:t>
      </w:r>
    </w:p>
    <w:p>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r>
        <w:rPr>
          <w:rFonts w:hint="eastAsia" w:ascii="宋体" w:hAnsi="宋体" w:cs="宋体"/>
          <w:color w:val="000000" w:themeColor="text1"/>
          <w:highlight w:val="none"/>
          <w14:textFill>
            <w14:solidFill>
              <w14:schemeClr w14:val="tx1"/>
            </w14:solidFill>
          </w14:textFill>
        </w:rPr>
        <w:t>………………………………………………………………………（页码）</w:t>
      </w:r>
    </w:p>
    <w:p>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cs="宋体"/>
          <w:color w:val="000000" w:themeColor="text1"/>
          <w:highlight w:val="none"/>
          <w14:textFill>
            <w14:solidFill>
              <w14:schemeClr w14:val="tx1"/>
            </w14:solidFill>
          </w14:textFill>
        </w:rPr>
        <w:t>…………………………………………………（页码）</w:t>
      </w: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pPr>
        <w:snapToGrid w:val="0"/>
        <w:spacing w:line="360" w:lineRule="auto"/>
        <w:jc w:val="center"/>
        <w:outlineLvl w:val="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一、投标</w:t>
      </w:r>
      <w:r>
        <w:rPr>
          <w:rFonts w:hint="eastAsia" w:ascii="宋体" w:hAnsi="宋体" w:cs="宋体"/>
          <w:b/>
          <w:color w:val="000000" w:themeColor="text1"/>
          <w:sz w:val="32"/>
          <w:szCs w:val="32"/>
          <w:highlight w:val="none"/>
          <w14:textFill>
            <w14:solidFill>
              <w14:schemeClr w14:val="tx1"/>
            </w14:solidFill>
          </w14:textFill>
        </w:rPr>
        <w:t>函</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本投标文件在投标有效期满之前均具有约束力。</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2、我方的投标文件包括以下内容：</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2.1.1承诺函；</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w:t>
      </w:r>
      <w:r>
        <w:rPr>
          <w:rFonts w:hint="eastAsia" w:ascii="宋体" w:hAnsi="宋体" w:cs="宋体"/>
          <w:snapToGrid w:val="0"/>
          <w:color w:val="000000" w:themeColor="text1"/>
          <w:kern w:val="28"/>
          <w:sz w:val="24"/>
          <w:szCs w:val="20"/>
          <w:highlight w:val="none"/>
          <w14:textFill>
            <w14:solidFill>
              <w14:schemeClr w14:val="tx1"/>
            </w14:solidFill>
          </w14:textFill>
        </w:rPr>
        <w:t>联合协议</w:t>
      </w:r>
      <w:bookmarkStart w:id="614" w:name="_Hlk101257010"/>
      <w:r>
        <w:rPr>
          <w:rFonts w:hint="eastAsia" w:ascii="宋体" w:hAnsi="宋体" w:cs="宋体"/>
          <w:color w:val="000000" w:themeColor="text1"/>
          <w:sz w:val="24"/>
          <w:highlight w:val="none"/>
          <w14:textFill>
            <w14:solidFill>
              <w14:schemeClr w14:val="tx1"/>
            </w14:solidFill>
          </w14:textFill>
        </w:rPr>
        <w:t>（如果有)</w:t>
      </w:r>
      <w:bookmarkEnd w:id="614"/>
      <w:r>
        <w:rPr>
          <w:rFonts w:hint="eastAsia" w:ascii="宋体" w:hAnsi="宋体" w:cs="宋体"/>
          <w:snapToGrid w:val="0"/>
          <w:color w:val="000000" w:themeColor="text1"/>
          <w:kern w:val="28"/>
          <w:sz w:val="24"/>
          <w:szCs w:val="20"/>
          <w:highlight w:val="none"/>
          <w14:textFill>
            <w14:solidFill>
              <w14:schemeClr w14:val="tx1"/>
            </w14:solidFill>
          </w14:textFill>
        </w:rPr>
        <w:t>；</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落实政府采购政策需满足的资格要求（如果有）；</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本项目的特定资格要求（如果有)。</w:t>
      </w:r>
    </w:p>
    <w:p>
      <w:pPr>
        <w:snapToGrid w:val="0"/>
        <w:spacing w:line="360" w:lineRule="auto"/>
        <w:ind w:left="210" w:leftChars="1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2.2.1投标函；</w:t>
      </w:r>
      <w:r>
        <w:rPr>
          <w:rFonts w:hint="eastAsia" w:ascii="宋体" w:hAnsi="宋体" w:cs="宋体"/>
          <w:color w:val="000000" w:themeColor="text1"/>
          <w:sz w:val="24"/>
          <w:highlight w:val="none"/>
          <w:lang w:val="zh-CN"/>
          <w14:textFill>
            <w14:solidFill>
              <w14:schemeClr w14:val="tx1"/>
            </w14:solidFill>
          </w14:textFill>
        </w:rPr>
        <w:t xml:space="preserve"> </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2.2.2授权委托书或法定代表人（单位负责人）身份证明；</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分包意向协议（如果有)；</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pPr>
        <w:snapToGrid w:val="0"/>
        <w:spacing w:line="360" w:lineRule="auto"/>
        <w:ind w:left="420" w:leftChars="2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pPr>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2.3.1开标一览表（报价表）；</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2.3.2中小企业声明函（如果有）。</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我方承诺除商务技术偏离表列出的偏离外，我方响应招标文件的全部要求。对投标文件中材料的真实性、合法性负责，积极配合采购人、采购代理机构复核投标文件中的资料。</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4、如我方中标，我方承诺：</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4.3按照招标文件要求提交履约保证金； </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4.4在合同约定的期限内完成合同规定的全部义务。 </w:t>
      </w:r>
    </w:p>
    <w:p>
      <w:pPr>
        <w:widowControl w:val="0"/>
        <w:numPr>
          <w:ilvl w:val="0"/>
          <w:numId w:val="0"/>
        </w:numPr>
        <w:ind w:firstLine="480" w:firstLineChars="200"/>
        <w:jc w:val="both"/>
        <w:rPr>
          <w:rFonts w:hint="eastAsia" w:ascii="宋体" w:hAnsi="宋体" w:eastAsia="宋体" w:cs="宋体"/>
          <w:i w:val="0"/>
          <w:caps w:val="0"/>
          <w:color w:val="000000" w:themeColor="text1"/>
          <w:spacing w:val="0"/>
          <w:sz w:val="24"/>
          <w:szCs w:val="24"/>
          <w:highlight w:val="none"/>
          <w:shd w:val="clear" w:color="auto" w:fill="FFFFFF"/>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lang w:val="en-US" w:eastAsia="zh-CN"/>
          <w14:textFill>
            <w14:solidFill>
              <w14:schemeClr w14:val="tx1"/>
            </w14:solidFill>
          </w14:textFill>
        </w:rPr>
        <w:t>对</w:t>
      </w:r>
      <w:r>
        <w:rPr>
          <w:rFonts w:hint="eastAsia" w:ascii="宋体" w:hAnsi="宋体" w:eastAsia="宋体" w:cs="宋体"/>
          <w:i w:val="0"/>
          <w:caps w:val="0"/>
          <w:color w:val="000000" w:themeColor="text1"/>
          <w:spacing w:val="0"/>
          <w:sz w:val="24"/>
          <w:szCs w:val="24"/>
          <w:highlight w:val="none"/>
          <w:shd w:val="clear" w:color="auto" w:fill="FFFFFF"/>
          <w:lang w:val="en-US" w:eastAsia="zh-CN"/>
          <w14:textFill>
            <w14:solidFill>
              <w14:schemeClr w14:val="tx1"/>
            </w14:solidFill>
          </w14:textFill>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其他补充说明: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投标人名称（电子签名）：                          </w:t>
      </w: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pPr>
        <w:snapToGrid w:val="0"/>
        <w:spacing w:line="360" w:lineRule="auto"/>
        <w:ind w:left="420" w:leftChars="200" w:firstLine="4200" w:firstLineChars="1750"/>
        <w:rPr>
          <w:rFonts w:ascii="宋体" w:hAnsi="宋体" w:cs="宋体"/>
          <w:color w:val="000000" w:themeColor="text1"/>
          <w:kern w:val="0"/>
          <w:sz w:val="24"/>
          <w:highlight w:val="none"/>
          <w:u w:val="single"/>
          <w14:textFill>
            <w14:solidFill>
              <w14:schemeClr w14:val="tx1"/>
            </w14:solidFill>
          </w14:textFill>
        </w:rPr>
      </w:pP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snapToGrid/>
        <w:spacing w:line="240" w:lineRule="auto"/>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pPr>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pPr>
        <w:snapToGrid w:val="0"/>
        <w:spacing w:line="360" w:lineRule="auto"/>
        <w:ind w:firstLine="2872" w:firstLineChars="894"/>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授权委托书（适用于非联合体投标）</w:t>
      </w:r>
      <w:r>
        <w:rPr>
          <w:rFonts w:hint="eastAsia" w:ascii="宋体" w:hAnsi="宋体" w:cs="宋体"/>
          <w:color w:val="000000" w:themeColor="text1"/>
          <w:highlight w:val="none"/>
          <w14:textFill>
            <w14:solidFill>
              <w14:schemeClr w14:val="tx1"/>
            </w14:solidFill>
          </w14:textFill>
        </w:rPr>
        <w:t xml:space="preserve">                               </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w:t>
      </w:r>
    </w:p>
    <w:p>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pPr>
        <w:snapToGrid w:val="0"/>
        <w:spacing w:line="360" w:lineRule="auto"/>
        <w:rPr>
          <w:rFonts w:ascii="宋体" w:hAnsi="宋体" w:cs="宋体"/>
          <w:color w:val="000000" w:themeColor="text1"/>
          <w:sz w:val="24"/>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 xml:space="preserve">      </w:t>
      </w:r>
      <w:r>
        <w:rPr>
          <w:rFonts w:hint="eastAsia" w:ascii="宋体" w:hAnsi="宋体" w:cs="宋体"/>
          <w:b/>
          <w:color w:val="000000" w:themeColor="text1"/>
          <w:kern w:val="0"/>
          <w:sz w:val="32"/>
          <w:szCs w:val="32"/>
          <w:highlight w:val="none"/>
          <w14:textFill>
            <w14:solidFill>
              <w14:schemeClr w14:val="tx1"/>
            </w14:solidFill>
          </w14:textFill>
        </w:rPr>
        <w:t xml:space="preserve"> </w:t>
      </w: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授权委托书（适用于联合体投标）</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pPr>
        <w:jc w:val="center"/>
        <w:rPr>
          <w:rFonts w:ascii="宋体" w:hAnsi="宋体" w:cs="宋体"/>
          <w:b/>
          <w:color w:val="000000" w:themeColor="text1"/>
          <w:kern w:val="0"/>
          <w:sz w:val="32"/>
          <w:szCs w:val="32"/>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pPr>
        <w:autoSpaceDE/>
        <w:autoSpaceDN/>
        <w:spacing w:line="240" w:lineRule="auto"/>
        <w:jc w:val="left"/>
        <w:rPr>
          <w:rFonts w:ascii="宋体" w:hAnsi="宋体" w:cs="宋体"/>
          <w:b/>
          <w:color w:val="000000" w:themeColor="text1"/>
          <w:kern w:val="0"/>
          <w:sz w:val="32"/>
          <w:szCs w:val="32"/>
          <w:highlight w:val="none"/>
          <w:lang w:val="zh-CN"/>
          <w14:textFill>
            <w14:solidFill>
              <w14:schemeClr w14:val="tx1"/>
            </w14:solidFill>
          </w14:textFill>
        </w:rPr>
      </w:pPr>
      <w:r>
        <w:rPr>
          <w:rFonts w:ascii="宋体" w:hAnsi="宋体" w:cs="宋体"/>
          <w:b/>
          <w:color w:val="000000" w:themeColor="text1"/>
          <w:kern w:val="0"/>
          <w:sz w:val="32"/>
          <w:szCs w:val="32"/>
          <w:highlight w:val="none"/>
          <w:lang w:val="zh-CN"/>
          <w14:textFill>
            <w14:solidFill>
              <w14:schemeClr w14:val="tx1"/>
            </w14:solidFill>
          </w14:textFill>
        </w:rPr>
        <w:br w:type="page"/>
      </w:r>
    </w:p>
    <w:p>
      <w:pPr>
        <w:autoSpaceDE w:val="0"/>
        <w:autoSpaceDN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pPr>
        <w:pStyle w:val="149"/>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49"/>
              <w:adjustRightInd w:val="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pPr>
              <w:pStyle w:val="149"/>
              <w:adjustRightInd w:val="0"/>
              <w:spacing w:line="360" w:lineRule="auto"/>
              <w:rPr>
                <w:rFonts w:hAnsi="宋体" w:cs="宋体"/>
                <w:bCs/>
                <w:color w:val="000000" w:themeColor="text1"/>
                <w:sz w:val="24"/>
                <w:highlight w:val="none"/>
                <w14:textFill>
                  <w14:solidFill>
                    <w14:schemeClr w14:val="tx1"/>
                  </w14:solidFill>
                </w14:textFill>
              </w:rPr>
            </w:pPr>
          </w:p>
        </w:tc>
      </w:tr>
    </w:tbl>
    <w:p>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                              </w:t>
      </w:r>
    </w:p>
    <w:p>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三、分包意向协议（如果有）</w:t>
      </w:r>
    </w:p>
    <w:p>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中标后以分包方式履行合同的，提供分包意向协议(附件6</w:t>
      </w:r>
      <w:r>
        <w:rPr>
          <w:rFonts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rPr>
          <w:rFonts w:ascii="宋体" w:hAnsi="宋体" w:cs="宋体"/>
          <w:color w:val="000000" w:themeColor="text1"/>
          <w:kern w:val="0"/>
          <w:sz w:val="24"/>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四、符合性审查资料</w:t>
      </w:r>
    </w:p>
    <w:p>
      <w:pPr>
        <w:jc w:val="center"/>
        <w:rPr>
          <w:rFonts w:ascii="宋体" w:hAnsi="宋体" w:cs="宋体"/>
          <w:b/>
          <w:color w:val="000000" w:themeColor="text1"/>
          <w:kern w:val="0"/>
          <w:sz w:val="32"/>
          <w:szCs w:val="32"/>
          <w:highlight w:val="none"/>
          <w14:textFill>
            <w14:solidFill>
              <w14:schemeClr w14:val="tx1"/>
            </w14:solidFill>
          </w14:textFill>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991"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2551"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418"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991" w:type="dxa"/>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投标文件按照招标文件要求签署、盖章。</w:t>
            </w:r>
          </w:p>
        </w:tc>
        <w:tc>
          <w:tcPr>
            <w:tcW w:w="2551"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tcPr>
          <w:p>
            <w:pPr>
              <w:rPr>
                <w:rFonts w:ascii="宋体" w:hAnsi="宋体" w:cs="宋体"/>
                <w:color w:val="000000" w:themeColor="text1"/>
                <w:sz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991" w:type="dxa"/>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1418" w:type="dxa"/>
          </w:tcPr>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3</w:t>
            </w:r>
          </w:p>
        </w:tc>
        <w:tc>
          <w:tcPr>
            <w:tcW w:w="4991" w:type="dxa"/>
            <w:vAlign w:val="top"/>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其他实质性要求1：</w:t>
            </w:r>
          </w:p>
        </w:tc>
        <w:tc>
          <w:tcPr>
            <w:tcW w:w="2551" w:type="dxa"/>
            <w:vMerge w:val="restart"/>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b w:val="0"/>
                <w:bCs w:val="0"/>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vAlign w:val="top"/>
          </w:tcPr>
          <w:p>
            <w:pPr>
              <w:rPr>
                <w:rFonts w:ascii="宋体" w:hAnsi="宋体" w:cs="宋体"/>
                <w:color w:val="000000" w:themeColor="text1"/>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见投标文件第</w:t>
            </w:r>
            <w:r>
              <w:rPr>
                <w:rFonts w:hint="eastAsia" w:ascii="宋体" w:hAnsi="宋体" w:cs="宋体"/>
                <w:b w:val="0"/>
                <w:bCs w:val="0"/>
                <w:color w:val="000000" w:themeColor="text1"/>
                <w:sz w:val="24"/>
                <w:highlight w:val="none"/>
                <w:u w:val="single"/>
                <w14:textFill>
                  <w14:solidFill>
                    <w14:schemeClr w14:val="tx1"/>
                  </w14:solidFill>
                </w14:textFill>
              </w:rPr>
              <w:t xml:space="preserve">  </w:t>
            </w:r>
            <w:r>
              <w:rPr>
                <w:rFonts w:hint="eastAsia" w:ascii="宋体" w:hAnsi="宋体" w:cs="宋体"/>
                <w:b w:val="0"/>
                <w:bCs w:val="0"/>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4</w:t>
            </w:r>
          </w:p>
        </w:tc>
        <w:tc>
          <w:tcPr>
            <w:tcW w:w="4991" w:type="dxa"/>
            <w:vAlign w:val="top"/>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其他实质性要求2：</w:t>
            </w:r>
          </w:p>
        </w:tc>
        <w:tc>
          <w:tcPr>
            <w:tcW w:w="2551" w:type="dxa"/>
            <w:vMerge w:val="continue"/>
            <w:vAlign w:val="center"/>
          </w:tcPr>
          <w:p>
            <w:pPr>
              <w:rPr>
                <w:rFonts w:hint="eastAsia" w:ascii="宋体" w:hAnsi="宋体" w:cs="宋体"/>
                <w:b w:val="0"/>
                <w:bCs w:val="0"/>
                <w:color w:val="000000" w:themeColor="text1"/>
                <w:sz w:val="24"/>
                <w:highlight w:val="none"/>
                <w:lang w:val="en-US" w:eastAsia="zh-CN"/>
                <w14:textFill>
                  <w14:solidFill>
                    <w14:schemeClr w14:val="tx1"/>
                  </w14:solidFill>
                </w14:textFill>
              </w:rPr>
            </w:pPr>
          </w:p>
        </w:tc>
        <w:tc>
          <w:tcPr>
            <w:tcW w:w="1418" w:type="dxa"/>
            <w:vAlign w:val="top"/>
          </w:tcPr>
          <w:p>
            <w:pPr>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见投标文件第</w:t>
            </w:r>
            <w:r>
              <w:rPr>
                <w:rFonts w:hint="eastAsia" w:ascii="宋体" w:hAnsi="宋体" w:cs="宋体"/>
                <w:b w:val="0"/>
                <w:bCs w:val="0"/>
                <w:color w:val="000000" w:themeColor="text1"/>
                <w:sz w:val="24"/>
                <w:highlight w:val="none"/>
                <w:u w:val="single"/>
                <w14:textFill>
                  <w14:solidFill>
                    <w14:schemeClr w14:val="tx1"/>
                  </w14:solidFill>
                </w14:textFill>
              </w:rPr>
              <w:t xml:space="preserve">  </w:t>
            </w:r>
            <w:r>
              <w:rPr>
                <w:rFonts w:hint="eastAsia" w:ascii="宋体" w:hAnsi="宋体" w:cs="宋体"/>
                <w:b w:val="0"/>
                <w:bCs w:val="0"/>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4991" w:type="dxa"/>
            <w:vAlign w:val="top"/>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其他实质性要求</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w:t>
            </w:r>
          </w:p>
        </w:tc>
        <w:tc>
          <w:tcPr>
            <w:tcW w:w="2551" w:type="dxa"/>
            <w:vMerge w:val="continue"/>
            <w:vAlign w:val="center"/>
          </w:tcPr>
          <w:p>
            <w:pPr>
              <w:rPr>
                <w:rFonts w:hint="eastAsia" w:ascii="宋体" w:hAnsi="宋体" w:cs="宋体"/>
                <w:b w:val="0"/>
                <w:bCs w:val="0"/>
                <w:color w:val="000000" w:themeColor="text1"/>
                <w:sz w:val="24"/>
                <w:highlight w:val="none"/>
                <w:lang w:val="en-US" w:eastAsia="zh-CN"/>
                <w14:textFill>
                  <w14:solidFill>
                    <w14:schemeClr w14:val="tx1"/>
                  </w14:solidFill>
                </w14:textFill>
              </w:rPr>
            </w:pPr>
          </w:p>
        </w:tc>
        <w:tc>
          <w:tcPr>
            <w:tcW w:w="1418" w:type="dxa"/>
            <w:vAlign w:val="top"/>
          </w:tcPr>
          <w:p>
            <w:pPr>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见投标文件第</w:t>
            </w:r>
            <w:r>
              <w:rPr>
                <w:rFonts w:hint="eastAsia" w:ascii="宋体" w:hAnsi="宋体" w:cs="宋体"/>
                <w:b w:val="0"/>
                <w:bCs w:val="0"/>
                <w:color w:val="000000" w:themeColor="text1"/>
                <w:sz w:val="24"/>
                <w:highlight w:val="none"/>
                <w:u w:val="single"/>
                <w14:textFill>
                  <w14:solidFill>
                    <w14:schemeClr w14:val="tx1"/>
                  </w14:solidFill>
                </w14:textFill>
              </w:rPr>
              <w:t xml:space="preserve">  </w:t>
            </w:r>
            <w:r>
              <w:rPr>
                <w:rFonts w:hint="eastAsia" w:ascii="宋体" w:hAnsi="宋体" w:cs="宋体"/>
                <w:b w:val="0"/>
                <w:bCs w:val="0"/>
                <w:color w:val="000000" w:themeColor="text1"/>
                <w:sz w:val="24"/>
                <w:highlight w:val="none"/>
                <w14:textFill>
                  <w14:solidFill>
                    <w14:schemeClr w14:val="tx1"/>
                  </w14:solidFill>
                </w14:textFill>
              </w:rPr>
              <w:t>页</w:t>
            </w:r>
          </w:p>
        </w:tc>
      </w:tr>
    </w:tbl>
    <w:p>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按本格式和要求提供。</w:t>
      </w:r>
    </w:p>
    <w:p>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2、招标文件中实质性要求必须明确响应。</w:t>
      </w:r>
    </w:p>
    <w:p>
      <w:pPr>
        <w:jc w:val="center"/>
        <w:rPr>
          <w:rFonts w:ascii="宋体" w:hAnsi="宋体" w:cs="宋体"/>
          <w:b/>
          <w:color w:val="000000" w:themeColor="text1"/>
          <w:kern w:val="0"/>
          <w:sz w:val="32"/>
          <w:szCs w:val="32"/>
          <w:highlight w:val="none"/>
          <w14:textFill>
            <w14:solidFill>
              <w14:schemeClr w14:val="tx1"/>
            </w14:solidFill>
          </w14:textFill>
        </w:rPr>
      </w:pPr>
    </w:p>
    <w:p>
      <w:pPr>
        <w:jc w:val="left"/>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bookmarkStart w:id="624" w:name="_GoBack"/>
      <w:bookmarkEnd w:id="624"/>
    </w:p>
    <w:p>
      <w:pPr>
        <w:jc w:val="center"/>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五、评标标准相应的商务技术资料</w:t>
      </w:r>
    </w:p>
    <w:p>
      <w:pPr>
        <w:snapToGrid w:val="0"/>
        <w:spacing w:line="360" w:lineRule="auto"/>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cs="仿宋_GB2312" w:asciiTheme="minorEastAsia" w:hAnsiTheme="minorEastAsia" w:eastAsiaTheme="minorEastAsia"/>
                <w:b w:val="0"/>
                <w:bCs/>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b w:val="0"/>
                <w:bCs/>
                <w:color w:val="000000" w:themeColor="text1"/>
                <w:sz w:val="24"/>
                <w:highlight w:val="none"/>
                <w:lang w:val="en-US" w:eastAsia="zh-CN"/>
                <w14:textFill>
                  <w14:solidFill>
                    <w14:schemeClr w14:val="tx1"/>
                  </w14:solidFill>
                </w14:textFill>
              </w:rPr>
              <w:t>序号</w:t>
            </w:r>
          </w:p>
        </w:tc>
        <w:tc>
          <w:tcPr>
            <w:tcW w:w="5465" w:type="dxa"/>
          </w:tcPr>
          <w:p>
            <w:pPr>
              <w:snapToGrid w:val="0"/>
              <w:spacing w:line="360" w:lineRule="auto"/>
              <w:jc w:val="center"/>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cs="仿宋_GB2312" w:asciiTheme="minorEastAsia" w:hAnsiTheme="minorEastAsia" w:eastAsiaTheme="minorEastAsia"/>
                <w:b w:val="0"/>
                <w:bCs/>
                <w:color w:val="000000" w:themeColor="text1"/>
                <w:sz w:val="24"/>
                <w:highlight w:val="none"/>
                <w14:textFill>
                  <w14:solidFill>
                    <w14:schemeClr w14:val="tx1"/>
                  </w14:solidFill>
                </w14:textFill>
              </w:rPr>
              <w:t>投标文件中评标标准相应的商务技术资料目录*</w:t>
            </w:r>
          </w:p>
        </w:tc>
        <w:tc>
          <w:tcPr>
            <w:tcW w:w="3046" w:type="dxa"/>
          </w:tcPr>
          <w:p>
            <w:pPr>
              <w:snapToGrid w:val="0"/>
              <w:spacing w:line="240" w:lineRule="atLeast"/>
              <w:jc w:val="center"/>
              <w:rPr>
                <w:rFonts w:hint="default"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vertAlign w:val="baseline"/>
                <w:lang w:val="en-US" w:eastAsia="zh-CN"/>
                <w14:textFill>
                  <w14:solidFill>
                    <w14:schemeClr w14:val="tx1"/>
                  </w14:solidFill>
                </w14:textFill>
              </w:rPr>
              <w:t>1</w:t>
            </w:r>
          </w:p>
        </w:tc>
        <w:tc>
          <w:tcPr>
            <w:tcW w:w="5465" w:type="dxa"/>
          </w:tcPr>
          <w:p>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vertAlign w:val="baseline"/>
                <w:lang w:val="en-US" w:eastAsia="zh-CN"/>
                <w14:textFill>
                  <w14:solidFill>
                    <w14:schemeClr w14:val="tx1"/>
                  </w14:solidFill>
                </w14:textFill>
              </w:rPr>
              <w:t>XXX（预先填写）</w:t>
            </w:r>
          </w:p>
        </w:tc>
        <w:tc>
          <w:tcPr>
            <w:tcW w:w="3046" w:type="dxa"/>
          </w:tcPr>
          <w:p>
            <w:pPr>
              <w:snapToGrid/>
              <w:spacing w:line="240" w:lineRule="auto"/>
              <w:jc w:val="center"/>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见投标文件第</w:t>
            </w:r>
            <w:r>
              <w:rPr>
                <w:rFonts w:hint="eastAsia" w:ascii="宋体" w:hAnsi="宋体" w:cs="宋体"/>
                <w:b w:val="0"/>
                <w:bCs/>
                <w:color w:val="000000" w:themeColor="text1"/>
                <w:sz w:val="24"/>
                <w:highlight w:val="none"/>
                <w:u w:val="single"/>
                <w14:textFill>
                  <w14:solidFill>
                    <w14:schemeClr w14:val="tx1"/>
                  </w14:solidFill>
                </w14:textFill>
              </w:rPr>
              <w:t xml:space="preserve">  </w:t>
            </w:r>
            <w:r>
              <w:rPr>
                <w:rFonts w:hint="eastAsia" w:ascii="宋体" w:hAnsi="宋体" w:cs="宋体"/>
                <w:b w:val="0"/>
                <w:bCs/>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vertAlign w:val="baseline"/>
                <w:lang w:val="en-US" w:eastAsia="zh-CN"/>
                <w14:textFill>
                  <w14:solidFill>
                    <w14:schemeClr w14:val="tx1"/>
                  </w14:solidFill>
                </w14:textFill>
              </w:rPr>
              <w:t>2</w:t>
            </w:r>
          </w:p>
        </w:tc>
        <w:tc>
          <w:tcPr>
            <w:tcW w:w="5465" w:type="dxa"/>
          </w:tcPr>
          <w:p>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vertAlign w:val="baseline"/>
                <w:lang w:val="en-US" w:eastAsia="zh-CN"/>
                <w14:textFill>
                  <w14:solidFill>
                    <w14:schemeClr w14:val="tx1"/>
                  </w14:solidFill>
                </w14:textFill>
              </w:rPr>
              <w:t>XXX</w:t>
            </w:r>
          </w:p>
        </w:tc>
        <w:tc>
          <w:tcPr>
            <w:tcW w:w="3046" w:type="dxa"/>
          </w:tcPr>
          <w:p>
            <w:pPr>
              <w:snapToGrid/>
              <w:spacing w:line="240" w:lineRule="auto"/>
              <w:jc w:val="center"/>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见投标文件第</w:t>
            </w:r>
            <w:r>
              <w:rPr>
                <w:rFonts w:hint="eastAsia" w:ascii="宋体" w:hAnsi="宋体" w:cs="宋体"/>
                <w:b w:val="0"/>
                <w:bCs/>
                <w:color w:val="000000" w:themeColor="text1"/>
                <w:sz w:val="24"/>
                <w:highlight w:val="none"/>
                <w:u w:val="single"/>
                <w14:textFill>
                  <w14:solidFill>
                    <w14:schemeClr w14:val="tx1"/>
                  </w14:solidFill>
                </w14:textFill>
              </w:rPr>
              <w:t xml:space="preserve">  </w:t>
            </w:r>
            <w:r>
              <w:rPr>
                <w:rFonts w:hint="eastAsia" w:ascii="宋体" w:hAnsi="宋体" w:cs="宋体"/>
                <w:b w:val="0"/>
                <w:bCs/>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default" w:ascii="宋体" w:hAnsi="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5465" w:type="dxa"/>
          </w:tcPr>
          <w:p>
            <w:pPr>
              <w:snapToGrid w:val="0"/>
              <w:spacing w:line="360" w:lineRule="auto"/>
              <w:jc w:val="center"/>
              <w:rPr>
                <w:rFonts w:hint="eastAsia" w:ascii="宋体" w:hAnsi="宋体" w:cs="宋体"/>
                <w:b w:val="0"/>
                <w:bCs/>
                <w:color w:val="000000" w:themeColor="text1"/>
                <w:sz w:val="24"/>
                <w:highlight w:val="none"/>
                <w:vertAlign w:val="baseline"/>
                <w14:textFill>
                  <w14:solidFill>
                    <w14:schemeClr w14:val="tx1"/>
                  </w14:solidFill>
                </w14:textFill>
              </w:rPr>
            </w:pPr>
          </w:p>
        </w:tc>
        <w:tc>
          <w:tcPr>
            <w:tcW w:w="3046" w:type="dxa"/>
          </w:tcPr>
          <w:p>
            <w:pPr>
              <w:snapToGrid/>
              <w:spacing w:line="240" w:lineRule="auto"/>
              <w:jc w:val="center"/>
              <w:rPr>
                <w:rFonts w:hint="eastAsia"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见投标文件第</w:t>
            </w:r>
            <w:r>
              <w:rPr>
                <w:rFonts w:hint="eastAsia" w:ascii="宋体" w:hAnsi="宋体" w:cs="宋体"/>
                <w:b w:val="0"/>
                <w:bCs/>
                <w:color w:val="000000" w:themeColor="text1"/>
                <w:sz w:val="24"/>
                <w:highlight w:val="none"/>
                <w:u w:val="single"/>
                <w14:textFill>
                  <w14:solidFill>
                    <w14:schemeClr w14:val="tx1"/>
                  </w14:solidFill>
                </w14:textFill>
              </w:rPr>
              <w:t xml:space="preserve">  </w:t>
            </w:r>
            <w:r>
              <w:rPr>
                <w:rFonts w:hint="eastAsia" w:ascii="宋体" w:hAnsi="宋体" w:cs="宋体"/>
                <w:b w:val="0"/>
                <w:bCs/>
                <w:color w:val="000000" w:themeColor="text1"/>
                <w:sz w:val="24"/>
                <w:highlight w:val="none"/>
                <w14:textFill>
                  <w14:solidFill>
                    <w14:schemeClr w14:val="tx1"/>
                  </w14:solidFill>
                </w14:textFill>
              </w:rPr>
              <w:t>页</w:t>
            </w:r>
          </w:p>
        </w:tc>
      </w:tr>
    </w:tbl>
    <w:p>
      <w:pPr>
        <w:pStyle w:val="2"/>
        <w:rPr>
          <w:color w:val="000000" w:themeColor="text1"/>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ind w:firstLine="2891" w:firstLineChars="9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XXX</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bl>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jc w:val="center"/>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column"/>
      </w:r>
      <w:r>
        <w:rPr>
          <w:rFonts w:hint="eastAsia" w:ascii="宋体" w:hAnsi="宋体" w:cs="宋体"/>
          <w:b/>
          <w:color w:val="000000" w:themeColor="text1"/>
          <w:kern w:val="0"/>
          <w:sz w:val="32"/>
          <w:szCs w:val="32"/>
          <w:highlight w:val="none"/>
          <w14:textFill>
            <w14:solidFill>
              <w14:schemeClr w14:val="tx1"/>
            </w14:solidFill>
          </w14:textFill>
        </w:rPr>
        <w:t>七、商务技术偏离表</w:t>
      </w:r>
    </w:p>
    <w:tbl>
      <w:tblPr>
        <w:tblStyle w:val="64"/>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180"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招标文件章节及具体内容</w:t>
            </w:r>
          </w:p>
        </w:tc>
        <w:tc>
          <w:tcPr>
            <w:tcW w:w="3062"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1102"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180"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062"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102" w:type="dxa"/>
          </w:tcPr>
          <w:p>
            <w:pPr>
              <w:jc w:val="center"/>
              <w:rPr>
                <w:rFonts w:ascii="宋体" w:hAnsi="宋体" w:cs="宋体"/>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180"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062"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102" w:type="dxa"/>
          </w:tcPr>
          <w:p>
            <w:pPr>
              <w:jc w:val="center"/>
              <w:rPr>
                <w:rFonts w:ascii="宋体" w:hAnsi="宋体" w:cs="宋体"/>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180"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062"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102" w:type="dxa"/>
          </w:tcPr>
          <w:p>
            <w:pPr>
              <w:jc w:val="center"/>
              <w:rPr>
                <w:rFonts w:ascii="宋体" w:hAnsi="宋体" w:cs="宋体"/>
                <w:b/>
                <w:color w:val="000000" w:themeColor="text1"/>
                <w:kern w:val="0"/>
                <w:sz w:val="32"/>
                <w:szCs w:val="32"/>
                <w:highlight w:val="none"/>
                <w14:textFill>
                  <w14:solidFill>
                    <w14:schemeClr w14:val="tx1"/>
                  </w14:solidFill>
                </w14:textFill>
              </w:rPr>
            </w:pPr>
          </w:p>
        </w:tc>
      </w:tr>
    </w:tbl>
    <w:p>
      <w:pPr>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投标人保证：除商务技术偏离表列出的偏离外，投标人响应招标文件的全部要求</w:t>
      </w:r>
    </w:p>
    <w:p>
      <w:pPr>
        <w:jc w:val="center"/>
        <w:rPr>
          <w:rFonts w:ascii="宋体" w:hAnsi="宋体" w:cs="宋体"/>
          <w:b/>
          <w:color w:val="000000" w:themeColor="text1"/>
          <w:kern w:val="0"/>
          <w:sz w:val="32"/>
          <w:szCs w:val="32"/>
          <w:highlight w:val="none"/>
          <w14:textFill>
            <w14:solidFill>
              <w14:schemeClr w14:val="tx1"/>
            </w14:solidFill>
          </w14:textFill>
        </w:rPr>
      </w:pPr>
    </w:p>
    <w:p>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按本格式和要求提供。</w:t>
      </w:r>
    </w:p>
    <w:p>
      <w:pPr>
        <w:spacing w:line="360" w:lineRule="auto"/>
        <w:ind w:right="42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2.本表格所反映的偏离情况与“符合性审查资料”、“评标标准相应的商务技术资料”不一致的，以“符合性审查资料”、“评标标准相应的商务技术资料”为准。</w:t>
      </w:r>
    </w:p>
    <w:p>
      <w:pPr>
        <w:spacing w:line="360" w:lineRule="auto"/>
        <w:ind w:right="42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3.投标人须保证：除商务技术偏离表列出的偏离外，投标人响应招标文件的全部非实质性要求。</w:t>
      </w:r>
    </w:p>
    <w:p>
      <w:pPr>
        <w:ind w:firstLine="1911" w:firstLineChars="595"/>
        <w:rPr>
          <w:rFonts w:ascii="宋体" w:hAnsi="宋体" w:cs="宋体"/>
          <w:b/>
          <w:bCs/>
          <w:color w:val="000000" w:themeColor="text1"/>
          <w:sz w:val="32"/>
          <w:szCs w:val="32"/>
          <w:highlight w:val="none"/>
          <w14:textFill>
            <w14:solidFill>
              <w14:schemeClr w14:val="tx1"/>
            </w14:solidFill>
          </w14:textFill>
        </w:rPr>
      </w:pPr>
    </w:p>
    <w:p>
      <w:pPr>
        <w:ind w:firstLine="1911" w:firstLineChars="595"/>
        <w:rPr>
          <w:rFonts w:ascii="宋体" w:hAnsi="宋体" w:cs="宋体"/>
          <w:b/>
          <w:bCs/>
          <w:color w:val="000000" w:themeColor="text1"/>
          <w:sz w:val="32"/>
          <w:szCs w:val="32"/>
          <w:highlight w:val="none"/>
          <w14:textFill>
            <w14:solidFill>
              <w14:schemeClr w14:val="tx1"/>
            </w14:solidFill>
          </w14:textFill>
        </w:rPr>
      </w:pPr>
    </w:p>
    <w:p>
      <w:pPr>
        <w:ind w:firstLine="1911" w:firstLineChars="595"/>
        <w:rPr>
          <w:rFonts w:ascii="宋体" w:hAnsi="宋体" w:cs="宋体"/>
          <w:b/>
          <w:bCs/>
          <w:color w:val="000000" w:themeColor="text1"/>
          <w:sz w:val="32"/>
          <w:szCs w:val="32"/>
          <w:highlight w:val="none"/>
          <w14:textFill>
            <w14:solidFill>
              <w14:schemeClr w14:val="tx1"/>
            </w14:solidFill>
          </w14:textFill>
        </w:rPr>
      </w:pPr>
    </w:p>
    <w:p>
      <w:pPr>
        <w:widowControl/>
        <w:adjustRightInd/>
        <w:jc w:val="left"/>
        <w:rPr>
          <w:rFonts w:ascii="宋体" w:hAnsi="宋体" w:cs="宋体"/>
          <w:b/>
          <w:bCs/>
          <w:color w:val="000000" w:themeColor="text1"/>
          <w:sz w:val="32"/>
          <w:szCs w:val="32"/>
          <w:highlight w:val="none"/>
          <w14:textFill>
            <w14:solidFill>
              <w14:schemeClr w14:val="tx1"/>
            </w14:solidFill>
          </w14:textFill>
        </w:rPr>
      </w:pPr>
      <w:r>
        <w:rPr>
          <w:rFonts w:ascii="宋体" w:hAnsi="宋体" w:cs="宋体"/>
          <w:b/>
          <w:bCs/>
          <w:color w:val="000000" w:themeColor="text1"/>
          <w:sz w:val="32"/>
          <w:szCs w:val="32"/>
          <w:highlight w:val="none"/>
          <w14:textFill>
            <w14:solidFill>
              <w14:schemeClr w14:val="tx1"/>
            </w14:solidFill>
          </w14:textFill>
        </w:rPr>
        <w:br w:type="page"/>
      </w:r>
    </w:p>
    <w:p>
      <w:pPr>
        <w:ind w:firstLine="1911" w:firstLineChars="595"/>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八</w:t>
      </w:r>
      <w:r>
        <w:rPr>
          <w:rFonts w:hint="eastAsia" w:ascii="宋体" w:hAnsi="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政府采购供应商廉洁自律承诺书</w:t>
      </w:r>
    </w:p>
    <w:p>
      <w:pPr>
        <w:snapToGrid w:val="0"/>
        <w:spacing w:line="360" w:lineRule="auto"/>
        <w:rPr>
          <w:rFonts w:ascii="宋体" w:hAnsi="宋体" w:cs="宋体"/>
          <w:color w:val="000000" w:themeColor="text1"/>
          <w:sz w:val="24"/>
          <w:highlight w:val="none"/>
          <w14:textFill>
            <w14:solidFill>
              <w14:schemeClr w14:val="tx1"/>
            </w14:solidFill>
          </w14:textFill>
        </w:rPr>
      </w:pP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好处；</w:t>
      </w:r>
    </w:p>
    <w:p>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六、严格遵守《</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政府采购法》《</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招标投标</w:t>
      </w:r>
    </w:p>
    <w:p>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w:t>
      </w:r>
      <w:r>
        <w:rPr>
          <w:rFonts w:hint="eastAsia" w:ascii="宋体" w:hAnsi="宋体" w:cs="宋体"/>
          <w:color w:val="000000" w:themeColor="text1"/>
          <w:sz w:val="24"/>
          <w:highlight w:val="none"/>
          <w:lang w:val="zh-CN"/>
          <w14:textFill>
            <w14:solidFill>
              <w14:schemeClr w14:val="tx1"/>
            </w14:solidFill>
          </w14:textFill>
        </w:rPr>
        <w:t>《中华人民共和国民法典》</w:t>
      </w:r>
      <w:r>
        <w:rPr>
          <w:rFonts w:hint="eastAsia" w:ascii="宋体" w:hAnsi="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leftChars="1" w:right="1120" w:firstLine="4560" w:firstLineChars="19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pPr>
        <w:spacing w:line="360" w:lineRule="auto"/>
        <w:ind w:left="4620" w:left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pPr>
        <w:spacing w:line="360" w:lineRule="auto"/>
        <w:jc w:val="center"/>
        <w:rPr>
          <w:rFonts w:ascii="宋体" w:hAnsi="宋体" w:cs="宋体"/>
          <w:b/>
          <w:bCs/>
          <w:color w:val="000000" w:themeColor="text1"/>
          <w:sz w:val="24"/>
          <w:highlight w:val="none"/>
          <w14:textFill>
            <w14:solidFill>
              <w14:schemeClr w14:val="tx1"/>
            </w14:solidFill>
          </w14:textFill>
        </w:rPr>
      </w:pP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spacing w:line="360" w:lineRule="auto"/>
        <w:jc w:val="center"/>
        <w:rPr>
          <w:rFonts w:ascii="宋体" w:hAnsi="宋体" w:cs="宋体"/>
          <w:b/>
          <w:bCs/>
          <w:color w:val="000000" w:themeColor="text1"/>
          <w:sz w:val="24"/>
          <w:highlight w:val="none"/>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报价文件部分</w:t>
      </w: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pPr>
        <w:numPr>
          <w:ilvl w:val="0"/>
          <w:numId w:val="2"/>
        </w:num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开标一览表（报价表）………………………………………………………（页码）</w:t>
      </w:r>
    </w:p>
    <w:p>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）中小企业声明函………………………………………………………………（页码）</w:t>
      </w:r>
    </w:p>
    <w:p>
      <w:pPr>
        <w:pStyle w:val="80"/>
        <w:rPr>
          <w:rFonts w:hint="eastAsia"/>
          <w:color w:val="000000" w:themeColor="text1"/>
          <w:highlight w:val="none"/>
          <w14:textFill>
            <w14:solidFill>
              <w14:schemeClr w14:val="tx1"/>
            </w14:solidFill>
          </w14:textFill>
        </w:rPr>
      </w:pPr>
    </w:p>
    <w:p>
      <w:pPr>
        <w:pStyle w:val="80"/>
        <w:rPr>
          <w:color w:val="000000" w:themeColor="text1"/>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482"/>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kern w:val="0"/>
          <w:sz w:val="24"/>
          <w:highlight w:val="none"/>
          <w:lang w:val="zh-CN"/>
          <w14:textFill>
            <w14:solidFill>
              <w14:schemeClr w14:val="tx1"/>
            </w14:solidFill>
          </w14:textFill>
        </w:rPr>
        <w:t>【招标编号：</w:t>
      </w:r>
      <w:r>
        <w:rPr>
          <w:rFonts w:hint="eastAsia" w:ascii="宋体" w:hAnsi="宋体" w:cs="宋体"/>
          <w:color w:val="000000" w:themeColor="text1"/>
          <w:sz w:val="24"/>
          <w:highlight w:val="none"/>
          <w14:textFill>
            <w14:solidFill>
              <w14:schemeClr w14:val="tx1"/>
            </w14:solidFill>
          </w14:textFill>
        </w:rPr>
        <w:t>（采购编号）】的实施</w:t>
      </w:r>
      <w:r>
        <w:rPr>
          <w:rFonts w:hint="eastAsia" w:ascii="宋体" w:hAnsi="宋体" w:cs="宋体"/>
          <w:color w:val="000000" w:themeColor="text1"/>
          <w:kern w:val="0"/>
          <w:sz w:val="24"/>
          <w:highlight w:val="none"/>
          <w:lang w:val="zh-CN"/>
          <w14:textFill>
            <w14:solidFill>
              <w14:schemeClr w14:val="tx1"/>
            </w14:solidFill>
          </w14:textFill>
        </w:rPr>
        <w:t>。</w:t>
      </w:r>
    </w:p>
    <w:p>
      <w:pPr>
        <w:spacing w:line="360" w:lineRule="auto"/>
        <w:jc w:val="center"/>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开标一览表（报价表）(单位均为人民币元)</w:t>
      </w:r>
    </w:p>
    <w:tbl>
      <w:tblPr>
        <w:tblStyle w:val="6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
        <w:gridCol w:w="607"/>
        <w:gridCol w:w="1390"/>
        <w:gridCol w:w="1480"/>
        <w:gridCol w:w="1390"/>
        <w:gridCol w:w="1303"/>
        <w:gridCol w:w="1303"/>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69" w:type="pct"/>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327" w:type="pct"/>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749" w:type="pct"/>
          </w:tcPr>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服务范围</w:t>
            </w:r>
          </w:p>
        </w:tc>
        <w:tc>
          <w:tcPr>
            <w:tcW w:w="796" w:type="pct"/>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服务要求</w:t>
            </w:r>
          </w:p>
        </w:tc>
        <w:tc>
          <w:tcPr>
            <w:tcW w:w="749" w:type="pct"/>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服务时间</w:t>
            </w:r>
          </w:p>
        </w:tc>
        <w:tc>
          <w:tcPr>
            <w:tcW w:w="702" w:type="pct"/>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服务标准</w:t>
            </w:r>
          </w:p>
        </w:tc>
        <w:tc>
          <w:tcPr>
            <w:tcW w:w="702" w:type="pct"/>
          </w:tcPr>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服务人数</w:t>
            </w:r>
          </w:p>
        </w:tc>
        <w:tc>
          <w:tcPr>
            <w:tcW w:w="702" w:type="pct"/>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pPr>
              <w:spacing w:line="360" w:lineRule="auto"/>
              <w:jc w:val="center"/>
              <w:rPr>
                <w:rFonts w:ascii="宋体" w:hAnsi="宋体" w:cs="宋体"/>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9" w:type="pct"/>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327" w:type="pct"/>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749" w:type="pct"/>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796" w:type="pct"/>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749" w:type="pct"/>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702" w:type="pct"/>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702" w:type="pct"/>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702" w:type="pct"/>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9" w:type="pct"/>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327" w:type="pct"/>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749" w:type="pct"/>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796" w:type="pct"/>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749" w:type="pct"/>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702" w:type="pct"/>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702" w:type="pct"/>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702" w:type="pct"/>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9" w:type="pct"/>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327" w:type="pct"/>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749" w:type="pct"/>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796" w:type="pct"/>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749" w:type="pct"/>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702" w:type="pct"/>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702" w:type="pct"/>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702" w:type="pct"/>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9" w:type="pct"/>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327" w:type="pct"/>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749" w:type="pct"/>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796" w:type="pct"/>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749" w:type="pct"/>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702" w:type="pct"/>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702" w:type="pct"/>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702" w:type="pct"/>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9" w:type="pct"/>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327" w:type="pct"/>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749" w:type="pct"/>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796" w:type="pct"/>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749" w:type="pct"/>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702" w:type="pct"/>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702" w:type="pct"/>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702" w:type="pct"/>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42" w:type="pct"/>
            <w:gridSpan w:val="4"/>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投标报价（小写）</w:t>
            </w:r>
          </w:p>
        </w:tc>
        <w:tc>
          <w:tcPr>
            <w:tcW w:w="2857" w:type="pct"/>
            <w:gridSpan w:val="4"/>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142" w:type="pct"/>
            <w:gridSpan w:val="4"/>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投标报价（大写）</w:t>
            </w:r>
          </w:p>
        </w:tc>
        <w:tc>
          <w:tcPr>
            <w:tcW w:w="2857" w:type="pct"/>
            <w:gridSpan w:val="4"/>
          </w:tcPr>
          <w:p>
            <w:pPr>
              <w:spacing w:line="360" w:lineRule="auto"/>
              <w:jc w:val="center"/>
              <w:rPr>
                <w:rFonts w:ascii="宋体" w:hAnsi="宋体" w:cs="宋体"/>
                <w:color w:val="000000" w:themeColor="text1"/>
                <w:sz w:val="24"/>
                <w:highlight w:val="none"/>
                <w14:textFill>
                  <w14:solidFill>
                    <w14:schemeClr w14:val="tx1"/>
                  </w14:solidFill>
                </w14:textFill>
              </w:rPr>
            </w:pPr>
          </w:p>
        </w:tc>
      </w:tr>
    </w:tbl>
    <w:p>
      <w:pPr>
        <w:snapToGrid w:val="0"/>
        <w:spacing w:line="360" w:lineRule="auto"/>
        <w:ind w:left="480"/>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p>
    <w:p>
      <w:pPr>
        <w:spacing w:line="360" w:lineRule="auto"/>
        <w:ind w:left="-2" w:leftChars="-1"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1、投标人需按本表格式填写</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cs="宋体"/>
          <w:color w:val="000000" w:themeColor="text1"/>
          <w:kern w:val="0"/>
          <w:sz w:val="24"/>
          <w:highlight w:val="none"/>
          <w:lang w:val="en-US" w:eastAsia="zh-CN"/>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000000" w:themeColor="text1"/>
          <w:kern w:val="0"/>
          <w:sz w:val="24"/>
          <w:highlight w:val="none"/>
          <w:lang w:val="en-US" w:eastAsia="zh-CN"/>
          <w14:textFill>
            <w14:solidFill>
              <w14:schemeClr w14:val="tx1"/>
            </w14:solidFill>
          </w14:textFill>
        </w:rPr>
        <w:t>签订条件；</w:t>
      </w:r>
      <w:r>
        <w:rPr>
          <w:rFonts w:hint="eastAsia" w:ascii="宋体" w:hAnsi="宋体" w:eastAsia="宋体" w:cs="宋体"/>
          <w:color w:val="000000" w:themeColor="text1"/>
          <w:spacing w:val="0"/>
          <w:kern w:val="0"/>
          <w:sz w:val="24"/>
          <w:szCs w:val="24"/>
          <w:highlight w:val="none"/>
          <w14:textFill>
            <w14:solidFill>
              <w14:schemeClr w14:val="tx1"/>
            </w14:solidFill>
          </w14:textFill>
        </w:rPr>
        <w:t>总价</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不为零</w:t>
      </w:r>
      <w:r>
        <w:rPr>
          <w:rFonts w:hint="eastAsia" w:ascii="宋体" w:hAnsi="宋体" w:eastAsia="宋体" w:cs="宋体"/>
          <w:color w:val="000000" w:themeColor="text1"/>
          <w:spacing w:val="0"/>
          <w:kern w:val="0"/>
          <w:sz w:val="24"/>
          <w:szCs w:val="24"/>
          <w:highlight w:val="none"/>
          <w14:textFill>
            <w14:solidFill>
              <w14:schemeClr w14:val="tx1"/>
            </w14:solidFill>
          </w14:textFill>
        </w:rPr>
        <w:t>，</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部分</w:t>
      </w:r>
      <w:r>
        <w:rPr>
          <w:rFonts w:hint="eastAsia" w:ascii="宋体" w:hAnsi="宋体" w:eastAsia="宋体" w:cs="宋体"/>
          <w:color w:val="000000" w:themeColor="text1"/>
          <w:spacing w:val="0"/>
          <w:kern w:val="0"/>
          <w:sz w:val="24"/>
          <w:szCs w:val="24"/>
          <w:highlight w:val="none"/>
          <w14:textFill>
            <w14:solidFill>
              <w14:schemeClr w14:val="tx1"/>
            </w14:solidFill>
          </w14:textFill>
        </w:rPr>
        <w:t>产品、服务单价为零的，视作已包含在总价中</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宋体" w:hAnsi="宋体" w:cs="宋体"/>
          <w:b/>
          <w:color w:val="000000" w:themeColor="text1"/>
          <w:kern w:val="0"/>
          <w:sz w:val="24"/>
          <w:highlight w:val="none"/>
          <w14:textFill>
            <w14:solidFill>
              <w14:schemeClr w14:val="tx1"/>
            </w14:solidFill>
          </w14:textFill>
        </w:rPr>
        <w:t>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pPr>
        <w:snapToGrid w:val="0"/>
        <w:spacing w:line="360" w:lineRule="auto"/>
        <w:ind w:firstLine="480"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p>
    <w:p>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pgSz w:w="11906" w:h="16838"/>
          <w:pgMar w:top="1247" w:right="1418" w:bottom="1276" w:left="1418"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14:textFill>
            <w14:solidFill>
              <w14:schemeClr w14:val="tx1"/>
            </w14:solidFill>
          </w14:textFill>
        </w:rPr>
        <w:t>二、</w:t>
      </w:r>
      <w:r>
        <w:rPr>
          <w:rFonts w:hint="eastAsia" w:ascii="宋体" w:hAnsi="宋体" w:eastAsia="宋体" w:cs="宋体"/>
          <w:color w:val="000000" w:themeColor="text1"/>
          <w:sz w:val="32"/>
          <w:szCs w:val="32"/>
          <w:highlight w:val="none"/>
          <w14:textFill>
            <w14:solidFill>
              <w14:schemeClr w14:val="tx1"/>
            </w14:solidFill>
          </w14:textFill>
        </w:rPr>
        <w:t>中小企业声明函（如果有）</w:t>
      </w:r>
    </w:p>
    <w:p>
      <w:pPr>
        <w:widowControl/>
        <w:spacing w:line="360" w:lineRule="auto"/>
        <w:ind w:firstLine="120" w:firstLineChars="5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highlight w:val="none"/>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w:t>
      </w:r>
    </w:p>
    <w:p>
      <w:pPr>
        <w:pStyle w:val="80"/>
        <w:rPr>
          <w:rFonts w:hint="eastAsia" w:ascii="宋体" w:hAnsi="宋体" w:cs="宋体"/>
          <w:b/>
          <w:color w:val="000000" w:themeColor="text1"/>
          <w:sz w:val="24"/>
          <w:highlight w:val="none"/>
          <w14:textFill>
            <w14:solidFill>
              <w14:schemeClr w14:val="tx1"/>
            </w14:solidFill>
          </w14:textFill>
        </w:rPr>
      </w:pPr>
    </w:p>
    <w:p>
      <w:pPr>
        <w:pStyle w:val="80"/>
        <w:rPr>
          <w:rFonts w:hint="eastAsia" w:ascii="宋体" w:hAnsi="宋体" w:cs="宋体"/>
          <w:b/>
          <w:color w:val="000000" w:themeColor="text1"/>
          <w:sz w:val="24"/>
          <w:highlight w:val="none"/>
          <w14:textFill>
            <w14:solidFill>
              <w14:schemeClr w14:val="tx1"/>
            </w14:solidFill>
          </w14:textFill>
        </w:rPr>
      </w:pPr>
    </w:p>
    <w:p>
      <w:pPr>
        <w:pStyle w:val="693"/>
        <w:keepNext w:val="0"/>
        <w:pageBreakBefore w:val="0"/>
        <w:tabs>
          <w:tab w:val="clear" w:pos="720"/>
        </w:tabs>
        <w:snapToGrid w:val="0"/>
        <w:spacing w:before="120" w:after="120"/>
        <w:ind w:firstLine="643"/>
        <w:outlineLvl w:val="9"/>
        <w:rPr>
          <w:rFonts w:ascii="宋体" w:hAnsi="宋体" w:eastAsia="宋体" w:cs="宋体"/>
          <w:b w:val="0"/>
          <w:color w:val="000000" w:themeColor="text1"/>
          <w:sz w:val="32"/>
          <w:szCs w:val="32"/>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附件</w:t>
      </w:r>
    </w:p>
    <w:p>
      <w:pPr>
        <w:spacing w:line="360" w:lineRule="auto"/>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bookmarkStart w:id="615" w:name="OLE_LINK14"/>
      <w:bookmarkStart w:id="616" w:name="OLE_LINK13"/>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615"/>
    <w:bookmarkEnd w:id="616"/>
    <w:p>
      <w:pPr>
        <w:spacing w:line="360" w:lineRule="auto"/>
        <w:rPr>
          <w:rFonts w:ascii="宋体" w:hAnsi="宋体" w:cs="宋体"/>
          <w:b/>
          <w:color w:val="000000" w:themeColor="text1"/>
          <w:spacing w:val="6"/>
          <w:sz w:val="30"/>
          <w:szCs w:val="30"/>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highlight w:val="none"/>
          <w:u w:val="single"/>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_单位的_</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投标人名称（电子签名）</w:t>
      </w:r>
      <w:r>
        <w:rPr>
          <w:rFonts w:hint="eastAsia" w:ascii="宋体" w:hAnsi="宋体" w:cs="宋体"/>
          <w:color w:val="000000" w:themeColor="text1"/>
          <w:sz w:val="24"/>
          <w:highlight w:val="none"/>
          <w14:textFill>
            <w14:solidFill>
              <w14:schemeClr w14:val="tx1"/>
            </w14:solidFill>
          </w14:textFill>
        </w:rPr>
        <w:t>：</w:t>
      </w:r>
    </w:p>
    <w:p>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附件2：质疑函范本及制作说明</w:t>
      </w: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pPr>
        <w:snapToGrid w:val="0"/>
        <w:spacing w:before="240" w:beforeLines="100"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000000" w:themeColor="text1"/>
          <w:sz w:val="30"/>
          <w:szCs w:val="30"/>
          <w:highlight w:val="none"/>
          <w14:textFill>
            <w14:solidFill>
              <w14:schemeClr w14:val="tx1"/>
            </w14:solidFill>
          </w14:textFill>
        </w:rPr>
      </w:pPr>
    </w:p>
    <w:p>
      <w:pPr>
        <w:spacing w:line="240" w:lineRule="auto"/>
        <w:jc w:val="left"/>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br w:type="page"/>
      </w:r>
    </w:p>
    <w:p>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附件3：投诉书范本及制作说明</w:t>
      </w:r>
    </w:p>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tabs>
          <w:tab w:val="left" w:pos="6510"/>
        </w:tabs>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tabs>
          <w:tab w:val="left" w:pos="6510"/>
        </w:tabs>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pPr>
        <w:spacing w:line="360" w:lineRule="auto"/>
        <w:ind w:firstLine="480" w:firstLineChars="200"/>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日,向</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日,就质疑事项作出了答复/没有在法定期限内作出答复。</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pPr>
        <w:widowControl/>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autoSpaceDE/>
        <w:autoSpaceDN/>
        <w:jc w:val="left"/>
        <w:rPr>
          <w:rFonts w:ascii="宋体" w:hAnsi="宋体" w:cs="宋体"/>
          <w:b/>
          <w:color w:val="000000" w:themeColor="text1"/>
          <w:spacing w:val="6"/>
          <w:sz w:val="32"/>
          <w:szCs w:val="32"/>
          <w:highlight w:val="none"/>
          <w14:textFill>
            <w14:solidFill>
              <w14:schemeClr w14:val="tx1"/>
            </w14:solidFill>
          </w14:textFill>
        </w:rPr>
      </w:pPr>
      <w:r>
        <w:rPr>
          <w:rFonts w:ascii="宋体" w:hAnsi="宋体" w:cs="宋体"/>
          <w:b/>
          <w:color w:val="000000" w:themeColor="text1"/>
          <w:spacing w:val="6"/>
          <w:sz w:val="32"/>
          <w:szCs w:val="32"/>
          <w:highlight w:val="none"/>
          <w14:textFill>
            <w14:solidFill>
              <w14:schemeClr w14:val="tx1"/>
            </w14:solidFill>
          </w14:textFill>
        </w:rPr>
        <w:br w:type="page"/>
      </w:r>
    </w:p>
    <w:p>
      <w:pPr>
        <w:autoSpaceDE w:val="0"/>
        <w:autoSpaceDN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附件4：</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pPr>
        <w:spacing w:line="360" w:lineRule="auto"/>
        <w:rPr>
          <w:rFonts w:ascii="宋体" w:hAnsi="宋体" w:cs="宋体"/>
          <w:color w:val="000000" w:themeColor="text1"/>
          <w:sz w:val="24"/>
          <w:highlight w:val="none"/>
          <w:u w:val="singl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（采购人）、（采购代理机构）：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(投标人全称)是中华人民共和国依法登记注册的合法企业，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你方组织的（项目名称）【招标编号：（采购编号）】</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right="480" w:firstLine="4080" w:firstLineChars="17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投标单位（法定名称章）：</w:t>
      </w:r>
    </w:p>
    <w:p>
      <w:pPr>
        <w:ind w:right="1440" w:firstLine="494"/>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pP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highlight w:val="none"/>
          <w14:textFill>
            <w14:solidFill>
              <w14:schemeClr w14:val="tx1"/>
            </w14:solidFill>
          </w14:textFill>
        </w:rPr>
        <w:t>投标单位法定名称章（印模）                投标单位“XX专用章”（印模）</w:t>
      </w: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autoSpaceDN/>
        <w:jc w:val="left"/>
        <w:rPr>
          <w:rFonts w:ascii="宋体" w:hAnsi="宋体" w:cs="宋体"/>
          <w:b/>
          <w:color w:val="000000" w:themeColor="text1"/>
          <w:spacing w:val="6"/>
          <w:sz w:val="32"/>
          <w:szCs w:val="32"/>
          <w:highlight w:val="none"/>
          <w14:textFill>
            <w14:solidFill>
              <w14:schemeClr w14:val="tx1"/>
            </w14:solidFill>
          </w14:textFill>
        </w:rPr>
      </w:pPr>
      <w:r>
        <w:rPr>
          <w:rFonts w:ascii="宋体" w:hAnsi="宋体" w:cs="宋体"/>
          <w:b/>
          <w:color w:val="000000" w:themeColor="text1"/>
          <w:spacing w:val="6"/>
          <w:sz w:val="32"/>
          <w:szCs w:val="32"/>
          <w:highlight w:val="none"/>
          <w14:textFill>
            <w14:solidFill>
              <w14:schemeClr w14:val="tx1"/>
            </w14:solidFill>
          </w14:textFill>
        </w:rPr>
        <w:br w:type="page"/>
      </w:r>
    </w:p>
    <w:p>
      <w:pPr>
        <w:autoSpaceDE w:val="0"/>
        <w:autoSpaceDN w:val="0"/>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5</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联合协议</w:t>
      </w:r>
    </w:p>
    <w:p>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 xml:space="preserve">投标。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授权代表根据招标文件规定及投标内容而对采购人、采购代理机构所作的任何合法承诺，包括书面澄清及响应等均对联合投标各方产生约束力。</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三、本次联合投标中，分工如下：</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四、联合体成员中小企业合同份额。</w:t>
      </w:r>
    </w:p>
    <w:p>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w:t>
      </w:r>
      <w:bookmarkStart w:id="617" w:name="_Hlk101131882"/>
      <w:r>
        <w:rPr>
          <w:rFonts w:hint="eastAsia" w:ascii="宋体" w:hAnsi="宋体" w:cs="宋体"/>
          <w:color w:val="000000" w:themeColor="text1"/>
          <w:kern w:val="0"/>
          <w:sz w:val="24"/>
          <w:highlight w:val="none"/>
          <w:u w:val="single"/>
          <w14:textFill>
            <w14:solidFill>
              <w14:schemeClr w14:val="tx1"/>
            </w14:solidFill>
          </w14:textFill>
        </w:rPr>
        <w:t>联合体成员X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w:t>
      </w:r>
      <w:bookmarkEnd w:id="617"/>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提供的服务由小微企业承接，其合同份额占到合同总金额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w:t>
      </w:r>
      <w:bookmarkStart w:id="618" w:name="_Hlk101133598"/>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bookmarkEnd w:id="618"/>
      <w:r>
        <w:rPr>
          <w:rFonts w:hint="eastAsia" w:ascii="宋体" w:hAnsi="宋体" w:cs="宋体"/>
          <w:b/>
          <w:color w:val="000000" w:themeColor="text1"/>
          <w:kern w:val="0"/>
          <w:sz w:val="24"/>
          <w:highlight w:val="none"/>
          <w:lang w:val="zh-CN"/>
          <w14:textFill>
            <w14:solidFill>
              <w14:schemeClr w14:val="tx1"/>
            </w14:solidFill>
          </w14:textFill>
        </w:rPr>
        <w:t>）</w:t>
      </w:r>
    </w:p>
    <w:p>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bookmarkStart w:id="619" w:name="_Hlk101133173"/>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619"/>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五、如果中标，</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六、有关本次联合投标的其他事宜：</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right="960"/>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snapToGrid/>
        <w:spacing w:line="240" w:lineRule="auto"/>
        <w:ind w:firstLine="0" w:firstLineChars="0"/>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br w:type="page"/>
      </w:r>
    </w:p>
    <w:p>
      <w:pPr>
        <w:snapToGrid w:val="0"/>
        <w:spacing w:line="360" w:lineRule="auto"/>
        <w:ind w:firstLine="3666" w:firstLineChars="11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6</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14:textFill>
            <w14:solidFill>
              <w14:schemeClr w14:val="tx1"/>
            </w14:solidFill>
          </w14:textFill>
        </w:rPr>
        <w:t>分包意向协议</w:t>
      </w:r>
    </w:p>
    <w:p>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一、分包标的及数量</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（分包供应商</w:t>
      </w:r>
      <w:r>
        <w:rPr>
          <w:rFonts w:hint="eastAsia" w:ascii="宋体" w:hAnsi="宋体" w:cs="宋体"/>
          <w:color w:val="000000" w:themeColor="text1"/>
          <w:kern w:val="0"/>
          <w:sz w:val="24"/>
          <w:highlight w:val="none"/>
          <w:u w:val="single"/>
          <w:lang w:val="en-US" w:eastAsia="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pPr>
        <w:pStyle w:val="4"/>
        <w:ind w:left="664" w:leftChars="316" w:firstLine="229" w:firstLineChars="95"/>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pPr>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二、分包供应商中小企业合同份额</w:t>
      </w:r>
    </w:p>
    <w:p>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（分包供应商X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……）提供的服务全部由小微企业承接，</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pPr>
        <w:snapToGrid w:val="0"/>
        <w:spacing w:line="360" w:lineRule="auto"/>
        <w:ind w:firstLine="576"/>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五、价款或者报酬</w:t>
      </w:r>
    </w:p>
    <w:p>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六、违约责任</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七、争议解决的办法</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八、其他</w:t>
      </w:r>
    </w:p>
    <w:p>
      <w:pPr>
        <w:snapToGrid w:val="0"/>
        <w:spacing w:line="360" w:lineRule="auto"/>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                                           投标人名称(电子签名)：</w:t>
      </w:r>
    </w:p>
    <w:p>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分包供应商名称(电子签名/公章)：</w:t>
      </w:r>
    </w:p>
    <w:p>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spacing w:line="240" w:lineRule="auto"/>
        <w:jc w:val="left"/>
        <w:outlineLvl w:val="9"/>
        <w:rPr>
          <w:rFonts w:hint="eastAsia"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br w:type="page"/>
      </w:r>
    </w:p>
    <w:p>
      <w:pPr>
        <w:spacing w:line="360" w:lineRule="auto"/>
        <w:jc w:val="left"/>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附件</w:t>
      </w:r>
      <w:r>
        <w:rPr>
          <w:rFonts w:ascii="宋体" w:hAnsi="宋体" w:cs="宋体"/>
          <w:b/>
          <w:color w:val="000000" w:themeColor="text1"/>
          <w:sz w:val="36"/>
          <w:szCs w:val="20"/>
          <w:highlight w:val="none"/>
          <w14:textFill>
            <w14:solidFill>
              <w14:schemeClr w14:val="tx1"/>
            </w14:solidFill>
          </w14:textFill>
        </w:rPr>
        <w:t>7</w:t>
      </w:r>
      <w:r>
        <w:rPr>
          <w:rFonts w:hint="eastAsia" w:ascii="宋体" w:hAnsi="宋体" w:cs="宋体"/>
          <w:b/>
          <w:color w:val="000000" w:themeColor="text1"/>
          <w:sz w:val="36"/>
          <w:szCs w:val="20"/>
          <w:highlight w:val="none"/>
          <w14:textFill>
            <w14:solidFill>
              <w14:schemeClr w14:val="tx1"/>
            </w14:solidFill>
          </w14:textFill>
        </w:rPr>
        <w:t>：中小企业声明函</w:t>
      </w:r>
    </w:p>
    <w:p>
      <w:pPr>
        <w:spacing w:line="360" w:lineRule="auto"/>
        <w:jc w:val="center"/>
        <w:rPr>
          <w:rFonts w:ascii="宋体" w:hAnsi="宋体" w:cs="宋体"/>
          <w:color w:val="000000" w:themeColor="text1"/>
          <w:sz w:val="24"/>
          <w:highlight w:val="none"/>
          <w:u w:val="single"/>
          <w14:textFill>
            <w14:solidFill>
              <w14:schemeClr w14:val="tx1"/>
            </w14:solidFill>
          </w14:textFill>
        </w:rPr>
      </w:pPr>
    </w:p>
    <w:p>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中小企业声明函（服务）</w:t>
      </w:r>
    </w:p>
    <w:p>
      <w:pPr>
        <w:spacing w:line="360" w:lineRule="auto"/>
        <w:ind w:firstLine="360" w:firstLineChars="1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14:textFill>
            <w14:solidFill>
              <w14:schemeClr w14:val="tx1"/>
            </w14:solidFill>
          </w14:textFill>
        </w:rPr>
        <w:t xml:space="preserve">（采购人） </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 xml:space="preserve"> （项目名称） </w:t>
      </w:r>
      <w:r>
        <w:rPr>
          <w:rFonts w:hint="eastAsia" w:ascii="宋体" w:hAnsi="宋体"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 xml:space="preserve"> （采购文件中明确的所属行业）</w:t>
      </w:r>
      <w:r>
        <w:rPr>
          <w:rFonts w:hint="eastAsia" w:ascii="宋体" w:hAnsi="宋体" w:cs="宋体"/>
          <w:color w:val="000000" w:themeColor="text1"/>
          <w:sz w:val="24"/>
          <w:highlight w:val="none"/>
          <w14:textFill>
            <w14:solidFill>
              <w14:schemeClr w14:val="tx1"/>
            </w14:solidFill>
          </w14:textFill>
        </w:rPr>
        <w:t xml:space="preserve"> ；承建（承接）企业为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 xml:space="preserve"> （标的名称），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 xml:space="preserve">（采购文件中明确的所属行业） </w:t>
      </w:r>
      <w:r>
        <w:rPr>
          <w:rFonts w:hint="eastAsia" w:ascii="宋体" w:hAnsi="宋体" w:cs="宋体"/>
          <w:color w:val="000000" w:themeColor="text1"/>
          <w:sz w:val="24"/>
          <w:highlight w:val="none"/>
          <w14:textFill>
            <w14:solidFill>
              <w14:schemeClr w14:val="tx1"/>
            </w14:solidFill>
          </w14:textFill>
        </w:rPr>
        <w:t xml:space="preserve">；承建（承接）企业为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pPr>
        <w:spacing w:line="360" w:lineRule="auto"/>
        <w:ind w:right="176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投标人名称（电子签名）：</w:t>
      </w:r>
    </w:p>
    <w:p>
      <w:pPr>
        <w:spacing w:line="360" w:lineRule="auto"/>
        <w:ind w:right="1120" w:firstLine="4680" w:firstLineChars="19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pPr>
        <w:spacing w:line="360" w:lineRule="auto"/>
        <w:ind w:right="42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①</w:t>
      </w:r>
      <w:r>
        <w:rPr>
          <w:rFonts w:hint="eastAsia" w:ascii="宋体" w:hAnsi="宋体" w:eastAsia="宋体" w:cs="宋体"/>
          <w:color w:val="000000" w:themeColor="text1"/>
          <w:sz w:val="24"/>
          <w:highlight w:val="none"/>
          <w14:textFill>
            <w14:solidFill>
              <w14:schemeClr w14:val="tx1"/>
            </w14:solidFill>
          </w14:textFill>
        </w:rPr>
        <w:t>从业人员、营业收入、资产总额填报上一年度数据，无上一年度数据的新成立企业可不填报</w:t>
      </w:r>
      <w:r>
        <w:rPr>
          <w:rFonts w:hint="eastAsia" w:ascii="宋体" w:hAnsi="宋体" w:eastAsia="宋体" w:cs="宋体"/>
          <w:color w:val="000000" w:themeColor="text1"/>
          <w:sz w:val="24"/>
          <w:highlight w:val="none"/>
          <w:lang w:eastAsia="zh-CN"/>
          <w14:textFill>
            <w14:solidFill>
              <w14:schemeClr w14:val="tx1"/>
            </w14:solidFill>
          </w14:textFill>
        </w:rPr>
        <w:t>。②</w:t>
      </w:r>
      <w:r>
        <w:rPr>
          <w:rFonts w:hint="eastAsia" w:ascii="宋体" w:hAnsi="宋体" w:eastAsia="宋体" w:cs="宋体"/>
          <w:color w:val="000000" w:themeColor="text1"/>
          <w:sz w:val="24"/>
          <w:highlight w:val="none"/>
          <w14:textFill>
            <w14:solidFill>
              <w14:schemeClr w14:val="tx1"/>
            </w14:solidFill>
          </w14:textFill>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erif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0"/>
    <w:family w:val="auto"/>
    <w:pitch w:val="default"/>
    <w:sig w:usb0="00000000" w:usb1="00000000" w:usb2="00000000" w:usb3="00000000" w:csb0="80000000" w:csb1="0000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620" w:name="_Toc36110187"/>
    <w:bookmarkStart w:id="621" w:name="_Toc91899912"/>
    <w:bookmarkStart w:id="622" w:name="_Toc164085800"/>
    <w:bookmarkStart w:id="623" w:name="_Toc131845147"/>
    <w:r>
      <w:rPr>
        <w:rFonts w:hint="eastAsia" w:ascii="仿宋_GB2312" w:eastAsia="仿宋_GB2312"/>
        <w:kern w:val="0"/>
        <w:szCs w:val="21"/>
      </w:rPr>
      <w:t xml:space="preserve"> 页</w:t>
    </w:r>
    <w:bookmarkEnd w:id="620"/>
    <w:bookmarkEnd w:id="621"/>
    <w:bookmarkEnd w:id="622"/>
    <w:bookmarkEnd w:id="62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41908C"/>
    <w:multiLevelType w:val="singleLevel"/>
    <w:tmpl w:val="2641908C"/>
    <w:lvl w:ilvl="0" w:tentative="0">
      <w:start w:val="1"/>
      <w:numFmt w:val="decimal"/>
      <w:lvlText w:val="%1."/>
      <w:lvlJc w:val="left"/>
      <w:pPr>
        <w:tabs>
          <w:tab w:val="left" w:pos="312"/>
        </w:tabs>
      </w:pPr>
    </w:lvl>
  </w:abstractNum>
  <w:abstractNum w:abstractNumId="1">
    <w:nsid w:val="41892D21"/>
    <w:multiLevelType w:val="singleLevel"/>
    <w:tmpl w:val="41892D2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B6316C"/>
    <w:rsid w:val="02DC4B10"/>
    <w:rsid w:val="02DD76CE"/>
    <w:rsid w:val="02F36323"/>
    <w:rsid w:val="02F5619C"/>
    <w:rsid w:val="0326446A"/>
    <w:rsid w:val="032D5555"/>
    <w:rsid w:val="036634D2"/>
    <w:rsid w:val="03DD35E4"/>
    <w:rsid w:val="04076900"/>
    <w:rsid w:val="041A5A3B"/>
    <w:rsid w:val="041D3055"/>
    <w:rsid w:val="042311BA"/>
    <w:rsid w:val="042B157A"/>
    <w:rsid w:val="048A4E96"/>
    <w:rsid w:val="048F763B"/>
    <w:rsid w:val="049F330E"/>
    <w:rsid w:val="04AA775C"/>
    <w:rsid w:val="04AF1889"/>
    <w:rsid w:val="04F66F48"/>
    <w:rsid w:val="05251E14"/>
    <w:rsid w:val="05A16594"/>
    <w:rsid w:val="05A709FC"/>
    <w:rsid w:val="05A7762D"/>
    <w:rsid w:val="060E5941"/>
    <w:rsid w:val="06110FAF"/>
    <w:rsid w:val="06493CA7"/>
    <w:rsid w:val="065A6178"/>
    <w:rsid w:val="066F1CF3"/>
    <w:rsid w:val="068D4007"/>
    <w:rsid w:val="06930BB8"/>
    <w:rsid w:val="07245D42"/>
    <w:rsid w:val="07264C62"/>
    <w:rsid w:val="0779354C"/>
    <w:rsid w:val="07860803"/>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218E4"/>
    <w:rsid w:val="09733572"/>
    <w:rsid w:val="09772C16"/>
    <w:rsid w:val="098353B5"/>
    <w:rsid w:val="09A92330"/>
    <w:rsid w:val="09B06B87"/>
    <w:rsid w:val="09C13146"/>
    <w:rsid w:val="09DF824A"/>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2620AD"/>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2C09AB"/>
    <w:rsid w:val="118963A1"/>
    <w:rsid w:val="11C6522A"/>
    <w:rsid w:val="11E104CC"/>
    <w:rsid w:val="11E20309"/>
    <w:rsid w:val="12255233"/>
    <w:rsid w:val="12530213"/>
    <w:rsid w:val="127723A9"/>
    <w:rsid w:val="12862074"/>
    <w:rsid w:val="12883966"/>
    <w:rsid w:val="129E45B4"/>
    <w:rsid w:val="12D81596"/>
    <w:rsid w:val="12F1180F"/>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674BB1"/>
    <w:rsid w:val="17D349C1"/>
    <w:rsid w:val="1830729E"/>
    <w:rsid w:val="1870062C"/>
    <w:rsid w:val="18817102"/>
    <w:rsid w:val="18830A15"/>
    <w:rsid w:val="18852B28"/>
    <w:rsid w:val="188B5321"/>
    <w:rsid w:val="19932372"/>
    <w:rsid w:val="19A20DD5"/>
    <w:rsid w:val="19AE03F1"/>
    <w:rsid w:val="1A071A03"/>
    <w:rsid w:val="1A1F16AE"/>
    <w:rsid w:val="1A3B5C77"/>
    <w:rsid w:val="1A984BAD"/>
    <w:rsid w:val="1AA71441"/>
    <w:rsid w:val="1AB8220E"/>
    <w:rsid w:val="1ACB068F"/>
    <w:rsid w:val="1AE4166C"/>
    <w:rsid w:val="1AF06CFB"/>
    <w:rsid w:val="1AF11B8D"/>
    <w:rsid w:val="1B11359C"/>
    <w:rsid w:val="1B2A271F"/>
    <w:rsid w:val="1B530544"/>
    <w:rsid w:val="1B713184"/>
    <w:rsid w:val="1BA209CF"/>
    <w:rsid w:val="1BB4777D"/>
    <w:rsid w:val="1BD75AB8"/>
    <w:rsid w:val="1C0459C2"/>
    <w:rsid w:val="1C1B3B4A"/>
    <w:rsid w:val="1C88086E"/>
    <w:rsid w:val="1CC93405"/>
    <w:rsid w:val="1D266CE1"/>
    <w:rsid w:val="1D3963AF"/>
    <w:rsid w:val="1D645998"/>
    <w:rsid w:val="1D6A673C"/>
    <w:rsid w:val="1D9247AE"/>
    <w:rsid w:val="1DA6155C"/>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5C4D25"/>
    <w:rsid w:val="258B00E2"/>
    <w:rsid w:val="25A917A6"/>
    <w:rsid w:val="25BE27CC"/>
    <w:rsid w:val="25F74A5C"/>
    <w:rsid w:val="26277502"/>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34D29"/>
    <w:rsid w:val="29345E77"/>
    <w:rsid w:val="294C65AD"/>
    <w:rsid w:val="29806583"/>
    <w:rsid w:val="298B3C4C"/>
    <w:rsid w:val="29F26D24"/>
    <w:rsid w:val="2A15033F"/>
    <w:rsid w:val="2A1662C1"/>
    <w:rsid w:val="2A1C7367"/>
    <w:rsid w:val="2A2815FA"/>
    <w:rsid w:val="2A6D6092"/>
    <w:rsid w:val="2A7D76B4"/>
    <w:rsid w:val="2B3A67E5"/>
    <w:rsid w:val="2B437463"/>
    <w:rsid w:val="2B7807EE"/>
    <w:rsid w:val="2BA50BF7"/>
    <w:rsid w:val="2BBF00EC"/>
    <w:rsid w:val="2BC37CFD"/>
    <w:rsid w:val="2BD5237F"/>
    <w:rsid w:val="2BE536CE"/>
    <w:rsid w:val="2BE758D9"/>
    <w:rsid w:val="2C09049E"/>
    <w:rsid w:val="2C0A653C"/>
    <w:rsid w:val="2C191F85"/>
    <w:rsid w:val="2CAE5C28"/>
    <w:rsid w:val="2CE82D6F"/>
    <w:rsid w:val="2D343236"/>
    <w:rsid w:val="2D8114FB"/>
    <w:rsid w:val="2DB93E44"/>
    <w:rsid w:val="2DD15014"/>
    <w:rsid w:val="2DF72DE4"/>
    <w:rsid w:val="2E0220AF"/>
    <w:rsid w:val="2E2503A7"/>
    <w:rsid w:val="2E4B082A"/>
    <w:rsid w:val="2E5D4E86"/>
    <w:rsid w:val="2E5D790B"/>
    <w:rsid w:val="2E9A3C18"/>
    <w:rsid w:val="2EBB0FEE"/>
    <w:rsid w:val="2EC63002"/>
    <w:rsid w:val="2EE2441F"/>
    <w:rsid w:val="2EFF68FE"/>
    <w:rsid w:val="2F0A6B38"/>
    <w:rsid w:val="2F624BF2"/>
    <w:rsid w:val="2F946CCB"/>
    <w:rsid w:val="2FCF5A68"/>
    <w:rsid w:val="2FD25781"/>
    <w:rsid w:val="2FDC745C"/>
    <w:rsid w:val="2FFD7934"/>
    <w:rsid w:val="30733ACD"/>
    <w:rsid w:val="308C3862"/>
    <w:rsid w:val="308E6263"/>
    <w:rsid w:val="309379D8"/>
    <w:rsid w:val="30A270F7"/>
    <w:rsid w:val="30DF1478"/>
    <w:rsid w:val="30EC586F"/>
    <w:rsid w:val="310402C4"/>
    <w:rsid w:val="314550B7"/>
    <w:rsid w:val="319C6071"/>
    <w:rsid w:val="31AC537E"/>
    <w:rsid w:val="31E3679B"/>
    <w:rsid w:val="31E732FD"/>
    <w:rsid w:val="32517576"/>
    <w:rsid w:val="326B6DA8"/>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B62EDC"/>
    <w:rsid w:val="36B835B1"/>
    <w:rsid w:val="36EC0CC9"/>
    <w:rsid w:val="373F410B"/>
    <w:rsid w:val="377A14A7"/>
    <w:rsid w:val="37EE7094"/>
    <w:rsid w:val="38296C89"/>
    <w:rsid w:val="383002EB"/>
    <w:rsid w:val="38586797"/>
    <w:rsid w:val="38BC0149"/>
    <w:rsid w:val="38D87D1C"/>
    <w:rsid w:val="39636459"/>
    <w:rsid w:val="396B7F6C"/>
    <w:rsid w:val="39B417A9"/>
    <w:rsid w:val="39FC5695"/>
    <w:rsid w:val="3A006D8E"/>
    <w:rsid w:val="3A3651E5"/>
    <w:rsid w:val="3A726921"/>
    <w:rsid w:val="3A744481"/>
    <w:rsid w:val="3A8C7BEF"/>
    <w:rsid w:val="3A906246"/>
    <w:rsid w:val="3B1C0A1C"/>
    <w:rsid w:val="3B2349B7"/>
    <w:rsid w:val="3B616CFF"/>
    <w:rsid w:val="3B6259F6"/>
    <w:rsid w:val="3B976654"/>
    <w:rsid w:val="3BC01EFC"/>
    <w:rsid w:val="3BCA786A"/>
    <w:rsid w:val="3BD257BD"/>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ECFF899"/>
    <w:rsid w:val="3F060E16"/>
    <w:rsid w:val="3F1D1096"/>
    <w:rsid w:val="3F2F0234"/>
    <w:rsid w:val="3F6363FE"/>
    <w:rsid w:val="3F756B8F"/>
    <w:rsid w:val="3F95482B"/>
    <w:rsid w:val="400B26A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45C90"/>
    <w:rsid w:val="42CD1CE0"/>
    <w:rsid w:val="42E1381E"/>
    <w:rsid w:val="42ED6459"/>
    <w:rsid w:val="42FE58DD"/>
    <w:rsid w:val="43174B3D"/>
    <w:rsid w:val="434B790E"/>
    <w:rsid w:val="4360274F"/>
    <w:rsid w:val="436CDA29"/>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0034F"/>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601C95"/>
    <w:rsid w:val="4E793892"/>
    <w:rsid w:val="4E800872"/>
    <w:rsid w:val="4EB75E31"/>
    <w:rsid w:val="4EC569ED"/>
    <w:rsid w:val="4ED50EA1"/>
    <w:rsid w:val="4EEC050C"/>
    <w:rsid w:val="4F104EC3"/>
    <w:rsid w:val="4F47354A"/>
    <w:rsid w:val="4F6D4A83"/>
    <w:rsid w:val="4F911C54"/>
    <w:rsid w:val="4FE625E0"/>
    <w:rsid w:val="4FFFD7AF"/>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D83754"/>
    <w:rsid w:val="522E4CC3"/>
    <w:rsid w:val="5244713B"/>
    <w:rsid w:val="52615633"/>
    <w:rsid w:val="526F4DE4"/>
    <w:rsid w:val="52711902"/>
    <w:rsid w:val="52977FD4"/>
    <w:rsid w:val="52A25790"/>
    <w:rsid w:val="52A96B6F"/>
    <w:rsid w:val="52B45975"/>
    <w:rsid w:val="52D94AA4"/>
    <w:rsid w:val="52EA3A62"/>
    <w:rsid w:val="52F50BB8"/>
    <w:rsid w:val="53097272"/>
    <w:rsid w:val="53544462"/>
    <w:rsid w:val="5397158E"/>
    <w:rsid w:val="53BB3AA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876DE"/>
    <w:rsid w:val="566B6D1E"/>
    <w:rsid w:val="57032A2C"/>
    <w:rsid w:val="570F5219"/>
    <w:rsid w:val="575D12B5"/>
    <w:rsid w:val="57610A87"/>
    <w:rsid w:val="577B1140"/>
    <w:rsid w:val="577B7F21"/>
    <w:rsid w:val="577F181B"/>
    <w:rsid w:val="57921984"/>
    <w:rsid w:val="579737F0"/>
    <w:rsid w:val="57A6008F"/>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BB64A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E0C87"/>
    <w:rsid w:val="5B7F22CC"/>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ABBBBE"/>
    <w:rsid w:val="5FC96865"/>
    <w:rsid w:val="5FCC5339"/>
    <w:rsid w:val="5FDA6B9D"/>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A7330"/>
    <w:rsid w:val="62FC2CFE"/>
    <w:rsid w:val="63024505"/>
    <w:rsid w:val="630F688A"/>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DF4E53"/>
    <w:rsid w:val="67011F07"/>
    <w:rsid w:val="672F3F24"/>
    <w:rsid w:val="673E055F"/>
    <w:rsid w:val="6754435A"/>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6D1925"/>
    <w:rsid w:val="6977531D"/>
    <w:rsid w:val="69CC2BFF"/>
    <w:rsid w:val="69FD55B8"/>
    <w:rsid w:val="6A0B1C62"/>
    <w:rsid w:val="6A2406C8"/>
    <w:rsid w:val="6ADE0BD1"/>
    <w:rsid w:val="6AE96859"/>
    <w:rsid w:val="6B147746"/>
    <w:rsid w:val="6B24787C"/>
    <w:rsid w:val="6B573233"/>
    <w:rsid w:val="6B5B6274"/>
    <w:rsid w:val="6B935D53"/>
    <w:rsid w:val="6C196F71"/>
    <w:rsid w:val="6C1F2B7F"/>
    <w:rsid w:val="6C226FCB"/>
    <w:rsid w:val="6C31226F"/>
    <w:rsid w:val="6C552F0B"/>
    <w:rsid w:val="6C8C67B7"/>
    <w:rsid w:val="6C9D744C"/>
    <w:rsid w:val="6D167928"/>
    <w:rsid w:val="6D26299B"/>
    <w:rsid w:val="6D2D19E3"/>
    <w:rsid w:val="6D4772EC"/>
    <w:rsid w:val="6D9078AF"/>
    <w:rsid w:val="6DAA3FEF"/>
    <w:rsid w:val="6DC0172B"/>
    <w:rsid w:val="6DCB690C"/>
    <w:rsid w:val="6DD41A5B"/>
    <w:rsid w:val="6DF43C2E"/>
    <w:rsid w:val="6DF51CA3"/>
    <w:rsid w:val="6DF6D2A4"/>
    <w:rsid w:val="6E696A55"/>
    <w:rsid w:val="6E8335BD"/>
    <w:rsid w:val="6E8E12EF"/>
    <w:rsid w:val="6E924D40"/>
    <w:rsid w:val="6E972936"/>
    <w:rsid w:val="6ED446C5"/>
    <w:rsid w:val="6F2A7D94"/>
    <w:rsid w:val="6F8331F1"/>
    <w:rsid w:val="6F8730BC"/>
    <w:rsid w:val="6FAE1A09"/>
    <w:rsid w:val="6FD75BF8"/>
    <w:rsid w:val="704B4683"/>
    <w:rsid w:val="707723D0"/>
    <w:rsid w:val="70F5661B"/>
    <w:rsid w:val="71360107"/>
    <w:rsid w:val="713B688E"/>
    <w:rsid w:val="71D43752"/>
    <w:rsid w:val="71D6B6BC"/>
    <w:rsid w:val="71F1796A"/>
    <w:rsid w:val="72154626"/>
    <w:rsid w:val="72262B5D"/>
    <w:rsid w:val="72283FF7"/>
    <w:rsid w:val="722E7212"/>
    <w:rsid w:val="723A0474"/>
    <w:rsid w:val="725923E4"/>
    <w:rsid w:val="72864BF7"/>
    <w:rsid w:val="729023FC"/>
    <w:rsid w:val="73A7232A"/>
    <w:rsid w:val="73C0646E"/>
    <w:rsid w:val="73E7CF11"/>
    <w:rsid w:val="742222F5"/>
    <w:rsid w:val="74476126"/>
    <w:rsid w:val="74706664"/>
    <w:rsid w:val="747F3682"/>
    <w:rsid w:val="748A45EC"/>
    <w:rsid w:val="749C4185"/>
    <w:rsid w:val="74A460BD"/>
    <w:rsid w:val="75067759"/>
    <w:rsid w:val="752E6DCD"/>
    <w:rsid w:val="7537265F"/>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8A2168"/>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6AA767"/>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971289"/>
    <w:rsid w:val="7DB57A34"/>
    <w:rsid w:val="7DE60973"/>
    <w:rsid w:val="7DEF0916"/>
    <w:rsid w:val="7E1E5218"/>
    <w:rsid w:val="7E9A4E1F"/>
    <w:rsid w:val="7EA7723A"/>
    <w:rsid w:val="7EF56FBB"/>
    <w:rsid w:val="7F0768EB"/>
    <w:rsid w:val="7F143BEC"/>
    <w:rsid w:val="7F6D1272"/>
    <w:rsid w:val="7F715AF2"/>
    <w:rsid w:val="7F716BCD"/>
    <w:rsid w:val="7F7F2D32"/>
    <w:rsid w:val="7F886E69"/>
    <w:rsid w:val="7F9E0F26"/>
    <w:rsid w:val="7FAFDCC6"/>
    <w:rsid w:val="7FFBCA4A"/>
    <w:rsid w:val="9A9EF64E"/>
    <w:rsid w:val="9D9F1204"/>
    <w:rsid w:val="AEEF99C1"/>
    <w:rsid w:val="B5E391B3"/>
    <w:rsid w:val="BB7FA927"/>
    <w:rsid w:val="BFE7ADE8"/>
    <w:rsid w:val="DBF52E04"/>
    <w:rsid w:val="E3FFDF73"/>
    <w:rsid w:val="F3FC4653"/>
    <w:rsid w:val="F5FFD31F"/>
    <w:rsid w:val="F6FF6924"/>
    <w:rsid w:val="F77D1AE1"/>
    <w:rsid w:val="F7F574D3"/>
    <w:rsid w:val="F7FDF42D"/>
    <w:rsid w:val="F9FF2B96"/>
    <w:rsid w:val="FAEF4689"/>
    <w:rsid w:val="FBF35B2B"/>
    <w:rsid w:val="FF1B0F5D"/>
    <w:rsid w:val="FF1F9227"/>
    <w:rsid w:val="FFD946BE"/>
    <w:rsid w:val="FFFE9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next w:val="17"/>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Balloon Text"/>
    <w:basedOn w:val="1"/>
    <w:next w:val="18"/>
    <w:link w:val="188"/>
    <w:qFormat/>
    <w:uiPriority w:val="0"/>
    <w:rPr>
      <w:sz w:val="18"/>
      <w:szCs w:val="18"/>
    </w:rPr>
  </w:style>
  <w:style w:type="paragraph" w:styleId="18">
    <w:name w:val="toc 8"/>
    <w:basedOn w:val="1"/>
    <w:next w:val="1"/>
    <w:qFormat/>
    <w:uiPriority w:val="0"/>
    <w:pPr>
      <w:ind w:left="2940" w:leftChars="1400"/>
    </w:pPr>
  </w:style>
  <w:style w:type="paragraph" w:styleId="19">
    <w:name w:val="caption"/>
    <w:basedOn w:val="1"/>
    <w:next w:val="1"/>
    <w:link w:val="229"/>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2"/>
    <w:qFormat/>
    <w:uiPriority w:val="0"/>
    <w:pPr>
      <w:shd w:val="clear" w:color="auto" w:fill="000080"/>
    </w:pPr>
  </w:style>
  <w:style w:type="paragraph" w:styleId="22">
    <w:name w:val="annotation text"/>
    <w:basedOn w:val="1"/>
    <w:link w:val="344"/>
    <w:qFormat/>
    <w:uiPriority w:val="99"/>
    <w:pPr>
      <w:jc w:val="left"/>
    </w:pPr>
  </w:style>
  <w:style w:type="paragraph" w:styleId="23">
    <w:name w:val="Salutation"/>
    <w:basedOn w:val="1"/>
    <w:next w:val="1"/>
    <w:link w:val="298"/>
    <w:qFormat/>
    <w:uiPriority w:val="0"/>
    <w:rPr>
      <w:rFonts w:ascii="仿宋_GB2312" w:eastAsia="仿宋_GB2312"/>
      <w:sz w:val="28"/>
      <w:szCs w:val="20"/>
    </w:rPr>
  </w:style>
  <w:style w:type="paragraph" w:styleId="24">
    <w:name w:val="Body Text 3"/>
    <w:basedOn w:val="1"/>
    <w:link w:val="330"/>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7">
    <w:name w:val="Body Text Indent"/>
    <w:basedOn w:val="1"/>
    <w:next w:val="1"/>
    <w:link w:val="265"/>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5"/>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6"/>
    <w:qFormat/>
    <w:uiPriority w:val="0"/>
    <w:rPr>
      <w:b/>
      <w:bCs/>
    </w:rPr>
  </w:style>
  <w:style w:type="paragraph" w:styleId="61">
    <w:name w:val="Body Text First Indent"/>
    <w:basedOn w:val="26"/>
    <w:link w:val="321"/>
    <w:qFormat/>
    <w:uiPriority w:val="0"/>
    <w:pPr>
      <w:ind w:firstLine="420"/>
    </w:pPr>
    <w:rPr>
      <w:rFonts w:hAnsi="Calibri" w:cs="Times New Roman"/>
      <w:snapToGrid/>
      <w:szCs w:val="20"/>
    </w:rPr>
  </w:style>
  <w:style w:type="paragraph" w:styleId="62">
    <w:name w:val="Body Text First Indent 2"/>
    <w:basedOn w:val="27"/>
    <w:next w:val="1"/>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17"/>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1"/>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2"/>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9"/>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7"/>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3"/>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0"/>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1"/>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4"/>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2"/>
    <w:qFormat/>
    <w:uiPriority w:val="99"/>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6"/>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1"/>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6">
    <w:name w:val="_正文"/>
    <w:basedOn w:val="1"/>
    <w:qFormat/>
    <w:uiPriority w:val="0"/>
    <w:pPr>
      <w:tabs>
        <w:tab w:val="left" w:pos="840"/>
      </w:tabs>
      <w:adjustRightInd/>
      <w:spacing w:line="360" w:lineRule="auto"/>
      <w:ind w:firstLine="200" w:firstLineChars="200"/>
    </w:pPr>
    <w:rPr>
      <w:sz w:val="24"/>
    </w:rPr>
  </w:style>
  <w:style w:type="paragraph" w:customStyle="1" w:styleId="967">
    <w:name w:val="H正_1"/>
    <w:basedOn w:val="1"/>
    <w:qFormat/>
    <w:uiPriority w:val="0"/>
    <w:pPr>
      <w:adjustRightInd/>
      <w:spacing w:line="420" w:lineRule="auto"/>
      <w:ind w:firstLine="200" w:firstLineChars="200"/>
      <w:jc w:val="left"/>
    </w:pPr>
    <w:rPr>
      <w:rFonts w:cs="Calibri"/>
      <w:sz w:val="24"/>
    </w:rPr>
  </w:style>
  <w:style w:type="character" w:customStyle="1" w:styleId="968">
    <w:name w:val="10"/>
    <w:qFormat/>
    <w:uiPriority w:val="0"/>
    <w:rPr>
      <w:rFonts w:hint="default" w:ascii="Times New Roman" w:hAnsi="Times New Roman" w:cs="Times New Roman"/>
    </w:rPr>
  </w:style>
  <w:style w:type="paragraph" w:customStyle="1" w:styleId="969">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0">
    <w:name w:val="H表_1"/>
    <w:basedOn w:val="1"/>
    <w:qFormat/>
    <w:uiPriority w:val="0"/>
    <w:pPr>
      <w:widowControl/>
      <w:adjustRightInd/>
      <w:jc w:val="center"/>
    </w:pPr>
    <w:rPr>
      <w:rFonts w:ascii="宋体" w:hAnsi="宋体" w:cs="Calibri"/>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73</Pages>
  <Words>17613</Words>
  <Characters>18924</Characters>
  <Lines>281</Lines>
  <Paragraphs>79</Paragraphs>
  <TotalTime>42</TotalTime>
  <ScaleCrop>false</ScaleCrop>
  <LinksUpToDate>false</LinksUpToDate>
  <CharactersWithSpaces>19374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2021-08-03T00:22:00Z</dcterms:created>
  <dc:creator>玥</dc:creator>
  <cp:lastModifiedBy>1</cp:lastModifiedBy>
  <cp:lastPrinted>2025-06-10T16:41:00Z</cp:lastPrinted>
  <dcterms:modified xsi:type="dcterms:W3CDTF">2025-07-02T10:44:07Z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EE6FFB24E5FD4A429923BB775D751DF1</vt:lpwstr>
  </property>
  <property fmtid="{D5CDD505-2E9C-101B-9397-08002B2CF9AE}" pid="5" name="KSOTemplateDocerSaveRecord">
    <vt:lpwstr>eyJoZGlkIjoiZGM4M2I4Yzc4M2ZlZWU1MDYxYjVhMmZiN2VjYzk0ODMiLCJ1c2VySWQiOiIzNjc1MzMxOTYifQ==</vt:lpwstr>
  </property>
</Properties>
</file>