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E78D9">
      <w:pPr>
        <w:spacing w:line="360" w:lineRule="auto"/>
        <w:jc w:val="center"/>
        <w:rPr>
          <w:rFonts w:ascii="宋体" w:hAnsi="宋体" w:cs="宋体"/>
          <w:b/>
          <w:sz w:val="24"/>
          <w:highlight w:val="none"/>
        </w:rPr>
      </w:pPr>
    </w:p>
    <w:p w14:paraId="21EDDB2B">
      <w:pPr>
        <w:spacing w:line="360" w:lineRule="auto"/>
        <w:jc w:val="center"/>
        <w:rPr>
          <w:rFonts w:ascii="宋体" w:hAnsi="宋体" w:cs="宋体"/>
          <w:b/>
          <w:sz w:val="24"/>
          <w:highlight w:val="none"/>
        </w:rPr>
      </w:pPr>
    </w:p>
    <w:p w14:paraId="34D53EF8">
      <w:pPr>
        <w:adjustRightInd/>
        <w:spacing w:line="360" w:lineRule="auto"/>
        <w:jc w:val="center"/>
        <w:rPr>
          <w:rFonts w:ascii="宋体" w:hAnsi="宋体" w:cs="宋体"/>
          <w:b/>
          <w:sz w:val="44"/>
          <w:szCs w:val="44"/>
          <w:highlight w:val="none"/>
        </w:rPr>
      </w:pPr>
    </w:p>
    <w:p w14:paraId="47338EE0">
      <w:pPr>
        <w:adjustRightInd/>
        <w:spacing w:line="360" w:lineRule="auto"/>
        <w:jc w:val="center"/>
        <w:rPr>
          <w:rFonts w:ascii="宋体" w:hAnsi="宋体" w:cs="宋体"/>
          <w:sz w:val="48"/>
          <w:szCs w:val="48"/>
          <w:highlight w:val="none"/>
        </w:rPr>
      </w:pPr>
      <w:r>
        <w:rPr>
          <w:rFonts w:hint="eastAsia" w:ascii="宋体" w:hAnsi="宋体" w:cs="宋体"/>
          <w:sz w:val="48"/>
          <w:szCs w:val="48"/>
          <w:highlight w:val="none"/>
        </w:rPr>
        <w:t>浙江同济科技职业学院</w:t>
      </w:r>
    </w:p>
    <w:p w14:paraId="5B3E9AA9">
      <w:pPr>
        <w:adjustRightInd/>
        <w:spacing w:line="360" w:lineRule="auto"/>
        <w:jc w:val="center"/>
        <w:rPr>
          <w:rFonts w:ascii="宋体" w:hAnsi="宋体" w:cs="宋体"/>
          <w:sz w:val="48"/>
          <w:szCs w:val="48"/>
          <w:highlight w:val="none"/>
        </w:rPr>
      </w:pPr>
      <w:r>
        <w:rPr>
          <w:rFonts w:hint="eastAsia" w:ascii="宋体" w:hAnsi="宋体" w:cs="宋体"/>
          <w:sz w:val="48"/>
          <w:szCs w:val="48"/>
          <w:highlight w:val="none"/>
        </w:rPr>
        <w:t>图书馆家</w:t>
      </w:r>
      <w:bookmarkStart w:id="432" w:name="_GoBack"/>
      <w:bookmarkEnd w:id="432"/>
      <w:r>
        <w:rPr>
          <w:rFonts w:hint="eastAsia" w:ascii="宋体" w:hAnsi="宋体" w:cs="宋体"/>
          <w:sz w:val="48"/>
          <w:szCs w:val="48"/>
          <w:highlight w:val="none"/>
        </w:rPr>
        <w:t>具</w:t>
      </w:r>
    </w:p>
    <w:p w14:paraId="5CC137DA">
      <w:pPr>
        <w:adjustRightInd/>
        <w:spacing w:line="360" w:lineRule="auto"/>
        <w:jc w:val="center"/>
        <w:rPr>
          <w:rFonts w:ascii="宋体" w:hAnsi="宋体" w:cs="宋体"/>
          <w:sz w:val="48"/>
          <w:szCs w:val="48"/>
          <w:highlight w:val="none"/>
        </w:rPr>
      </w:pPr>
      <w:r>
        <w:rPr>
          <w:rFonts w:hint="eastAsia" w:ascii="宋体" w:hAnsi="宋体" w:cs="宋体"/>
          <w:sz w:val="48"/>
          <w:szCs w:val="48"/>
          <w:highlight w:val="none"/>
        </w:rPr>
        <w:t>公开招标招标文件</w:t>
      </w:r>
    </w:p>
    <w:p w14:paraId="6442AE0B">
      <w:pPr>
        <w:adjustRightInd/>
        <w:spacing w:line="360" w:lineRule="auto"/>
        <w:jc w:val="center"/>
        <w:rPr>
          <w:rFonts w:ascii="宋体" w:hAnsi="宋体" w:cs="宋体"/>
          <w:b/>
          <w:sz w:val="44"/>
          <w:szCs w:val="44"/>
          <w:highlight w:val="none"/>
        </w:rPr>
      </w:pPr>
      <w:r>
        <w:rPr>
          <w:rFonts w:hint="eastAsia" w:ascii="宋体" w:hAnsi="宋体" w:cs="宋体"/>
          <w:b/>
          <w:sz w:val="44"/>
          <w:szCs w:val="44"/>
          <w:highlight w:val="none"/>
        </w:rPr>
        <w:t>（电子招投标）</w:t>
      </w:r>
    </w:p>
    <w:p w14:paraId="4E41EAD6">
      <w:pPr>
        <w:snapToGrid w:val="0"/>
        <w:spacing w:line="360" w:lineRule="auto"/>
        <w:jc w:val="center"/>
        <w:rPr>
          <w:rFonts w:ascii="宋体" w:hAnsi="宋体" w:cs="宋体"/>
          <w:sz w:val="30"/>
          <w:szCs w:val="30"/>
          <w:highlight w:val="none"/>
        </w:rPr>
      </w:pPr>
      <w:r>
        <w:rPr>
          <w:rFonts w:hint="eastAsia" w:ascii="宋体" w:hAnsi="宋体" w:cs="宋体"/>
          <w:sz w:val="30"/>
          <w:szCs w:val="30"/>
          <w:highlight w:val="none"/>
        </w:rPr>
        <w:t>编号:ZXZB-TJ-2025010G</w:t>
      </w:r>
    </w:p>
    <w:p w14:paraId="6635F704">
      <w:pPr>
        <w:adjustRightInd/>
        <w:spacing w:line="360" w:lineRule="auto"/>
        <w:rPr>
          <w:rFonts w:ascii="宋体" w:hAnsi="宋体" w:cs="宋体"/>
          <w:sz w:val="28"/>
          <w:szCs w:val="20"/>
          <w:highlight w:val="none"/>
        </w:rPr>
      </w:pPr>
    </w:p>
    <w:p w14:paraId="4F5DFDE4">
      <w:pPr>
        <w:spacing w:line="360" w:lineRule="auto"/>
        <w:jc w:val="center"/>
        <w:rPr>
          <w:rFonts w:ascii="宋体" w:hAnsi="宋体" w:cs="宋体"/>
          <w:b/>
          <w:sz w:val="44"/>
          <w:szCs w:val="44"/>
          <w:highlight w:val="none"/>
        </w:rPr>
      </w:pPr>
    </w:p>
    <w:p w14:paraId="2B2115F6">
      <w:pPr>
        <w:spacing w:line="360" w:lineRule="auto"/>
        <w:jc w:val="center"/>
        <w:rPr>
          <w:rFonts w:ascii="宋体" w:hAnsi="宋体" w:cs="宋体"/>
          <w:b/>
          <w:sz w:val="44"/>
          <w:szCs w:val="44"/>
          <w:highlight w:val="none"/>
        </w:rPr>
      </w:pPr>
    </w:p>
    <w:p w14:paraId="4E61B303">
      <w:pPr>
        <w:spacing w:line="360" w:lineRule="auto"/>
        <w:jc w:val="center"/>
        <w:rPr>
          <w:rFonts w:ascii="宋体" w:hAnsi="宋体" w:cs="宋体"/>
          <w:sz w:val="24"/>
          <w:highlight w:val="none"/>
        </w:rPr>
      </w:pPr>
    </w:p>
    <w:p w14:paraId="795664EC">
      <w:pPr>
        <w:spacing w:line="360" w:lineRule="auto"/>
        <w:jc w:val="center"/>
        <w:rPr>
          <w:rFonts w:ascii="宋体" w:hAnsi="宋体" w:cs="宋体"/>
          <w:sz w:val="24"/>
          <w:highlight w:val="none"/>
        </w:rPr>
      </w:pPr>
    </w:p>
    <w:p w14:paraId="72E86B53">
      <w:pPr>
        <w:spacing w:line="360" w:lineRule="auto"/>
        <w:rPr>
          <w:rFonts w:ascii="宋体" w:hAnsi="宋体" w:cs="宋体"/>
          <w:sz w:val="32"/>
          <w:szCs w:val="32"/>
          <w:highlight w:val="none"/>
        </w:rPr>
      </w:pPr>
    </w:p>
    <w:p w14:paraId="2C159C11">
      <w:pPr>
        <w:snapToGrid w:val="0"/>
        <w:spacing w:line="360" w:lineRule="auto"/>
        <w:jc w:val="center"/>
        <w:rPr>
          <w:rFonts w:ascii="宋体" w:hAnsi="宋体" w:cs="宋体"/>
          <w:sz w:val="32"/>
          <w:szCs w:val="32"/>
          <w:highlight w:val="none"/>
        </w:rPr>
      </w:pPr>
      <w:r>
        <w:rPr>
          <w:rFonts w:hint="eastAsia" w:ascii="宋体" w:hAnsi="宋体" w:cs="宋体"/>
          <w:sz w:val="32"/>
          <w:szCs w:val="32"/>
          <w:highlight w:val="none"/>
        </w:rPr>
        <w:t>浙江同济科技职业学院</w:t>
      </w:r>
    </w:p>
    <w:p w14:paraId="7AB0EB18">
      <w:pPr>
        <w:spacing w:line="360" w:lineRule="auto"/>
        <w:jc w:val="center"/>
        <w:rPr>
          <w:rFonts w:ascii="宋体" w:hAnsi="宋体" w:cs="宋体"/>
          <w:bCs/>
          <w:sz w:val="32"/>
          <w:szCs w:val="32"/>
          <w:highlight w:val="none"/>
        </w:rPr>
      </w:pPr>
      <w:r>
        <w:rPr>
          <w:rFonts w:hint="eastAsia" w:ascii="宋体" w:hAnsi="宋体" w:cs="宋体"/>
          <w:bCs/>
          <w:sz w:val="32"/>
          <w:szCs w:val="32"/>
          <w:highlight w:val="none"/>
        </w:rPr>
        <w:t>浙江致信招标代理有限公司</w:t>
      </w:r>
    </w:p>
    <w:p w14:paraId="29EA5623">
      <w:pPr>
        <w:snapToGrid w:val="0"/>
        <w:spacing w:line="360" w:lineRule="auto"/>
        <w:jc w:val="center"/>
        <w:rPr>
          <w:rFonts w:ascii="宋体" w:hAnsi="宋体" w:cs="宋体"/>
          <w:bCs/>
          <w:sz w:val="32"/>
          <w:szCs w:val="32"/>
          <w:highlight w:val="none"/>
        </w:rPr>
      </w:pPr>
      <w:r>
        <w:rPr>
          <w:rFonts w:hint="eastAsia" w:ascii="宋体" w:hAnsi="宋体" w:cs="宋体"/>
          <w:bCs/>
          <w:sz w:val="32"/>
          <w:szCs w:val="32"/>
          <w:highlight w:val="none"/>
        </w:rPr>
        <w:t>二〇二五年七月</w:t>
      </w:r>
    </w:p>
    <w:p w14:paraId="5C6C6C14">
      <w:pPr>
        <w:snapToGrid w:val="0"/>
        <w:spacing w:line="360" w:lineRule="auto"/>
        <w:jc w:val="center"/>
        <w:rPr>
          <w:rFonts w:ascii="宋体" w:hAnsi="宋体" w:cs="宋体"/>
          <w:sz w:val="24"/>
          <w:highlight w:val="none"/>
        </w:rPr>
      </w:pPr>
      <w:bookmarkStart w:id="0" w:name="_Hlt67893495"/>
      <w:bookmarkEnd w:id="0"/>
      <w:r>
        <w:rPr>
          <w:rFonts w:hint="eastAsia" w:ascii="宋体" w:hAnsi="宋体" w:cs="宋体"/>
          <w:sz w:val="24"/>
          <w:highlight w:val="none"/>
        </w:rPr>
        <w:br w:type="page"/>
      </w:r>
    </w:p>
    <w:p w14:paraId="46367655">
      <w:pPr>
        <w:spacing w:line="360" w:lineRule="auto"/>
        <w:jc w:val="center"/>
        <w:rPr>
          <w:rFonts w:ascii="宋体" w:hAnsi="宋体" w:cs="宋体"/>
          <w:sz w:val="24"/>
          <w:highlight w:val="none"/>
        </w:rPr>
      </w:pPr>
    </w:p>
    <w:p w14:paraId="11E96D76">
      <w:pPr>
        <w:snapToGrid w:val="0"/>
        <w:jc w:val="center"/>
        <w:rPr>
          <w:rFonts w:ascii="宋体" w:hAnsi="宋体" w:cs="宋体"/>
          <w:b/>
          <w:sz w:val="48"/>
          <w:szCs w:val="48"/>
          <w:highlight w:val="none"/>
        </w:rPr>
      </w:pPr>
      <w:r>
        <w:rPr>
          <w:rFonts w:hint="eastAsia" w:ascii="宋体" w:hAnsi="宋体" w:cs="宋体"/>
          <w:b/>
          <w:sz w:val="48"/>
          <w:szCs w:val="48"/>
          <w:highlight w:val="none"/>
        </w:rPr>
        <w:t>目  录</w:t>
      </w:r>
    </w:p>
    <w:sdt>
      <w:sdtPr>
        <w:rPr>
          <w:rFonts w:ascii="宋体" w:hAnsi="宋体"/>
          <w:highlight w:val="none"/>
        </w:rPr>
        <w:id w:val="147461475"/>
        <w15:color w:val="DBDBDB"/>
        <w:docPartObj>
          <w:docPartGallery w:val="Table of Contents"/>
          <w:docPartUnique/>
        </w:docPartObj>
      </w:sdtPr>
      <w:sdtEndPr>
        <w:rPr>
          <w:rFonts w:ascii="宋体" w:hAnsi="宋体" w:cs="宋体"/>
          <w:highlight w:val="none"/>
        </w:rPr>
      </w:sdtEndPr>
      <w:sdtContent>
        <w:p w14:paraId="2994F6C3">
          <w:pPr>
            <w:jc w:val="center"/>
            <w:rPr>
              <w:highlight w:val="none"/>
            </w:rPr>
          </w:pPr>
          <w:bookmarkStart w:id="1" w:name="_Hlt91233176"/>
          <w:bookmarkEnd w:id="1"/>
          <w:bookmarkStart w:id="2" w:name="_Toc91899869"/>
        </w:p>
        <w:p w14:paraId="25173C29">
          <w:pPr>
            <w:pStyle w:val="43"/>
            <w:tabs>
              <w:tab w:val="right" w:leader="dot" w:pos="9746"/>
            </w:tabs>
            <w:snapToGrid w:val="0"/>
            <w:spacing w:line="360" w:lineRule="auto"/>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"1-2" \h \u </w:instrText>
          </w:r>
          <w:r>
            <w:rPr>
              <w:rFonts w:hint="eastAsia" w:asciiTheme="minorEastAsia" w:hAnsiTheme="minorEastAsia" w:eastAsiaTheme="minorEastAsia" w:cstheme="minorEastAsia"/>
              <w:sz w:val="28"/>
              <w:szCs w:val="28"/>
              <w:highlight w:val="none"/>
            </w:rPr>
            <w:fldChar w:fldCharType="separate"/>
          </w:r>
          <w:r>
            <w:rPr>
              <w:highlight w:val="none"/>
            </w:rPr>
            <w:fldChar w:fldCharType="begin"/>
          </w:r>
          <w:r>
            <w:rPr>
              <w:highlight w:val="none"/>
            </w:rPr>
            <w:instrText xml:space="preserve"> HYPERLINK \l "_Toc25803" </w:instrText>
          </w:r>
          <w:r>
            <w:rPr>
              <w:highlight w:val="none"/>
            </w:rPr>
            <w:fldChar w:fldCharType="separate"/>
          </w:r>
          <w:r>
            <w:rPr>
              <w:rFonts w:hint="eastAsia" w:asciiTheme="minorEastAsia" w:hAnsiTheme="minorEastAsia" w:eastAsiaTheme="minorEastAsia" w:cstheme="minorEastAsia"/>
              <w:sz w:val="28"/>
              <w:szCs w:val="28"/>
              <w:highlight w:val="none"/>
            </w:rPr>
            <w:t>第一部分 招标公告</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_Toc25803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7A3A3FD">
          <w:pPr>
            <w:pStyle w:val="43"/>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"_Toc28231" </w:instrText>
          </w:r>
          <w:r>
            <w:rPr>
              <w:highlight w:val="none"/>
            </w:rPr>
            <w:fldChar w:fldCharType="separate"/>
          </w:r>
          <w:r>
            <w:rPr>
              <w:rFonts w:hint="eastAsia" w:asciiTheme="minorEastAsia" w:hAnsiTheme="minorEastAsia" w:eastAsiaTheme="minorEastAsia" w:cstheme="minorEastAsia"/>
              <w:sz w:val="28"/>
              <w:szCs w:val="28"/>
              <w:highlight w:val="none"/>
            </w:rPr>
            <w:t>第二部分 投标人须知</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_Toc28231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E5B27E5">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"_Toc269" </w:instrText>
          </w:r>
          <w:r>
            <w:rPr>
              <w:highlight w:val="none"/>
            </w:rPr>
            <w:fldChar w:fldCharType="separate"/>
          </w:r>
          <w:r>
            <w:rPr>
              <w:rFonts w:hint="eastAsia" w:asciiTheme="minorEastAsia" w:hAnsiTheme="minorEastAsia" w:eastAsiaTheme="minorEastAsia" w:cstheme="minorEastAsia"/>
              <w:sz w:val="28"/>
              <w:szCs w:val="28"/>
              <w:highlight w:val="none"/>
            </w:rPr>
            <w:t>前附表</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_Toc269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E715C70">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"_Toc23033" </w:instrText>
          </w:r>
          <w:r>
            <w:rPr>
              <w:highlight w:val="none"/>
            </w:rPr>
            <w:fldChar w:fldCharType="separate"/>
          </w:r>
          <w:r>
            <w:rPr>
              <w:rFonts w:hint="eastAsia" w:asciiTheme="minorEastAsia" w:hAnsiTheme="minorEastAsia" w:eastAsiaTheme="minorEastAsia" w:cstheme="minorEastAsia"/>
              <w:sz w:val="28"/>
              <w:szCs w:val="28"/>
              <w:highlight w:val="none"/>
            </w:rPr>
            <w:t>一、总则</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_Toc23033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44FC741">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"_Toc32424" </w:instrText>
          </w:r>
          <w:r>
            <w:rPr>
              <w:highlight w:val="none"/>
            </w:rPr>
            <w:fldChar w:fldCharType="separate"/>
          </w:r>
          <w:r>
            <w:rPr>
              <w:rFonts w:hint="eastAsia" w:asciiTheme="minorEastAsia" w:hAnsiTheme="minorEastAsia" w:eastAsiaTheme="minorEastAsia" w:cstheme="minorEastAsia"/>
              <w:sz w:val="28"/>
              <w:szCs w:val="28"/>
              <w:highlight w:val="none"/>
            </w:rPr>
            <w:t>二、招标文件的构成、澄清、修改</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_Toc32424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15</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B9FDF30">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"_Toc6324" </w:instrText>
          </w:r>
          <w:r>
            <w:rPr>
              <w:highlight w:val="none"/>
            </w:rPr>
            <w:fldChar w:fldCharType="separate"/>
          </w:r>
          <w:r>
            <w:rPr>
              <w:rFonts w:hint="eastAsia" w:asciiTheme="minorEastAsia" w:hAnsiTheme="minorEastAsia" w:eastAsiaTheme="minorEastAsia" w:cstheme="minorEastAsia"/>
              <w:sz w:val="28"/>
              <w:szCs w:val="28"/>
              <w:highlight w:val="none"/>
            </w:rPr>
            <w:t>三、投标</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_Toc6324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55E33719">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"_Toc12025" </w:instrText>
          </w:r>
          <w:r>
            <w:rPr>
              <w:highlight w:val="none"/>
            </w:rPr>
            <w:fldChar w:fldCharType="separate"/>
          </w:r>
          <w:r>
            <w:rPr>
              <w:rFonts w:hint="eastAsia" w:asciiTheme="minorEastAsia" w:hAnsiTheme="minorEastAsia" w:eastAsiaTheme="minorEastAsia" w:cstheme="minorEastAsia"/>
              <w:sz w:val="28"/>
              <w:szCs w:val="28"/>
              <w:highlight w:val="none"/>
            </w:rPr>
            <w:t>四、开标、资格审查与信用信息查询</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_Toc12025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19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D04B405">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"_Toc2269" </w:instrText>
          </w:r>
          <w:r>
            <w:rPr>
              <w:highlight w:val="none"/>
            </w:rPr>
            <w:fldChar w:fldCharType="separate"/>
          </w:r>
          <w:r>
            <w:rPr>
              <w:rFonts w:hint="eastAsia" w:asciiTheme="minorEastAsia" w:hAnsiTheme="minorEastAsia" w:eastAsiaTheme="minorEastAsia" w:cstheme="minorEastAsia"/>
              <w:sz w:val="28"/>
              <w:szCs w:val="28"/>
              <w:highlight w:val="none"/>
            </w:rPr>
            <w:t>五、评标</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_Toc2269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203B8A0">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"_Toc1866" </w:instrText>
          </w:r>
          <w:r>
            <w:rPr>
              <w:highlight w:val="none"/>
            </w:rPr>
            <w:fldChar w:fldCharType="separate"/>
          </w:r>
          <w:r>
            <w:rPr>
              <w:rFonts w:hint="eastAsia" w:asciiTheme="minorEastAsia" w:hAnsiTheme="minorEastAsia" w:eastAsiaTheme="minorEastAsia" w:cstheme="minorEastAsia"/>
              <w:sz w:val="28"/>
              <w:szCs w:val="28"/>
              <w:highlight w:val="none"/>
            </w:rPr>
            <w:t>六、定标</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_Toc1866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20</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F86A1E2">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"_Toc300" </w:instrText>
          </w:r>
          <w:r>
            <w:rPr>
              <w:highlight w:val="none"/>
            </w:rPr>
            <w:fldChar w:fldCharType="separate"/>
          </w:r>
          <w:r>
            <w:rPr>
              <w:rFonts w:hint="eastAsia" w:asciiTheme="minorEastAsia" w:hAnsiTheme="minorEastAsia" w:eastAsiaTheme="minorEastAsia" w:cstheme="minorEastAsia"/>
              <w:sz w:val="28"/>
              <w:szCs w:val="28"/>
              <w:highlight w:val="none"/>
            </w:rPr>
            <w:t>七、合同授予</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_Toc300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74CA330">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"_Toc10170" </w:instrText>
          </w:r>
          <w:r>
            <w:rPr>
              <w:highlight w:val="none"/>
            </w:rPr>
            <w:fldChar w:fldCharType="separate"/>
          </w:r>
          <w:r>
            <w:rPr>
              <w:rFonts w:hint="eastAsia" w:asciiTheme="minorEastAsia" w:hAnsiTheme="minorEastAsia" w:eastAsiaTheme="minorEastAsia" w:cstheme="minorEastAsia"/>
              <w:sz w:val="28"/>
              <w:szCs w:val="28"/>
              <w:highlight w:val="none"/>
            </w:rPr>
            <w:t>八、电子交易活动的中止</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_Toc10170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CBE5AC9">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"_Toc23650" </w:instrText>
          </w:r>
          <w:r>
            <w:rPr>
              <w:highlight w:val="none"/>
            </w:rPr>
            <w:fldChar w:fldCharType="separate"/>
          </w:r>
          <w:r>
            <w:rPr>
              <w:rFonts w:hint="eastAsia" w:asciiTheme="minorEastAsia" w:hAnsiTheme="minorEastAsia" w:eastAsiaTheme="minorEastAsia" w:cstheme="minorEastAsia"/>
              <w:sz w:val="28"/>
              <w:szCs w:val="28"/>
              <w:highlight w:val="none"/>
            </w:rPr>
            <w:t>九、验收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_Toc23650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22</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66BF777">
          <w:pPr>
            <w:pStyle w:val="43"/>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"_Toc22177" </w:instrText>
          </w:r>
          <w:r>
            <w:rPr>
              <w:highlight w:val="none"/>
            </w:rPr>
            <w:fldChar w:fldCharType="separate"/>
          </w:r>
          <w:r>
            <w:rPr>
              <w:rFonts w:hint="eastAsia" w:asciiTheme="minorEastAsia" w:hAnsiTheme="minorEastAsia" w:eastAsiaTheme="minorEastAsia" w:cstheme="minorEastAsia"/>
              <w:sz w:val="28"/>
              <w:szCs w:val="28"/>
              <w:highlight w:val="none"/>
            </w:rPr>
            <w:t>第三部分 采购需求</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_Toc22177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24</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A0DA095">
          <w:pPr>
            <w:pStyle w:val="43"/>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"_Toc3291" </w:instrText>
          </w:r>
          <w:r>
            <w:rPr>
              <w:highlight w:val="none"/>
            </w:rPr>
            <w:fldChar w:fldCharType="separate"/>
          </w:r>
          <w:r>
            <w:rPr>
              <w:rFonts w:hint="eastAsia" w:asciiTheme="minorEastAsia" w:hAnsiTheme="minorEastAsia" w:eastAsiaTheme="minorEastAsia" w:cstheme="minorEastAsia"/>
              <w:sz w:val="28"/>
              <w:szCs w:val="28"/>
              <w:highlight w:val="none"/>
            </w:rPr>
            <w:t>第四部分 评标办法</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_Toc3291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51</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4145BF7C">
          <w:pPr>
            <w:pStyle w:val="43"/>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"_Toc5183" </w:instrText>
          </w:r>
          <w:r>
            <w:rPr>
              <w:highlight w:val="none"/>
            </w:rPr>
            <w:fldChar w:fldCharType="separate"/>
          </w:r>
          <w:r>
            <w:rPr>
              <w:rFonts w:hint="eastAsia" w:asciiTheme="minorEastAsia" w:hAnsiTheme="minorEastAsia" w:eastAsiaTheme="minorEastAsia" w:cstheme="minorEastAsia"/>
              <w:sz w:val="28"/>
              <w:szCs w:val="28"/>
              <w:highlight w:val="none"/>
            </w:rPr>
            <w:t>第五部分 拟签订的合同文本</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_Toc5183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59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1E0F8845">
          <w:pPr>
            <w:pStyle w:val="43"/>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"_Toc3090" </w:instrText>
          </w:r>
          <w:r>
            <w:rPr>
              <w:highlight w:val="none"/>
            </w:rPr>
            <w:fldChar w:fldCharType="separate"/>
          </w:r>
          <w:r>
            <w:rPr>
              <w:rFonts w:hint="eastAsia" w:asciiTheme="minorEastAsia" w:hAnsiTheme="minorEastAsia" w:eastAsiaTheme="minorEastAsia" w:cstheme="minorEastAsia"/>
              <w:sz w:val="28"/>
              <w:szCs w:val="28"/>
              <w:highlight w:val="none"/>
            </w:rPr>
            <w:t>第六部分 应提交的有关格式范例</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_Toc3090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5AB269F6">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"_Toc3841" </w:instrText>
          </w:r>
          <w:r>
            <w:rPr>
              <w:highlight w:val="none"/>
            </w:rPr>
            <w:fldChar w:fldCharType="separate"/>
          </w:r>
          <w:r>
            <w:rPr>
              <w:rFonts w:hint="eastAsia" w:asciiTheme="minorEastAsia" w:hAnsiTheme="minorEastAsia" w:eastAsiaTheme="minorEastAsia" w:cstheme="minorEastAsia"/>
              <w:sz w:val="28"/>
              <w:szCs w:val="28"/>
              <w:highlight w:val="none"/>
            </w:rPr>
            <w:t>资格文件部分</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_Toc3841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66</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FA1AD9D">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"_Toc30381" </w:instrText>
          </w:r>
          <w:r>
            <w:rPr>
              <w:highlight w:val="none"/>
            </w:rPr>
            <w:fldChar w:fldCharType="separate"/>
          </w:r>
          <w:r>
            <w:rPr>
              <w:rFonts w:hint="eastAsia" w:asciiTheme="minorEastAsia" w:hAnsiTheme="minorEastAsia" w:eastAsiaTheme="minorEastAsia" w:cstheme="minorEastAsia"/>
              <w:sz w:val="28"/>
              <w:szCs w:val="28"/>
              <w:highlight w:val="none"/>
            </w:rPr>
            <w:t>商务技术文件部分</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_Toc30381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69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AD151A4">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"_Toc7986" </w:instrText>
          </w:r>
          <w:r>
            <w:rPr>
              <w:highlight w:val="none"/>
            </w:rPr>
            <w:fldChar w:fldCharType="separate"/>
          </w:r>
          <w:r>
            <w:rPr>
              <w:rFonts w:hint="eastAsia" w:asciiTheme="minorEastAsia" w:hAnsiTheme="minorEastAsia" w:eastAsiaTheme="minorEastAsia" w:cstheme="minorEastAsia"/>
              <w:sz w:val="28"/>
              <w:szCs w:val="28"/>
              <w:highlight w:val="none"/>
            </w:rPr>
            <w:t>报价文件部分</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_Toc7986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79</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5C60D71">
          <w:pPr>
            <w:pStyle w:val="54"/>
            <w:tabs>
              <w:tab w:val="right" w:leader="dot" w:pos="9746"/>
            </w:tabs>
            <w:snapToGrid w:val="0"/>
            <w:spacing w:line="360" w:lineRule="auto"/>
            <w:rPr>
              <w:rFonts w:asciiTheme="minorEastAsia" w:hAnsiTheme="minorEastAsia" w:eastAsiaTheme="minorEastAsia" w:cstheme="minorEastAsia"/>
              <w:sz w:val="28"/>
              <w:szCs w:val="28"/>
              <w:highlight w:val="none"/>
            </w:rPr>
          </w:pPr>
          <w:r>
            <w:rPr>
              <w:highlight w:val="none"/>
            </w:rPr>
            <w:fldChar w:fldCharType="begin"/>
          </w:r>
          <w:r>
            <w:rPr>
              <w:highlight w:val="none"/>
            </w:rPr>
            <w:instrText xml:space="preserve"> HYPERLINK \l "_Toc13368" </w:instrText>
          </w:r>
          <w:r>
            <w:rPr>
              <w:highlight w:val="none"/>
            </w:rPr>
            <w:fldChar w:fldCharType="separate"/>
          </w:r>
          <w:r>
            <w:rPr>
              <w:rFonts w:hint="eastAsia" w:asciiTheme="minorEastAsia" w:hAnsiTheme="minorEastAsia" w:eastAsiaTheme="minorEastAsia" w:cstheme="minorEastAsia"/>
              <w:sz w:val="28"/>
              <w:szCs w:val="28"/>
              <w:highlight w:val="none"/>
            </w:rPr>
            <w:t>附件</w:t>
          </w:r>
          <w:r>
            <w:rPr>
              <w:rFonts w:hint="eastAsia" w:asciiTheme="minorEastAsia" w:hAnsiTheme="minorEastAsia" w:eastAsiaTheme="minorEastAsia" w:cstheme="minorEastAsia"/>
              <w:sz w:val="28"/>
              <w:szCs w:val="28"/>
              <w:highlight w:val="none"/>
            </w:rPr>
            <w:tab/>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PAGEREF _Toc13368 \h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t>83</w:t>
          </w:r>
          <w:r>
            <w:rPr>
              <w:rFonts w:hint="eastAsia" w:asciiTheme="minorEastAsia" w:hAnsiTheme="minorEastAsia" w:eastAsiaTheme="minorEastAsia" w:cstheme="minorEastAsia"/>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6C04EF7">
          <w:pPr>
            <w:snapToGrid w:val="0"/>
            <w:spacing w:line="360" w:lineRule="auto"/>
            <w:ind w:firstLine="641" w:firstLineChars="229"/>
            <w:rPr>
              <w:rFonts w:ascii="宋体" w:hAnsi="宋体" w:cs="宋体"/>
              <w:highlight w:val="none"/>
            </w:rPr>
          </w:pPr>
          <w:r>
            <w:rPr>
              <w:rFonts w:hint="eastAsia" w:asciiTheme="minorEastAsia" w:hAnsiTheme="minorEastAsia" w:eastAsiaTheme="minorEastAsia" w:cstheme="minorEastAsia"/>
              <w:sz w:val="28"/>
              <w:szCs w:val="28"/>
              <w:highlight w:val="none"/>
            </w:rPr>
            <w:fldChar w:fldCharType="end"/>
          </w:r>
        </w:p>
      </w:sdtContent>
    </w:sdt>
    <w:p w14:paraId="3A2B268F">
      <w:pPr>
        <w:spacing w:line="360" w:lineRule="auto"/>
        <w:ind w:firstLine="549" w:firstLineChars="229"/>
        <w:rPr>
          <w:rFonts w:ascii="宋体" w:hAnsi="宋体" w:cs="宋体"/>
          <w:sz w:val="24"/>
          <w:highlight w:val="none"/>
        </w:rPr>
      </w:pPr>
    </w:p>
    <w:p w14:paraId="60A9C77C">
      <w:pPr>
        <w:spacing w:line="360" w:lineRule="auto"/>
        <w:rPr>
          <w:rFonts w:ascii="宋体" w:hAnsi="宋体" w:cs="宋体"/>
          <w:sz w:val="24"/>
          <w:highlight w:val="none"/>
        </w:rPr>
      </w:pPr>
    </w:p>
    <w:bookmarkEnd w:id="2"/>
    <w:p w14:paraId="5EF064C8">
      <w:pPr>
        <w:pStyle w:val="3"/>
        <w:rPr>
          <w:rFonts w:ascii="宋体" w:hAnsi="宋体" w:cs="宋体"/>
          <w:szCs w:val="20"/>
          <w:highlight w:val="none"/>
        </w:rPr>
      </w:pPr>
      <w:bookmarkStart w:id="3" w:name="第一部分"/>
      <w:bookmarkEnd w:id="3"/>
      <w:bookmarkStart w:id="4" w:name="_Hlt74649545"/>
      <w:bookmarkEnd w:id="4"/>
      <w:bookmarkStart w:id="5" w:name="_Hlt74728647"/>
      <w:bookmarkEnd w:id="5"/>
      <w:bookmarkStart w:id="6" w:name="_Hlt74729822"/>
      <w:bookmarkEnd w:id="6"/>
      <w:bookmarkStart w:id="7" w:name="_Hlt74707423"/>
      <w:bookmarkEnd w:id="7"/>
      <w:bookmarkStart w:id="8" w:name="_Toc91899870"/>
      <w:bookmarkStart w:id="9" w:name="第二部分"/>
      <w:r>
        <w:rPr>
          <w:rFonts w:hint="eastAsia" w:ascii="宋体" w:hAnsi="宋体" w:cs="宋体"/>
          <w:szCs w:val="36"/>
          <w:highlight w:val="none"/>
        </w:rPr>
        <w:br w:type="page"/>
      </w:r>
      <w:bookmarkStart w:id="10" w:name="_Toc25803"/>
      <w:r>
        <w:rPr>
          <w:rFonts w:hint="eastAsia" w:ascii="宋体" w:hAnsi="宋体" w:cs="宋体"/>
          <w:szCs w:val="20"/>
          <w:highlight w:val="none"/>
        </w:rPr>
        <w:t>第一部分 招标公告</w:t>
      </w:r>
      <w:bookmarkEnd w:id="10"/>
    </w:p>
    <w:p w14:paraId="5644565A">
      <w:pPr>
        <w:snapToGrid w:val="0"/>
        <w:spacing w:line="360" w:lineRule="auto"/>
        <w:rPr>
          <w:rFonts w:cs="仿宋_GB2312" w:asciiTheme="minorEastAsia" w:hAnsiTheme="minorEastAsia" w:eastAsiaTheme="minorEastAsia"/>
          <w:b/>
          <w:bCs/>
          <w:sz w:val="24"/>
          <w:highlight w:val="none"/>
          <w:u w:val="single"/>
        </w:rPr>
      </w:pPr>
      <w:r>
        <w:rPr>
          <w:rFonts w:hint="eastAsia" w:asciiTheme="minorEastAsia" w:hAnsiTheme="minorEastAsia" w:eastAsiaTheme="minorEastAsia"/>
          <w:b/>
          <w:bCs/>
          <w:sz w:val="24"/>
          <w:highlight w:val="none"/>
        </w:rPr>
        <w:t>项目概况</w:t>
      </w:r>
    </w:p>
    <w:p w14:paraId="7B550701">
      <w:pPr>
        <w:snapToGrid w:val="0"/>
        <w:spacing w:line="360" w:lineRule="auto"/>
        <w:ind w:firstLine="480" w:firstLineChars="200"/>
        <w:rPr>
          <w:rFonts w:ascii="宋体" w:hAnsi="宋体" w:cs="宋体"/>
          <w:b/>
          <w:sz w:val="24"/>
          <w:highlight w:val="none"/>
        </w:rPr>
      </w:pPr>
      <w:r>
        <w:rPr>
          <w:rFonts w:hint="eastAsia" w:cs="仿宋_GB2312" w:asciiTheme="minorEastAsia" w:hAnsiTheme="minorEastAsia" w:eastAsiaTheme="minorEastAsia"/>
          <w:sz w:val="24"/>
          <w:highlight w:val="none"/>
          <w:u w:val="single"/>
        </w:rPr>
        <w:t>浙江同济科技职业学院图书馆家具</w:t>
      </w:r>
      <w:r>
        <w:rPr>
          <w:rFonts w:hint="eastAsia" w:asciiTheme="minorEastAsia" w:hAnsiTheme="minorEastAsia" w:eastAsiaTheme="minorEastAsia"/>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8"/>
          <w:rFonts w:cs="Times New Roman" w:asciiTheme="minorEastAsia" w:hAnsiTheme="minorEastAsia" w:eastAsiaTheme="minorEastAsia"/>
          <w:color w:val="auto"/>
          <w:kern w:val="2"/>
          <w:sz w:val="24"/>
          <w:szCs w:val="24"/>
          <w:highlight w:val="none"/>
        </w:rPr>
        <w:t>https://www.zcygov.cn/）获取（下载）招标文件，并于</w:t>
      </w:r>
      <w:r>
        <w:rPr>
          <w:rStyle w:val="78"/>
          <w:rFonts w:hint="eastAsia" w:cs="Times New Roman" w:asciiTheme="minorEastAsia" w:hAnsiTheme="minorEastAsia" w:eastAsiaTheme="minorEastAsia"/>
          <w:color w:val="auto"/>
          <w:kern w:val="2"/>
          <w:sz w:val="24"/>
          <w:szCs w:val="24"/>
          <w:highlight w:val="none"/>
          <w:u w:val="single"/>
        </w:rPr>
        <w:t>2025年08月04日13点30分00秒</w:t>
      </w:r>
      <w:r>
        <w:rPr>
          <w:rStyle w:val="78"/>
          <w:rFonts w:hint="eastAsia" w:cs="Times New Roman" w:asciiTheme="minorEastAsia" w:hAnsiTheme="minorEastAsia" w:eastAsiaTheme="minorEastAsia"/>
          <w:color w:val="auto"/>
          <w:kern w:val="2"/>
          <w:sz w:val="24"/>
          <w:szCs w:val="24"/>
          <w:highlight w:val="none"/>
          <w:u w:val="single"/>
        </w:rPr>
        <w:fldChar w:fldCharType="end"/>
      </w:r>
      <w:r>
        <w:rPr>
          <w:rFonts w:hint="eastAsia" w:asciiTheme="minorEastAsia" w:hAnsiTheme="minorEastAsia" w:eastAsiaTheme="minorEastAsia"/>
          <w:bCs/>
          <w:sz w:val="24"/>
          <w:highlight w:val="none"/>
        </w:rPr>
        <w:t>（北京时间）前</w:t>
      </w:r>
      <w:r>
        <w:rPr>
          <w:rFonts w:hint="eastAsia" w:asciiTheme="minorEastAsia" w:hAnsiTheme="minorEastAsia" w:eastAsiaTheme="minorEastAsia"/>
          <w:sz w:val="24"/>
          <w:highlight w:val="none"/>
        </w:rPr>
        <w:t>递交（上传）投标文件</w:t>
      </w:r>
    </w:p>
    <w:p w14:paraId="38AEBB96">
      <w:pPr>
        <w:snapToGrid w:val="0"/>
        <w:spacing w:line="360" w:lineRule="auto"/>
        <w:rPr>
          <w:rFonts w:ascii="宋体" w:hAnsi="宋体" w:cs="宋体"/>
          <w:b/>
          <w:sz w:val="24"/>
          <w:highlight w:val="none"/>
        </w:rPr>
      </w:pPr>
      <w:r>
        <w:rPr>
          <w:rFonts w:hint="eastAsia" w:ascii="宋体" w:hAnsi="宋体" w:cs="宋体"/>
          <w:b/>
          <w:sz w:val="24"/>
          <w:highlight w:val="none"/>
        </w:rPr>
        <w:t>一、项目基本情况</w:t>
      </w:r>
    </w:p>
    <w:p w14:paraId="1D8060E1">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项目编号：</w:t>
      </w:r>
      <w:r>
        <w:rPr>
          <w:rFonts w:hint="eastAsia" w:ascii="宋体" w:hAnsi="宋体" w:cs="宋体"/>
          <w:sz w:val="24"/>
          <w:highlight w:val="none"/>
        </w:rPr>
        <w:t>ZXZB-TJ-2025010G</w:t>
      </w:r>
    </w:p>
    <w:p w14:paraId="5B1196D4">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项目名称：</w:t>
      </w:r>
      <w:r>
        <w:rPr>
          <w:rFonts w:hint="eastAsia" w:ascii="宋体" w:hAnsi="宋体" w:cs="宋体"/>
          <w:sz w:val="24"/>
          <w:highlight w:val="none"/>
        </w:rPr>
        <w:t>浙江同济科技职业学院图书馆家具</w:t>
      </w:r>
    </w:p>
    <w:p w14:paraId="63EC4837">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预算金额（元）：</w:t>
      </w:r>
      <w:r>
        <w:rPr>
          <w:rFonts w:hint="eastAsia" w:ascii="宋体" w:hAnsi="宋体" w:cs="宋体"/>
          <w:bCs/>
          <w:sz w:val="24"/>
          <w:highlight w:val="none"/>
        </w:rPr>
        <w:t>2315700元</w:t>
      </w:r>
    </w:p>
    <w:p w14:paraId="2497EC32">
      <w:pPr>
        <w:snapToGrid w:val="0"/>
        <w:spacing w:line="360" w:lineRule="auto"/>
        <w:ind w:firstLine="480"/>
        <w:rPr>
          <w:rFonts w:ascii="宋体" w:hAnsi="宋体" w:cs="宋体"/>
          <w:sz w:val="24"/>
          <w:highlight w:val="none"/>
        </w:rPr>
      </w:pPr>
      <w:r>
        <w:rPr>
          <w:rFonts w:hint="eastAsia" w:ascii="宋体" w:hAnsi="宋体" w:cs="宋体"/>
          <w:b/>
          <w:sz w:val="24"/>
          <w:highlight w:val="none"/>
        </w:rPr>
        <w:t>最高限价（元）：</w:t>
      </w:r>
      <w:r>
        <w:rPr>
          <w:rFonts w:hint="eastAsia" w:ascii="宋体" w:hAnsi="宋体" w:cs="宋体"/>
          <w:bCs/>
          <w:sz w:val="24"/>
          <w:highlight w:val="none"/>
        </w:rPr>
        <w:t>2315700元</w:t>
      </w:r>
    </w:p>
    <w:p w14:paraId="603A50C3">
      <w:pPr>
        <w:pStyle w:val="16"/>
        <w:spacing w:line="360" w:lineRule="auto"/>
        <w:ind w:firstLine="480"/>
        <w:rPr>
          <w:rFonts w:hAnsi="宋体" w:cs="宋体"/>
          <w:b/>
          <w:color w:val="auto"/>
          <w:sz w:val="24"/>
          <w:highlight w:val="none"/>
        </w:rPr>
      </w:pPr>
      <w:r>
        <w:rPr>
          <w:rFonts w:hint="eastAsia" w:hAnsi="宋体" w:cs="宋体"/>
          <w:b/>
          <w:color w:val="auto"/>
          <w:sz w:val="24"/>
          <w:highlight w:val="none"/>
        </w:rPr>
        <w:t>采购需求：</w:t>
      </w:r>
    </w:p>
    <w:p w14:paraId="0A6395A8">
      <w:pPr>
        <w:pStyle w:val="16"/>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标项名称：图书馆家具</w:t>
      </w:r>
    </w:p>
    <w:p w14:paraId="6AB9DBCE">
      <w:pPr>
        <w:pStyle w:val="16"/>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数量：1批</w:t>
      </w:r>
    </w:p>
    <w:p w14:paraId="5B94BF50">
      <w:pPr>
        <w:pStyle w:val="16"/>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预算金额（元）：2315700</w:t>
      </w:r>
    </w:p>
    <w:p w14:paraId="0A64C58A">
      <w:pPr>
        <w:pStyle w:val="16"/>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简要规格描述或项目基本概况介绍、用途：详见招标文件第三部分采购需求。</w:t>
      </w:r>
    </w:p>
    <w:p w14:paraId="5FF2C47D">
      <w:pPr>
        <w:pStyle w:val="16"/>
        <w:spacing w:line="360" w:lineRule="auto"/>
        <w:ind w:firstLine="960" w:firstLineChars="400"/>
        <w:rPr>
          <w:rFonts w:hAnsi="宋体" w:cs="宋体"/>
          <w:bCs/>
          <w:color w:val="auto"/>
          <w:sz w:val="24"/>
          <w:highlight w:val="none"/>
        </w:rPr>
      </w:pPr>
      <w:r>
        <w:rPr>
          <w:rFonts w:hint="eastAsia" w:hAnsi="宋体" w:cs="宋体"/>
          <w:bCs/>
          <w:color w:val="auto"/>
          <w:sz w:val="24"/>
          <w:highlight w:val="none"/>
        </w:rPr>
        <w:t>备注：/。</w:t>
      </w:r>
    </w:p>
    <w:p w14:paraId="77BBC801">
      <w:pPr>
        <w:snapToGrid w:val="0"/>
        <w:spacing w:line="360" w:lineRule="auto"/>
        <w:ind w:firstLine="482" w:firstLineChars="200"/>
        <w:rPr>
          <w:rFonts w:ascii="宋体" w:hAnsi="宋体" w:cs="宋体"/>
          <w:b/>
          <w:kern w:val="28"/>
          <w:sz w:val="24"/>
          <w:szCs w:val="20"/>
          <w:highlight w:val="none"/>
        </w:rPr>
      </w:pPr>
      <w:r>
        <w:rPr>
          <w:rFonts w:hint="eastAsia" w:ascii="宋体" w:hAnsi="宋体" w:cs="宋体"/>
          <w:b/>
          <w:kern w:val="28"/>
          <w:sz w:val="24"/>
          <w:szCs w:val="20"/>
          <w:highlight w:val="none"/>
        </w:rPr>
        <w:t>合同履约期限：标项一，签订合同后60日内完成供货、安装、调试。</w:t>
      </w:r>
    </w:p>
    <w:p w14:paraId="4793E865">
      <w:pPr>
        <w:snapToGrid w:val="0"/>
        <w:spacing w:line="360" w:lineRule="auto"/>
        <w:ind w:firstLine="482" w:firstLineChars="200"/>
        <w:rPr>
          <w:rFonts w:hAnsi="宋体" w:cs="宋体"/>
          <w:kern w:val="0"/>
          <w:sz w:val="24"/>
          <w:highlight w:val="none"/>
        </w:rPr>
      </w:pPr>
      <w:r>
        <w:rPr>
          <w:rFonts w:hint="eastAsia" w:hAnsi="宋体" w:cs="宋体"/>
          <w:b/>
          <w:sz w:val="24"/>
          <w:highlight w:val="none"/>
        </w:rPr>
        <w:t>本项目是否接受联合体投标：</w:t>
      </w:r>
      <w:sdt>
        <w:sdtPr>
          <w:rPr>
            <w:rFonts w:hint="eastAsia" w:hAnsi="宋体" w:cs="宋体"/>
            <w:kern w:val="0"/>
            <w:sz w:val="24"/>
            <w:highlight w:val="none"/>
          </w:rPr>
          <w:id w:val="2035453831"/>
        </w:sdtPr>
        <w:sdtEndPr>
          <w:rPr>
            <w:rFonts w:hint="eastAsia" w:hAnsi="宋体" w:cs="宋体"/>
            <w:kern w:val="0"/>
            <w:sz w:val="24"/>
            <w:highlight w:val="none"/>
          </w:rPr>
        </w:sdtEndPr>
        <w:sdtContent>
          <w:r>
            <w:rPr>
              <w:rFonts w:hint="eastAsia" w:ascii="Wingdings" w:hAnsi="Wingdings" w:cs="宋体"/>
              <w:kern w:val="0"/>
              <w:sz w:val="24"/>
              <w:highlight w:val="none"/>
            </w:rPr>
            <w:sym w:font="Wingdings" w:char="00FE"/>
          </w:r>
        </w:sdtContent>
      </w:sdt>
      <w:r>
        <w:rPr>
          <w:rFonts w:hint="eastAsia" w:hAnsi="宋体" w:cs="宋体"/>
          <w:b/>
          <w:sz w:val="24"/>
          <w:highlight w:val="none"/>
        </w:rPr>
        <w:t>是；</w:t>
      </w:r>
      <w:sdt>
        <w:sdtPr>
          <w:rPr>
            <w:rFonts w:hint="eastAsia" w:hAnsi="宋体" w:cs="宋体"/>
            <w:kern w:val="0"/>
            <w:sz w:val="24"/>
            <w:highlight w:val="none"/>
          </w:rPr>
          <w:id w:val="-1"/>
        </w:sdtPr>
        <w:sdtEndPr>
          <w:rPr>
            <w:rFonts w:hint="eastAsia" w:hAnsi="宋体" w:cs="宋体"/>
            <w:kern w:val="0"/>
            <w:sz w:val="24"/>
            <w:highlight w:val="none"/>
          </w:rPr>
        </w:sdtEndPr>
        <w:sdtContent>
          <w:r>
            <w:rPr>
              <w:rFonts w:hint="eastAsia" w:ascii="MS Gothic" w:hAnsi="MS Gothic" w:cs="宋体"/>
              <w:kern w:val="0"/>
              <w:sz w:val="24"/>
              <w:highlight w:val="none"/>
            </w:rPr>
            <w:t>☐</w:t>
          </w:r>
        </w:sdtContent>
      </w:sdt>
      <w:r>
        <w:rPr>
          <w:rFonts w:hint="eastAsia" w:hAnsi="宋体" w:cs="宋体"/>
          <w:b/>
          <w:sz w:val="24"/>
          <w:highlight w:val="none"/>
        </w:rPr>
        <w:t>否</w:t>
      </w:r>
      <w:r>
        <w:rPr>
          <w:rFonts w:hint="eastAsia" w:hAnsi="宋体" w:cs="宋体"/>
          <w:kern w:val="0"/>
          <w:sz w:val="24"/>
          <w:highlight w:val="none"/>
        </w:rPr>
        <w:t>。</w:t>
      </w:r>
    </w:p>
    <w:p w14:paraId="6FF43113">
      <w:pPr>
        <w:snapToGrid w:val="0"/>
        <w:spacing w:line="360" w:lineRule="auto"/>
        <w:rPr>
          <w:rFonts w:ascii="宋体" w:hAnsi="宋体" w:cs="宋体"/>
          <w:b/>
          <w:sz w:val="24"/>
          <w:highlight w:val="none"/>
        </w:rPr>
      </w:pPr>
      <w:bookmarkStart w:id="11" w:name="_Hlk101132948"/>
      <w:bookmarkEnd w:id="11"/>
      <w:r>
        <w:rPr>
          <w:rFonts w:hint="eastAsia" w:ascii="宋体" w:hAnsi="宋体" w:cs="宋体"/>
          <w:b/>
          <w:sz w:val="24"/>
          <w:highlight w:val="none"/>
        </w:rPr>
        <w:t>二、申请人的资格要求：</w:t>
      </w:r>
    </w:p>
    <w:p w14:paraId="15DFE697">
      <w:pPr>
        <w:snapToGrid w:val="0"/>
        <w:spacing w:line="360" w:lineRule="auto"/>
        <w:ind w:firstLine="480"/>
        <w:rPr>
          <w:rFonts w:ascii="宋体" w:hAnsi="宋体" w:cs="宋体"/>
          <w:kern w:val="28"/>
          <w:sz w:val="24"/>
          <w:szCs w:val="20"/>
          <w:highlight w:val="none"/>
        </w:rPr>
      </w:pPr>
      <w:r>
        <w:rPr>
          <w:rFonts w:hint="eastAsia" w:ascii="宋体" w:hAnsi="宋体" w:cs="宋体"/>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531119EB">
      <w:pPr>
        <w:snapToGrid w:val="0"/>
        <w:spacing w:line="360" w:lineRule="auto"/>
        <w:ind w:firstLine="480"/>
        <w:rPr>
          <w:rFonts w:ascii="宋体" w:hAnsi="宋体" w:cs="宋体"/>
          <w:kern w:val="28"/>
          <w:sz w:val="24"/>
          <w:szCs w:val="20"/>
          <w:highlight w:val="none"/>
        </w:rPr>
      </w:pPr>
      <w:r>
        <w:rPr>
          <w:rFonts w:ascii="宋体" w:hAnsi="宋体" w:cs="宋体"/>
          <w:kern w:val="28"/>
          <w:sz w:val="24"/>
          <w:szCs w:val="20"/>
          <w:highlight w:val="none"/>
        </w:rPr>
        <w:t>2</w:t>
      </w:r>
      <w:r>
        <w:rPr>
          <w:rFonts w:hint="eastAsia" w:ascii="宋体" w:hAnsi="宋体" w:cs="宋体"/>
          <w:kern w:val="28"/>
          <w:sz w:val="24"/>
          <w:szCs w:val="20"/>
          <w:highlight w:val="none"/>
        </w:rPr>
        <w:t>.以联合体形式投标的，提供联合协议(本项目不接受联合体投标或者投标人不以联合体形式投标的，则不需要提供)；</w:t>
      </w:r>
    </w:p>
    <w:p w14:paraId="7ACCBCC1">
      <w:pPr>
        <w:snapToGrid w:val="0"/>
        <w:spacing w:line="360" w:lineRule="auto"/>
        <w:ind w:firstLine="480" w:firstLineChars="200"/>
        <w:rPr>
          <w:rFonts w:ascii="宋体" w:hAnsi="宋体" w:cs="宋体"/>
          <w:sz w:val="24"/>
          <w:highlight w:val="none"/>
        </w:rPr>
      </w:pPr>
      <w:r>
        <w:rPr>
          <w:rFonts w:ascii="宋体" w:hAnsi="宋体" w:cs="宋体"/>
          <w:kern w:val="28"/>
          <w:sz w:val="24"/>
          <w:szCs w:val="20"/>
          <w:highlight w:val="none"/>
        </w:rPr>
        <w:t>3</w:t>
      </w:r>
      <w:r>
        <w:rPr>
          <w:rFonts w:hint="eastAsia" w:ascii="宋体" w:hAnsi="宋体" w:cs="宋体"/>
          <w:kern w:val="28"/>
          <w:sz w:val="24"/>
          <w:szCs w:val="20"/>
          <w:highlight w:val="none"/>
        </w:rPr>
        <w:t>.落实政府采购政策需满足的资格要求：</w:t>
      </w:r>
      <w:r>
        <w:rPr>
          <w:rFonts w:hint="eastAsia" w:ascii="宋体" w:hAnsi="宋体" w:cs="宋体"/>
          <w:sz w:val="24"/>
          <w:highlight w:val="none"/>
        </w:rPr>
        <w:t>本项目为专门面向中小企业采购的项目（监狱企业、残疾人福利性单位视同小型、微型企业），提供《中小企业声明函》。</w:t>
      </w:r>
    </w:p>
    <w:p w14:paraId="024212C7">
      <w:pPr>
        <w:snapToGrid w:val="0"/>
        <w:spacing w:line="360" w:lineRule="auto"/>
        <w:ind w:firstLine="480" w:firstLineChars="200"/>
        <w:rPr>
          <w:rFonts w:ascii="宋体" w:hAnsi="宋体" w:cs="宋体"/>
          <w:b/>
          <w:bCs/>
          <w:sz w:val="24"/>
          <w:highlight w:val="none"/>
        </w:rPr>
      </w:pPr>
      <w:r>
        <w:rPr>
          <w:rFonts w:hint="eastAsia" w:ascii="宋体" w:hAnsi="宋体" w:cs="宋体"/>
          <w:sz w:val="24"/>
          <w:highlight w:val="none"/>
        </w:rPr>
        <w:t>4.本项目的特定资格要求：无。</w:t>
      </w:r>
    </w:p>
    <w:p w14:paraId="68B17E42">
      <w:pPr>
        <w:snapToGrid w:val="0"/>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cs="宋体"/>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C7A1C8D">
      <w:pPr>
        <w:snapToGrid w:val="0"/>
        <w:spacing w:line="360" w:lineRule="auto"/>
        <w:rPr>
          <w:rFonts w:ascii="宋体" w:hAnsi="宋体" w:cs="宋体"/>
          <w:b/>
          <w:sz w:val="24"/>
          <w:highlight w:val="none"/>
        </w:rPr>
      </w:pPr>
      <w:r>
        <w:rPr>
          <w:rFonts w:hint="eastAsia" w:ascii="宋体" w:hAnsi="宋体" w:cs="宋体"/>
          <w:b/>
          <w:sz w:val="24"/>
          <w:highlight w:val="none"/>
        </w:rPr>
        <w:t xml:space="preserve">三、获取招标文件 </w:t>
      </w:r>
    </w:p>
    <w:p w14:paraId="52CE24EA">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时间：</w:t>
      </w:r>
      <w:r>
        <w:rPr>
          <w:rFonts w:hint="eastAsia" w:ascii="宋体" w:hAnsi="宋体" w:cs="宋体"/>
          <w:sz w:val="24"/>
          <w:highlight w:val="none"/>
        </w:rPr>
        <w:t>/至</w:t>
      </w:r>
      <w:r>
        <w:rPr>
          <w:rFonts w:hint="eastAsia" w:ascii="宋体" w:hAnsi="宋体" w:cs="宋体"/>
          <w:sz w:val="24"/>
          <w:highlight w:val="none"/>
          <w:u w:val="single"/>
        </w:rPr>
        <w:t>2025年08月04日</w:t>
      </w:r>
      <w:r>
        <w:rPr>
          <w:rFonts w:hint="eastAsia" w:ascii="宋体" w:hAnsi="宋体" w:cs="宋体"/>
          <w:sz w:val="24"/>
          <w:highlight w:val="none"/>
        </w:rPr>
        <w:t>，每天上午00:00至12:00，下午12:00至23:59（北京时间，线上获取法定节假日均可，线下获取文件法定节假日除外）</w:t>
      </w:r>
    </w:p>
    <w:p w14:paraId="551A56DD">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地点（网址）：</w:t>
      </w:r>
      <w:r>
        <w:rPr>
          <w:rFonts w:hint="eastAsia" w:ascii="宋体" w:hAnsi="宋体" w:cs="宋体"/>
          <w:sz w:val="24"/>
          <w:highlight w:val="none"/>
        </w:rPr>
        <w:t xml:space="preserve">政采云平台（https://www.zcygov.cn/） </w:t>
      </w:r>
    </w:p>
    <w:p w14:paraId="400A8FFC">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方式：</w:t>
      </w:r>
      <w:r>
        <w:rPr>
          <w:rFonts w:hint="eastAsia" w:ascii="宋体" w:hAnsi="宋体" w:cs="宋体"/>
          <w:sz w:val="24"/>
          <w:highlight w:val="none"/>
        </w:rPr>
        <w:t xml:space="preserve">供应商登录政采云平台https://www.zcygov.cn/在线申请获取采购文件（进入“项目采购”应用，在获取采购文件菜单中选择项目，申请获取采购文件）。 </w:t>
      </w:r>
    </w:p>
    <w:p w14:paraId="46675CE8">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售价（元）：</w:t>
      </w:r>
      <w:r>
        <w:rPr>
          <w:rFonts w:hint="eastAsia" w:ascii="宋体" w:hAnsi="宋体" w:cs="宋体"/>
          <w:sz w:val="24"/>
          <w:highlight w:val="none"/>
        </w:rPr>
        <w:t xml:space="preserve">0 </w:t>
      </w:r>
      <w:r>
        <w:rPr>
          <w:rFonts w:hint="eastAsia" w:ascii="宋体" w:hAnsi="宋体" w:cs="宋体"/>
          <w:sz w:val="24"/>
          <w:highlight w:val="none"/>
        </w:rPr>
        <w:tab/>
      </w:r>
    </w:p>
    <w:p w14:paraId="770B573D">
      <w:pPr>
        <w:snapToGrid w:val="0"/>
        <w:spacing w:line="360" w:lineRule="auto"/>
        <w:rPr>
          <w:rFonts w:ascii="宋体" w:hAnsi="宋体" w:cs="宋体"/>
          <w:b/>
          <w:sz w:val="24"/>
          <w:highlight w:val="none"/>
        </w:rPr>
      </w:pPr>
      <w:r>
        <w:rPr>
          <w:rFonts w:hint="eastAsia" w:ascii="宋体" w:hAnsi="宋体" w:cs="宋体"/>
          <w:b/>
          <w:sz w:val="24"/>
          <w:highlight w:val="none"/>
        </w:rPr>
        <w:t>四、提交投标文件截止时间、开标时间和地点</w:t>
      </w:r>
    </w:p>
    <w:p w14:paraId="321E0CA6">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sz w:val="24"/>
          <w:highlight w:val="none"/>
          <w:u w:val="single"/>
        </w:rPr>
        <w:t>2025年08月04日13点30分00秒</w:t>
      </w:r>
      <w:r>
        <w:rPr>
          <w:rFonts w:hint="eastAsia" w:ascii="宋体" w:hAnsi="宋体" w:cs="宋体"/>
          <w:sz w:val="24"/>
          <w:highlight w:val="none"/>
        </w:rPr>
        <w:t>（北京时间）</w:t>
      </w:r>
    </w:p>
    <w:p w14:paraId="35FBCC40">
      <w:pPr>
        <w:snapToGrid w:val="0"/>
        <w:spacing w:line="360" w:lineRule="auto"/>
        <w:ind w:firstLine="482" w:firstLineChars="200"/>
        <w:rPr>
          <w:rFonts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14:paraId="33B93A08">
      <w:pPr>
        <w:snapToGrid w:val="0"/>
        <w:spacing w:line="360" w:lineRule="auto"/>
        <w:ind w:firstLine="482" w:firstLineChars="200"/>
        <w:rPr>
          <w:rFonts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2025年08月04日13点30分00秒</w:t>
      </w:r>
      <w:r>
        <w:rPr>
          <w:rFonts w:hint="eastAsia" w:ascii="宋体" w:hAnsi="宋体" w:cs="宋体"/>
          <w:sz w:val="24"/>
          <w:highlight w:val="none"/>
        </w:rPr>
        <w:t>（北京时间）</w:t>
      </w:r>
    </w:p>
    <w:p w14:paraId="40D2EFA1">
      <w:pPr>
        <w:snapToGrid w:val="0"/>
        <w:spacing w:line="360" w:lineRule="auto"/>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14:paraId="72F0E010">
      <w:pPr>
        <w:snapToGrid w:val="0"/>
        <w:spacing w:line="360" w:lineRule="auto"/>
        <w:rPr>
          <w:rFonts w:ascii="宋体" w:hAnsi="宋体" w:cs="宋体"/>
          <w:sz w:val="24"/>
          <w:highlight w:val="none"/>
        </w:rPr>
      </w:pPr>
      <w:r>
        <w:rPr>
          <w:rFonts w:hint="eastAsia" w:ascii="宋体" w:hAnsi="宋体" w:cs="宋体"/>
          <w:b/>
          <w:sz w:val="24"/>
          <w:highlight w:val="none"/>
        </w:rPr>
        <w:t xml:space="preserve">五、公告期限 </w:t>
      </w:r>
    </w:p>
    <w:p w14:paraId="25ACA989">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自本公告发布之日起5个工作日。</w:t>
      </w:r>
    </w:p>
    <w:p w14:paraId="611F0B2E">
      <w:pPr>
        <w:snapToGrid w:val="0"/>
        <w:spacing w:line="360" w:lineRule="auto"/>
        <w:rPr>
          <w:rFonts w:ascii="宋体" w:hAnsi="宋体" w:cs="宋体"/>
          <w:b/>
          <w:sz w:val="24"/>
          <w:highlight w:val="none"/>
        </w:rPr>
      </w:pPr>
      <w:r>
        <w:rPr>
          <w:rFonts w:hint="eastAsia" w:ascii="宋体" w:hAnsi="宋体" w:cs="宋体"/>
          <w:b/>
          <w:sz w:val="24"/>
          <w:highlight w:val="none"/>
        </w:rPr>
        <w:t>六、其他补充事宜</w:t>
      </w:r>
    </w:p>
    <w:p w14:paraId="5746E99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highlight w:val="none"/>
        </w:rPr>
        <w:t>。</w:t>
      </w:r>
    </w:p>
    <w:p w14:paraId="0FEA7FE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54F0948">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E888F7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53B1C35">
      <w:pPr>
        <w:snapToGrid w:val="0"/>
        <w:spacing w:line="360" w:lineRule="auto"/>
        <w:rPr>
          <w:rFonts w:ascii="宋体" w:hAnsi="宋体" w:cs="宋体"/>
          <w:b/>
          <w:sz w:val="24"/>
          <w:highlight w:val="none"/>
        </w:rPr>
      </w:pPr>
      <w:r>
        <w:rPr>
          <w:rFonts w:hint="eastAsia" w:ascii="宋体" w:hAnsi="宋体" w:cs="宋体"/>
          <w:b/>
          <w:sz w:val="24"/>
          <w:highlight w:val="none"/>
        </w:rPr>
        <w:t>七、对本次采购提出询问、质疑、投诉，请按以下方式联系</w:t>
      </w:r>
    </w:p>
    <w:p w14:paraId="2E5493D1">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1.采购人信息</w:t>
      </w:r>
    </w:p>
    <w:p w14:paraId="2023CDEE">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名称：浙江同济科技职业学院</w:t>
      </w:r>
    </w:p>
    <w:p w14:paraId="60359381">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地址：杭州市萧山高教园区耕文路418号</w:t>
      </w:r>
    </w:p>
    <w:p w14:paraId="5009571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项目联系人（询问）：郑老师</w:t>
      </w:r>
    </w:p>
    <w:p w14:paraId="07996EC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项目联系方式（询问）：0571-82805667 </w:t>
      </w:r>
    </w:p>
    <w:p w14:paraId="25AB3498">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质疑联系人：马老师</w:t>
      </w:r>
    </w:p>
    <w:p w14:paraId="558A11D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质疑联系方式：0571-83518898</w:t>
      </w:r>
    </w:p>
    <w:p w14:paraId="2C5DFB3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2.采购代理机构信息</w:t>
      </w:r>
    </w:p>
    <w:p w14:paraId="1BD496A4">
      <w:pPr>
        <w:snapToGrid w:val="0"/>
        <w:spacing w:line="360" w:lineRule="auto"/>
        <w:ind w:firstLine="480"/>
        <w:rPr>
          <w:rFonts w:ascii="宋体" w:hAnsi="宋体" w:cs="宋体"/>
          <w:sz w:val="24"/>
          <w:highlight w:val="none"/>
        </w:rPr>
      </w:pPr>
      <w:r>
        <w:rPr>
          <w:rFonts w:hint="eastAsia" w:ascii="宋体" w:hAnsi="宋体" w:cs="宋体"/>
          <w:sz w:val="24"/>
          <w:highlight w:val="none"/>
        </w:rPr>
        <w:t>名    称：浙江致信招标代理有限公司</w:t>
      </w:r>
    </w:p>
    <w:p w14:paraId="27F3CF8A">
      <w:pPr>
        <w:snapToGrid w:val="0"/>
        <w:spacing w:line="360" w:lineRule="auto"/>
        <w:ind w:firstLine="480"/>
        <w:rPr>
          <w:rFonts w:ascii="宋体" w:hAnsi="宋体" w:cs="宋体"/>
          <w:sz w:val="24"/>
          <w:highlight w:val="none"/>
        </w:rPr>
      </w:pPr>
      <w:r>
        <w:rPr>
          <w:rFonts w:hint="eastAsia" w:ascii="宋体" w:hAnsi="宋体" w:cs="宋体"/>
          <w:sz w:val="24"/>
          <w:highlight w:val="none"/>
        </w:rPr>
        <w:t>地    址：浙江省杭州市西湖区天目山路7号1号楼裙楼</w:t>
      </w:r>
    </w:p>
    <w:p w14:paraId="745EC52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项目联系人（询问）：徐锦峰、俞磊、胡月月、张小燕、朱梅黎、沈诗佳</w:t>
      </w:r>
    </w:p>
    <w:p w14:paraId="57DEF7F7">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项目联系方式（询问）：0571-85388866</w:t>
      </w:r>
    </w:p>
    <w:p w14:paraId="76DC311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质疑联系人：尤依婷</w:t>
      </w:r>
    </w:p>
    <w:p w14:paraId="351D078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质疑联系方式：0571-88026807</w:t>
      </w:r>
    </w:p>
    <w:p w14:paraId="38A73784">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3.同级政府采购监督管理部门</w:t>
      </w:r>
    </w:p>
    <w:p w14:paraId="201237B1">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名    称：浙江省政府采购行政裁决服务中心（杭州市上城区清泰街549号城建综合大楼11楼）</w:t>
      </w:r>
    </w:p>
    <w:p w14:paraId="66B30F1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地    址：杭州市上城区清泰街549号城建综合大楼11楼 </w:t>
      </w:r>
    </w:p>
    <w:p w14:paraId="46CFF88C">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传    真： /</w:t>
      </w:r>
    </w:p>
    <w:p w14:paraId="0264B1F5">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联 系 人：匡老师</w:t>
      </w:r>
    </w:p>
    <w:p w14:paraId="51554255">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监督投诉电话：0571-87807798</w:t>
      </w:r>
    </w:p>
    <w:p w14:paraId="6B6FE310">
      <w:pPr>
        <w:snapToGrid w:val="0"/>
        <w:spacing w:line="360" w:lineRule="auto"/>
        <w:ind w:firstLine="480" w:firstLineChars="200"/>
        <w:rPr>
          <w:rFonts w:ascii="宋体" w:hAnsi="宋体" w:cs="宋体"/>
          <w:sz w:val="24"/>
          <w:highlight w:val="none"/>
        </w:rPr>
      </w:pPr>
    </w:p>
    <w:p w14:paraId="7556A0B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政策咨询：何一平、冯华，0571-87058424、87055741</w:t>
      </w:r>
    </w:p>
    <w:p w14:paraId="34EACCB9">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预算金额未达100万元的采购项目，由采购人处理采购争议。</w:t>
      </w:r>
    </w:p>
    <w:p w14:paraId="6AAB60A0">
      <w:pPr>
        <w:snapToGrid w:val="0"/>
        <w:spacing w:line="360" w:lineRule="auto"/>
        <w:ind w:firstLine="480" w:firstLineChars="200"/>
        <w:rPr>
          <w:rFonts w:ascii="宋体" w:hAnsi="宋体" w:cs="宋体"/>
          <w:sz w:val="24"/>
          <w:highlight w:val="none"/>
        </w:rPr>
      </w:pPr>
    </w:p>
    <w:p w14:paraId="295E4F11">
      <w:pPr>
        <w:snapToGrid w:val="0"/>
        <w:spacing w:line="360" w:lineRule="auto"/>
        <w:rPr>
          <w:rFonts w:ascii="宋体" w:hAnsi="宋体" w:cs="宋体"/>
          <w:sz w:val="24"/>
          <w:highlight w:val="none"/>
        </w:rPr>
      </w:pPr>
      <w:r>
        <w:rPr>
          <w:rFonts w:hint="eastAsia" w:ascii="宋体" w:hAnsi="宋体" w:cs="宋体"/>
          <w:sz w:val="24"/>
          <w:highlight w:val="none"/>
        </w:rPr>
        <w:t xml:space="preserve">    若对项目采购电子交易系统操作有疑问，可登录政采云（https://www.zcygov.cn/），点击右侧咨询小采，获取采小蜜智能服务管家帮助，或拨打政采云服务热线95763获取热线服务帮助。</w:t>
      </w:r>
    </w:p>
    <w:p w14:paraId="763742FD">
      <w:pPr>
        <w:snapToGrid w:val="0"/>
        <w:spacing w:line="360" w:lineRule="auto"/>
        <w:ind w:firstLine="480" w:firstLineChars="200"/>
        <w:rPr>
          <w:highlight w:val="none"/>
        </w:rPr>
      </w:pPr>
      <w:r>
        <w:rPr>
          <w:rFonts w:hint="eastAsia" w:ascii="宋体" w:hAnsi="宋体" w:cs="宋体"/>
          <w:sz w:val="24"/>
          <w:highlight w:val="none"/>
        </w:rPr>
        <w:t>CA问题联系电话（人工）：汇信CA 400-888-4636；天谷CA 400-087-8198。</w:t>
      </w:r>
      <w:r>
        <w:rPr>
          <w:highlight w:val="none"/>
        </w:rPr>
        <w:br w:type="page"/>
      </w:r>
    </w:p>
    <w:bookmarkEnd w:id="8"/>
    <w:bookmarkEnd w:id="9"/>
    <w:p w14:paraId="12F564E7">
      <w:pPr>
        <w:pStyle w:val="3"/>
        <w:rPr>
          <w:highlight w:val="none"/>
        </w:rPr>
      </w:pPr>
      <w:bookmarkStart w:id="12" w:name="_Toc28231"/>
      <w:r>
        <w:rPr>
          <w:rFonts w:hint="eastAsia"/>
          <w:highlight w:val="none"/>
        </w:rPr>
        <w:t>第二部分 投标人须知</w:t>
      </w:r>
      <w:bookmarkEnd w:id="12"/>
    </w:p>
    <w:p w14:paraId="0E2330B1">
      <w:pPr>
        <w:pStyle w:val="4"/>
        <w:jc w:val="center"/>
        <w:rPr>
          <w:highlight w:val="none"/>
        </w:rPr>
      </w:pPr>
      <w:bookmarkStart w:id="13" w:name="_Toc269"/>
      <w:r>
        <w:rPr>
          <w:rFonts w:hint="eastAsia"/>
          <w:highlight w:val="none"/>
        </w:rPr>
        <w:t>前附表</w:t>
      </w:r>
      <w:bookmarkEnd w:id="13"/>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8"/>
        <w:gridCol w:w="2107"/>
        <w:gridCol w:w="6973"/>
      </w:tblGrid>
      <w:tr w14:paraId="7909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366" w:type="pct"/>
          </w:tcPr>
          <w:p w14:paraId="124A9F2F">
            <w:pPr>
              <w:snapToGrid w:val="0"/>
              <w:jc w:val="center"/>
              <w:rPr>
                <w:rFonts w:ascii="宋体" w:hAnsi="宋体" w:cs="宋体"/>
                <w:b/>
                <w:sz w:val="24"/>
                <w:highlight w:val="none"/>
              </w:rPr>
            </w:pPr>
            <w:r>
              <w:rPr>
                <w:rFonts w:hint="eastAsia" w:ascii="宋体" w:hAnsi="宋体" w:cs="宋体"/>
                <w:b/>
                <w:sz w:val="24"/>
                <w:highlight w:val="none"/>
              </w:rPr>
              <w:t>序号</w:t>
            </w:r>
          </w:p>
        </w:tc>
        <w:tc>
          <w:tcPr>
            <w:tcW w:w="1075" w:type="pct"/>
            <w:vAlign w:val="center"/>
          </w:tcPr>
          <w:p w14:paraId="7B6FB021">
            <w:pPr>
              <w:snapToGrid w:val="0"/>
              <w:jc w:val="center"/>
              <w:rPr>
                <w:rFonts w:ascii="宋体" w:hAnsi="宋体" w:cs="宋体"/>
                <w:b/>
                <w:sz w:val="24"/>
                <w:highlight w:val="none"/>
              </w:rPr>
            </w:pPr>
            <w:r>
              <w:rPr>
                <w:rFonts w:hint="eastAsia" w:ascii="宋体" w:hAnsi="宋体" w:cs="宋体"/>
                <w:b/>
                <w:sz w:val="24"/>
                <w:highlight w:val="none"/>
              </w:rPr>
              <w:t>事项</w:t>
            </w:r>
          </w:p>
        </w:tc>
        <w:tc>
          <w:tcPr>
            <w:tcW w:w="3557" w:type="pct"/>
            <w:vAlign w:val="center"/>
          </w:tcPr>
          <w:p w14:paraId="38337708">
            <w:pPr>
              <w:snapToGrid w:val="0"/>
              <w:jc w:val="center"/>
              <w:rPr>
                <w:rFonts w:ascii="宋体" w:hAnsi="宋体" w:cs="宋体"/>
                <w:b/>
                <w:sz w:val="24"/>
                <w:highlight w:val="none"/>
              </w:rPr>
            </w:pPr>
            <w:r>
              <w:rPr>
                <w:rFonts w:hint="eastAsia" w:ascii="宋体" w:hAnsi="宋体" w:cs="宋体"/>
                <w:b/>
                <w:sz w:val="24"/>
                <w:highlight w:val="none"/>
              </w:rPr>
              <w:t>本项目的特别规定</w:t>
            </w:r>
          </w:p>
        </w:tc>
      </w:tr>
      <w:tr w14:paraId="60D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8" w:hRule="atLeast"/>
          <w:jc w:val="center"/>
        </w:trPr>
        <w:tc>
          <w:tcPr>
            <w:tcW w:w="366" w:type="pct"/>
            <w:vAlign w:val="center"/>
          </w:tcPr>
          <w:p w14:paraId="77936E0C">
            <w:pPr>
              <w:snapToGrid w:val="0"/>
              <w:jc w:val="center"/>
              <w:rPr>
                <w:rFonts w:ascii="宋体" w:hAnsi="宋体" w:cs="宋体"/>
                <w:sz w:val="24"/>
                <w:highlight w:val="none"/>
              </w:rPr>
            </w:pPr>
            <w:r>
              <w:rPr>
                <w:rFonts w:hint="eastAsia" w:ascii="宋体" w:hAnsi="宋体" w:cs="宋体"/>
                <w:sz w:val="24"/>
                <w:highlight w:val="none"/>
              </w:rPr>
              <w:t>1</w:t>
            </w:r>
          </w:p>
        </w:tc>
        <w:tc>
          <w:tcPr>
            <w:tcW w:w="1075" w:type="pct"/>
            <w:vAlign w:val="center"/>
          </w:tcPr>
          <w:p w14:paraId="284D635E">
            <w:pPr>
              <w:snapToGrid w:val="0"/>
              <w:jc w:val="center"/>
              <w:rPr>
                <w:rFonts w:ascii="宋体" w:hAnsi="宋体" w:cs="宋体"/>
                <w:b/>
                <w:sz w:val="24"/>
                <w:highlight w:val="none"/>
              </w:rPr>
            </w:pPr>
            <w:r>
              <w:rPr>
                <w:rFonts w:hint="eastAsia" w:ascii="宋体" w:hAnsi="宋体" w:cs="宋体"/>
                <w:b/>
                <w:sz w:val="24"/>
                <w:highlight w:val="none"/>
              </w:rPr>
              <w:t>项目属性</w:t>
            </w:r>
          </w:p>
        </w:tc>
        <w:tc>
          <w:tcPr>
            <w:tcW w:w="3557" w:type="pct"/>
            <w:vAlign w:val="center"/>
          </w:tcPr>
          <w:p w14:paraId="215068DE">
            <w:pPr>
              <w:rPr>
                <w:rFonts w:ascii="宋体" w:hAnsi="宋体" w:cs="宋体"/>
                <w:sz w:val="24"/>
                <w:highlight w:val="none"/>
              </w:rPr>
            </w:pPr>
            <w:r>
              <w:rPr>
                <w:rFonts w:hint="eastAsia" w:ascii="宋体" w:hAnsi="宋体" w:cs="宋体"/>
                <w:sz w:val="24"/>
                <w:highlight w:val="none"/>
              </w:rPr>
              <w:t>货物类，核心产品：</w:t>
            </w:r>
            <w:r>
              <w:rPr>
                <w:rFonts w:hint="eastAsia" w:ascii="宋体" w:hAnsi="宋体" w:cs="宋体"/>
                <w:sz w:val="24"/>
                <w:highlight w:val="none"/>
                <w:u w:val="single"/>
              </w:rPr>
              <w:t xml:space="preserve">   可折叠阅览椅     </w:t>
            </w:r>
            <w:r>
              <w:rPr>
                <w:rFonts w:hint="eastAsia" w:ascii="宋体" w:hAnsi="宋体" w:cs="宋体"/>
                <w:sz w:val="24"/>
                <w:highlight w:val="none"/>
              </w:rPr>
              <w:t>。</w:t>
            </w:r>
          </w:p>
        </w:tc>
      </w:tr>
      <w:tr w14:paraId="7F4E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6" w:type="pct"/>
            <w:vAlign w:val="center"/>
          </w:tcPr>
          <w:p w14:paraId="07DD5C74">
            <w:pPr>
              <w:snapToGrid w:val="0"/>
              <w:jc w:val="center"/>
              <w:rPr>
                <w:rFonts w:ascii="宋体" w:hAnsi="宋体" w:cs="宋体"/>
                <w:sz w:val="24"/>
                <w:highlight w:val="none"/>
              </w:rPr>
            </w:pPr>
            <w:r>
              <w:rPr>
                <w:rFonts w:hint="eastAsia" w:ascii="宋体" w:hAnsi="宋体" w:cs="宋体"/>
                <w:sz w:val="24"/>
                <w:highlight w:val="none"/>
              </w:rPr>
              <w:t>2</w:t>
            </w:r>
          </w:p>
        </w:tc>
        <w:tc>
          <w:tcPr>
            <w:tcW w:w="1075" w:type="pct"/>
            <w:vAlign w:val="center"/>
          </w:tcPr>
          <w:p w14:paraId="63C296BA">
            <w:pPr>
              <w:snapToGrid w:val="0"/>
              <w:jc w:val="center"/>
              <w:rPr>
                <w:rFonts w:ascii="宋体" w:hAnsi="宋体" w:cs="宋体"/>
                <w:b/>
                <w:sz w:val="24"/>
                <w:highlight w:val="none"/>
              </w:rPr>
            </w:pPr>
            <w:r>
              <w:rPr>
                <w:rFonts w:hint="eastAsia" w:ascii="宋体" w:hAnsi="宋体" w:cs="宋体"/>
                <w:b/>
                <w:sz w:val="24"/>
                <w:highlight w:val="none"/>
              </w:rPr>
              <w:t>采购标的及其对应的中小企业划分标准所属行业</w:t>
            </w:r>
          </w:p>
        </w:tc>
        <w:tc>
          <w:tcPr>
            <w:tcW w:w="3557" w:type="pct"/>
            <w:vAlign w:val="center"/>
          </w:tcPr>
          <w:tbl>
            <w:tblPr>
              <w:tblStyle w:val="64"/>
              <w:tblW w:w="4999" w:type="pct"/>
              <w:jc w:val="center"/>
              <w:tblLayout w:type="autofit"/>
              <w:tblCellMar>
                <w:top w:w="0" w:type="dxa"/>
                <w:left w:w="108" w:type="dxa"/>
                <w:bottom w:w="0" w:type="dxa"/>
                <w:right w:w="108" w:type="dxa"/>
              </w:tblCellMar>
            </w:tblPr>
            <w:tblGrid>
              <w:gridCol w:w="805"/>
              <w:gridCol w:w="4041"/>
              <w:gridCol w:w="2070"/>
            </w:tblGrid>
            <w:tr w14:paraId="22700E7F">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noWrap/>
                  <w:vAlign w:val="center"/>
                </w:tcPr>
                <w:p w14:paraId="234A6111">
                  <w:pPr>
                    <w:widowControl/>
                    <w:jc w:val="center"/>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kern w:val="0"/>
                      <w:sz w:val="24"/>
                      <w:highlight w:val="none"/>
                      <w:lang w:bidi="ar"/>
                    </w:rPr>
                    <w:t>序号</w:t>
                  </w:r>
                </w:p>
              </w:tc>
              <w:tc>
                <w:tcPr>
                  <w:tcW w:w="2920" w:type="pct"/>
                  <w:tcBorders>
                    <w:top w:val="single" w:color="000000" w:sz="4" w:space="0"/>
                    <w:left w:val="single" w:color="000000" w:sz="4" w:space="0"/>
                    <w:bottom w:val="single" w:color="000000" w:sz="4" w:space="0"/>
                    <w:right w:val="single" w:color="000000" w:sz="4" w:space="0"/>
                  </w:tcBorders>
                  <w:vAlign w:val="center"/>
                </w:tcPr>
                <w:p w14:paraId="2603F353">
                  <w:pPr>
                    <w:widowControl/>
                    <w:jc w:val="center"/>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kern w:val="0"/>
                      <w:sz w:val="24"/>
                      <w:highlight w:val="none"/>
                      <w:lang w:bidi="ar"/>
                    </w:rPr>
                    <w:t>标的</w:t>
                  </w:r>
                </w:p>
              </w:tc>
              <w:tc>
                <w:tcPr>
                  <w:tcW w:w="1496" w:type="pct"/>
                  <w:tcBorders>
                    <w:top w:val="single" w:color="000000" w:sz="4" w:space="0"/>
                    <w:left w:val="single" w:color="000000" w:sz="4" w:space="0"/>
                    <w:bottom w:val="single" w:color="000000" w:sz="4" w:space="0"/>
                    <w:right w:val="single" w:color="000000" w:sz="4" w:space="0"/>
                  </w:tcBorders>
                  <w:vAlign w:val="center"/>
                </w:tcPr>
                <w:p w14:paraId="0C5FCC97">
                  <w:pPr>
                    <w:widowControl/>
                    <w:snapToGrid w:val="0"/>
                    <w:jc w:val="center"/>
                    <w:rPr>
                      <w:rFonts w:asciiTheme="minorEastAsia" w:hAnsiTheme="minorEastAsia" w:eastAsiaTheme="minorEastAsia" w:cstheme="minorEastAsia"/>
                      <w:b/>
                      <w:bCs/>
                      <w:kern w:val="0"/>
                      <w:sz w:val="24"/>
                      <w:highlight w:val="none"/>
                      <w:lang w:bidi="ar"/>
                    </w:rPr>
                  </w:pPr>
                  <w:r>
                    <w:rPr>
                      <w:rFonts w:hint="eastAsia" w:asciiTheme="minorEastAsia" w:hAnsiTheme="minorEastAsia" w:eastAsiaTheme="minorEastAsia" w:cstheme="minorEastAsia"/>
                      <w:b/>
                      <w:bCs/>
                      <w:kern w:val="0"/>
                      <w:sz w:val="24"/>
                      <w:highlight w:val="none"/>
                      <w:lang w:bidi="ar"/>
                    </w:rPr>
                    <w:t>所属行业</w:t>
                  </w:r>
                </w:p>
              </w:tc>
            </w:tr>
            <w:tr w14:paraId="5BD9A42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F777">
                  <w:pPr>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w:t>
                  </w:r>
                </w:p>
              </w:tc>
              <w:tc>
                <w:tcPr>
                  <w:tcW w:w="2920" w:type="pct"/>
                  <w:tcBorders>
                    <w:top w:val="single" w:color="000000" w:sz="4" w:space="0"/>
                    <w:left w:val="single" w:color="000000" w:sz="4" w:space="0"/>
                    <w:bottom w:val="single" w:color="000000" w:sz="4" w:space="0"/>
                    <w:right w:val="nil"/>
                  </w:tcBorders>
                  <w:vAlign w:val="center"/>
                </w:tcPr>
                <w:p w14:paraId="5F8F5BFA">
                  <w:pPr>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sz w:val="24"/>
                      <w:highlight w:val="none"/>
                    </w:rPr>
                    <w:t>视听椅（带书写板）</w:t>
                  </w:r>
                </w:p>
              </w:tc>
              <w:tc>
                <w:tcPr>
                  <w:tcW w:w="1496" w:type="pct"/>
                  <w:tcBorders>
                    <w:top w:val="single" w:color="000000" w:sz="4" w:space="0"/>
                    <w:left w:val="single" w:color="000000" w:sz="4" w:space="0"/>
                    <w:bottom w:val="single" w:color="000000" w:sz="4" w:space="0"/>
                    <w:right w:val="nil"/>
                  </w:tcBorders>
                  <w:vAlign w:val="center"/>
                </w:tcPr>
                <w:p w14:paraId="1A3E3C99">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A740284">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E5A5A">
                  <w:pPr>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w:t>
                  </w:r>
                </w:p>
              </w:tc>
              <w:tc>
                <w:tcPr>
                  <w:tcW w:w="2920" w:type="pct"/>
                  <w:tcBorders>
                    <w:top w:val="single" w:color="000000" w:sz="4" w:space="0"/>
                    <w:left w:val="single" w:color="000000" w:sz="4" w:space="0"/>
                    <w:bottom w:val="single" w:color="000000" w:sz="4" w:space="0"/>
                    <w:right w:val="nil"/>
                  </w:tcBorders>
                  <w:vAlign w:val="center"/>
                </w:tcPr>
                <w:p w14:paraId="45ED54F4">
                  <w:pPr>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sz w:val="24"/>
                      <w:highlight w:val="none"/>
                    </w:rPr>
                    <w:t>自习位</w:t>
                  </w:r>
                </w:p>
              </w:tc>
              <w:tc>
                <w:tcPr>
                  <w:tcW w:w="1496" w:type="pct"/>
                  <w:tcBorders>
                    <w:top w:val="single" w:color="000000" w:sz="4" w:space="0"/>
                    <w:left w:val="single" w:color="000000" w:sz="4" w:space="0"/>
                    <w:bottom w:val="single" w:color="000000" w:sz="4" w:space="0"/>
                    <w:right w:val="nil"/>
                  </w:tcBorders>
                  <w:vAlign w:val="center"/>
                </w:tcPr>
                <w:p w14:paraId="2BFBD286">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42A0E5BC">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9D4F5">
                  <w:pPr>
                    <w:jc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3</w:t>
                  </w:r>
                </w:p>
              </w:tc>
              <w:tc>
                <w:tcPr>
                  <w:tcW w:w="2920" w:type="pct"/>
                  <w:tcBorders>
                    <w:top w:val="single" w:color="000000" w:sz="4" w:space="0"/>
                    <w:left w:val="single" w:color="000000" w:sz="4" w:space="0"/>
                    <w:bottom w:val="single" w:color="000000" w:sz="4" w:space="0"/>
                    <w:right w:val="nil"/>
                  </w:tcBorders>
                  <w:vAlign w:val="center"/>
                </w:tcPr>
                <w:p w14:paraId="02C27D18">
                  <w:pPr>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sz w:val="24"/>
                      <w:highlight w:val="none"/>
                    </w:rPr>
                    <w:t>钢制活动柜</w:t>
                  </w:r>
                </w:p>
              </w:tc>
              <w:tc>
                <w:tcPr>
                  <w:tcW w:w="1496" w:type="pct"/>
                  <w:tcBorders>
                    <w:top w:val="single" w:color="000000" w:sz="4" w:space="0"/>
                    <w:left w:val="single" w:color="000000" w:sz="4" w:space="0"/>
                    <w:bottom w:val="single" w:color="000000" w:sz="4" w:space="0"/>
                    <w:right w:val="nil"/>
                  </w:tcBorders>
                  <w:vAlign w:val="center"/>
                </w:tcPr>
                <w:p w14:paraId="3F952D9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7C838F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4DD0">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w:t>
                  </w:r>
                </w:p>
              </w:tc>
              <w:tc>
                <w:tcPr>
                  <w:tcW w:w="2920" w:type="pct"/>
                  <w:tcBorders>
                    <w:top w:val="single" w:color="000000" w:sz="4" w:space="0"/>
                    <w:left w:val="single" w:color="000000" w:sz="4" w:space="0"/>
                    <w:bottom w:val="single" w:color="000000" w:sz="4" w:space="0"/>
                    <w:right w:val="nil"/>
                  </w:tcBorders>
                  <w:vAlign w:val="center"/>
                </w:tcPr>
                <w:p w14:paraId="6E86E939">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功能座椅</w:t>
                  </w:r>
                </w:p>
              </w:tc>
              <w:tc>
                <w:tcPr>
                  <w:tcW w:w="1496" w:type="pct"/>
                  <w:tcBorders>
                    <w:top w:val="single" w:color="000000" w:sz="4" w:space="0"/>
                    <w:left w:val="single" w:color="000000" w:sz="4" w:space="0"/>
                    <w:bottom w:val="single" w:color="000000" w:sz="4" w:space="0"/>
                    <w:right w:val="nil"/>
                  </w:tcBorders>
                  <w:vAlign w:val="center"/>
                </w:tcPr>
                <w:p w14:paraId="28267F67">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E93077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0AFF">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5</w:t>
                  </w:r>
                </w:p>
              </w:tc>
              <w:tc>
                <w:tcPr>
                  <w:tcW w:w="2920" w:type="pct"/>
                  <w:tcBorders>
                    <w:top w:val="single" w:color="000000" w:sz="4" w:space="0"/>
                    <w:left w:val="single" w:color="000000" w:sz="4" w:space="0"/>
                    <w:bottom w:val="single" w:color="000000" w:sz="4" w:space="0"/>
                    <w:right w:val="nil"/>
                  </w:tcBorders>
                  <w:vAlign w:val="center"/>
                </w:tcPr>
                <w:p w14:paraId="5C07F9FE">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休闲阅览沙发椅</w:t>
                  </w:r>
                </w:p>
              </w:tc>
              <w:tc>
                <w:tcPr>
                  <w:tcW w:w="1496" w:type="pct"/>
                  <w:tcBorders>
                    <w:top w:val="single" w:color="000000" w:sz="4" w:space="0"/>
                    <w:left w:val="single" w:color="000000" w:sz="4" w:space="0"/>
                    <w:bottom w:val="single" w:color="000000" w:sz="4" w:space="0"/>
                    <w:right w:val="nil"/>
                  </w:tcBorders>
                  <w:vAlign w:val="center"/>
                </w:tcPr>
                <w:p w14:paraId="0352E153">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583C7F89">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03331">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6</w:t>
                  </w:r>
                </w:p>
              </w:tc>
              <w:tc>
                <w:tcPr>
                  <w:tcW w:w="2920" w:type="pct"/>
                  <w:tcBorders>
                    <w:top w:val="single" w:color="000000" w:sz="4" w:space="0"/>
                    <w:left w:val="single" w:color="000000" w:sz="4" w:space="0"/>
                    <w:bottom w:val="single" w:color="000000" w:sz="4" w:space="0"/>
                    <w:right w:val="nil"/>
                  </w:tcBorders>
                  <w:vAlign w:val="center"/>
                </w:tcPr>
                <w:p w14:paraId="78DB1EBB">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休闲茶几</w:t>
                  </w:r>
                </w:p>
              </w:tc>
              <w:tc>
                <w:tcPr>
                  <w:tcW w:w="1496" w:type="pct"/>
                  <w:tcBorders>
                    <w:top w:val="single" w:color="000000" w:sz="4" w:space="0"/>
                    <w:left w:val="single" w:color="000000" w:sz="4" w:space="0"/>
                    <w:bottom w:val="single" w:color="000000" w:sz="4" w:space="0"/>
                    <w:right w:val="nil"/>
                  </w:tcBorders>
                  <w:vAlign w:val="center"/>
                </w:tcPr>
                <w:p w14:paraId="08B71DFE">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5342A22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0EFD">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7</w:t>
                  </w:r>
                </w:p>
              </w:tc>
              <w:tc>
                <w:tcPr>
                  <w:tcW w:w="2920" w:type="pct"/>
                  <w:tcBorders>
                    <w:top w:val="single" w:color="000000" w:sz="4" w:space="0"/>
                    <w:left w:val="single" w:color="000000" w:sz="4" w:space="0"/>
                    <w:bottom w:val="single" w:color="000000" w:sz="4" w:space="0"/>
                    <w:right w:val="nil"/>
                  </w:tcBorders>
                  <w:vAlign w:val="center"/>
                </w:tcPr>
                <w:p w14:paraId="18B49606">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模块组合</w:t>
                  </w:r>
                  <w:r>
                    <w:rPr>
                      <w:rFonts w:hint="eastAsia" w:asciiTheme="minorEastAsia" w:hAnsiTheme="minorEastAsia" w:eastAsiaTheme="minorEastAsia" w:cstheme="minorEastAsia"/>
                      <w:kern w:val="0"/>
                      <w:sz w:val="24"/>
                      <w:highlight w:val="none"/>
                      <w:lang w:bidi="ar"/>
                    </w:rPr>
                    <w:br w:type="textWrapping"/>
                  </w:r>
                  <w:r>
                    <w:rPr>
                      <w:rFonts w:hint="eastAsia" w:asciiTheme="minorEastAsia" w:hAnsiTheme="minorEastAsia" w:eastAsiaTheme="minorEastAsia" w:cstheme="minorEastAsia"/>
                      <w:kern w:val="0"/>
                      <w:sz w:val="24"/>
                      <w:highlight w:val="none"/>
                      <w:lang w:bidi="ar"/>
                    </w:rPr>
                    <w:t>休闲沙发1</w:t>
                  </w:r>
                </w:p>
              </w:tc>
              <w:tc>
                <w:tcPr>
                  <w:tcW w:w="1496" w:type="pct"/>
                  <w:tcBorders>
                    <w:top w:val="single" w:color="000000" w:sz="4" w:space="0"/>
                    <w:left w:val="single" w:color="000000" w:sz="4" w:space="0"/>
                    <w:bottom w:val="single" w:color="000000" w:sz="4" w:space="0"/>
                    <w:right w:val="nil"/>
                  </w:tcBorders>
                  <w:vAlign w:val="center"/>
                </w:tcPr>
                <w:p w14:paraId="0DE67C5F">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6113455E">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43B88">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8</w:t>
                  </w:r>
                </w:p>
              </w:tc>
              <w:tc>
                <w:tcPr>
                  <w:tcW w:w="2920" w:type="pct"/>
                  <w:tcBorders>
                    <w:top w:val="single" w:color="000000" w:sz="4" w:space="0"/>
                    <w:left w:val="single" w:color="000000" w:sz="4" w:space="0"/>
                    <w:bottom w:val="single" w:color="000000" w:sz="4" w:space="0"/>
                    <w:right w:val="nil"/>
                  </w:tcBorders>
                  <w:vAlign w:val="center"/>
                </w:tcPr>
                <w:p w14:paraId="49634E9E">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模块组合</w:t>
                  </w:r>
                  <w:r>
                    <w:rPr>
                      <w:rFonts w:hint="eastAsia" w:asciiTheme="minorEastAsia" w:hAnsiTheme="minorEastAsia" w:eastAsiaTheme="minorEastAsia" w:cstheme="minorEastAsia"/>
                      <w:kern w:val="0"/>
                      <w:sz w:val="24"/>
                      <w:highlight w:val="none"/>
                      <w:lang w:bidi="ar"/>
                    </w:rPr>
                    <w:br w:type="textWrapping"/>
                  </w:r>
                  <w:r>
                    <w:rPr>
                      <w:rFonts w:hint="eastAsia" w:asciiTheme="minorEastAsia" w:hAnsiTheme="minorEastAsia" w:eastAsiaTheme="minorEastAsia" w:cstheme="minorEastAsia"/>
                      <w:kern w:val="0"/>
                      <w:sz w:val="24"/>
                      <w:highlight w:val="none"/>
                      <w:lang w:bidi="ar"/>
                    </w:rPr>
                    <w:t>休闲沙发2</w:t>
                  </w:r>
                </w:p>
              </w:tc>
              <w:tc>
                <w:tcPr>
                  <w:tcW w:w="1496" w:type="pct"/>
                  <w:tcBorders>
                    <w:top w:val="single" w:color="000000" w:sz="4" w:space="0"/>
                    <w:left w:val="single" w:color="000000" w:sz="4" w:space="0"/>
                    <w:bottom w:val="single" w:color="000000" w:sz="4" w:space="0"/>
                    <w:right w:val="nil"/>
                  </w:tcBorders>
                  <w:vAlign w:val="center"/>
                </w:tcPr>
                <w:p w14:paraId="2E2AFE7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84A030E">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5603">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9</w:t>
                  </w:r>
                </w:p>
              </w:tc>
              <w:tc>
                <w:tcPr>
                  <w:tcW w:w="2920" w:type="pct"/>
                  <w:tcBorders>
                    <w:top w:val="single" w:color="000000" w:sz="4" w:space="0"/>
                    <w:left w:val="single" w:color="000000" w:sz="4" w:space="0"/>
                    <w:bottom w:val="single" w:color="000000" w:sz="4" w:space="0"/>
                    <w:right w:val="nil"/>
                  </w:tcBorders>
                  <w:vAlign w:val="center"/>
                </w:tcPr>
                <w:p w14:paraId="288A36DC">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新书展台</w:t>
                  </w:r>
                </w:p>
              </w:tc>
              <w:tc>
                <w:tcPr>
                  <w:tcW w:w="1496" w:type="pct"/>
                  <w:tcBorders>
                    <w:top w:val="single" w:color="000000" w:sz="4" w:space="0"/>
                    <w:left w:val="single" w:color="000000" w:sz="4" w:space="0"/>
                    <w:bottom w:val="single" w:color="000000" w:sz="4" w:space="0"/>
                    <w:right w:val="nil"/>
                  </w:tcBorders>
                  <w:vAlign w:val="center"/>
                </w:tcPr>
                <w:p w14:paraId="1C4FA8B1">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70E50AD">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A1B4">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10</w:t>
                  </w:r>
                </w:p>
              </w:tc>
              <w:tc>
                <w:tcPr>
                  <w:tcW w:w="2920" w:type="pct"/>
                  <w:tcBorders>
                    <w:top w:val="single" w:color="000000" w:sz="4" w:space="0"/>
                    <w:left w:val="single" w:color="000000" w:sz="4" w:space="0"/>
                    <w:bottom w:val="single" w:color="000000" w:sz="4" w:space="0"/>
                    <w:right w:val="nil"/>
                  </w:tcBorders>
                  <w:vAlign w:val="center"/>
                </w:tcPr>
                <w:p w14:paraId="3EB7A60C">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定制书柜</w:t>
                  </w:r>
                </w:p>
              </w:tc>
              <w:tc>
                <w:tcPr>
                  <w:tcW w:w="1496" w:type="pct"/>
                  <w:tcBorders>
                    <w:top w:val="single" w:color="000000" w:sz="4" w:space="0"/>
                    <w:left w:val="single" w:color="000000" w:sz="4" w:space="0"/>
                    <w:bottom w:val="single" w:color="000000" w:sz="4" w:space="0"/>
                    <w:right w:val="nil"/>
                  </w:tcBorders>
                  <w:vAlign w:val="center"/>
                </w:tcPr>
                <w:p w14:paraId="7BC6429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027CA5B7">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6269">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11</w:t>
                  </w:r>
                </w:p>
              </w:tc>
              <w:tc>
                <w:tcPr>
                  <w:tcW w:w="2920" w:type="pct"/>
                  <w:tcBorders>
                    <w:top w:val="single" w:color="000000" w:sz="4" w:space="0"/>
                    <w:left w:val="single" w:color="000000" w:sz="4" w:space="0"/>
                    <w:bottom w:val="single" w:color="000000" w:sz="4" w:space="0"/>
                    <w:right w:val="nil"/>
                  </w:tcBorders>
                  <w:vAlign w:val="center"/>
                </w:tcPr>
                <w:p w14:paraId="5513131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休闲高桌1</w:t>
                  </w:r>
                </w:p>
              </w:tc>
              <w:tc>
                <w:tcPr>
                  <w:tcW w:w="1496" w:type="pct"/>
                  <w:tcBorders>
                    <w:top w:val="single" w:color="000000" w:sz="4" w:space="0"/>
                    <w:left w:val="single" w:color="000000" w:sz="4" w:space="0"/>
                    <w:bottom w:val="single" w:color="000000" w:sz="4" w:space="0"/>
                    <w:right w:val="nil"/>
                  </w:tcBorders>
                  <w:vAlign w:val="center"/>
                </w:tcPr>
                <w:p w14:paraId="70A9958A">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E0355A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513A">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12</w:t>
                  </w:r>
                </w:p>
              </w:tc>
              <w:tc>
                <w:tcPr>
                  <w:tcW w:w="2920" w:type="pct"/>
                  <w:tcBorders>
                    <w:top w:val="single" w:color="000000" w:sz="4" w:space="0"/>
                    <w:left w:val="single" w:color="000000" w:sz="4" w:space="0"/>
                    <w:bottom w:val="single" w:color="000000" w:sz="4" w:space="0"/>
                    <w:right w:val="nil"/>
                  </w:tcBorders>
                  <w:vAlign w:val="center"/>
                </w:tcPr>
                <w:p w14:paraId="23D57423">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多功能条形长凳</w:t>
                  </w:r>
                </w:p>
              </w:tc>
              <w:tc>
                <w:tcPr>
                  <w:tcW w:w="1496" w:type="pct"/>
                  <w:tcBorders>
                    <w:top w:val="single" w:color="000000" w:sz="4" w:space="0"/>
                    <w:left w:val="single" w:color="000000" w:sz="4" w:space="0"/>
                    <w:bottom w:val="single" w:color="000000" w:sz="4" w:space="0"/>
                    <w:right w:val="nil"/>
                  </w:tcBorders>
                  <w:vAlign w:val="center"/>
                </w:tcPr>
                <w:p w14:paraId="57F4F096">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7C9609C">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3C76">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13</w:t>
                  </w:r>
                </w:p>
              </w:tc>
              <w:tc>
                <w:tcPr>
                  <w:tcW w:w="2920" w:type="pct"/>
                  <w:tcBorders>
                    <w:top w:val="single" w:color="000000" w:sz="4" w:space="0"/>
                    <w:left w:val="single" w:color="000000" w:sz="4" w:space="0"/>
                    <w:bottom w:val="single" w:color="000000" w:sz="4" w:space="0"/>
                    <w:right w:val="nil"/>
                  </w:tcBorders>
                  <w:vAlign w:val="center"/>
                </w:tcPr>
                <w:p w14:paraId="2C974F89">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高吧椅</w:t>
                  </w:r>
                </w:p>
              </w:tc>
              <w:tc>
                <w:tcPr>
                  <w:tcW w:w="1496" w:type="pct"/>
                  <w:tcBorders>
                    <w:top w:val="single" w:color="000000" w:sz="4" w:space="0"/>
                    <w:left w:val="single" w:color="000000" w:sz="4" w:space="0"/>
                    <w:bottom w:val="single" w:color="000000" w:sz="4" w:space="0"/>
                    <w:right w:val="nil"/>
                  </w:tcBorders>
                  <w:vAlign w:val="center"/>
                </w:tcPr>
                <w:p w14:paraId="7D3DFC6B">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417E67B0">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75CB">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14</w:t>
                  </w:r>
                </w:p>
              </w:tc>
              <w:tc>
                <w:tcPr>
                  <w:tcW w:w="2920" w:type="pct"/>
                  <w:tcBorders>
                    <w:top w:val="single" w:color="000000" w:sz="4" w:space="0"/>
                    <w:left w:val="single" w:color="000000" w:sz="4" w:space="0"/>
                    <w:bottom w:val="single" w:color="000000" w:sz="4" w:space="0"/>
                    <w:right w:val="nil"/>
                  </w:tcBorders>
                  <w:vAlign w:val="center"/>
                </w:tcPr>
                <w:p w14:paraId="2FB4ADFC">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六层双面书架</w:t>
                  </w:r>
                </w:p>
              </w:tc>
              <w:tc>
                <w:tcPr>
                  <w:tcW w:w="1496" w:type="pct"/>
                  <w:tcBorders>
                    <w:top w:val="single" w:color="000000" w:sz="4" w:space="0"/>
                    <w:left w:val="single" w:color="000000" w:sz="4" w:space="0"/>
                    <w:bottom w:val="single" w:color="000000" w:sz="4" w:space="0"/>
                    <w:right w:val="nil"/>
                  </w:tcBorders>
                  <w:vAlign w:val="center"/>
                </w:tcPr>
                <w:p w14:paraId="2CB06F99">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3A42A56">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BF458">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15</w:t>
                  </w:r>
                </w:p>
              </w:tc>
              <w:tc>
                <w:tcPr>
                  <w:tcW w:w="2920" w:type="pct"/>
                  <w:tcBorders>
                    <w:top w:val="single" w:color="000000" w:sz="4" w:space="0"/>
                    <w:left w:val="single" w:color="000000" w:sz="4" w:space="0"/>
                    <w:bottom w:val="single" w:color="000000" w:sz="4" w:space="0"/>
                    <w:right w:val="nil"/>
                  </w:tcBorders>
                  <w:vAlign w:val="center"/>
                </w:tcPr>
                <w:p w14:paraId="49440E4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静音书车</w:t>
                  </w:r>
                </w:p>
              </w:tc>
              <w:tc>
                <w:tcPr>
                  <w:tcW w:w="1496" w:type="pct"/>
                  <w:tcBorders>
                    <w:top w:val="single" w:color="000000" w:sz="4" w:space="0"/>
                    <w:left w:val="single" w:color="000000" w:sz="4" w:space="0"/>
                    <w:bottom w:val="single" w:color="000000" w:sz="4" w:space="0"/>
                    <w:right w:val="nil"/>
                  </w:tcBorders>
                  <w:vAlign w:val="center"/>
                </w:tcPr>
                <w:p w14:paraId="5EAF5980">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1A5B3E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998A">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16</w:t>
                  </w:r>
                </w:p>
              </w:tc>
              <w:tc>
                <w:tcPr>
                  <w:tcW w:w="2920" w:type="pct"/>
                  <w:tcBorders>
                    <w:top w:val="single" w:color="000000" w:sz="4" w:space="0"/>
                    <w:left w:val="single" w:color="000000" w:sz="4" w:space="0"/>
                    <w:bottom w:val="single" w:color="000000" w:sz="4" w:space="0"/>
                    <w:right w:val="nil"/>
                  </w:tcBorders>
                  <w:vAlign w:val="center"/>
                </w:tcPr>
                <w:p w14:paraId="1C4027AF">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创意阅览沙发1</w:t>
                  </w:r>
                </w:p>
              </w:tc>
              <w:tc>
                <w:tcPr>
                  <w:tcW w:w="1496" w:type="pct"/>
                  <w:tcBorders>
                    <w:top w:val="single" w:color="000000" w:sz="4" w:space="0"/>
                    <w:left w:val="single" w:color="000000" w:sz="4" w:space="0"/>
                    <w:bottom w:val="single" w:color="000000" w:sz="4" w:space="0"/>
                    <w:right w:val="nil"/>
                  </w:tcBorders>
                  <w:vAlign w:val="center"/>
                </w:tcPr>
                <w:p w14:paraId="2995399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08072C37">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BD02">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17</w:t>
                  </w:r>
                </w:p>
              </w:tc>
              <w:tc>
                <w:tcPr>
                  <w:tcW w:w="2920" w:type="pct"/>
                  <w:tcBorders>
                    <w:top w:val="single" w:color="000000" w:sz="4" w:space="0"/>
                    <w:left w:val="single" w:color="000000" w:sz="4" w:space="0"/>
                    <w:bottom w:val="single" w:color="000000" w:sz="4" w:space="0"/>
                    <w:right w:val="nil"/>
                  </w:tcBorders>
                  <w:vAlign w:val="center"/>
                </w:tcPr>
                <w:p w14:paraId="209EF108">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创意屏风</w:t>
                  </w:r>
                </w:p>
              </w:tc>
              <w:tc>
                <w:tcPr>
                  <w:tcW w:w="1496" w:type="pct"/>
                  <w:tcBorders>
                    <w:top w:val="single" w:color="000000" w:sz="4" w:space="0"/>
                    <w:left w:val="single" w:color="000000" w:sz="4" w:space="0"/>
                    <w:bottom w:val="single" w:color="000000" w:sz="4" w:space="0"/>
                    <w:right w:val="nil"/>
                  </w:tcBorders>
                  <w:vAlign w:val="center"/>
                </w:tcPr>
                <w:p w14:paraId="7F445CAE">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446B7EC">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D50A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18</w:t>
                  </w:r>
                </w:p>
              </w:tc>
              <w:tc>
                <w:tcPr>
                  <w:tcW w:w="2920" w:type="pct"/>
                  <w:tcBorders>
                    <w:top w:val="single" w:color="000000" w:sz="4" w:space="0"/>
                    <w:left w:val="single" w:color="000000" w:sz="4" w:space="0"/>
                    <w:bottom w:val="single" w:color="000000" w:sz="4" w:space="0"/>
                    <w:right w:val="nil"/>
                  </w:tcBorders>
                  <w:vAlign w:val="center"/>
                </w:tcPr>
                <w:p w14:paraId="3A40411D">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异形升降阅览桌</w:t>
                  </w:r>
                </w:p>
              </w:tc>
              <w:tc>
                <w:tcPr>
                  <w:tcW w:w="1496" w:type="pct"/>
                  <w:tcBorders>
                    <w:top w:val="single" w:color="000000" w:sz="4" w:space="0"/>
                    <w:left w:val="single" w:color="000000" w:sz="4" w:space="0"/>
                    <w:bottom w:val="single" w:color="000000" w:sz="4" w:space="0"/>
                    <w:right w:val="nil"/>
                  </w:tcBorders>
                  <w:vAlign w:val="center"/>
                </w:tcPr>
                <w:p w14:paraId="1D251F7F">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0EB703DB">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7073">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19</w:t>
                  </w:r>
                </w:p>
              </w:tc>
              <w:tc>
                <w:tcPr>
                  <w:tcW w:w="2920" w:type="pct"/>
                  <w:tcBorders>
                    <w:top w:val="single" w:color="000000" w:sz="4" w:space="0"/>
                    <w:left w:val="single" w:color="000000" w:sz="4" w:space="0"/>
                    <w:bottom w:val="single" w:color="000000" w:sz="4" w:space="0"/>
                    <w:right w:val="nil"/>
                  </w:tcBorders>
                  <w:vAlign w:val="center"/>
                </w:tcPr>
                <w:p w14:paraId="7C3852A6">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休闲高桌2</w:t>
                  </w:r>
                </w:p>
              </w:tc>
              <w:tc>
                <w:tcPr>
                  <w:tcW w:w="1496" w:type="pct"/>
                  <w:tcBorders>
                    <w:top w:val="single" w:color="000000" w:sz="4" w:space="0"/>
                    <w:left w:val="single" w:color="000000" w:sz="4" w:space="0"/>
                    <w:bottom w:val="single" w:color="000000" w:sz="4" w:space="0"/>
                    <w:right w:val="nil"/>
                  </w:tcBorders>
                  <w:vAlign w:val="center"/>
                </w:tcPr>
                <w:p w14:paraId="2BDEEF9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6359EA68">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39200">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20</w:t>
                  </w:r>
                </w:p>
              </w:tc>
              <w:tc>
                <w:tcPr>
                  <w:tcW w:w="2920" w:type="pct"/>
                  <w:tcBorders>
                    <w:top w:val="single" w:color="000000" w:sz="4" w:space="0"/>
                    <w:left w:val="single" w:color="000000" w:sz="4" w:space="0"/>
                    <w:bottom w:val="single" w:color="000000" w:sz="4" w:space="0"/>
                    <w:right w:val="nil"/>
                  </w:tcBorders>
                  <w:vAlign w:val="center"/>
                </w:tcPr>
                <w:p w14:paraId="2AF1FFBC">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半私密个人学习位</w:t>
                  </w:r>
                </w:p>
              </w:tc>
              <w:tc>
                <w:tcPr>
                  <w:tcW w:w="1496" w:type="pct"/>
                  <w:tcBorders>
                    <w:top w:val="single" w:color="000000" w:sz="4" w:space="0"/>
                    <w:left w:val="single" w:color="000000" w:sz="4" w:space="0"/>
                    <w:bottom w:val="single" w:color="000000" w:sz="4" w:space="0"/>
                    <w:right w:val="nil"/>
                  </w:tcBorders>
                  <w:vAlign w:val="center"/>
                </w:tcPr>
                <w:p w14:paraId="7C6B6CF2">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0083F040">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5DD5">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21</w:t>
                  </w:r>
                </w:p>
              </w:tc>
              <w:tc>
                <w:tcPr>
                  <w:tcW w:w="2920" w:type="pct"/>
                  <w:tcBorders>
                    <w:top w:val="single" w:color="000000" w:sz="4" w:space="0"/>
                    <w:left w:val="single" w:color="000000" w:sz="4" w:space="0"/>
                    <w:bottom w:val="single" w:color="000000" w:sz="4" w:space="0"/>
                    <w:right w:val="nil"/>
                  </w:tcBorders>
                  <w:vAlign w:val="center"/>
                </w:tcPr>
                <w:p w14:paraId="1307C7CD">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圆形树台桌</w:t>
                  </w:r>
                </w:p>
              </w:tc>
              <w:tc>
                <w:tcPr>
                  <w:tcW w:w="1496" w:type="pct"/>
                  <w:tcBorders>
                    <w:top w:val="single" w:color="000000" w:sz="4" w:space="0"/>
                    <w:left w:val="single" w:color="000000" w:sz="4" w:space="0"/>
                    <w:bottom w:val="single" w:color="000000" w:sz="4" w:space="0"/>
                    <w:right w:val="nil"/>
                  </w:tcBorders>
                  <w:vAlign w:val="center"/>
                </w:tcPr>
                <w:p w14:paraId="62E548EE">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15CFA23">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097B">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22</w:t>
                  </w:r>
                </w:p>
              </w:tc>
              <w:tc>
                <w:tcPr>
                  <w:tcW w:w="2920" w:type="pct"/>
                  <w:tcBorders>
                    <w:top w:val="single" w:color="000000" w:sz="4" w:space="0"/>
                    <w:left w:val="single" w:color="000000" w:sz="4" w:space="0"/>
                    <w:bottom w:val="single" w:color="000000" w:sz="4" w:space="0"/>
                    <w:right w:val="nil"/>
                  </w:tcBorders>
                  <w:vAlign w:val="center"/>
                </w:tcPr>
                <w:p w14:paraId="4087330D">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休闲圆墩1</w:t>
                  </w:r>
                </w:p>
              </w:tc>
              <w:tc>
                <w:tcPr>
                  <w:tcW w:w="1496" w:type="pct"/>
                  <w:tcBorders>
                    <w:top w:val="single" w:color="000000" w:sz="4" w:space="0"/>
                    <w:left w:val="single" w:color="000000" w:sz="4" w:space="0"/>
                    <w:bottom w:val="single" w:color="000000" w:sz="4" w:space="0"/>
                    <w:right w:val="nil"/>
                  </w:tcBorders>
                  <w:vAlign w:val="center"/>
                </w:tcPr>
                <w:p w14:paraId="532A4D99">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0F32A258">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2D39">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23</w:t>
                  </w:r>
                </w:p>
              </w:tc>
              <w:tc>
                <w:tcPr>
                  <w:tcW w:w="2920" w:type="pct"/>
                  <w:tcBorders>
                    <w:top w:val="single" w:color="000000" w:sz="4" w:space="0"/>
                    <w:left w:val="single" w:color="000000" w:sz="4" w:space="0"/>
                    <w:bottom w:val="single" w:color="000000" w:sz="4" w:space="0"/>
                    <w:right w:val="nil"/>
                  </w:tcBorders>
                  <w:vAlign w:val="center"/>
                </w:tcPr>
                <w:p w14:paraId="79787A5B">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懒人沙发</w:t>
                  </w:r>
                </w:p>
              </w:tc>
              <w:tc>
                <w:tcPr>
                  <w:tcW w:w="1496" w:type="pct"/>
                  <w:tcBorders>
                    <w:top w:val="single" w:color="000000" w:sz="4" w:space="0"/>
                    <w:left w:val="single" w:color="000000" w:sz="4" w:space="0"/>
                    <w:bottom w:val="single" w:color="000000" w:sz="4" w:space="0"/>
                    <w:right w:val="nil"/>
                  </w:tcBorders>
                  <w:vAlign w:val="center"/>
                </w:tcPr>
                <w:p w14:paraId="7915659D">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4503844">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28A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24</w:t>
                  </w:r>
                </w:p>
              </w:tc>
              <w:tc>
                <w:tcPr>
                  <w:tcW w:w="2920" w:type="pct"/>
                  <w:tcBorders>
                    <w:top w:val="single" w:color="000000" w:sz="4" w:space="0"/>
                    <w:left w:val="single" w:color="000000" w:sz="4" w:space="0"/>
                    <w:bottom w:val="single" w:color="000000" w:sz="4" w:space="0"/>
                    <w:right w:val="nil"/>
                  </w:tcBorders>
                  <w:vAlign w:val="center"/>
                </w:tcPr>
                <w:p w14:paraId="20612E41">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休闲圆墩2</w:t>
                  </w:r>
                </w:p>
              </w:tc>
              <w:tc>
                <w:tcPr>
                  <w:tcW w:w="1496" w:type="pct"/>
                  <w:tcBorders>
                    <w:top w:val="single" w:color="000000" w:sz="4" w:space="0"/>
                    <w:left w:val="single" w:color="000000" w:sz="4" w:space="0"/>
                    <w:bottom w:val="single" w:color="000000" w:sz="4" w:space="0"/>
                    <w:right w:val="nil"/>
                  </w:tcBorders>
                  <w:vAlign w:val="center"/>
                </w:tcPr>
                <w:p w14:paraId="7C98D9D3">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672EEB8">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0ACD">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25</w:t>
                  </w:r>
                </w:p>
              </w:tc>
              <w:tc>
                <w:tcPr>
                  <w:tcW w:w="2920" w:type="pct"/>
                  <w:tcBorders>
                    <w:top w:val="single" w:color="000000" w:sz="4" w:space="0"/>
                    <w:left w:val="single" w:color="000000" w:sz="4" w:space="0"/>
                    <w:bottom w:val="single" w:color="000000" w:sz="4" w:space="0"/>
                    <w:right w:val="nil"/>
                  </w:tcBorders>
                  <w:vAlign w:val="center"/>
                </w:tcPr>
                <w:p w14:paraId="75FD7499">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创意阅览沙发2</w:t>
                  </w:r>
                </w:p>
              </w:tc>
              <w:tc>
                <w:tcPr>
                  <w:tcW w:w="1496" w:type="pct"/>
                  <w:tcBorders>
                    <w:top w:val="single" w:color="000000" w:sz="4" w:space="0"/>
                    <w:left w:val="single" w:color="000000" w:sz="4" w:space="0"/>
                    <w:bottom w:val="single" w:color="000000" w:sz="4" w:space="0"/>
                    <w:right w:val="nil"/>
                  </w:tcBorders>
                  <w:vAlign w:val="center"/>
                </w:tcPr>
                <w:p w14:paraId="3422377C">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3EFB8795">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51F76">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26</w:t>
                  </w:r>
                </w:p>
              </w:tc>
              <w:tc>
                <w:tcPr>
                  <w:tcW w:w="2920" w:type="pct"/>
                  <w:tcBorders>
                    <w:top w:val="single" w:color="000000" w:sz="4" w:space="0"/>
                    <w:left w:val="single" w:color="000000" w:sz="4" w:space="0"/>
                    <w:bottom w:val="single" w:color="000000" w:sz="4" w:space="0"/>
                    <w:right w:val="nil"/>
                  </w:tcBorders>
                  <w:vAlign w:val="center"/>
                </w:tcPr>
                <w:p w14:paraId="410860B0">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休闲沙发椅1</w:t>
                  </w:r>
                </w:p>
              </w:tc>
              <w:tc>
                <w:tcPr>
                  <w:tcW w:w="1496" w:type="pct"/>
                  <w:tcBorders>
                    <w:top w:val="single" w:color="000000" w:sz="4" w:space="0"/>
                    <w:left w:val="single" w:color="000000" w:sz="4" w:space="0"/>
                    <w:bottom w:val="single" w:color="000000" w:sz="4" w:space="0"/>
                    <w:right w:val="nil"/>
                  </w:tcBorders>
                  <w:vAlign w:val="center"/>
                </w:tcPr>
                <w:p w14:paraId="6DC44D42">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65EE374E">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E0B9">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27</w:t>
                  </w:r>
                </w:p>
              </w:tc>
              <w:tc>
                <w:tcPr>
                  <w:tcW w:w="2920" w:type="pct"/>
                  <w:tcBorders>
                    <w:top w:val="single" w:color="000000" w:sz="4" w:space="0"/>
                    <w:left w:val="single" w:color="000000" w:sz="4" w:space="0"/>
                    <w:bottom w:val="single" w:color="000000" w:sz="4" w:space="0"/>
                    <w:right w:val="nil"/>
                  </w:tcBorders>
                  <w:vAlign w:val="center"/>
                </w:tcPr>
                <w:p w14:paraId="7638ED78">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休闲圆桌1</w:t>
                  </w:r>
                </w:p>
              </w:tc>
              <w:tc>
                <w:tcPr>
                  <w:tcW w:w="1496" w:type="pct"/>
                  <w:tcBorders>
                    <w:top w:val="single" w:color="000000" w:sz="4" w:space="0"/>
                    <w:left w:val="single" w:color="000000" w:sz="4" w:space="0"/>
                    <w:bottom w:val="single" w:color="000000" w:sz="4" w:space="0"/>
                    <w:right w:val="nil"/>
                  </w:tcBorders>
                  <w:vAlign w:val="center"/>
                </w:tcPr>
                <w:p w14:paraId="5905D821">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636F9FA9">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291C">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28</w:t>
                  </w:r>
                </w:p>
              </w:tc>
              <w:tc>
                <w:tcPr>
                  <w:tcW w:w="2920" w:type="pct"/>
                  <w:tcBorders>
                    <w:top w:val="single" w:color="000000" w:sz="4" w:space="0"/>
                    <w:left w:val="single" w:color="000000" w:sz="4" w:space="0"/>
                    <w:bottom w:val="single" w:color="000000" w:sz="4" w:space="0"/>
                    <w:right w:val="nil"/>
                  </w:tcBorders>
                  <w:vAlign w:val="center"/>
                </w:tcPr>
                <w:p w14:paraId="79C9605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定制满墙书柜</w:t>
                  </w:r>
                </w:p>
              </w:tc>
              <w:tc>
                <w:tcPr>
                  <w:tcW w:w="1496" w:type="pct"/>
                  <w:tcBorders>
                    <w:top w:val="single" w:color="000000" w:sz="4" w:space="0"/>
                    <w:left w:val="single" w:color="000000" w:sz="4" w:space="0"/>
                    <w:bottom w:val="single" w:color="000000" w:sz="4" w:space="0"/>
                    <w:right w:val="nil"/>
                  </w:tcBorders>
                  <w:vAlign w:val="center"/>
                </w:tcPr>
                <w:p w14:paraId="4BDC735F">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4D283FE6">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EC218">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29</w:t>
                  </w:r>
                </w:p>
              </w:tc>
              <w:tc>
                <w:tcPr>
                  <w:tcW w:w="2920" w:type="pct"/>
                  <w:tcBorders>
                    <w:top w:val="single" w:color="000000" w:sz="4" w:space="0"/>
                    <w:left w:val="single" w:color="000000" w:sz="4" w:space="0"/>
                    <w:bottom w:val="single" w:color="000000" w:sz="4" w:space="0"/>
                    <w:right w:val="nil"/>
                  </w:tcBorders>
                  <w:vAlign w:val="center"/>
                </w:tcPr>
                <w:p w14:paraId="087C6E8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球形沙发椅</w:t>
                  </w:r>
                </w:p>
              </w:tc>
              <w:tc>
                <w:tcPr>
                  <w:tcW w:w="1496" w:type="pct"/>
                  <w:tcBorders>
                    <w:top w:val="single" w:color="000000" w:sz="4" w:space="0"/>
                    <w:left w:val="single" w:color="000000" w:sz="4" w:space="0"/>
                    <w:bottom w:val="single" w:color="000000" w:sz="4" w:space="0"/>
                    <w:right w:val="nil"/>
                  </w:tcBorders>
                  <w:vAlign w:val="center"/>
                </w:tcPr>
                <w:p w14:paraId="63CAB165">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E183BBF">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E4F4">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30</w:t>
                  </w:r>
                </w:p>
              </w:tc>
              <w:tc>
                <w:tcPr>
                  <w:tcW w:w="2920" w:type="pct"/>
                  <w:tcBorders>
                    <w:top w:val="single" w:color="000000" w:sz="4" w:space="0"/>
                    <w:left w:val="single" w:color="000000" w:sz="4" w:space="0"/>
                    <w:bottom w:val="single" w:color="000000" w:sz="4" w:space="0"/>
                    <w:right w:val="nil"/>
                  </w:tcBorders>
                  <w:vAlign w:val="center"/>
                </w:tcPr>
                <w:p w14:paraId="34F41DC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多功能活动弧形屏风</w:t>
                  </w:r>
                </w:p>
              </w:tc>
              <w:tc>
                <w:tcPr>
                  <w:tcW w:w="1496" w:type="pct"/>
                  <w:tcBorders>
                    <w:top w:val="single" w:color="000000" w:sz="4" w:space="0"/>
                    <w:left w:val="single" w:color="000000" w:sz="4" w:space="0"/>
                    <w:bottom w:val="single" w:color="000000" w:sz="4" w:space="0"/>
                    <w:right w:val="nil"/>
                  </w:tcBorders>
                  <w:vAlign w:val="center"/>
                </w:tcPr>
                <w:p w14:paraId="4B800BD3">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387BBC75">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C8DB">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31</w:t>
                  </w:r>
                </w:p>
              </w:tc>
              <w:tc>
                <w:tcPr>
                  <w:tcW w:w="2920" w:type="pct"/>
                  <w:tcBorders>
                    <w:top w:val="single" w:color="000000" w:sz="4" w:space="0"/>
                    <w:left w:val="single" w:color="000000" w:sz="4" w:space="0"/>
                    <w:bottom w:val="single" w:color="000000" w:sz="4" w:space="0"/>
                    <w:right w:val="nil"/>
                  </w:tcBorders>
                  <w:vAlign w:val="center"/>
                </w:tcPr>
                <w:p w14:paraId="58D4797F">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多功能高桌1</w:t>
                  </w:r>
                </w:p>
              </w:tc>
              <w:tc>
                <w:tcPr>
                  <w:tcW w:w="1496" w:type="pct"/>
                  <w:tcBorders>
                    <w:top w:val="single" w:color="000000" w:sz="4" w:space="0"/>
                    <w:left w:val="single" w:color="000000" w:sz="4" w:space="0"/>
                    <w:bottom w:val="single" w:color="000000" w:sz="4" w:space="0"/>
                    <w:right w:val="nil"/>
                  </w:tcBorders>
                  <w:vAlign w:val="center"/>
                </w:tcPr>
                <w:p w14:paraId="1B4C5C5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DD9A218">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222E5">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32</w:t>
                  </w:r>
                </w:p>
              </w:tc>
              <w:tc>
                <w:tcPr>
                  <w:tcW w:w="2920" w:type="pct"/>
                  <w:tcBorders>
                    <w:top w:val="single" w:color="000000" w:sz="4" w:space="0"/>
                    <w:left w:val="single" w:color="000000" w:sz="4" w:space="0"/>
                    <w:bottom w:val="single" w:color="000000" w:sz="4" w:space="0"/>
                    <w:right w:val="nil"/>
                  </w:tcBorders>
                  <w:vAlign w:val="center"/>
                </w:tcPr>
                <w:p w14:paraId="1392ABDF">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多功能高桌2</w:t>
                  </w:r>
                </w:p>
              </w:tc>
              <w:tc>
                <w:tcPr>
                  <w:tcW w:w="1496" w:type="pct"/>
                  <w:tcBorders>
                    <w:top w:val="single" w:color="000000" w:sz="4" w:space="0"/>
                    <w:left w:val="single" w:color="000000" w:sz="4" w:space="0"/>
                    <w:bottom w:val="single" w:color="000000" w:sz="4" w:space="0"/>
                    <w:right w:val="nil"/>
                  </w:tcBorders>
                  <w:vAlign w:val="center"/>
                </w:tcPr>
                <w:p w14:paraId="7EE85677">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0256EEE8">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640E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33</w:t>
                  </w:r>
                </w:p>
              </w:tc>
              <w:tc>
                <w:tcPr>
                  <w:tcW w:w="2920" w:type="pct"/>
                  <w:tcBorders>
                    <w:top w:val="single" w:color="000000" w:sz="4" w:space="0"/>
                    <w:left w:val="single" w:color="000000" w:sz="4" w:space="0"/>
                    <w:bottom w:val="single" w:color="000000" w:sz="4" w:space="0"/>
                    <w:right w:val="nil"/>
                  </w:tcBorders>
                  <w:vAlign w:val="center"/>
                </w:tcPr>
                <w:p w14:paraId="34591CB1">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高脚阅览椅</w:t>
                  </w:r>
                </w:p>
              </w:tc>
              <w:tc>
                <w:tcPr>
                  <w:tcW w:w="1496" w:type="pct"/>
                  <w:tcBorders>
                    <w:top w:val="single" w:color="000000" w:sz="4" w:space="0"/>
                    <w:left w:val="single" w:color="000000" w:sz="4" w:space="0"/>
                    <w:bottom w:val="single" w:color="000000" w:sz="4" w:space="0"/>
                    <w:right w:val="nil"/>
                  </w:tcBorders>
                  <w:vAlign w:val="center"/>
                </w:tcPr>
                <w:p w14:paraId="7465BA78">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53EF8062">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D6D1D">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34</w:t>
                  </w:r>
                </w:p>
              </w:tc>
              <w:tc>
                <w:tcPr>
                  <w:tcW w:w="2920" w:type="pct"/>
                  <w:tcBorders>
                    <w:top w:val="single" w:color="000000" w:sz="4" w:space="0"/>
                    <w:left w:val="single" w:color="000000" w:sz="4" w:space="0"/>
                    <w:bottom w:val="single" w:color="000000" w:sz="4" w:space="0"/>
                    <w:right w:val="nil"/>
                  </w:tcBorders>
                  <w:vAlign w:val="center"/>
                </w:tcPr>
                <w:p w14:paraId="1B3B685A">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可堆叠吧椅</w:t>
                  </w:r>
                </w:p>
              </w:tc>
              <w:tc>
                <w:tcPr>
                  <w:tcW w:w="1496" w:type="pct"/>
                  <w:tcBorders>
                    <w:top w:val="single" w:color="000000" w:sz="4" w:space="0"/>
                    <w:left w:val="single" w:color="000000" w:sz="4" w:space="0"/>
                    <w:bottom w:val="single" w:color="000000" w:sz="4" w:space="0"/>
                    <w:right w:val="nil"/>
                  </w:tcBorders>
                  <w:vAlign w:val="center"/>
                </w:tcPr>
                <w:p w14:paraId="45F84F50">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CF53256">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6C343">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35</w:t>
                  </w:r>
                </w:p>
              </w:tc>
              <w:tc>
                <w:tcPr>
                  <w:tcW w:w="2920" w:type="pct"/>
                  <w:tcBorders>
                    <w:top w:val="single" w:color="000000" w:sz="4" w:space="0"/>
                    <w:left w:val="single" w:color="000000" w:sz="4" w:space="0"/>
                    <w:bottom w:val="single" w:color="000000" w:sz="4" w:space="0"/>
                    <w:right w:val="nil"/>
                  </w:tcBorders>
                  <w:vAlign w:val="center"/>
                </w:tcPr>
                <w:p w14:paraId="0B2BD9C9">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多功能储物推车+双面可书写白板</w:t>
                  </w:r>
                </w:p>
              </w:tc>
              <w:tc>
                <w:tcPr>
                  <w:tcW w:w="1496" w:type="pct"/>
                  <w:tcBorders>
                    <w:top w:val="single" w:color="000000" w:sz="4" w:space="0"/>
                    <w:left w:val="single" w:color="000000" w:sz="4" w:space="0"/>
                    <w:bottom w:val="single" w:color="000000" w:sz="4" w:space="0"/>
                    <w:right w:val="nil"/>
                  </w:tcBorders>
                  <w:vAlign w:val="center"/>
                </w:tcPr>
                <w:p w14:paraId="42E6104E">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0C14E77">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2357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36</w:t>
                  </w:r>
                </w:p>
              </w:tc>
              <w:tc>
                <w:tcPr>
                  <w:tcW w:w="2920" w:type="pct"/>
                  <w:tcBorders>
                    <w:top w:val="single" w:color="000000" w:sz="4" w:space="0"/>
                    <w:left w:val="single" w:color="000000" w:sz="4" w:space="0"/>
                    <w:bottom w:val="single" w:color="000000" w:sz="4" w:space="0"/>
                    <w:right w:val="nil"/>
                  </w:tcBorders>
                  <w:vAlign w:val="center"/>
                </w:tcPr>
                <w:p w14:paraId="63693BB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白板+支架</w:t>
                  </w:r>
                </w:p>
              </w:tc>
              <w:tc>
                <w:tcPr>
                  <w:tcW w:w="1496" w:type="pct"/>
                  <w:tcBorders>
                    <w:top w:val="single" w:color="000000" w:sz="4" w:space="0"/>
                    <w:left w:val="single" w:color="000000" w:sz="4" w:space="0"/>
                    <w:bottom w:val="single" w:color="000000" w:sz="4" w:space="0"/>
                    <w:right w:val="nil"/>
                  </w:tcBorders>
                  <w:vAlign w:val="center"/>
                </w:tcPr>
                <w:p w14:paraId="490ECB3A">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64B7C8E3">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0571">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37</w:t>
                  </w:r>
                </w:p>
              </w:tc>
              <w:tc>
                <w:tcPr>
                  <w:tcW w:w="2920" w:type="pct"/>
                  <w:tcBorders>
                    <w:top w:val="single" w:color="000000" w:sz="4" w:space="0"/>
                    <w:left w:val="single" w:color="000000" w:sz="4" w:space="0"/>
                    <w:bottom w:val="single" w:color="000000" w:sz="4" w:space="0"/>
                    <w:right w:val="nil"/>
                  </w:tcBorders>
                  <w:vAlign w:val="center"/>
                </w:tcPr>
                <w:p w14:paraId="6ECA81BF">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双面屏风1</w:t>
                  </w:r>
                </w:p>
              </w:tc>
              <w:tc>
                <w:tcPr>
                  <w:tcW w:w="1496" w:type="pct"/>
                  <w:tcBorders>
                    <w:top w:val="single" w:color="000000" w:sz="4" w:space="0"/>
                    <w:left w:val="single" w:color="000000" w:sz="4" w:space="0"/>
                    <w:bottom w:val="single" w:color="000000" w:sz="4" w:space="0"/>
                    <w:right w:val="nil"/>
                  </w:tcBorders>
                  <w:vAlign w:val="center"/>
                </w:tcPr>
                <w:p w14:paraId="3BD46A76">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581B71CC">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6CF2">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38</w:t>
                  </w:r>
                </w:p>
              </w:tc>
              <w:tc>
                <w:tcPr>
                  <w:tcW w:w="2920" w:type="pct"/>
                  <w:tcBorders>
                    <w:top w:val="single" w:color="000000" w:sz="4" w:space="0"/>
                    <w:left w:val="single" w:color="000000" w:sz="4" w:space="0"/>
                    <w:bottom w:val="single" w:color="000000" w:sz="4" w:space="0"/>
                    <w:right w:val="nil"/>
                  </w:tcBorders>
                  <w:vAlign w:val="center"/>
                </w:tcPr>
                <w:p w14:paraId="0E2CECC1">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双面屏风2</w:t>
                  </w:r>
                </w:p>
              </w:tc>
              <w:tc>
                <w:tcPr>
                  <w:tcW w:w="1496" w:type="pct"/>
                  <w:tcBorders>
                    <w:top w:val="single" w:color="000000" w:sz="4" w:space="0"/>
                    <w:left w:val="single" w:color="000000" w:sz="4" w:space="0"/>
                    <w:bottom w:val="single" w:color="000000" w:sz="4" w:space="0"/>
                    <w:right w:val="nil"/>
                  </w:tcBorders>
                  <w:vAlign w:val="center"/>
                </w:tcPr>
                <w:p w14:paraId="4D32D21E">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47F17C6A">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A42C">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39</w:t>
                  </w:r>
                </w:p>
              </w:tc>
              <w:tc>
                <w:tcPr>
                  <w:tcW w:w="2920" w:type="pct"/>
                  <w:tcBorders>
                    <w:top w:val="single" w:color="000000" w:sz="4" w:space="0"/>
                    <w:left w:val="single" w:color="000000" w:sz="4" w:space="0"/>
                    <w:bottom w:val="single" w:color="000000" w:sz="4" w:space="0"/>
                    <w:right w:val="nil"/>
                  </w:tcBorders>
                  <w:vAlign w:val="center"/>
                </w:tcPr>
                <w:p w14:paraId="75EC77F1">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多功能移动升降桌</w:t>
                  </w:r>
                </w:p>
              </w:tc>
              <w:tc>
                <w:tcPr>
                  <w:tcW w:w="1496" w:type="pct"/>
                  <w:tcBorders>
                    <w:top w:val="single" w:color="000000" w:sz="4" w:space="0"/>
                    <w:left w:val="single" w:color="000000" w:sz="4" w:space="0"/>
                    <w:bottom w:val="single" w:color="000000" w:sz="4" w:space="0"/>
                    <w:right w:val="nil"/>
                  </w:tcBorders>
                  <w:vAlign w:val="center"/>
                </w:tcPr>
                <w:p w14:paraId="0C1B4AA2">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BFA731E">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29E2">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40</w:t>
                  </w:r>
                </w:p>
              </w:tc>
              <w:tc>
                <w:tcPr>
                  <w:tcW w:w="2920" w:type="pct"/>
                  <w:tcBorders>
                    <w:top w:val="single" w:color="000000" w:sz="4" w:space="0"/>
                    <w:left w:val="single" w:color="000000" w:sz="4" w:space="0"/>
                    <w:bottom w:val="single" w:color="000000" w:sz="4" w:space="0"/>
                    <w:right w:val="nil"/>
                  </w:tcBorders>
                  <w:vAlign w:val="center"/>
                </w:tcPr>
                <w:p w14:paraId="4A188EDB">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多功能椅</w:t>
                  </w:r>
                </w:p>
              </w:tc>
              <w:tc>
                <w:tcPr>
                  <w:tcW w:w="1496" w:type="pct"/>
                  <w:tcBorders>
                    <w:top w:val="single" w:color="000000" w:sz="4" w:space="0"/>
                    <w:left w:val="single" w:color="000000" w:sz="4" w:space="0"/>
                    <w:bottom w:val="single" w:color="000000" w:sz="4" w:space="0"/>
                    <w:right w:val="nil"/>
                  </w:tcBorders>
                  <w:vAlign w:val="center"/>
                </w:tcPr>
                <w:p w14:paraId="302DDF17">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2DB6A4E">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A9CB">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41</w:t>
                  </w:r>
                </w:p>
              </w:tc>
              <w:tc>
                <w:tcPr>
                  <w:tcW w:w="2920" w:type="pct"/>
                  <w:tcBorders>
                    <w:top w:val="single" w:color="000000" w:sz="4" w:space="0"/>
                    <w:left w:val="single" w:color="000000" w:sz="4" w:space="0"/>
                    <w:bottom w:val="single" w:color="000000" w:sz="4" w:space="0"/>
                    <w:right w:val="nil"/>
                  </w:tcBorders>
                  <w:vAlign w:val="center"/>
                </w:tcPr>
                <w:p w14:paraId="0FF33568">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可升降圆桌</w:t>
                  </w:r>
                </w:p>
              </w:tc>
              <w:tc>
                <w:tcPr>
                  <w:tcW w:w="1496" w:type="pct"/>
                  <w:tcBorders>
                    <w:top w:val="single" w:color="000000" w:sz="4" w:space="0"/>
                    <w:left w:val="single" w:color="000000" w:sz="4" w:space="0"/>
                    <w:bottom w:val="single" w:color="000000" w:sz="4" w:space="0"/>
                    <w:right w:val="nil"/>
                  </w:tcBorders>
                  <w:vAlign w:val="center"/>
                </w:tcPr>
                <w:p w14:paraId="36F93823">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362CBDE0">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BFD0A">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42</w:t>
                  </w:r>
                </w:p>
              </w:tc>
              <w:tc>
                <w:tcPr>
                  <w:tcW w:w="2920" w:type="pct"/>
                  <w:tcBorders>
                    <w:top w:val="single" w:color="000000" w:sz="4" w:space="0"/>
                    <w:left w:val="single" w:color="000000" w:sz="4" w:space="0"/>
                    <w:bottom w:val="single" w:color="000000" w:sz="4" w:space="0"/>
                    <w:right w:val="nil"/>
                  </w:tcBorders>
                  <w:vAlign w:val="center"/>
                </w:tcPr>
                <w:p w14:paraId="7C3FC4CF">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异形高桌</w:t>
                  </w:r>
                </w:p>
              </w:tc>
              <w:tc>
                <w:tcPr>
                  <w:tcW w:w="1496" w:type="pct"/>
                  <w:tcBorders>
                    <w:top w:val="single" w:color="000000" w:sz="4" w:space="0"/>
                    <w:left w:val="single" w:color="000000" w:sz="4" w:space="0"/>
                    <w:bottom w:val="single" w:color="000000" w:sz="4" w:space="0"/>
                    <w:right w:val="nil"/>
                  </w:tcBorders>
                  <w:vAlign w:val="center"/>
                </w:tcPr>
                <w:p w14:paraId="7B2D5542">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2E5C291">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D6A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43</w:t>
                  </w:r>
                </w:p>
              </w:tc>
              <w:tc>
                <w:tcPr>
                  <w:tcW w:w="2920" w:type="pct"/>
                  <w:tcBorders>
                    <w:top w:val="single" w:color="000000" w:sz="4" w:space="0"/>
                    <w:left w:val="single" w:color="000000" w:sz="4" w:space="0"/>
                    <w:bottom w:val="single" w:color="000000" w:sz="4" w:space="0"/>
                    <w:right w:val="nil"/>
                  </w:tcBorders>
                  <w:vAlign w:val="center"/>
                </w:tcPr>
                <w:p w14:paraId="2F35FFE7">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创意组合沙发</w:t>
                  </w:r>
                </w:p>
              </w:tc>
              <w:tc>
                <w:tcPr>
                  <w:tcW w:w="1496" w:type="pct"/>
                  <w:tcBorders>
                    <w:top w:val="single" w:color="000000" w:sz="4" w:space="0"/>
                    <w:left w:val="single" w:color="000000" w:sz="4" w:space="0"/>
                    <w:bottom w:val="single" w:color="000000" w:sz="4" w:space="0"/>
                    <w:right w:val="nil"/>
                  </w:tcBorders>
                  <w:vAlign w:val="center"/>
                </w:tcPr>
                <w:p w14:paraId="3C0CF99D">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67932B3">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14BF">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44</w:t>
                  </w:r>
                </w:p>
              </w:tc>
              <w:tc>
                <w:tcPr>
                  <w:tcW w:w="2920" w:type="pct"/>
                  <w:tcBorders>
                    <w:top w:val="single" w:color="000000" w:sz="4" w:space="0"/>
                    <w:left w:val="single" w:color="000000" w:sz="4" w:space="0"/>
                    <w:bottom w:val="single" w:color="000000" w:sz="4" w:space="0"/>
                    <w:right w:val="nil"/>
                  </w:tcBorders>
                  <w:vAlign w:val="center"/>
                </w:tcPr>
                <w:p w14:paraId="7A0EBAD6">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休闲圆桌2</w:t>
                  </w:r>
                </w:p>
              </w:tc>
              <w:tc>
                <w:tcPr>
                  <w:tcW w:w="1496" w:type="pct"/>
                  <w:tcBorders>
                    <w:top w:val="single" w:color="000000" w:sz="4" w:space="0"/>
                    <w:left w:val="single" w:color="000000" w:sz="4" w:space="0"/>
                    <w:bottom w:val="single" w:color="000000" w:sz="4" w:space="0"/>
                    <w:right w:val="nil"/>
                  </w:tcBorders>
                  <w:vAlign w:val="center"/>
                </w:tcPr>
                <w:p w14:paraId="587DAA4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7D9ABC9E">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B0AD">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45</w:t>
                  </w:r>
                </w:p>
              </w:tc>
              <w:tc>
                <w:tcPr>
                  <w:tcW w:w="2920" w:type="pct"/>
                  <w:tcBorders>
                    <w:top w:val="single" w:color="000000" w:sz="4" w:space="0"/>
                    <w:left w:val="single" w:color="000000" w:sz="4" w:space="0"/>
                    <w:bottom w:val="single" w:color="000000" w:sz="4" w:space="0"/>
                    <w:right w:val="nil"/>
                  </w:tcBorders>
                  <w:vAlign w:val="center"/>
                </w:tcPr>
                <w:p w14:paraId="0CE0A7F8">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蘑菇凳</w:t>
                  </w:r>
                </w:p>
              </w:tc>
              <w:tc>
                <w:tcPr>
                  <w:tcW w:w="1496" w:type="pct"/>
                  <w:tcBorders>
                    <w:top w:val="single" w:color="000000" w:sz="4" w:space="0"/>
                    <w:left w:val="single" w:color="000000" w:sz="4" w:space="0"/>
                    <w:bottom w:val="single" w:color="000000" w:sz="4" w:space="0"/>
                    <w:right w:val="nil"/>
                  </w:tcBorders>
                  <w:vAlign w:val="center"/>
                </w:tcPr>
                <w:p w14:paraId="52864DE4">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35BFC74F">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B29E">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46</w:t>
                  </w:r>
                </w:p>
              </w:tc>
              <w:tc>
                <w:tcPr>
                  <w:tcW w:w="2920" w:type="pct"/>
                  <w:tcBorders>
                    <w:top w:val="single" w:color="000000" w:sz="4" w:space="0"/>
                    <w:left w:val="single" w:color="000000" w:sz="4" w:space="0"/>
                    <w:bottom w:val="single" w:color="000000" w:sz="4" w:space="0"/>
                    <w:right w:val="nil"/>
                  </w:tcBorders>
                  <w:vAlign w:val="center"/>
                </w:tcPr>
                <w:p w14:paraId="15866756">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双面白板组合</w:t>
                  </w:r>
                </w:p>
              </w:tc>
              <w:tc>
                <w:tcPr>
                  <w:tcW w:w="1496" w:type="pct"/>
                  <w:tcBorders>
                    <w:top w:val="single" w:color="000000" w:sz="4" w:space="0"/>
                    <w:left w:val="single" w:color="000000" w:sz="4" w:space="0"/>
                    <w:bottom w:val="single" w:color="000000" w:sz="4" w:space="0"/>
                    <w:right w:val="nil"/>
                  </w:tcBorders>
                  <w:vAlign w:val="center"/>
                </w:tcPr>
                <w:p w14:paraId="29E9ED6B">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65721F10">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0841">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47</w:t>
                  </w:r>
                </w:p>
              </w:tc>
              <w:tc>
                <w:tcPr>
                  <w:tcW w:w="2920" w:type="pct"/>
                  <w:tcBorders>
                    <w:top w:val="single" w:color="000000" w:sz="4" w:space="0"/>
                    <w:left w:val="single" w:color="000000" w:sz="4" w:space="0"/>
                    <w:bottom w:val="single" w:color="000000" w:sz="4" w:space="0"/>
                    <w:right w:val="nil"/>
                  </w:tcBorders>
                  <w:vAlign w:val="center"/>
                </w:tcPr>
                <w:p w14:paraId="3D448B13">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12人阅览桌</w:t>
                  </w:r>
                </w:p>
              </w:tc>
              <w:tc>
                <w:tcPr>
                  <w:tcW w:w="1496" w:type="pct"/>
                  <w:tcBorders>
                    <w:top w:val="single" w:color="000000" w:sz="4" w:space="0"/>
                    <w:left w:val="single" w:color="000000" w:sz="4" w:space="0"/>
                    <w:bottom w:val="single" w:color="000000" w:sz="4" w:space="0"/>
                    <w:right w:val="nil"/>
                  </w:tcBorders>
                  <w:vAlign w:val="center"/>
                </w:tcPr>
                <w:p w14:paraId="45E7F37E">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2385C11B">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58A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48</w:t>
                  </w:r>
                </w:p>
              </w:tc>
              <w:tc>
                <w:tcPr>
                  <w:tcW w:w="2920" w:type="pct"/>
                  <w:tcBorders>
                    <w:top w:val="single" w:color="000000" w:sz="4" w:space="0"/>
                    <w:left w:val="single" w:color="000000" w:sz="4" w:space="0"/>
                    <w:bottom w:val="single" w:color="000000" w:sz="4" w:space="0"/>
                    <w:right w:val="nil"/>
                  </w:tcBorders>
                  <w:vAlign w:val="center"/>
                </w:tcPr>
                <w:p w14:paraId="6BEF43C3">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可折叠阅览椅</w:t>
                  </w:r>
                </w:p>
              </w:tc>
              <w:tc>
                <w:tcPr>
                  <w:tcW w:w="1496" w:type="pct"/>
                  <w:tcBorders>
                    <w:top w:val="single" w:color="000000" w:sz="4" w:space="0"/>
                    <w:left w:val="single" w:color="000000" w:sz="4" w:space="0"/>
                    <w:bottom w:val="single" w:color="000000" w:sz="4" w:space="0"/>
                    <w:right w:val="nil"/>
                  </w:tcBorders>
                  <w:vAlign w:val="center"/>
                </w:tcPr>
                <w:p w14:paraId="62F39441">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393E8941">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FE8E">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49</w:t>
                  </w:r>
                </w:p>
              </w:tc>
              <w:tc>
                <w:tcPr>
                  <w:tcW w:w="2920" w:type="pct"/>
                  <w:tcBorders>
                    <w:top w:val="single" w:color="000000" w:sz="4" w:space="0"/>
                    <w:left w:val="single" w:color="000000" w:sz="4" w:space="0"/>
                    <w:bottom w:val="single" w:color="000000" w:sz="4" w:space="0"/>
                    <w:right w:val="nil"/>
                  </w:tcBorders>
                  <w:vAlign w:val="center"/>
                </w:tcPr>
                <w:p w14:paraId="79888BDD">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休闲圆桌3</w:t>
                  </w:r>
                </w:p>
              </w:tc>
              <w:tc>
                <w:tcPr>
                  <w:tcW w:w="1496" w:type="pct"/>
                  <w:tcBorders>
                    <w:top w:val="single" w:color="000000" w:sz="4" w:space="0"/>
                    <w:left w:val="single" w:color="000000" w:sz="4" w:space="0"/>
                    <w:bottom w:val="single" w:color="000000" w:sz="4" w:space="0"/>
                    <w:right w:val="nil"/>
                  </w:tcBorders>
                  <w:vAlign w:val="center"/>
                </w:tcPr>
                <w:p w14:paraId="2D8A2257">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0707127">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5056">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50</w:t>
                  </w:r>
                </w:p>
              </w:tc>
              <w:tc>
                <w:tcPr>
                  <w:tcW w:w="2920" w:type="pct"/>
                  <w:tcBorders>
                    <w:top w:val="single" w:color="000000" w:sz="4" w:space="0"/>
                    <w:left w:val="single" w:color="000000" w:sz="4" w:space="0"/>
                    <w:bottom w:val="single" w:color="000000" w:sz="4" w:space="0"/>
                    <w:right w:val="nil"/>
                  </w:tcBorders>
                  <w:vAlign w:val="center"/>
                </w:tcPr>
                <w:p w14:paraId="7B47D507">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活动学习椅</w:t>
                  </w:r>
                </w:p>
              </w:tc>
              <w:tc>
                <w:tcPr>
                  <w:tcW w:w="1496" w:type="pct"/>
                  <w:tcBorders>
                    <w:top w:val="single" w:color="000000" w:sz="4" w:space="0"/>
                    <w:left w:val="single" w:color="000000" w:sz="4" w:space="0"/>
                    <w:bottom w:val="single" w:color="000000" w:sz="4" w:space="0"/>
                    <w:right w:val="nil"/>
                  </w:tcBorders>
                  <w:vAlign w:val="center"/>
                </w:tcPr>
                <w:p w14:paraId="4EBCE328">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44C87443">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84FC7">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51</w:t>
                  </w:r>
                </w:p>
              </w:tc>
              <w:tc>
                <w:tcPr>
                  <w:tcW w:w="2920" w:type="pct"/>
                  <w:tcBorders>
                    <w:top w:val="single" w:color="000000" w:sz="4" w:space="0"/>
                    <w:left w:val="single" w:color="000000" w:sz="4" w:space="0"/>
                    <w:bottom w:val="single" w:color="000000" w:sz="4" w:space="0"/>
                    <w:right w:val="nil"/>
                  </w:tcBorders>
                  <w:vAlign w:val="center"/>
                </w:tcPr>
                <w:p w14:paraId="14DD3911">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围合式阅览桌</w:t>
                  </w:r>
                </w:p>
              </w:tc>
              <w:tc>
                <w:tcPr>
                  <w:tcW w:w="1496" w:type="pct"/>
                  <w:tcBorders>
                    <w:top w:val="single" w:color="000000" w:sz="4" w:space="0"/>
                    <w:left w:val="single" w:color="000000" w:sz="4" w:space="0"/>
                    <w:bottom w:val="single" w:color="000000" w:sz="4" w:space="0"/>
                    <w:right w:val="nil"/>
                  </w:tcBorders>
                  <w:vAlign w:val="center"/>
                </w:tcPr>
                <w:p w14:paraId="7EF24233">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19B31479">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4D56">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52</w:t>
                  </w:r>
                </w:p>
              </w:tc>
              <w:tc>
                <w:tcPr>
                  <w:tcW w:w="2920" w:type="pct"/>
                  <w:tcBorders>
                    <w:top w:val="single" w:color="000000" w:sz="4" w:space="0"/>
                    <w:left w:val="single" w:color="000000" w:sz="4" w:space="0"/>
                    <w:bottom w:val="single" w:color="000000" w:sz="4" w:space="0"/>
                    <w:right w:val="nil"/>
                  </w:tcBorders>
                  <w:vAlign w:val="center"/>
                </w:tcPr>
                <w:p w14:paraId="38EF6962">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活动椅</w:t>
                  </w:r>
                </w:p>
              </w:tc>
              <w:tc>
                <w:tcPr>
                  <w:tcW w:w="1496" w:type="pct"/>
                  <w:tcBorders>
                    <w:top w:val="single" w:color="000000" w:sz="4" w:space="0"/>
                    <w:left w:val="single" w:color="000000" w:sz="4" w:space="0"/>
                    <w:bottom w:val="single" w:color="000000" w:sz="4" w:space="0"/>
                    <w:right w:val="nil"/>
                  </w:tcBorders>
                  <w:vAlign w:val="center"/>
                </w:tcPr>
                <w:p w14:paraId="193F7F95">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r w14:paraId="49D616EB">
              <w:tblPrEx>
                <w:tblCellMar>
                  <w:top w:w="0" w:type="dxa"/>
                  <w:left w:w="108" w:type="dxa"/>
                  <w:bottom w:w="0" w:type="dxa"/>
                  <w:right w:w="108" w:type="dxa"/>
                </w:tblCellMar>
              </w:tblPrEx>
              <w:trPr>
                <w:trHeight w:val="567" w:hRule="atLeast"/>
                <w:jc w:val="center"/>
              </w:trPr>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017F">
                  <w:pPr>
                    <w:widowControl/>
                    <w:jc w:val="center"/>
                    <w:textAlignment w:val="center"/>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kern w:val="0"/>
                      <w:sz w:val="24"/>
                      <w:highlight w:val="none"/>
                      <w:lang w:bidi="ar"/>
                    </w:rPr>
                    <w:t>53</w:t>
                  </w:r>
                </w:p>
              </w:tc>
              <w:tc>
                <w:tcPr>
                  <w:tcW w:w="2920" w:type="pct"/>
                  <w:tcBorders>
                    <w:top w:val="single" w:color="000000" w:sz="4" w:space="0"/>
                    <w:left w:val="single" w:color="000000" w:sz="4" w:space="0"/>
                    <w:bottom w:val="single" w:color="000000" w:sz="4" w:space="0"/>
                    <w:right w:val="nil"/>
                  </w:tcBorders>
                  <w:vAlign w:val="center"/>
                </w:tcPr>
                <w:p w14:paraId="7FE9D9D2">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密集书架</w:t>
                  </w:r>
                </w:p>
                <w:p w14:paraId="2F8DC6B5">
                  <w:pPr>
                    <w:widowControl/>
                    <w:jc w:val="center"/>
                    <w:textAlignment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（手动）</w:t>
                  </w:r>
                </w:p>
              </w:tc>
              <w:tc>
                <w:tcPr>
                  <w:tcW w:w="1496" w:type="pct"/>
                  <w:tcBorders>
                    <w:top w:val="single" w:color="000000" w:sz="4" w:space="0"/>
                    <w:left w:val="single" w:color="000000" w:sz="4" w:space="0"/>
                    <w:bottom w:val="single" w:color="000000" w:sz="4" w:space="0"/>
                    <w:right w:val="nil"/>
                  </w:tcBorders>
                  <w:vAlign w:val="center"/>
                </w:tcPr>
                <w:p w14:paraId="46021C88">
                  <w:pPr>
                    <w:widowControl/>
                    <w:jc w:val="center"/>
                    <w:rPr>
                      <w:rFonts w:asciiTheme="minorEastAsia" w:hAnsiTheme="minorEastAsia" w:eastAsiaTheme="minorEastAsia" w:cstheme="minorEastAsia"/>
                      <w:kern w:val="0"/>
                      <w:sz w:val="24"/>
                      <w:highlight w:val="none"/>
                      <w:lang w:bidi="ar"/>
                    </w:rPr>
                  </w:pPr>
                  <w:r>
                    <w:rPr>
                      <w:rFonts w:hint="eastAsia" w:asciiTheme="minorEastAsia" w:hAnsiTheme="minorEastAsia" w:eastAsiaTheme="minorEastAsia" w:cstheme="minorEastAsia"/>
                      <w:kern w:val="0"/>
                      <w:sz w:val="24"/>
                      <w:highlight w:val="none"/>
                      <w:lang w:bidi="ar"/>
                    </w:rPr>
                    <w:t>工业</w:t>
                  </w:r>
                </w:p>
              </w:tc>
            </w:tr>
          </w:tbl>
          <w:p w14:paraId="1B7BA167">
            <w:pPr>
              <w:rPr>
                <w:rFonts w:ascii="宋体" w:hAnsi="宋体"/>
                <w:highlight w:val="none"/>
              </w:rPr>
            </w:pPr>
          </w:p>
          <w:p w14:paraId="5C7BE7B2">
            <w:pPr>
              <w:snapToGrid w:val="0"/>
              <w:rPr>
                <w:rFonts w:ascii="宋体" w:hAnsi="宋体" w:cs="宋体"/>
                <w:kern w:val="0"/>
                <w:sz w:val="24"/>
                <w:highlight w:val="none"/>
              </w:rPr>
            </w:pPr>
            <w:r>
              <w:rPr>
                <w:rFonts w:hint="eastAsia" w:ascii="宋体" w:hAnsi="宋体" w:cs="宋体"/>
                <w:kern w:val="0"/>
                <w:sz w:val="24"/>
                <w:highlight w:val="none"/>
              </w:rPr>
              <w:t>中小企业划型标准：详见《招标文件》第六部分 应提交的有关格式范例：</w:t>
            </w:r>
            <w:r>
              <w:rPr>
                <w:rFonts w:hint="eastAsia" w:ascii="宋体" w:hAnsi="宋体" w:cs="宋体"/>
                <w:b/>
                <w:bCs/>
                <w:kern w:val="0"/>
                <w:sz w:val="24"/>
                <w:highlight w:val="none"/>
              </w:rPr>
              <w:t>各行业划型标准</w:t>
            </w:r>
            <w:r>
              <w:rPr>
                <w:rFonts w:hint="eastAsia" w:ascii="宋体" w:hAnsi="宋体" w:cs="宋体"/>
                <w:kern w:val="0"/>
                <w:sz w:val="24"/>
                <w:highlight w:val="none"/>
              </w:rPr>
              <w:t>。</w:t>
            </w:r>
          </w:p>
          <w:p w14:paraId="7343E2CF">
            <w:pPr>
              <w:snapToGrid w:val="0"/>
              <w:rPr>
                <w:rFonts w:ascii="宋体" w:hAnsi="宋体" w:cs="宋体"/>
                <w:kern w:val="0"/>
                <w:sz w:val="24"/>
                <w:highlight w:val="none"/>
              </w:rPr>
            </w:pPr>
            <w:r>
              <w:rPr>
                <w:rFonts w:hint="eastAsia" w:ascii="宋体" w:hAnsi="宋体" w:cs="宋体"/>
                <w:b/>
                <w:bCs/>
                <w:kern w:val="0"/>
                <w:sz w:val="24"/>
                <w:highlight w:val="none"/>
              </w:rPr>
              <w:t>注：对于未预留份额专门面向中小企业的政府采购货物或服务项目，以及预留份额政府采购货物或服务项目中的非预留部分标项，对小型和微型企业的最后报价给予10%的扣除，用扣除后的价格参与评审。</w:t>
            </w:r>
          </w:p>
        </w:tc>
      </w:tr>
      <w:tr w14:paraId="1FE3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366" w:type="pct"/>
            <w:vAlign w:val="center"/>
          </w:tcPr>
          <w:p w14:paraId="0FB936E5">
            <w:pPr>
              <w:snapToGrid w:val="0"/>
              <w:jc w:val="center"/>
              <w:rPr>
                <w:rFonts w:ascii="宋体" w:hAnsi="宋体" w:cs="宋体"/>
                <w:sz w:val="24"/>
                <w:highlight w:val="none"/>
              </w:rPr>
            </w:pPr>
            <w:r>
              <w:rPr>
                <w:rFonts w:hint="eastAsia" w:ascii="宋体" w:hAnsi="宋体" w:cs="宋体"/>
                <w:sz w:val="24"/>
                <w:highlight w:val="none"/>
              </w:rPr>
              <w:t>3</w:t>
            </w:r>
          </w:p>
        </w:tc>
        <w:tc>
          <w:tcPr>
            <w:tcW w:w="1075" w:type="pct"/>
            <w:vAlign w:val="center"/>
          </w:tcPr>
          <w:p w14:paraId="073D5636">
            <w:pPr>
              <w:snapToGrid w:val="0"/>
              <w:jc w:val="center"/>
              <w:rPr>
                <w:rFonts w:ascii="宋体" w:hAnsi="宋体" w:cs="宋体"/>
                <w:b/>
                <w:sz w:val="24"/>
                <w:highlight w:val="none"/>
              </w:rPr>
            </w:pPr>
            <w:r>
              <w:rPr>
                <w:rFonts w:hint="eastAsia" w:ascii="宋体" w:hAnsi="宋体" w:cs="宋体"/>
                <w:b/>
                <w:sz w:val="24"/>
                <w:highlight w:val="none"/>
              </w:rPr>
              <w:t>是否允许采购进口产品</w:t>
            </w:r>
          </w:p>
        </w:tc>
        <w:tc>
          <w:tcPr>
            <w:tcW w:w="3557" w:type="pct"/>
            <w:vAlign w:val="center"/>
          </w:tcPr>
          <w:p w14:paraId="20373538">
            <w:pPr>
              <w:rPr>
                <w:rFonts w:ascii="宋体" w:hAnsi="宋体" w:cs="宋体"/>
                <w:kern w:val="0"/>
                <w:sz w:val="24"/>
                <w:highlight w:val="none"/>
              </w:rPr>
            </w:pPr>
            <w:r>
              <w:rPr>
                <w:rFonts w:hint="eastAsia" w:ascii="宋体" w:hAnsi="宋体" w:cs="宋体"/>
                <w:kern w:val="0"/>
                <w:sz w:val="24"/>
                <w:highlight w:val="none"/>
              </w:rPr>
              <w:t>标项一：</w:t>
            </w:r>
          </w:p>
          <w:p w14:paraId="2F79C6D2">
            <w:pPr>
              <w:rPr>
                <w:rFonts w:ascii="宋体" w:hAnsi="宋体" w:cs="宋体"/>
                <w:kern w:val="0"/>
                <w:sz w:val="24"/>
                <w:highlight w:val="none"/>
              </w:rPr>
            </w:pPr>
            <w:sdt>
              <w:sdtPr>
                <w:rPr>
                  <w:rFonts w:hint="eastAsia" w:ascii="宋体" w:hAnsi="宋体" w:cs="宋体"/>
                  <w:kern w:val="0"/>
                  <w:sz w:val="24"/>
                  <w:highlight w:val="none"/>
                </w:rPr>
                <w:id w:val="100182911"/>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kern w:val="0"/>
                <w:sz w:val="24"/>
                <w:highlight w:val="none"/>
              </w:rPr>
              <w:t>本项目不允许采购进口产品。</w:t>
            </w:r>
          </w:p>
          <w:p w14:paraId="5123A7A8">
            <w:pPr>
              <w:rPr>
                <w:rFonts w:ascii="宋体" w:hAnsi="宋体" w:cs="宋体"/>
                <w:kern w:val="0"/>
                <w:sz w:val="24"/>
                <w:highlight w:val="none"/>
              </w:rPr>
            </w:pPr>
            <w:sdt>
              <w:sdtPr>
                <w:rPr>
                  <w:rFonts w:hint="eastAsia" w:ascii="宋体" w:hAnsi="宋体" w:cs="宋体"/>
                  <w:kern w:val="0"/>
                  <w:sz w:val="24"/>
                  <w:highlight w:val="none"/>
                </w:rPr>
                <w:id w:val="732963085"/>
              </w:sdtPr>
              <w:sdtEndPr>
                <w:rPr>
                  <w:rFonts w:hint="eastAsia" w:ascii="宋体" w:hAnsi="宋体" w:cs="宋体"/>
                  <w:kern w:val="0"/>
                  <w:sz w:val="24"/>
                  <w:highlight w:val="none"/>
                </w:rPr>
              </w:sdtEndPr>
              <w:sdtContent>
                <w:r>
                  <w:rPr>
                    <w:rFonts w:hint="eastAsia" w:ascii="MS Gothic" w:hAnsi="MS Gothic" w:cs="宋体"/>
                    <w:kern w:val="0"/>
                    <w:sz w:val="24"/>
                    <w:highlight w:val="none"/>
                  </w:rPr>
                  <w:t>☐</w:t>
                </w:r>
              </w:sdtContent>
            </w:sdt>
            <w:r>
              <w:rPr>
                <w:rFonts w:hint="eastAsia" w:ascii="宋体" w:hAnsi="宋体" w:cs="宋体"/>
                <w:kern w:val="0"/>
                <w:sz w:val="24"/>
                <w:highlight w:val="none"/>
              </w:rPr>
              <w:t>可以就</w:t>
            </w:r>
            <w:r>
              <w:rPr>
                <w:rFonts w:hint="eastAsia" w:ascii="宋体" w:hAnsi="宋体" w:cs="宋体"/>
                <w:sz w:val="24"/>
                <w:highlight w:val="none"/>
                <w:u w:val="single"/>
              </w:rPr>
              <w:t xml:space="preserve">     </w:t>
            </w:r>
            <w:r>
              <w:rPr>
                <w:rFonts w:hint="eastAsia" w:ascii="宋体" w:hAnsi="宋体" w:cs="宋体"/>
                <w:kern w:val="0"/>
                <w:sz w:val="24"/>
                <w:highlight w:val="none"/>
              </w:rPr>
              <w:t>采购进口产品。</w:t>
            </w:r>
          </w:p>
        </w:tc>
      </w:tr>
      <w:tr w14:paraId="5706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0" w:hRule="atLeast"/>
          <w:jc w:val="center"/>
        </w:trPr>
        <w:tc>
          <w:tcPr>
            <w:tcW w:w="366" w:type="pct"/>
            <w:vAlign w:val="center"/>
          </w:tcPr>
          <w:p w14:paraId="0BFB053F">
            <w:pPr>
              <w:snapToGrid w:val="0"/>
              <w:jc w:val="center"/>
              <w:rPr>
                <w:rFonts w:ascii="宋体" w:hAnsi="宋体" w:cs="宋体"/>
                <w:sz w:val="24"/>
                <w:highlight w:val="none"/>
              </w:rPr>
            </w:pPr>
            <w:r>
              <w:rPr>
                <w:rFonts w:hint="eastAsia" w:ascii="宋体" w:hAnsi="宋体" w:cs="宋体"/>
                <w:sz w:val="24"/>
                <w:highlight w:val="none"/>
              </w:rPr>
              <w:t>4</w:t>
            </w:r>
          </w:p>
        </w:tc>
        <w:tc>
          <w:tcPr>
            <w:tcW w:w="1075" w:type="pct"/>
            <w:vAlign w:val="center"/>
          </w:tcPr>
          <w:p w14:paraId="25F66DAB">
            <w:pPr>
              <w:snapToGrid w:val="0"/>
              <w:jc w:val="center"/>
              <w:rPr>
                <w:rFonts w:ascii="宋体" w:hAnsi="宋体" w:cs="宋体"/>
                <w:b/>
                <w:sz w:val="24"/>
                <w:highlight w:val="none"/>
              </w:rPr>
            </w:pPr>
            <w:r>
              <w:rPr>
                <w:rFonts w:hint="eastAsia" w:ascii="宋体" w:hAnsi="宋体" w:cs="宋体"/>
                <w:b/>
                <w:sz w:val="24"/>
                <w:highlight w:val="none"/>
              </w:rPr>
              <w:t>转包、分包</w:t>
            </w:r>
          </w:p>
        </w:tc>
        <w:tc>
          <w:tcPr>
            <w:tcW w:w="3557" w:type="pct"/>
            <w:vAlign w:val="center"/>
          </w:tcPr>
          <w:p w14:paraId="0A72FE9E">
            <w:pPr>
              <w:rPr>
                <w:rFonts w:ascii="宋体" w:hAnsi="宋体" w:cs="宋体"/>
                <w:kern w:val="0"/>
                <w:sz w:val="24"/>
                <w:highlight w:val="none"/>
              </w:rPr>
            </w:pPr>
            <w:r>
              <w:rPr>
                <w:rFonts w:hint="eastAsia" w:ascii="宋体" w:hAnsi="宋体" w:cs="宋体"/>
                <w:kern w:val="0"/>
                <w:sz w:val="24"/>
                <w:highlight w:val="none"/>
              </w:rPr>
              <w:t>转包：否</w:t>
            </w:r>
          </w:p>
          <w:p w14:paraId="609B92A7">
            <w:pPr>
              <w:rPr>
                <w:rFonts w:ascii="宋体" w:hAnsi="宋体" w:cs="宋体"/>
                <w:kern w:val="0"/>
                <w:sz w:val="24"/>
                <w:highlight w:val="none"/>
              </w:rPr>
            </w:pPr>
            <w:r>
              <w:rPr>
                <w:rFonts w:hint="eastAsia" w:ascii="宋体" w:hAnsi="宋体" w:cs="宋体"/>
                <w:kern w:val="0"/>
                <w:sz w:val="24"/>
                <w:highlight w:val="none"/>
              </w:rPr>
              <w:t>分包：</w:t>
            </w:r>
          </w:p>
          <w:p w14:paraId="0946C982">
            <w:pPr>
              <w:rPr>
                <w:rFonts w:ascii="宋体" w:hAnsi="宋体" w:cs="宋体"/>
                <w:sz w:val="24"/>
                <w:highlight w:val="none"/>
              </w:rPr>
            </w:pPr>
            <w:sdt>
              <w:sdtPr>
                <w:rPr>
                  <w:rFonts w:hint="eastAsia" w:ascii="宋体" w:hAnsi="宋体" w:cs="宋体"/>
                  <w:kern w:val="0"/>
                  <w:sz w:val="24"/>
                  <w:highlight w:val="none"/>
                </w:rPr>
                <w:id w:val="737348981"/>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kern w:val="0"/>
                <w:sz w:val="24"/>
                <w:highlight w:val="none"/>
              </w:rPr>
              <w:t xml:space="preserve"> A</w:t>
            </w:r>
            <w:r>
              <w:rPr>
                <w:rFonts w:hint="eastAsia" w:ascii="宋体" w:hAnsi="宋体" w:cs="宋体"/>
                <w:sz w:val="24"/>
                <w:highlight w:val="none"/>
              </w:rPr>
              <w:t>同意将本项目非主体、非关键性的</w:t>
            </w:r>
            <w:r>
              <w:rPr>
                <w:rFonts w:hint="eastAsia" w:ascii="宋体" w:hAnsi="宋体" w:cs="宋体"/>
                <w:sz w:val="24"/>
                <w:highlight w:val="none"/>
                <w:u w:val="single"/>
              </w:rPr>
              <w:t xml:space="preserve"> 运输 </w:t>
            </w:r>
            <w:r>
              <w:rPr>
                <w:rFonts w:hint="eastAsia" w:ascii="宋体" w:hAnsi="宋体" w:cs="宋体"/>
                <w:sz w:val="24"/>
                <w:highlight w:val="none"/>
              </w:rPr>
              <w:t>部分进行合理分包。</w:t>
            </w:r>
          </w:p>
          <w:p w14:paraId="53385AC2">
            <w:pPr>
              <w:rPr>
                <w:rFonts w:ascii="宋体" w:hAnsi="宋体" w:cs="宋体"/>
                <w:sz w:val="24"/>
                <w:highlight w:val="none"/>
              </w:rPr>
            </w:pPr>
            <w:sdt>
              <w:sdtPr>
                <w:rPr>
                  <w:rFonts w:hint="eastAsia" w:ascii="宋体" w:hAnsi="宋体" w:cs="宋体"/>
                  <w:kern w:val="0"/>
                  <w:sz w:val="24"/>
                  <w:highlight w:val="none"/>
                </w:rPr>
                <w:id w:val="289175408"/>
              </w:sdtPr>
              <w:sdtEndPr>
                <w:rPr>
                  <w:rFonts w:hint="eastAsia" w:ascii="宋体" w:hAnsi="宋体" w:cs="宋体"/>
                  <w:kern w:val="0"/>
                  <w:sz w:val="24"/>
                  <w:highlight w:val="none"/>
                </w:rPr>
              </w:sdtEndPr>
              <w:sdtContent>
                <w:r>
                  <w:rPr>
                    <w:rFonts w:hint="eastAsia" w:ascii="MS Gothic" w:hAnsi="MS Gothic" w:cs="宋体"/>
                    <w:kern w:val="0"/>
                    <w:sz w:val="24"/>
                    <w:highlight w:val="none"/>
                  </w:rPr>
                  <w:t>☐</w:t>
                </w:r>
              </w:sdtContent>
            </w:sdt>
            <w:r>
              <w:rPr>
                <w:rFonts w:hint="eastAsia" w:ascii="宋体" w:hAnsi="宋体" w:cs="宋体"/>
                <w:kern w:val="0"/>
                <w:sz w:val="24"/>
                <w:highlight w:val="none"/>
              </w:rPr>
              <w:t xml:space="preserve"> B</w:t>
            </w:r>
            <w:r>
              <w:rPr>
                <w:rFonts w:hint="eastAsia" w:ascii="宋体" w:hAnsi="宋体" w:cs="宋体"/>
                <w:sz w:val="24"/>
                <w:highlight w:val="none"/>
              </w:rPr>
              <w:t>不同意分包。</w:t>
            </w:r>
          </w:p>
        </w:tc>
      </w:tr>
      <w:tr w14:paraId="3186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0" w:hRule="atLeast"/>
          <w:jc w:val="center"/>
        </w:trPr>
        <w:tc>
          <w:tcPr>
            <w:tcW w:w="366" w:type="pct"/>
            <w:vAlign w:val="center"/>
          </w:tcPr>
          <w:p w14:paraId="2FF67691">
            <w:pPr>
              <w:snapToGrid w:val="0"/>
              <w:jc w:val="center"/>
              <w:rPr>
                <w:rFonts w:ascii="宋体" w:hAnsi="宋体" w:cs="宋体"/>
                <w:sz w:val="24"/>
                <w:highlight w:val="none"/>
              </w:rPr>
            </w:pPr>
            <w:r>
              <w:rPr>
                <w:rFonts w:hint="eastAsia" w:ascii="宋体" w:hAnsi="宋体" w:cs="宋体"/>
                <w:sz w:val="24"/>
                <w:highlight w:val="none"/>
              </w:rPr>
              <w:t>5</w:t>
            </w:r>
          </w:p>
        </w:tc>
        <w:tc>
          <w:tcPr>
            <w:tcW w:w="1075" w:type="pct"/>
            <w:vAlign w:val="center"/>
          </w:tcPr>
          <w:p w14:paraId="0B0707FE">
            <w:pPr>
              <w:snapToGrid w:val="0"/>
              <w:jc w:val="center"/>
              <w:rPr>
                <w:rFonts w:ascii="宋体" w:hAnsi="宋体" w:cs="宋体"/>
                <w:b/>
                <w:sz w:val="24"/>
                <w:highlight w:val="none"/>
              </w:rPr>
            </w:pPr>
            <w:r>
              <w:rPr>
                <w:rFonts w:hint="eastAsia" w:ascii="宋体" w:hAnsi="宋体" w:cs="宋体"/>
                <w:b/>
                <w:sz w:val="24"/>
                <w:highlight w:val="none"/>
              </w:rPr>
              <w:t>开标前答疑会或现场考察</w:t>
            </w:r>
          </w:p>
        </w:tc>
        <w:tc>
          <w:tcPr>
            <w:tcW w:w="3557" w:type="pct"/>
            <w:vAlign w:val="center"/>
          </w:tcPr>
          <w:p w14:paraId="647DADFA">
            <w:pPr>
              <w:rPr>
                <w:rFonts w:ascii="宋体" w:hAnsi="宋体" w:cs="宋体"/>
                <w:sz w:val="24"/>
                <w:highlight w:val="none"/>
              </w:rPr>
            </w:pPr>
            <w:sdt>
              <w:sdtPr>
                <w:rPr>
                  <w:rFonts w:hint="eastAsia" w:ascii="宋体" w:hAnsi="宋体" w:cs="宋体"/>
                  <w:kern w:val="0"/>
                  <w:sz w:val="24"/>
                  <w:highlight w:val="none"/>
                </w:rPr>
                <w:id w:val="415589095"/>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kern w:val="0"/>
                <w:sz w:val="24"/>
                <w:highlight w:val="none"/>
              </w:rPr>
              <w:t>A</w:t>
            </w:r>
            <w:r>
              <w:rPr>
                <w:rFonts w:hint="eastAsia" w:ascii="宋体" w:hAnsi="宋体" w:cs="宋体"/>
                <w:sz w:val="24"/>
                <w:highlight w:val="none"/>
              </w:rPr>
              <w:t>不组织。</w:t>
            </w:r>
          </w:p>
          <w:p w14:paraId="7E827ABA">
            <w:pPr>
              <w:rPr>
                <w:rFonts w:ascii="宋体" w:hAnsi="宋体" w:cs="宋体"/>
                <w:sz w:val="24"/>
                <w:highlight w:val="none"/>
              </w:rPr>
            </w:pPr>
            <w:sdt>
              <w:sdtPr>
                <w:rPr>
                  <w:rFonts w:hint="eastAsia" w:ascii="宋体" w:hAnsi="宋体" w:cs="宋体"/>
                  <w:kern w:val="0"/>
                  <w:sz w:val="24"/>
                  <w:highlight w:val="none"/>
                </w:rPr>
                <w:id w:val="189099621"/>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0"/>
                <w:sz w:val="24"/>
                <w:highlight w:val="none"/>
              </w:rPr>
              <w:t>B组织，</w:t>
            </w:r>
            <w:r>
              <w:rPr>
                <w:rFonts w:hint="eastAsia" w:ascii="宋体" w:hAnsi="宋体" w:cs="宋体"/>
                <w:sz w:val="24"/>
                <w:highlight w:val="none"/>
              </w:rPr>
              <w:t>时间：</w:t>
            </w:r>
            <w:r>
              <w:rPr>
                <w:rFonts w:hint="eastAsia" w:ascii="宋体" w:hAnsi="宋体" w:cs="宋体"/>
                <w:sz w:val="24"/>
                <w:highlight w:val="none"/>
                <w:u w:val="single"/>
              </w:rPr>
              <w:t xml:space="preserve">      </w:t>
            </w:r>
            <w:r>
              <w:rPr>
                <w:rFonts w:hint="eastAsia" w:ascii="宋体" w:hAnsi="宋体" w:cs="宋体"/>
                <w:sz w:val="24"/>
                <w:highlight w:val="none"/>
              </w:rPr>
              <w:t>,地点：</w:t>
            </w:r>
            <w:r>
              <w:rPr>
                <w:rFonts w:hint="eastAsia" w:ascii="宋体" w:hAnsi="宋体" w:cs="宋体"/>
                <w:sz w:val="24"/>
                <w:highlight w:val="none"/>
                <w:u w:val="single"/>
              </w:rPr>
              <w:t xml:space="preserve">      </w:t>
            </w:r>
            <w:r>
              <w:rPr>
                <w:rFonts w:hint="eastAsia" w:ascii="宋体" w:hAnsi="宋体" w:cs="宋体"/>
                <w:sz w:val="24"/>
                <w:highlight w:val="none"/>
              </w:rPr>
              <w:t>，联系人：</w:t>
            </w:r>
            <w:r>
              <w:rPr>
                <w:rFonts w:hint="eastAsia" w:ascii="宋体" w:hAnsi="宋体" w:cs="宋体"/>
                <w:sz w:val="24"/>
                <w:highlight w:val="none"/>
                <w:u w:val="single"/>
              </w:rPr>
              <w:t xml:space="preserve">      </w:t>
            </w:r>
            <w:r>
              <w:rPr>
                <w:rFonts w:hint="eastAsia" w:ascii="宋体" w:hAnsi="宋体" w:cs="宋体"/>
                <w:sz w:val="24"/>
                <w:highlight w:val="none"/>
              </w:rPr>
              <w:t>，联系方式：</w:t>
            </w:r>
            <w:r>
              <w:rPr>
                <w:rFonts w:hint="eastAsia" w:ascii="宋体" w:hAnsi="宋体" w:cs="宋体"/>
                <w:sz w:val="24"/>
                <w:highlight w:val="none"/>
                <w:u w:val="single"/>
              </w:rPr>
              <w:t xml:space="preserve">      </w:t>
            </w:r>
            <w:r>
              <w:rPr>
                <w:rFonts w:hint="eastAsia" w:ascii="宋体" w:hAnsi="宋体" w:cs="宋体"/>
                <w:sz w:val="24"/>
                <w:highlight w:val="none"/>
              </w:rPr>
              <w:t>。</w:t>
            </w:r>
          </w:p>
        </w:tc>
      </w:tr>
      <w:tr w14:paraId="2734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66" w:type="pct"/>
            <w:vAlign w:val="center"/>
          </w:tcPr>
          <w:p w14:paraId="5DBBF57D">
            <w:pPr>
              <w:snapToGrid w:val="0"/>
              <w:jc w:val="center"/>
              <w:rPr>
                <w:rFonts w:ascii="宋体" w:hAnsi="宋体" w:cs="宋体"/>
                <w:sz w:val="24"/>
                <w:highlight w:val="none"/>
              </w:rPr>
            </w:pPr>
            <w:r>
              <w:rPr>
                <w:rFonts w:hint="eastAsia" w:ascii="宋体" w:hAnsi="宋体" w:cs="宋体"/>
                <w:sz w:val="24"/>
                <w:highlight w:val="none"/>
              </w:rPr>
              <w:t>6</w:t>
            </w:r>
          </w:p>
        </w:tc>
        <w:tc>
          <w:tcPr>
            <w:tcW w:w="1075" w:type="pct"/>
            <w:vAlign w:val="center"/>
          </w:tcPr>
          <w:p w14:paraId="6967781B">
            <w:pPr>
              <w:snapToGrid w:val="0"/>
              <w:jc w:val="center"/>
              <w:rPr>
                <w:rFonts w:ascii="宋体" w:hAnsi="宋体" w:cs="宋体"/>
                <w:b/>
                <w:sz w:val="24"/>
                <w:highlight w:val="none"/>
              </w:rPr>
            </w:pPr>
            <w:r>
              <w:rPr>
                <w:rFonts w:hint="eastAsia" w:ascii="宋体" w:hAnsi="宋体" w:cs="宋体"/>
                <w:b/>
                <w:sz w:val="24"/>
                <w:highlight w:val="none"/>
              </w:rPr>
              <w:t>样品提供</w:t>
            </w:r>
          </w:p>
        </w:tc>
        <w:tc>
          <w:tcPr>
            <w:tcW w:w="3557" w:type="pct"/>
            <w:vAlign w:val="center"/>
          </w:tcPr>
          <w:p w14:paraId="400116F6">
            <w:pPr>
              <w:rPr>
                <w:rFonts w:ascii="宋体" w:hAnsi="宋体" w:cs="宋体"/>
                <w:sz w:val="24"/>
                <w:highlight w:val="none"/>
              </w:rPr>
            </w:pPr>
            <w:sdt>
              <w:sdtPr>
                <w:rPr>
                  <w:rFonts w:hint="eastAsia" w:ascii="宋体" w:hAnsi="宋体" w:cs="宋体"/>
                  <w:kern w:val="0"/>
                  <w:sz w:val="24"/>
                  <w:highlight w:val="none"/>
                </w:rPr>
                <w:id w:val="714511165"/>
              </w:sdtPr>
              <w:sdtEndPr>
                <w:rPr>
                  <w:rFonts w:hint="eastAsia" w:ascii="宋体" w:hAnsi="宋体" w:cs="宋体"/>
                  <w:kern w:val="0"/>
                  <w:sz w:val="24"/>
                  <w:highlight w:val="none"/>
                </w:rPr>
              </w:sdtEndPr>
              <w:sdtContent>
                <w:r>
                  <w:rPr>
                    <w:rFonts w:hint="eastAsia" w:ascii="Wingdings" w:hAnsi="Wingdings" w:cs="宋体"/>
                    <w:kern w:val="0"/>
                    <w:sz w:val="24"/>
                    <w:highlight w:val="none"/>
                  </w:rPr>
                  <w:sym w:font="Wingdings" w:char="00A8"/>
                </w:r>
              </w:sdtContent>
            </w:sdt>
            <w:r>
              <w:rPr>
                <w:rFonts w:hint="eastAsia" w:ascii="宋体" w:hAnsi="宋体" w:cs="宋体"/>
                <w:kern w:val="0"/>
                <w:sz w:val="24"/>
                <w:highlight w:val="none"/>
              </w:rPr>
              <w:t>A</w:t>
            </w:r>
            <w:r>
              <w:rPr>
                <w:rFonts w:hint="eastAsia" w:ascii="宋体" w:hAnsi="宋体" w:cs="宋体"/>
                <w:sz w:val="24"/>
                <w:highlight w:val="none"/>
              </w:rPr>
              <w:t>不要求提供。</w:t>
            </w:r>
          </w:p>
          <w:p w14:paraId="3A33A4F3">
            <w:pPr>
              <w:rPr>
                <w:rFonts w:ascii="宋体" w:hAnsi="宋体" w:cs="宋体"/>
                <w:kern w:val="0"/>
                <w:sz w:val="24"/>
                <w:highlight w:val="none"/>
              </w:rPr>
            </w:pPr>
            <w:sdt>
              <w:sdtPr>
                <w:rPr>
                  <w:rFonts w:hint="eastAsia" w:ascii="宋体" w:hAnsi="宋体" w:cs="宋体"/>
                  <w:kern w:val="0"/>
                  <w:sz w:val="24"/>
                  <w:highlight w:val="none"/>
                </w:rPr>
                <w:id w:val="1026831988"/>
              </w:sdtPr>
              <w:sdtEndPr>
                <w:rPr>
                  <w:rFonts w:hint="eastAsia" w:ascii="宋体" w:hAnsi="宋体" w:cs="宋体"/>
                  <w:kern w:val="0"/>
                  <w:sz w:val="24"/>
                  <w:highlight w:val="none"/>
                </w:rPr>
              </w:sdtEndPr>
              <w:sdtContent>
                <w:sdt>
                  <w:sdtPr>
                    <w:rPr>
                      <w:rFonts w:hint="eastAsia" w:ascii="宋体" w:hAnsi="宋体" w:cs="宋体"/>
                      <w:kern w:val="0"/>
                      <w:sz w:val="24"/>
                      <w:highlight w:val="none"/>
                    </w:rPr>
                    <w:id w:val="147475773"/>
                  </w:sdtPr>
                  <w:sdtEndPr>
                    <w:rPr>
                      <w:rFonts w:hint="eastAsia" w:ascii="宋体" w:hAnsi="宋体" w:cs="宋体"/>
                      <w:kern w:val="0"/>
                      <w:sz w:val="24"/>
                      <w:highlight w:val="none"/>
                    </w:rPr>
                  </w:sdtEndPr>
                  <w:sdtContent>
                    <w:r>
                      <w:rPr>
                        <w:rFonts w:hint="eastAsia" w:ascii="Wingdings" w:hAnsi="Wingdings" w:cs="宋体"/>
                        <w:kern w:val="0"/>
                        <w:sz w:val="24"/>
                        <w:highlight w:val="none"/>
                      </w:rPr>
                      <w:sym w:font="Wingdings" w:char="00FE"/>
                    </w:r>
                  </w:sdtContent>
                </w:sdt>
              </w:sdtContent>
            </w:sdt>
            <w:r>
              <w:rPr>
                <w:rFonts w:hint="eastAsia" w:ascii="宋体" w:hAnsi="宋体" w:cs="宋体"/>
                <w:kern w:val="0"/>
                <w:sz w:val="24"/>
                <w:highlight w:val="none"/>
              </w:rPr>
              <w:t>B要求提供，</w:t>
            </w:r>
          </w:p>
          <w:p w14:paraId="7994895B">
            <w:pPr>
              <w:snapToGrid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（1）</w:t>
            </w:r>
            <w:r>
              <w:rPr>
                <w:rFonts w:hint="eastAsia" w:asciiTheme="minorEastAsia" w:hAnsiTheme="minorEastAsia" w:eastAsiaTheme="minorEastAsia" w:cstheme="minorEastAsia"/>
                <w:snapToGrid w:val="0"/>
                <w:kern w:val="28"/>
                <w:sz w:val="24"/>
                <w:highlight w:val="none"/>
              </w:rPr>
              <w:t>样品：</w:t>
            </w:r>
            <w:r>
              <w:rPr>
                <w:rFonts w:hint="eastAsia" w:asciiTheme="minorEastAsia" w:hAnsiTheme="minorEastAsia" w:eastAsiaTheme="minorEastAsia" w:cstheme="minorEastAsia"/>
                <w:sz w:val="24"/>
                <w:highlight w:val="none"/>
                <w:u w:val="single"/>
              </w:rPr>
              <w:t xml:space="preserve"> 见第三部分 采购需求  </w:t>
            </w:r>
            <w:r>
              <w:rPr>
                <w:rFonts w:hint="eastAsia" w:asciiTheme="minorEastAsia" w:hAnsiTheme="minorEastAsia" w:eastAsiaTheme="minorEastAsia" w:cstheme="minorEastAsia"/>
                <w:kern w:val="0"/>
                <w:sz w:val="24"/>
                <w:highlight w:val="none"/>
              </w:rPr>
              <w:t>；</w:t>
            </w:r>
          </w:p>
          <w:p w14:paraId="06058379">
            <w:pPr>
              <w:snapToGrid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（2）</w:t>
            </w:r>
            <w:r>
              <w:rPr>
                <w:rFonts w:hint="eastAsia" w:asciiTheme="minorEastAsia" w:hAnsiTheme="minorEastAsia" w:eastAsiaTheme="minorEastAsia" w:cstheme="minorEastAsia"/>
                <w:snapToGrid w:val="0"/>
                <w:kern w:val="28"/>
                <w:sz w:val="24"/>
                <w:highlight w:val="none"/>
              </w:rPr>
              <w:t>样品制作的标准和要求：</w:t>
            </w:r>
            <w:r>
              <w:rPr>
                <w:rFonts w:hint="eastAsia" w:asciiTheme="minorEastAsia" w:hAnsiTheme="minorEastAsia" w:eastAsiaTheme="minorEastAsia" w:cstheme="minorEastAsia"/>
                <w:sz w:val="24"/>
                <w:highlight w:val="none"/>
                <w:u w:val="single"/>
              </w:rPr>
              <w:t>见第三部分 采购需求要求</w:t>
            </w:r>
            <w:r>
              <w:rPr>
                <w:rFonts w:hint="eastAsia" w:asciiTheme="minorEastAsia" w:hAnsiTheme="minorEastAsia" w:eastAsiaTheme="minorEastAsia" w:cstheme="minorEastAsia"/>
                <w:kern w:val="0"/>
                <w:sz w:val="24"/>
                <w:highlight w:val="none"/>
              </w:rPr>
              <w:t>；</w:t>
            </w:r>
          </w:p>
          <w:p w14:paraId="3D261B6B">
            <w:pPr>
              <w:snapToGrid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（3）样品的评审方法以及评审标准</w:t>
            </w:r>
            <w:r>
              <w:rPr>
                <w:rFonts w:hint="eastAsia" w:asciiTheme="minorEastAsia" w:hAnsiTheme="minorEastAsia" w:eastAsiaTheme="minorEastAsia" w:cstheme="minorEastAsia"/>
                <w:snapToGrid w:val="0"/>
                <w:kern w:val="28"/>
                <w:sz w:val="24"/>
                <w:highlight w:val="none"/>
              </w:rPr>
              <w:t>：详见</w:t>
            </w:r>
            <w:r>
              <w:rPr>
                <w:rFonts w:hint="eastAsia" w:asciiTheme="minorEastAsia" w:hAnsiTheme="minorEastAsia" w:eastAsiaTheme="minorEastAsia" w:cstheme="minorEastAsia"/>
                <w:sz w:val="24"/>
                <w:highlight w:val="none"/>
                <w:u w:val="single"/>
              </w:rPr>
              <w:t>评标办法</w:t>
            </w:r>
            <w:r>
              <w:rPr>
                <w:rFonts w:hint="eastAsia" w:asciiTheme="minorEastAsia" w:hAnsiTheme="minorEastAsia" w:eastAsiaTheme="minorEastAsia" w:cstheme="minorEastAsia"/>
                <w:kern w:val="0"/>
                <w:sz w:val="24"/>
                <w:highlight w:val="none"/>
              </w:rPr>
              <w:t>；</w:t>
            </w:r>
          </w:p>
          <w:p w14:paraId="6CE0160A">
            <w:pPr>
              <w:snapToGrid w:val="0"/>
              <w:rPr>
                <w:rFonts w:asciiTheme="minorEastAsia" w:hAnsiTheme="minorEastAsia" w:eastAsiaTheme="minorEastAsia" w:cstheme="minorEastAsia"/>
                <w:kern w:val="0"/>
                <w:sz w:val="24"/>
                <w:highlight w:val="none"/>
              </w:rPr>
            </w:pPr>
            <w:r>
              <w:rPr>
                <w:rFonts w:hint="eastAsia" w:asciiTheme="minorEastAsia" w:hAnsiTheme="minorEastAsia" w:eastAsiaTheme="minorEastAsia" w:cstheme="minorEastAsia"/>
                <w:kern w:val="0"/>
                <w:sz w:val="24"/>
                <w:highlight w:val="none"/>
              </w:rPr>
              <w:t>（4）是否需要随样品提交检测报告：</w:t>
            </w:r>
            <w:sdt>
              <w:sdtPr>
                <w:rPr>
                  <w:rFonts w:hint="eastAsia" w:asciiTheme="minorEastAsia" w:hAnsiTheme="minorEastAsia" w:eastAsiaTheme="minorEastAsia" w:cstheme="minorEastAsia"/>
                  <w:kern w:val="0"/>
                  <w:sz w:val="24"/>
                  <w:highlight w:val="none"/>
                </w:rPr>
                <w:id w:val="147460789"/>
                <w14:checkbox>
                  <w14:checked w14:val="1"/>
                  <w14:checkedState w14:val="00FE" w14:font="Wingdings"/>
                  <w14:uncheckedState w14:val="2610" w14:font="MS Gothic"/>
                </w14:checkbox>
              </w:sdtPr>
              <w:sdtEndPr>
                <w:rPr>
                  <w:rFonts w:hint="eastAsia" w:asciiTheme="minorEastAsia" w:hAnsiTheme="minorEastAsia" w:eastAsiaTheme="minorEastAsia" w:cstheme="minorEastAsia"/>
                  <w:kern w:val="0"/>
                  <w:sz w:val="24"/>
                  <w:highlight w:val="none"/>
                </w:rPr>
              </w:sdtEndPr>
              <w:sdtContent>
                <w:r>
                  <w:rPr>
                    <w:rFonts w:ascii="Wingdings" w:hAnsi="Wingdings" w:eastAsiaTheme="minorEastAsia" w:cstheme="minorEastAsia"/>
                    <w:kern w:val="0"/>
                    <w:sz w:val="24"/>
                    <w:highlight w:val="none"/>
                  </w:rPr>
                  <w:t></w:t>
                </w:r>
              </w:sdtContent>
            </w:sdt>
            <w:sdt>
              <w:sdtPr>
                <w:rPr>
                  <w:rFonts w:hint="eastAsia" w:asciiTheme="minorEastAsia" w:hAnsiTheme="minorEastAsia" w:eastAsiaTheme="minorEastAsia" w:cstheme="minorEastAsia"/>
                  <w:kern w:val="0"/>
                  <w:sz w:val="24"/>
                  <w:highlight w:val="none"/>
                </w:rPr>
                <w:id w:val="1303421454"/>
              </w:sdtPr>
              <w:sdtEndPr>
                <w:rPr>
                  <w:rFonts w:hint="eastAsia" w:asciiTheme="minorEastAsia" w:hAnsiTheme="minorEastAsia" w:eastAsiaTheme="minorEastAsia" w:cstheme="minorEastAsia"/>
                  <w:kern w:val="0"/>
                  <w:sz w:val="24"/>
                  <w:highlight w:val="none"/>
                </w:rPr>
              </w:sdtEndPr>
              <w:sdtContent/>
            </w:sdt>
            <w:r>
              <w:rPr>
                <w:rFonts w:hint="eastAsia" w:asciiTheme="minorEastAsia" w:hAnsiTheme="minorEastAsia" w:eastAsiaTheme="minorEastAsia" w:cstheme="minorEastAsia"/>
                <w:kern w:val="0"/>
                <w:sz w:val="24"/>
                <w:highlight w:val="none"/>
              </w:rPr>
              <w:t>否；</w:t>
            </w:r>
            <w:sdt>
              <w:sdtPr>
                <w:rPr>
                  <w:rFonts w:hint="eastAsia" w:asciiTheme="minorEastAsia" w:hAnsiTheme="minorEastAsia" w:eastAsiaTheme="minorEastAsia" w:cstheme="minorEastAsia"/>
                  <w:kern w:val="0"/>
                  <w:sz w:val="24"/>
                  <w:highlight w:val="none"/>
                </w:rPr>
                <w:id w:val="1621728433"/>
              </w:sdtPr>
              <w:sdtEndPr>
                <w:rPr>
                  <w:rFonts w:hint="eastAsia" w:asciiTheme="minorEastAsia" w:hAnsiTheme="minorEastAsia" w:eastAsiaTheme="minorEastAsia" w:cstheme="minorEastAsia"/>
                  <w:kern w:val="0"/>
                  <w:sz w:val="24"/>
                  <w:highlight w:val="none"/>
                </w:rPr>
              </w:sdtEndPr>
              <w:sdtContent>
                <w:r>
                  <w:rPr>
                    <w:rFonts w:hint="eastAsia" w:asciiTheme="minorEastAsia" w:hAnsiTheme="minorEastAsia" w:eastAsiaTheme="minorEastAsia" w:cstheme="minorEastAsia"/>
                    <w:kern w:val="0"/>
                    <w:sz w:val="24"/>
                    <w:highlight w:val="none"/>
                  </w:rPr>
                  <w:t>☐</w:t>
                </w:r>
              </w:sdtContent>
            </w:sdt>
            <w:r>
              <w:rPr>
                <w:rFonts w:hint="eastAsia" w:asciiTheme="minorEastAsia" w:hAnsiTheme="minorEastAsia" w:eastAsiaTheme="minorEastAsia" w:cstheme="minorEastAsia"/>
                <w:kern w:val="0"/>
                <w:sz w:val="24"/>
                <w:highlight w:val="none"/>
              </w:rPr>
              <w:t>是，检测机构的要求</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kern w:val="0"/>
                <w:sz w:val="24"/>
                <w:highlight w:val="none"/>
              </w:rPr>
              <w:t>；检测内容</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kern w:val="0"/>
                <w:sz w:val="24"/>
                <w:highlight w:val="none"/>
              </w:rPr>
              <w:t>。</w:t>
            </w:r>
          </w:p>
          <w:p w14:paraId="3B86839C">
            <w:pPr>
              <w:snapToGrid w:val="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（5）提供样品的时间：</w:t>
            </w:r>
            <w:r>
              <w:rPr>
                <w:rFonts w:hint="eastAsia" w:asciiTheme="minorEastAsia" w:hAnsiTheme="minorEastAsia" w:eastAsiaTheme="minorEastAsia" w:cstheme="minorEastAsia"/>
                <w:sz w:val="24"/>
                <w:highlight w:val="none"/>
                <w:u w:val="single"/>
              </w:rPr>
              <w:t xml:space="preserve"> 投标文件递交截止时间前 </w:t>
            </w:r>
            <w:r>
              <w:rPr>
                <w:rFonts w:hint="eastAsia" w:asciiTheme="minorEastAsia" w:hAnsiTheme="minorEastAsia" w:eastAsiaTheme="minorEastAsia" w:cstheme="minorEastAsia"/>
                <w:kern w:val="0"/>
                <w:sz w:val="24"/>
                <w:highlight w:val="none"/>
              </w:rPr>
              <w:t>；地点</w:t>
            </w:r>
            <w:r>
              <w:rPr>
                <w:rFonts w:hint="eastAsia" w:asciiTheme="minorEastAsia" w:hAnsiTheme="minorEastAsia" w:eastAsiaTheme="minorEastAsia" w:cstheme="minorEastAsia"/>
                <w:kern w:val="0"/>
                <w:sz w:val="24"/>
                <w:highlight w:val="none"/>
                <w:u w:val="single"/>
              </w:rPr>
              <w:t>：杭州市西湖区天目山路东海宾馆</w:t>
            </w:r>
            <w:r>
              <w:rPr>
                <w:rFonts w:hint="eastAsia" w:asciiTheme="minorEastAsia" w:hAnsiTheme="minorEastAsia" w:eastAsiaTheme="minorEastAsia" w:cstheme="minorEastAsia"/>
                <w:kern w:val="0"/>
                <w:sz w:val="24"/>
                <w:highlight w:val="none"/>
              </w:rPr>
              <w:t>；联系人</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sz w:val="24"/>
                <w:highlight w:val="none"/>
                <w:u w:val="single"/>
              </w:rPr>
              <w:t>徐工</w:t>
            </w:r>
            <w:r>
              <w:rPr>
                <w:rFonts w:hint="eastAsia" w:asciiTheme="minorEastAsia" w:hAnsiTheme="minorEastAsia" w:eastAsiaTheme="minorEastAsia" w:cstheme="minorEastAsia"/>
                <w:sz w:val="24"/>
                <w:highlight w:val="none"/>
              </w:rPr>
              <w:t>，</w:t>
            </w:r>
            <w:r>
              <w:rPr>
                <w:rFonts w:hint="eastAsia" w:asciiTheme="minorEastAsia" w:hAnsiTheme="minorEastAsia" w:eastAsiaTheme="minorEastAsia" w:cstheme="minorEastAsia"/>
                <w:kern w:val="28"/>
                <w:sz w:val="24"/>
                <w:highlight w:val="none"/>
              </w:rPr>
              <w:t>联系电话：</w:t>
            </w:r>
            <w:r>
              <w:rPr>
                <w:rFonts w:hint="eastAsia" w:asciiTheme="minorEastAsia" w:hAnsiTheme="minorEastAsia" w:eastAsiaTheme="minorEastAsia" w:cstheme="minorEastAsia"/>
                <w:sz w:val="24"/>
                <w:highlight w:val="none"/>
                <w:u w:val="single"/>
              </w:rPr>
              <w:t>17706633850</w:t>
            </w:r>
            <w:r>
              <w:rPr>
                <w:rFonts w:hint="eastAsia" w:asciiTheme="minorEastAsia" w:hAnsiTheme="minorEastAsia" w:eastAsiaTheme="minorEastAsia" w:cstheme="minorEastAsia"/>
                <w:sz w:val="24"/>
                <w:highlight w:val="none"/>
              </w:rPr>
              <w:t>。请投标人在上述时间内提供样品并按规定位置安装完毕。超过截止时间的，采购人或采购代理机构将不予接收，并将清场并封闭样品现场。</w:t>
            </w:r>
          </w:p>
          <w:p w14:paraId="782B3170">
            <w:pPr>
              <w:snapToGrid w:val="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6）未中标单位样品的退还处理方式：由未中标单位在开标结束后当天内自行撤回，采购人和代理机构不负责样品保管。逾期未取回的，采购人、代理机构不负保管义务；对于中标人提供的样品，采购人将进行保管、封存，并作为履约验收的参考。</w:t>
            </w:r>
          </w:p>
          <w:p w14:paraId="2124589C">
            <w:pPr>
              <w:rPr>
                <w:rFonts w:ascii="宋体" w:hAnsi="宋体" w:cs="宋体"/>
                <w:b/>
                <w:sz w:val="24"/>
                <w:highlight w:val="none"/>
              </w:rPr>
            </w:pPr>
            <w:r>
              <w:rPr>
                <w:rFonts w:hint="eastAsia" w:asciiTheme="minorEastAsia" w:hAnsiTheme="minorEastAsia" w:eastAsiaTheme="minorEastAsia" w:cstheme="minorEastAsia"/>
                <w:sz w:val="24"/>
                <w:highlight w:val="none"/>
              </w:rPr>
              <w:t>（7）制作、运输、安装和保管样品所发生的一切费用由投标人自理，其中样品存放场地占用费</w:t>
            </w:r>
            <w:r>
              <w:rPr>
                <w:rFonts w:hint="eastAsia" w:asciiTheme="minorEastAsia" w:hAnsiTheme="minorEastAsia" w:eastAsiaTheme="minorEastAsia" w:cstheme="minorEastAsia"/>
                <w:sz w:val="24"/>
                <w:highlight w:val="none"/>
                <w:lang w:eastAsia="zh-CN"/>
              </w:rPr>
              <w:t>800元/间/半天（具体按实际场地使用情况进行结算）</w:t>
            </w:r>
            <w:r>
              <w:rPr>
                <w:rFonts w:hint="eastAsia" w:asciiTheme="minorEastAsia" w:hAnsiTheme="minorEastAsia" w:eastAsiaTheme="minorEastAsia" w:cstheme="minorEastAsia"/>
                <w:sz w:val="24"/>
                <w:highlight w:val="none"/>
              </w:rPr>
              <w:t>，由每个半天（以每日中午12：00为半天划分界限）内同时存放样品的供应商分摊，代理公司代为收取。</w:t>
            </w:r>
          </w:p>
        </w:tc>
      </w:tr>
      <w:tr w14:paraId="6438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05" w:hRule="atLeast"/>
          <w:jc w:val="center"/>
        </w:trPr>
        <w:tc>
          <w:tcPr>
            <w:tcW w:w="366" w:type="pct"/>
            <w:vAlign w:val="center"/>
          </w:tcPr>
          <w:p w14:paraId="13C10819">
            <w:pPr>
              <w:snapToGrid w:val="0"/>
              <w:jc w:val="center"/>
              <w:rPr>
                <w:rFonts w:ascii="宋体" w:hAnsi="宋体" w:cs="宋体"/>
                <w:sz w:val="24"/>
                <w:highlight w:val="none"/>
              </w:rPr>
            </w:pPr>
            <w:r>
              <w:rPr>
                <w:rFonts w:hint="eastAsia" w:ascii="宋体" w:hAnsi="宋体" w:cs="宋体"/>
                <w:sz w:val="24"/>
                <w:highlight w:val="none"/>
              </w:rPr>
              <w:t>7</w:t>
            </w:r>
          </w:p>
        </w:tc>
        <w:tc>
          <w:tcPr>
            <w:tcW w:w="1075" w:type="pct"/>
            <w:vAlign w:val="center"/>
          </w:tcPr>
          <w:p w14:paraId="4EDBCEB3">
            <w:pPr>
              <w:snapToGrid w:val="0"/>
              <w:jc w:val="center"/>
              <w:rPr>
                <w:rFonts w:ascii="宋体" w:hAnsi="宋体" w:cs="宋体"/>
                <w:bCs/>
                <w:sz w:val="24"/>
                <w:highlight w:val="none"/>
              </w:rPr>
            </w:pPr>
            <w:r>
              <w:rPr>
                <w:rFonts w:hint="eastAsia" w:ascii="宋体" w:hAnsi="宋体" w:cs="宋体"/>
                <w:b/>
                <w:sz w:val="24"/>
                <w:highlight w:val="none"/>
              </w:rPr>
              <w:t>方案讲解演示</w:t>
            </w:r>
          </w:p>
        </w:tc>
        <w:tc>
          <w:tcPr>
            <w:tcW w:w="3557" w:type="pct"/>
            <w:vAlign w:val="center"/>
          </w:tcPr>
          <w:p w14:paraId="101498C0">
            <w:pPr>
              <w:rPr>
                <w:rFonts w:ascii="宋体" w:hAnsi="宋体" w:cs="宋体"/>
                <w:sz w:val="24"/>
                <w:highlight w:val="none"/>
              </w:rPr>
            </w:pPr>
            <w:sdt>
              <w:sdtPr>
                <w:rPr>
                  <w:rFonts w:hint="eastAsia" w:ascii="宋体" w:hAnsi="宋体" w:cs="宋体"/>
                  <w:kern w:val="0"/>
                  <w:sz w:val="24"/>
                  <w:highlight w:val="none"/>
                </w:rPr>
                <w:id w:val="60596131"/>
              </w:sdtPr>
              <w:sdtEndPr>
                <w:rPr>
                  <w:rFonts w:hint="eastAsia" w:ascii="宋体" w:hAnsi="宋体" w:cs="宋体"/>
                  <w:kern w:val="0"/>
                  <w:sz w:val="24"/>
                  <w:highlight w:val="none"/>
                </w:rPr>
              </w:sdtEndPr>
              <w:sdtContent>
                <w:sdt>
                  <w:sdtPr>
                    <w:rPr>
                      <w:rFonts w:hint="eastAsia" w:ascii="宋体" w:hAnsi="宋体" w:cs="宋体"/>
                      <w:kern w:val="0"/>
                      <w:sz w:val="24"/>
                      <w:highlight w:val="none"/>
                    </w:rPr>
                    <w:id w:val="147462260"/>
                  </w:sdtPr>
                  <w:sdtEndPr>
                    <w:rPr>
                      <w:rFonts w:hint="eastAsia" w:ascii="宋体" w:hAnsi="宋体" w:cs="宋体"/>
                      <w:kern w:val="0"/>
                      <w:sz w:val="24"/>
                      <w:highlight w:val="none"/>
                    </w:rPr>
                  </w:sdtEndPr>
                  <w:sdtContent>
                    <w:r>
                      <w:rPr>
                        <w:rFonts w:hint="eastAsia" w:ascii="Wingdings" w:hAnsi="Wingdings" w:cs="宋体"/>
                        <w:kern w:val="0"/>
                        <w:sz w:val="24"/>
                        <w:highlight w:val="none"/>
                      </w:rPr>
                      <w:sym w:font="Wingdings" w:char="00FE"/>
                    </w:r>
                  </w:sdtContent>
                </w:sdt>
              </w:sdtContent>
            </w:sdt>
            <w:r>
              <w:rPr>
                <w:rFonts w:hint="eastAsia" w:ascii="宋体" w:hAnsi="宋体" w:cs="宋体"/>
                <w:kern w:val="0"/>
                <w:sz w:val="24"/>
                <w:highlight w:val="none"/>
              </w:rPr>
              <w:t>A</w:t>
            </w:r>
            <w:r>
              <w:rPr>
                <w:rFonts w:hint="eastAsia" w:ascii="宋体" w:hAnsi="宋体" w:cs="宋体"/>
                <w:sz w:val="24"/>
                <w:highlight w:val="none"/>
              </w:rPr>
              <w:t>不组织。</w:t>
            </w:r>
          </w:p>
          <w:p w14:paraId="52996BB0">
            <w:pPr>
              <w:rPr>
                <w:rFonts w:ascii="宋体" w:hAnsi="宋体" w:cs="宋体"/>
                <w:kern w:val="0"/>
                <w:sz w:val="24"/>
                <w:highlight w:val="none"/>
              </w:rPr>
            </w:pPr>
            <w:sdt>
              <w:sdtPr>
                <w:rPr>
                  <w:rFonts w:hint="eastAsia" w:ascii="宋体" w:hAnsi="宋体" w:cs="宋体"/>
                  <w:kern w:val="0"/>
                  <w:sz w:val="24"/>
                  <w:highlight w:val="none"/>
                </w:rPr>
                <w:id w:val="1174071719"/>
              </w:sdtPr>
              <w:sdtEndPr>
                <w:rPr>
                  <w:rFonts w:hint="eastAsia" w:ascii="宋体" w:hAnsi="宋体" w:cs="宋体"/>
                  <w:kern w:val="0"/>
                  <w:sz w:val="24"/>
                  <w:highlight w:val="none"/>
                </w:rPr>
              </w:sdtEndPr>
              <w:sdtContent>
                <w:r>
                  <w:rPr>
                    <w:rFonts w:hint="eastAsia" w:ascii="Wingdings" w:hAnsi="Wingdings" w:cs="宋体"/>
                    <w:kern w:val="0"/>
                    <w:sz w:val="24"/>
                    <w:highlight w:val="none"/>
                  </w:rPr>
                  <w:sym w:font="Wingdings" w:char="00A8"/>
                </w:r>
              </w:sdtContent>
            </w:sdt>
            <w:r>
              <w:rPr>
                <w:rFonts w:hint="eastAsia" w:ascii="宋体" w:hAnsi="宋体" w:cs="宋体"/>
                <w:kern w:val="0"/>
                <w:sz w:val="24"/>
                <w:highlight w:val="none"/>
              </w:rPr>
              <w:t>B组织。</w:t>
            </w:r>
          </w:p>
          <w:p w14:paraId="06919B0C">
            <w:pPr>
              <w:snapToGrid w:val="0"/>
              <w:rPr>
                <w:rFonts w:ascii="宋体" w:hAnsi="宋体" w:cs="宋体"/>
                <w:kern w:val="0"/>
                <w:sz w:val="24"/>
                <w:highlight w:val="none"/>
              </w:rPr>
            </w:pPr>
            <w:r>
              <w:rPr>
                <w:rFonts w:hint="eastAsia" w:ascii="宋体" w:hAnsi="宋体" w:cs="宋体"/>
                <w:kern w:val="0"/>
                <w:sz w:val="24"/>
                <w:highlight w:val="none"/>
              </w:rPr>
              <w:t>（1）在评标时安排每个投标人进行方案讲解演示。每个投标人时间不超过</w:t>
            </w:r>
            <w:r>
              <w:rPr>
                <w:rFonts w:hint="eastAsia" w:ascii="宋体" w:hAnsi="宋体" w:cs="宋体"/>
                <w:kern w:val="0"/>
                <w:sz w:val="24"/>
                <w:highlight w:val="none"/>
                <w:u w:val="single"/>
              </w:rPr>
              <w:t>：20分钟</w:t>
            </w:r>
            <w:r>
              <w:rPr>
                <w:rFonts w:hint="eastAsia" w:ascii="宋体" w:hAnsi="宋体" w:cs="宋体"/>
                <w:kern w:val="0"/>
                <w:sz w:val="24"/>
                <w:highlight w:val="none"/>
              </w:rPr>
              <w:t>，讲解次序以投标文件解密时间先后次序为准，讲解演示人员不超过</w:t>
            </w:r>
            <w:r>
              <w:rPr>
                <w:rFonts w:hint="eastAsia" w:ascii="宋体" w:hAnsi="宋体" w:cs="宋体"/>
                <w:kern w:val="0"/>
                <w:sz w:val="24"/>
                <w:highlight w:val="none"/>
                <w:u w:val="single"/>
              </w:rPr>
              <w:t xml:space="preserve"> 2 </w:t>
            </w:r>
            <w:r>
              <w:rPr>
                <w:rFonts w:hint="eastAsia" w:ascii="宋体" w:hAnsi="宋体" w:cs="宋体"/>
                <w:kern w:val="0"/>
                <w:sz w:val="24"/>
                <w:highlight w:val="none"/>
              </w:rPr>
              <w:t>人。讲解演示结束后按要求解答评标委员会提问。</w:t>
            </w:r>
          </w:p>
          <w:p w14:paraId="1462860B">
            <w:pPr>
              <w:snapToGrid w:val="0"/>
              <w:rPr>
                <w:rFonts w:ascii="宋体" w:hAnsi="宋体" w:cs="宋体"/>
                <w:kern w:val="0"/>
                <w:sz w:val="24"/>
                <w:highlight w:val="none"/>
              </w:rPr>
            </w:pPr>
            <w:r>
              <w:rPr>
                <w:rFonts w:hint="eastAsia" w:ascii="宋体" w:hAnsi="宋体" w:cs="宋体"/>
                <w:kern w:val="0"/>
                <w:sz w:val="24"/>
                <w:highlight w:val="none"/>
              </w:rPr>
              <w:t>（2）投标人应自行准备演示所需的设施设备，按要求完成项目演示，将演示内容录制成演示视频随备份文件在投标截止前一并递交（如无备份文件的可单独递交演示视频）。</w:t>
            </w:r>
          </w:p>
          <w:p w14:paraId="62331705">
            <w:pPr>
              <w:snapToGrid w:val="0"/>
              <w:rPr>
                <w:rFonts w:ascii="宋体" w:hAnsi="宋体" w:cs="宋体"/>
                <w:b/>
                <w:kern w:val="0"/>
                <w:sz w:val="24"/>
                <w:highlight w:val="none"/>
                <w:lang w:val="zh-CN"/>
              </w:rPr>
            </w:pPr>
            <w:r>
              <w:rPr>
                <w:rFonts w:hint="eastAsia" w:ascii="宋体" w:hAnsi="宋体" w:cs="宋体"/>
                <w:kern w:val="0"/>
                <w:sz w:val="24"/>
                <w:highlight w:val="none"/>
              </w:rPr>
              <w:t>（3）演示视频时长不超过20分钟，视频格式要求为mp4，视频载体要求为U盘。未按以上要求制作导致演示不能顺利进行的，由投标人自行承担所有责任。</w:t>
            </w:r>
          </w:p>
        </w:tc>
      </w:tr>
      <w:tr w14:paraId="5DB0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jc w:val="center"/>
        </w:trPr>
        <w:tc>
          <w:tcPr>
            <w:tcW w:w="366" w:type="pct"/>
            <w:vMerge w:val="restart"/>
            <w:vAlign w:val="center"/>
          </w:tcPr>
          <w:p w14:paraId="33C44463">
            <w:pPr>
              <w:snapToGrid w:val="0"/>
              <w:jc w:val="center"/>
              <w:rPr>
                <w:rFonts w:ascii="宋体" w:hAnsi="宋体" w:cs="宋体"/>
                <w:sz w:val="24"/>
                <w:highlight w:val="none"/>
              </w:rPr>
            </w:pPr>
            <w:r>
              <w:rPr>
                <w:rFonts w:hint="eastAsia" w:ascii="宋体" w:hAnsi="宋体" w:cs="宋体"/>
                <w:sz w:val="24"/>
                <w:highlight w:val="none"/>
              </w:rPr>
              <w:t>8</w:t>
            </w:r>
          </w:p>
        </w:tc>
        <w:tc>
          <w:tcPr>
            <w:tcW w:w="1075" w:type="pct"/>
            <w:vMerge w:val="restart"/>
            <w:vAlign w:val="center"/>
          </w:tcPr>
          <w:p w14:paraId="3EE044C7">
            <w:pPr>
              <w:snapToGrid w:val="0"/>
              <w:jc w:val="center"/>
              <w:rPr>
                <w:rFonts w:ascii="宋体" w:hAnsi="宋体" w:cs="宋体"/>
                <w:b/>
                <w:sz w:val="24"/>
                <w:highlight w:val="none"/>
              </w:rPr>
            </w:pPr>
            <w:r>
              <w:rPr>
                <w:rFonts w:hint="eastAsia" w:ascii="宋体" w:hAnsi="宋体" w:cs="宋体"/>
                <w:b/>
                <w:sz w:val="24"/>
                <w:highlight w:val="none"/>
              </w:rPr>
              <w:t>投标人应当提供的资格、资信证明文件</w:t>
            </w:r>
          </w:p>
        </w:tc>
        <w:tc>
          <w:tcPr>
            <w:tcW w:w="3557" w:type="pct"/>
            <w:vAlign w:val="center"/>
          </w:tcPr>
          <w:p w14:paraId="41679776">
            <w:pPr>
              <w:rPr>
                <w:rFonts w:ascii="宋体" w:hAnsi="宋体" w:cs="宋体"/>
                <w:sz w:val="24"/>
                <w:highlight w:val="none"/>
              </w:rPr>
            </w:pPr>
            <w:r>
              <w:rPr>
                <w:rFonts w:hint="eastAsia" w:ascii="宋体" w:hAnsi="宋体" w:cs="宋体"/>
                <w:sz w:val="24"/>
                <w:highlight w:val="none"/>
              </w:rPr>
              <w:t>（1）资格证明文件：见招标文件第二部分11.1。</w:t>
            </w:r>
          </w:p>
          <w:p w14:paraId="3E66F011">
            <w:pPr>
              <w:rPr>
                <w:rFonts w:ascii="宋体" w:hAnsi="宋体" w:cs="宋体"/>
                <w:kern w:val="0"/>
                <w:sz w:val="24"/>
                <w:highlight w:val="none"/>
              </w:rPr>
            </w:pPr>
            <w:r>
              <w:rPr>
                <w:rFonts w:hint="eastAsia" w:ascii="宋体" w:hAnsi="宋体" w:cs="宋体"/>
                <w:kern w:val="0"/>
                <w:sz w:val="24"/>
                <w:highlight w:val="none"/>
                <w:lang w:val="zh-CN"/>
              </w:rPr>
              <w:t>投标人未提供有效的资格证明文件的，视为投标人不具备招标文件中规定的资格要求，投标无效。</w:t>
            </w:r>
          </w:p>
        </w:tc>
      </w:tr>
      <w:tr w14:paraId="2FB7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366" w:type="pct"/>
            <w:vMerge w:val="continue"/>
            <w:vAlign w:val="center"/>
          </w:tcPr>
          <w:p w14:paraId="045D3E1E">
            <w:pPr>
              <w:snapToGrid w:val="0"/>
              <w:jc w:val="center"/>
              <w:rPr>
                <w:rFonts w:ascii="宋体" w:hAnsi="宋体" w:cs="宋体"/>
                <w:sz w:val="24"/>
                <w:highlight w:val="none"/>
              </w:rPr>
            </w:pPr>
          </w:p>
        </w:tc>
        <w:tc>
          <w:tcPr>
            <w:tcW w:w="1075" w:type="pct"/>
            <w:vMerge w:val="continue"/>
            <w:vAlign w:val="center"/>
          </w:tcPr>
          <w:p w14:paraId="1ECFB071">
            <w:pPr>
              <w:snapToGrid w:val="0"/>
              <w:jc w:val="center"/>
              <w:rPr>
                <w:rFonts w:ascii="宋体" w:hAnsi="宋体" w:cs="宋体"/>
                <w:b/>
                <w:sz w:val="24"/>
                <w:highlight w:val="none"/>
              </w:rPr>
            </w:pPr>
          </w:p>
        </w:tc>
        <w:tc>
          <w:tcPr>
            <w:tcW w:w="3557" w:type="pct"/>
            <w:vAlign w:val="center"/>
          </w:tcPr>
          <w:p w14:paraId="50D29E2D">
            <w:pPr>
              <w:rPr>
                <w:rFonts w:ascii="宋体" w:hAnsi="宋体" w:cs="宋体"/>
                <w:sz w:val="24"/>
                <w:highlight w:val="none"/>
              </w:rPr>
            </w:pPr>
            <w:r>
              <w:rPr>
                <w:rFonts w:hint="eastAsia" w:ascii="宋体" w:hAnsi="宋体" w:cs="宋体"/>
                <w:sz w:val="24"/>
                <w:highlight w:val="none"/>
              </w:rPr>
              <w:t>（2）资信证明文件：根据招标文件第四部分评标标准提供。</w:t>
            </w:r>
          </w:p>
        </w:tc>
      </w:tr>
      <w:tr w14:paraId="38F1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366" w:type="pct"/>
            <w:vAlign w:val="center"/>
          </w:tcPr>
          <w:p w14:paraId="790FEAFA">
            <w:pPr>
              <w:snapToGrid w:val="0"/>
              <w:jc w:val="center"/>
              <w:rPr>
                <w:rFonts w:ascii="宋体" w:hAnsi="宋体" w:cs="宋体"/>
                <w:sz w:val="24"/>
                <w:highlight w:val="none"/>
              </w:rPr>
            </w:pPr>
            <w:r>
              <w:rPr>
                <w:rFonts w:hint="eastAsia" w:ascii="宋体" w:hAnsi="宋体" w:cs="宋体"/>
                <w:sz w:val="24"/>
                <w:highlight w:val="none"/>
              </w:rPr>
              <w:t>9</w:t>
            </w:r>
          </w:p>
        </w:tc>
        <w:tc>
          <w:tcPr>
            <w:tcW w:w="1075" w:type="pct"/>
            <w:vAlign w:val="center"/>
          </w:tcPr>
          <w:p w14:paraId="0B2F0F6C">
            <w:pPr>
              <w:snapToGrid w:val="0"/>
              <w:jc w:val="center"/>
              <w:rPr>
                <w:rFonts w:ascii="宋体" w:hAnsi="宋体" w:cs="宋体"/>
                <w:b/>
                <w:sz w:val="24"/>
                <w:highlight w:val="none"/>
              </w:rPr>
            </w:pPr>
            <w:r>
              <w:rPr>
                <w:rFonts w:hint="eastAsia" w:ascii="宋体" w:hAnsi="宋体" w:cs="宋体"/>
                <w:b/>
                <w:sz w:val="24"/>
                <w:highlight w:val="none"/>
              </w:rPr>
              <w:t>节能产品、环境标志产品</w:t>
            </w:r>
          </w:p>
        </w:tc>
        <w:tc>
          <w:tcPr>
            <w:tcW w:w="3557" w:type="pct"/>
            <w:vAlign w:val="center"/>
          </w:tcPr>
          <w:p w14:paraId="029AA682">
            <w:pPr>
              <w:snapToGrid w:val="0"/>
              <w:rPr>
                <w:rFonts w:ascii="宋体" w:hAnsi="宋体" w:cs="宋体"/>
                <w:sz w:val="24"/>
                <w:highlight w:val="none"/>
              </w:rPr>
            </w:pPr>
            <w:r>
              <w:rPr>
                <w:rFonts w:hint="eastAsia" w:ascii="宋体" w:hAnsi="宋体" w:cs="宋体"/>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3D2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6" w:hRule="atLeast"/>
          <w:jc w:val="center"/>
        </w:trPr>
        <w:tc>
          <w:tcPr>
            <w:tcW w:w="366" w:type="pct"/>
            <w:vAlign w:val="center"/>
          </w:tcPr>
          <w:p w14:paraId="29EB4315">
            <w:pPr>
              <w:snapToGrid w:val="0"/>
              <w:jc w:val="center"/>
              <w:rPr>
                <w:rFonts w:ascii="宋体" w:hAnsi="宋体" w:cs="宋体"/>
                <w:sz w:val="24"/>
                <w:highlight w:val="none"/>
              </w:rPr>
            </w:pPr>
            <w:r>
              <w:rPr>
                <w:rFonts w:hint="eastAsia" w:ascii="宋体" w:hAnsi="宋体" w:cs="宋体"/>
                <w:sz w:val="24"/>
                <w:highlight w:val="none"/>
              </w:rPr>
              <w:t>10</w:t>
            </w:r>
          </w:p>
        </w:tc>
        <w:tc>
          <w:tcPr>
            <w:tcW w:w="1075" w:type="pct"/>
            <w:vAlign w:val="center"/>
          </w:tcPr>
          <w:p w14:paraId="20D2E1A8">
            <w:pPr>
              <w:snapToGrid w:val="0"/>
              <w:jc w:val="center"/>
              <w:rPr>
                <w:rFonts w:ascii="宋体" w:hAnsi="宋体" w:cs="宋体"/>
                <w:b/>
                <w:sz w:val="24"/>
                <w:highlight w:val="none"/>
              </w:rPr>
            </w:pPr>
            <w:r>
              <w:rPr>
                <w:rFonts w:hint="eastAsia" w:ascii="宋体" w:hAnsi="宋体" w:cs="宋体"/>
                <w:b/>
                <w:sz w:val="24"/>
                <w:highlight w:val="none"/>
              </w:rPr>
              <w:t>报价要求</w:t>
            </w:r>
          </w:p>
        </w:tc>
        <w:tc>
          <w:tcPr>
            <w:tcW w:w="3557" w:type="pct"/>
            <w:vAlign w:val="center"/>
          </w:tcPr>
          <w:p w14:paraId="6914D78C">
            <w:pPr>
              <w:snapToGrid w:val="0"/>
              <w:jc w:val="left"/>
              <w:rPr>
                <w:rFonts w:ascii="宋体" w:hAnsi="宋体" w:cs="宋体"/>
                <w:b/>
                <w:kern w:val="0"/>
                <w:sz w:val="24"/>
                <w:highlight w:val="none"/>
                <w:lang w:val="zh-CN"/>
              </w:rPr>
            </w:pPr>
            <w:r>
              <w:rPr>
                <w:rFonts w:hint="eastAsia" w:ascii="宋体" w:hAnsi="宋体" w:cs="宋体"/>
                <w:kern w:val="0"/>
                <w:sz w:val="24"/>
                <w:highlight w:val="none"/>
                <w:lang w:val="zh-CN"/>
              </w:rPr>
              <w:t>有关本项目实施所需的所有费用（含税费）均计入报价。</w:t>
            </w:r>
            <w:r>
              <w:rPr>
                <w:rFonts w:hint="eastAsia" w:ascii="宋体" w:hAnsi="宋体" w:cs="宋体"/>
                <w:b/>
                <w:bCs/>
                <w:kern w:val="0"/>
                <w:sz w:val="24"/>
                <w:highlight w:val="none"/>
                <w:lang w:val="zh-CN"/>
              </w:rPr>
              <w:t>投标文件</w:t>
            </w:r>
            <w:r>
              <w:rPr>
                <w:rFonts w:hint="eastAsia" w:ascii="宋体" w:hAnsi="宋体" w:cs="宋体"/>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highlight w:val="none"/>
                <w:lang w:val="zh-CN"/>
              </w:rPr>
              <w:t>投标文件中价格全部采用人民币报价。招标文件未列明，而投标人认为必需的费用也需列入报价。</w:t>
            </w:r>
            <w:r>
              <w:rPr>
                <w:rFonts w:hint="eastAsia" w:ascii="宋体" w:hAnsi="宋体" w:cs="宋体"/>
                <w:b/>
                <w:kern w:val="0"/>
                <w:sz w:val="24"/>
                <w:highlight w:val="none"/>
                <w:lang w:val="zh-CN"/>
              </w:rPr>
              <w:t>提醒：验收时检测费用由采购人承担，不包含在投标总价中。</w:t>
            </w:r>
          </w:p>
          <w:p w14:paraId="596E611C">
            <w:pPr>
              <w:snapToGrid w:val="0"/>
              <w:jc w:val="left"/>
              <w:rPr>
                <w:rFonts w:ascii="宋体" w:hAnsi="宋体" w:cs="宋体"/>
                <w:b/>
                <w:kern w:val="0"/>
                <w:sz w:val="24"/>
                <w:highlight w:val="none"/>
                <w:lang w:val="zh-CN"/>
              </w:rPr>
            </w:pPr>
            <w:r>
              <w:rPr>
                <w:rFonts w:hint="eastAsia" w:ascii="宋体" w:hAnsi="宋体" w:cs="宋体"/>
                <w:b/>
                <w:kern w:val="0"/>
                <w:sz w:val="24"/>
                <w:highlight w:val="none"/>
                <w:lang w:val="zh-CN"/>
              </w:rPr>
              <w:t>投标报价出现下列情形的，投标无效：</w:t>
            </w:r>
          </w:p>
          <w:p w14:paraId="7FE5323E">
            <w:pPr>
              <w:snapToGrid w:val="0"/>
              <w:jc w:val="left"/>
              <w:rPr>
                <w:rFonts w:ascii="宋体" w:hAnsi="宋体" w:cs="宋体"/>
                <w:b/>
                <w:kern w:val="0"/>
                <w:sz w:val="24"/>
                <w:highlight w:val="none"/>
                <w:lang w:val="zh-CN"/>
              </w:rPr>
            </w:pPr>
            <w:r>
              <w:rPr>
                <w:rFonts w:hint="eastAsia" w:ascii="宋体" w:hAnsi="宋体" w:cs="宋体"/>
                <w:b/>
                <w:kern w:val="0"/>
                <w:sz w:val="24"/>
                <w:highlight w:val="none"/>
                <w:lang w:val="zh-CN"/>
              </w:rPr>
              <w:t>投标文件出现不是唯一的、有选择性投标报价的；</w:t>
            </w:r>
          </w:p>
          <w:p w14:paraId="28BF66F6">
            <w:pPr>
              <w:snapToGrid w:val="0"/>
              <w:jc w:val="left"/>
              <w:rPr>
                <w:rFonts w:ascii="宋体" w:hAnsi="宋体" w:cs="宋体"/>
                <w:kern w:val="0"/>
                <w:sz w:val="24"/>
                <w:highlight w:val="none"/>
                <w:lang w:val="zh-CN"/>
              </w:rPr>
            </w:pPr>
            <w:r>
              <w:rPr>
                <w:rFonts w:hint="eastAsia" w:ascii="宋体" w:hAnsi="宋体" w:cs="宋体"/>
                <w:b/>
                <w:kern w:val="0"/>
                <w:sz w:val="24"/>
                <w:highlight w:val="none"/>
                <w:lang w:val="zh-CN"/>
              </w:rPr>
              <w:t>投标报价超过招标文件中规定的预算金额或者最高限价的;</w:t>
            </w:r>
          </w:p>
          <w:p w14:paraId="7B6D6035">
            <w:pPr>
              <w:rPr>
                <w:rFonts w:ascii="宋体" w:hAnsi="宋体" w:cs="宋体"/>
                <w:b/>
                <w:sz w:val="24"/>
                <w:highlight w:val="none"/>
              </w:rPr>
            </w:pPr>
            <w:r>
              <w:rPr>
                <w:rFonts w:hint="eastAsia" w:ascii="宋体" w:hAnsi="宋体" w:cs="宋体"/>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highlight w:val="none"/>
              </w:rPr>
              <w:t>;</w:t>
            </w:r>
          </w:p>
          <w:p w14:paraId="0354D840">
            <w:pPr>
              <w:rPr>
                <w:rFonts w:ascii="宋体" w:hAnsi="宋体" w:cs="宋体"/>
                <w:sz w:val="24"/>
                <w:highlight w:val="none"/>
              </w:rPr>
            </w:pPr>
            <w:r>
              <w:rPr>
                <w:rFonts w:hint="eastAsia" w:ascii="宋体" w:hAnsi="宋体" w:cs="宋体"/>
                <w:b/>
                <w:kern w:val="0"/>
                <w:sz w:val="24"/>
                <w:highlight w:val="none"/>
              </w:rPr>
              <w:t>投标人对根据修正原则修正后的报价不确认的</w:t>
            </w:r>
            <w:r>
              <w:rPr>
                <w:rFonts w:hint="eastAsia" w:ascii="宋体" w:hAnsi="宋体" w:cs="宋体"/>
                <w:b/>
                <w:sz w:val="24"/>
                <w:highlight w:val="none"/>
              </w:rPr>
              <w:t>。</w:t>
            </w:r>
          </w:p>
        </w:tc>
      </w:tr>
      <w:tr w14:paraId="19E1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jc w:val="center"/>
        </w:trPr>
        <w:tc>
          <w:tcPr>
            <w:tcW w:w="366" w:type="pct"/>
            <w:vAlign w:val="center"/>
          </w:tcPr>
          <w:p w14:paraId="2FC5F20E">
            <w:pPr>
              <w:snapToGrid w:val="0"/>
              <w:jc w:val="center"/>
              <w:rPr>
                <w:rFonts w:ascii="宋体" w:hAnsi="宋体" w:cs="宋体"/>
                <w:sz w:val="24"/>
                <w:highlight w:val="none"/>
              </w:rPr>
            </w:pPr>
            <w:r>
              <w:rPr>
                <w:rFonts w:hint="eastAsia" w:ascii="宋体" w:hAnsi="宋体" w:cs="宋体"/>
                <w:sz w:val="24"/>
                <w:highlight w:val="none"/>
              </w:rPr>
              <w:t>11</w:t>
            </w:r>
          </w:p>
        </w:tc>
        <w:tc>
          <w:tcPr>
            <w:tcW w:w="1075" w:type="pct"/>
            <w:vAlign w:val="center"/>
          </w:tcPr>
          <w:p w14:paraId="1D95FA51">
            <w:pPr>
              <w:snapToGrid w:val="0"/>
              <w:jc w:val="center"/>
              <w:rPr>
                <w:rFonts w:ascii="宋体" w:hAnsi="宋体" w:cs="宋体"/>
                <w:b/>
                <w:sz w:val="24"/>
                <w:highlight w:val="none"/>
              </w:rPr>
            </w:pPr>
            <w:r>
              <w:rPr>
                <w:rFonts w:hint="eastAsia" w:ascii="宋体" w:hAnsi="宋体" w:cs="宋体"/>
                <w:b/>
                <w:sz w:val="24"/>
                <w:highlight w:val="none"/>
              </w:rPr>
              <w:t>采购代理服务费</w:t>
            </w:r>
          </w:p>
        </w:tc>
        <w:tc>
          <w:tcPr>
            <w:tcW w:w="3557" w:type="pct"/>
            <w:vAlign w:val="center"/>
          </w:tcPr>
          <w:p w14:paraId="274BFED8">
            <w:pPr>
              <w:jc w:val="left"/>
              <w:rPr>
                <w:rFonts w:ascii="宋体" w:hAnsi="宋体" w:cs="宋体"/>
                <w:kern w:val="28"/>
                <w:sz w:val="24"/>
                <w:highlight w:val="none"/>
              </w:rPr>
            </w:pPr>
            <w:r>
              <w:rPr>
                <w:rFonts w:hint="eastAsia" w:ascii="宋体" w:hAnsi="宋体" w:cs="宋体"/>
                <w:kern w:val="28"/>
                <w:sz w:val="24"/>
                <w:highlight w:val="none"/>
              </w:rPr>
              <w:t>（1）采购代理服务费参照国家发改委发改办价格[2003]857号通知和原国家计[2002]1980号文件规定的招标费率标准7折收取，不足5000元按5000元收取。</w:t>
            </w:r>
          </w:p>
          <w:p w14:paraId="6A8D2E07">
            <w:pPr>
              <w:jc w:val="left"/>
              <w:rPr>
                <w:rFonts w:ascii="宋体" w:hAnsi="宋体" w:cs="宋体"/>
                <w:kern w:val="28"/>
                <w:sz w:val="24"/>
                <w:highlight w:val="none"/>
              </w:rPr>
            </w:pPr>
            <w:r>
              <w:rPr>
                <w:rFonts w:hint="eastAsia" w:ascii="宋体" w:hAnsi="宋体" w:cs="宋体"/>
                <w:kern w:val="28"/>
                <w:sz w:val="24"/>
                <w:highlight w:val="none"/>
              </w:rPr>
              <w:t>（2）中标人在领取中标通知书前，应向招标代理机构交纳采购代理服务费。</w:t>
            </w:r>
          </w:p>
          <w:p w14:paraId="3781A54E">
            <w:pPr>
              <w:jc w:val="left"/>
              <w:rPr>
                <w:rFonts w:ascii="宋体" w:hAnsi="宋体" w:cs="宋体"/>
                <w:kern w:val="28"/>
                <w:sz w:val="24"/>
                <w:highlight w:val="none"/>
              </w:rPr>
            </w:pPr>
            <w:r>
              <w:rPr>
                <w:rFonts w:hint="eastAsia" w:ascii="宋体" w:hAnsi="宋体" w:cs="宋体"/>
                <w:kern w:val="28"/>
                <w:sz w:val="24"/>
                <w:highlight w:val="none"/>
              </w:rPr>
              <w:t>（3）采购代理服务费以电汇方式支付。</w:t>
            </w:r>
          </w:p>
          <w:p w14:paraId="0416DF1D">
            <w:pPr>
              <w:jc w:val="left"/>
              <w:rPr>
                <w:rFonts w:ascii="宋体" w:hAnsi="宋体" w:cs="宋体"/>
                <w:kern w:val="28"/>
                <w:sz w:val="24"/>
                <w:highlight w:val="none"/>
              </w:rPr>
            </w:pPr>
            <w:r>
              <w:rPr>
                <w:rFonts w:hint="eastAsia" w:ascii="宋体" w:hAnsi="宋体" w:cs="宋体"/>
                <w:kern w:val="28"/>
                <w:sz w:val="24"/>
                <w:highlight w:val="none"/>
              </w:rPr>
              <w:t>（4）中标人如未按上述规定办理，本招标代理机构有权从其参加招标活动的投标保证金中收取采采购代理服务费，并对不足部分进行追索。</w:t>
            </w:r>
          </w:p>
          <w:p w14:paraId="0DAC7CA1">
            <w:pPr>
              <w:jc w:val="left"/>
              <w:rPr>
                <w:rFonts w:ascii="宋体" w:hAnsi="宋体" w:cs="宋体"/>
                <w:kern w:val="28"/>
                <w:sz w:val="24"/>
                <w:highlight w:val="none"/>
              </w:rPr>
            </w:pPr>
            <w:r>
              <w:rPr>
                <w:rFonts w:hint="eastAsia" w:ascii="宋体" w:hAnsi="宋体" w:cs="宋体"/>
                <w:kern w:val="28"/>
                <w:sz w:val="24"/>
                <w:highlight w:val="none"/>
              </w:rPr>
              <w:t>（5）服务费缴纳账号：</w:t>
            </w:r>
          </w:p>
          <w:p w14:paraId="645B66E2">
            <w:pPr>
              <w:jc w:val="left"/>
              <w:rPr>
                <w:rFonts w:hint="eastAsia" w:ascii="宋体" w:hAnsi="宋体" w:cs="宋体"/>
                <w:kern w:val="28"/>
                <w:sz w:val="24"/>
                <w:highlight w:val="none"/>
              </w:rPr>
            </w:pPr>
            <w:r>
              <w:rPr>
                <w:rFonts w:hint="eastAsia" w:ascii="宋体" w:hAnsi="宋体" w:cs="宋体"/>
                <w:kern w:val="28"/>
                <w:sz w:val="24"/>
                <w:highlight w:val="none"/>
              </w:rPr>
              <w:t>户名：浙江致信招标代理有限公司嘉兴分公司</w:t>
            </w:r>
          </w:p>
          <w:p w14:paraId="20A2F7C0">
            <w:pPr>
              <w:jc w:val="left"/>
              <w:rPr>
                <w:rFonts w:hint="eastAsia" w:ascii="宋体" w:hAnsi="宋体" w:cs="宋体"/>
                <w:kern w:val="28"/>
                <w:sz w:val="24"/>
                <w:highlight w:val="none"/>
              </w:rPr>
            </w:pPr>
            <w:r>
              <w:rPr>
                <w:rFonts w:hint="eastAsia" w:ascii="宋体" w:hAnsi="宋体" w:cs="宋体"/>
                <w:kern w:val="28"/>
                <w:sz w:val="24"/>
                <w:highlight w:val="none"/>
              </w:rPr>
              <w:t>税号：91330411MABM992A50</w:t>
            </w:r>
          </w:p>
          <w:p w14:paraId="5BDE7FE9">
            <w:pPr>
              <w:jc w:val="left"/>
              <w:rPr>
                <w:rFonts w:hint="eastAsia" w:ascii="宋体" w:hAnsi="宋体" w:cs="宋体"/>
                <w:kern w:val="28"/>
                <w:sz w:val="24"/>
                <w:highlight w:val="none"/>
              </w:rPr>
            </w:pPr>
            <w:r>
              <w:rPr>
                <w:rFonts w:hint="eastAsia" w:ascii="宋体" w:hAnsi="宋体" w:cs="宋体"/>
                <w:kern w:val="28"/>
                <w:sz w:val="24"/>
                <w:highlight w:val="none"/>
              </w:rPr>
              <w:t xml:space="preserve">地址：浙江省嘉兴市秀洲区新城街道永泰广场14幢295室 0571-85388866 </w:t>
            </w:r>
          </w:p>
          <w:p w14:paraId="76B78A4D">
            <w:pPr>
              <w:jc w:val="left"/>
              <w:rPr>
                <w:rFonts w:hint="eastAsia" w:ascii="宋体" w:hAnsi="宋体" w:cs="宋体"/>
                <w:kern w:val="28"/>
                <w:sz w:val="24"/>
                <w:highlight w:val="none"/>
              </w:rPr>
            </w:pPr>
            <w:r>
              <w:rPr>
                <w:rFonts w:hint="eastAsia" w:ascii="宋体" w:hAnsi="宋体" w:cs="宋体"/>
                <w:kern w:val="28"/>
                <w:sz w:val="24"/>
                <w:highlight w:val="none"/>
              </w:rPr>
              <w:t>账号：3301041060004497230</w:t>
            </w:r>
          </w:p>
          <w:p w14:paraId="1AA4AA54">
            <w:pPr>
              <w:jc w:val="left"/>
              <w:rPr>
                <w:rFonts w:ascii="宋体" w:hAnsi="宋体" w:cs="宋体"/>
                <w:kern w:val="28"/>
                <w:sz w:val="24"/>
                <w:highlight w:val="none"/>
              </w:rPr>
            </w:pPr>
            <w:r>
              <w:rPr>
                <w:rFonts w:hint="eastAsia" w:ascii="宋体" w:hAnsi="宋体" w:cs="宋体"/>
                <w:kern w:val="28"/>
                <w:sz w:val="24"/>
                <w:highlight w:val="none"/>
              </w:rPr>
              <w:t>开户行：杭州银行股份有限公司四季青支行</w:t>
            </w:r>
          </w:p>
        </w:tc>
      </w:tr>
      <w:tr w14:paraId="02100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8" w:hRule="atLeast"/>
          <w:jc w:val="center"/>
        </w:trPr>
        <w:tc>
          <w:tcPr>
            <w:tcW w:w="366" w:type="pct"/>
            <w:vAlign w:val="center"/>
          </w:tcPr>
          <w:p w14:paraId="23D0748C">
            <w:pPr>
              <w:snapToGrid w:val="0"/>
              <w:jc w:val="center"/>
              <w:rPr>
                <w:rFonts w:ascii="宋体" w:hAnsi="宋体" w:cs="宋体"/>
                <w:sz w:val="24"/>
                <w:highlight w:val="none"/>
              </w:rPr>
            </w:pPr>
            <w:r>
              <w:rPr>
                <w:rFonts w:hint="eastAsia" w:ascii="宋体" w:hAnsi="宋体" w:cs="宋体"/>
                <w:sz w:val="24"/>
                <w:highlight w:val="none"/>
              </w:rPr>
              <w:t>12</w:t>
            </w:r>
          </w:p>
        </w:tc>
        <w:tc>
          <w:tcPr>
            <w:tcW w:w="1075" w:type="pct"/>
            <w:vAlign w:val="center"/>
          </w:tcPr>
          <w:p w14:paraId="36D0A5C7">
            <w:pPr>
              <w:snapToGrid w:val="0"/>
              <w:jc w:val="center"/>
              <w:rPr>
                <w:rFonts w:ascii="宋体" w:hAnsi="宋体" w:cs="宋体"/>
                <w:b/>
                <w:sz w:val="24"/>
                <w:highlight w:val="none"/>
              </w:rPr>
            </w:pPr>
            <w:r>
              <w:rPr>
                <w:rFonts w:hint="eastAsia" w:ascii="宋体" w:hAnsi="宋体" w:cs="宋体"/>
                <w:b/>
                <w:sz w:val="24"/>
                <w:highlight w:val="none"/>
              </w:rPr>
              <w:t>备份投标文件送达地点和签收人员</w:t>
            </w:r>
          </w:p>
        </w:tc>
        <w:tc>
          <w:tcPr>
            <w:tcW w:w="3557" w:type="pct"/>
            <w:vAlign w:val="center"/>
          </w:tcPr>
          <w:p w14:paraId="4B9DE397">
            <w:pPr>
              <w:pStyle w:val="32"/>
              <w:rPr>
                <w:rFonts w:hAnsi="宋体" w:cs="宋体"/>
                <w:kern w:val="28"/>
                <w:sz w:val="24"/>
                <w:szCs w:val="24"/>
                <w:highlight w:val="none"/>
              </w:rPr>
            </w:pPr>
            <w:r>
              <w:rPr>
                <w:rFonts w:hint="eastAsia" w:hAnsi="宋体" w:cs="宋体"/>
                <w:kern w:val="28"/>
                <w:sz w:val="24"/>
                <w:szCs w:val="24"/>
                <w:highlight w:val="none"/>
              </w:rPr>
              <w:t>备份投标文件送达地点：</w:t>
            </w:r>
            <w:r>
              <w:rPr>
                <w:rFonts w:hint="eastAsia" w:hAnsi="宋体" w:cs="宋体"/>
                <w:sz w:val="24"/>
                <w:szCs w:val="24"/>
                <w:highlight w:val="none"/>
                <w:u w:val="single"/>
              </w:rPr>
              <w:t xml:space="preserve"> 杭州市西湖区天目山路7号一号楼裙楼301室</w:t>
            </w:r>
            <w:r>
              <w:rPr>
                <w:rFonts w:hint="eastAsia" w:hAnsi="宋体" w:cs="宋体"/>
                <w:kern w:val="28"/>
                <w:sz w:val="24"/>
                <w:szCs w:val="24"/>
                <w:highlight w:val="none"/>
              </w:rPr>
              <w:t>；备份投标文件签收人员联系电话：</w:t>
            </w:r>
            <w:r>
              <w:rPr>
                <w:rFonts w:hint="eastAsia" w:hAnsi="宋体" w:cs="宋体"/>
                <w:sz w:val="24"/>
                <w:szCs w:val="24"/>
                <w:highlight w:val="none"/>
                <w:u w:val="single"/>
              </w:rPr>
              <w:t>徐工/17706633850</w:t>
            </w:r>
            <w:r>
              <w:rPr>
                <w:rFonts w:hint="eastAsia" w:hAnsi="宋体" w:cs="宋体"/>
                <w:sz w:val="24"/>
                <w:szCs w:val="24"/>
                <w:highlight w:val="none"/>
              </w:rPr>
              <w:t>。</w:t>
            </w:r>
            <w:r>
              <w:rPr>
                <w:rFonts w:hint="eastAsia" w:hAnsi="宋体" w:cs="宋体"/>
                <w:b/>
                <w:sz w:val="24"/>
                <w:szCs w:val="24"/>
                <w:highlight w:val="none"/>
              </w:rPr>
              <w:t>采购人、采购代理机构不强制或变相强制投标人提交备份投标文件。</w:t>
            </w:r>
          </w:p>
        </w:tc>
      </w:tr>
      <w:tr w14:paraId="639AF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366" w:type="pct"/>
            <w:vMerge w:val="restart"/>
            <w:vAlign w:val="center"/>
          </w:tcPr>
          <w:p w14:paraId="0C5AE65B">
            <w:pPr>
              <w:snapToGrid w:val="0"/>
              <w:jc w:val="center"/>
              <w:rPr>
                <w:rFonts w:ascii="宋体" w:hAnsi="宋体" w:cs="宋体"/>
                <w:sz w:val="24"/>
                <w:highlight w:val="none"/>
              </w:rPr>
            </w:pPr>
            <w:r>
              <w:rPr>
                <w:rFonts w:hint="eastAsia" w:ascii="宋体" w:hAnsi="宋体" w:cs="宋体"/>
                <w:sz w:val="24"/>
                <w:highlight w:val="none"/>
              </w:rPr>
              <w:t>13</w:t>
            </w:r>
          </w:p>
        </w:tc>
        <w:tc>
          <w:tcPr>
            <w:tcW w:w="1075" w:type="pct"/>
            <w:vMerge w:val="restart"/>
            <w:vAlign w:val="center"/>
          </w:tcPr>
          <w:p w14:paraId="758907B1">
            <w:pPr>
              <w:snapToGrid w:val="0"/>
              <w:jc w:val="center"/>
              <w:rPr>
                <w:rFonts w:ascii="宋体" w:hAnsi="宋体" w:cs="宋体"/>
                <w:b/>
                <w:sz w:val="24"/>
                <w:highlight w:val="none"/>
              </w:rPr>
            </w:pPr>
            <w:r>
              <w:rPr>
                <w:rFonts w:hint="eastAsia" w:ascii="宋体" w:hAnsi="宋体" w:cs="宋体"/>
                <w:b/>
                <w:sz w:val="24"/>
                <w:highlight w:val="none"/>
              </w:rPr>
              <w:t>特别说明</w:t>
            </w:r>
          </w:p>
        </w:tc>
        <w:tc>
          <w:tcPr>
            <w:tcW w:w="3557" w:type="pct"/>
            <w:vAlign w:val="center"/>
          </w:tcPr>
          <w:p w14:paraId="746D8B73">
            <w:pPr>
              <w:rPr>
                <w:rFonts w:ascii="宋体" w:hAnsi="宋体" w:cs="宋体"/>
                <w:kern w:val="28"/>
                <w:sz w:val="24"/>
                <w:highlight w:val="none"/>
              </w:rPr>
            </w:pPr>
            <w:r>
              <w:rPr>
                <w:rFonts w:hint="eastAsia" w:ascii="宋体" w:hAnsi="宋体" w:cs="宋体"/>
                <w:kern w:val="28"/>
                <w:sz w:val="24"/>
                <w:highlight w:val="none"/>
              </w:rPr>
              <w:t>联合体投标的，联合体各方分别提供与联合体协议中规定的分工内容相应的业绩证明材料，业绩数量以提供材料较少的一方为准。</w:t>
            </w:r>
          </w:p>
        </w:tc>
      </w:tr>
      <w:tr w14:paraId="7029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366" w:type="pct"/>
            <w:vMerge w:val="continue"/>
          </w:tcPr>
          <w:p w14:paraId="0C003DCD">
            <w:pPr>
              <w:snapToGrid w:val="0"/>
              <w:jc w:val="center"/>
              <w:rPr>
                <w:rFonts w:ascii="宋体" w:hAnsi="宋体" w:cs="宋体"/>
                <w:sz w:val="24"/>
                <w:highlight w:val="none"/>
              </w:rPr>
            </w:pPr>
          </w:p>
        </w:tc>
        <w:tc>
          <w:tcPr>
            <w:tcW w:w="1075" w:type="pct"/>
            <w:vMerge w:val="continue"/>
            <w:vAlign w:val="center"/>
          </w:tcPr>
          <w:p w14:paraId="62C97367">
            <w:pPr>
              <w:snapToGrid w:val="0"/>
              <w:jc w:val="center"/>
              <w:rPr>
                <w:rFonts w:ascii="宋体" w:hAnsi="宋体" w:cs="宋体"/>
                <w:b/>
                <w:sz w:val="24"/>
                <w:highlight w:val="none"/>
              </w:rPr>
            </w:pPr>
          </w:p>
        </w:tc>
        <w:tc>
          <w:tcPr>
            <w:tcW w:w="3557" w:type="pct"/>
            <w:vAlign w:val="center"/>
          </w:tcPr>
          <w:p w14:paraId="396DF2D1">
            <w:pPr>
              <w:rPr>
                <w:rFonts w:ascii="宋体" w:hAnsi="宋体" w:cs="宋体"/>
                <w:kern w:val="28"/>
                <w:sz w:val="24"/>
                <w:highlight w:val="none"/>
              </w:rPr>
            </w:pPr>
            <w:sdt>
              <w:sdtPr>
                <w:rPr>
                  <w:rFonts w:hint="eastAsia" w:ascii="宋体" w:hAnsi="宋体" w:cs="宋体"/>
                  <w:kern w:val="0"/>
                  <w:sz w:val="24"/>
                  <w:highlight w:val="none"/>
                </w:rPr>
                <w:id w:val="531925039"/>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kern w:val="28"/>
                <w:sz w:val="24"/>
                <w:highlight w:val="none"/>
              </w:rPr>
              <w:t>联合体投标的，联合体各方均需按招标文件第四部分评标标准要求提供资信证明文件，否则视为不符合相关要求。</w:t>
            </w:r>
          </w:p>
          <w:p w14:paraId="60ABD19B">
            <w:pPr>
              <w:rPr>
                <w:rFonts w:ascii="宋体" w:hAnsi="宋体" w:cs="宋体"/>
                <w:kern w:val="28"/>
                <w:sz w:val="24"/>
                <w:highlight w:val="none"/>
              </w:rPr>
            </w:pPr>
            <w:sdt>
              <w:sdtPr>
                <w:rPr>
                  <w:rFonts w:hint="eastAsia" w:ascii="宋体" w:hAnsi="宋体" w:cs="宋体"/>
                  <w:kern w:val="0"/>
                  <w:sz w:val="24"/>
                  <w:highlight w:val="none"/>
                </w:rPr>
                <w:id w:val="89708012"/>
              </w:sdtPr>
              <w:sdtEndPr>
                <w:rPr>
                  <w:rFonts w:hint="eastAsia" w:ascii="宋体" w:hAnsi="宋体" w:cs="宋体"/>
                  <w:kern w:val="0"/>
                  <w:sz w:val="24"/>
                  <w:highlight w:val="none"/>
                </w:rPr>
              </w:sdtEndPr>
              <w:sdtContent>
                <w:r>
                  <w:rPr>
                    <w:rFonts w:hint="eastAsia" w:ascii="宋体" w:hAnsi="宋体" w:cs="宋体"/>
                    <w:kern w:val="0"/>
                    <w:sz w:val="24"/>
                    <w:highlight w:val="none"/>
                  </w:rPr>
                  <w:sym w:font="Wingdings" w:char="F0FE"/>
                </w:r>
              </w:sdtContent>
            </w:sdt>
            <w:r>
              <w:rPr>
                <w:rFonts w:hint="eastAsia" w:ascii="宋体" w:hAnsi="宋体" w:cs="宋体"/>
                <w:kern w:val="28"/>
                <w:sz w:val="24"/>
                <w:highlight w:val="none"/>
              </w:rPr>
              <w:t>联合体投标的，联合体中有一方或者联合体成员根据分工按招标文件第四部分评标标准要求提供资信证明文件的，视为符合了相关要求。</w:t>
            </w:r>
          </w:p>
        </w:tc>
      </w:tr>
    </w:tbl>
    <w:p w14:paraId="00BC7B28">
      <w:pPr>
        <w:rPr>
          <w:highlight w:val="none"/>
        </w:rPr>
      </w:pPr>
    </w:p>
    <w:p w14:paraId="1AD9BF39">
      <w:pPr>
        <w:pStyle w:val="4"/>
        <w:jc w:val="center"/>
        <w:rPr>
          <w:highlight w:val="none"/>
        </w:rPr>
      </w:pPr>
      <w:bookmarkStart w:id="14" w:name="_Toc23033"/>
      <w:r>
        <w:rPr>
          <w:rFonts w:hint="eastAsia"/>
          <w:highlight w:val="none"/>
        </w:rPr>
        <w:t>一、总则</w:t>
      </w:r>
      <w:bookmarkEnd w:id="14"/>
    </w:p>
    <w:p w14:paraId="78808402">
      <w:pPr>
        <w:pStyle w:val="5"/>
        <w:rPr>
          <w:highlight w:val="none"/>
        </w:rPr>
      </w:pPr>
      <w:r>
        <w:rPr>
          <w:rFonts w:hint="eastAsia"/>
          <w:highlight w:val="none"/>
        </w:rPr>
        <w:t>1.适用范围</w:t>
      </w:r>
    </w:p>
    <w:p w14:paraId="4409929E">
      <w:pPr>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本招标文件适用于该项目的招标、投标、开标、资格审查及信用信息查询、评标、定标、合同、验收等行为（法律、法规另有规定的，从其规定）。</w:t>
      </w:r>
    </w:p>
    <w:p w14:paraId="71AD99E8">
      <w:pPr>
        <w:pStyle w:val="5"/>
        <w:rPr>
          <w:highlight w:val="none"/>
        </w:rPr>
      </w:pPr>
      <w:r>
        <w:rPr>
          <w:rFonts w:hint="eastAsia"/>
          <w:highlight w:val="none"/>
        </w:rPr>
        <w:t>2.定义</w:t>
      </w:r>
    </w:p>
    <w:p w14:paraId="1DC11BF9">
      <w:pPr>
        <w:spacing w:line="360" w:lineRule="auto"/>
        <w:ind w:firstLine="480" w:firstLineChars="200"/>
        <w:rPr>
          <w:rFonts w:ascii="宋体" w:hAnsi="宋体" w:cs="宋体"/>
          <w:sz w:val="24"/>
          <w:highlight w:val="none"/>
        </w:rPr>
      </w:pPr>
      <w:r>
        <w:rPr>
          <w:rFonts w:hint="eastAsia" w:ascii="宋体" w:hAnsi="宋体" w:cs="宋体"/>
          <w:sz w:val="24"/>
          <w:highlight w:val="none"/>
        </w:rPr>
        <w:t>2.1 “采购人”系指招标公告中载明的本项目的采购人。</w:t>
      </w:r>
    </w:p>
    <w:p w14:paraId="4C3FB11B">
      <w:pPr>
        <w:spacing w:line="360" w:lineRule="auto"/>
        <w:ind w:firstLine="480" w:firstLineChars="200"/>
        <w:rPr>
          <w:rFonts w:ascii="宋体" w:hAnsi="宋体" w:cs="宋体"/>
          <w:sz w:val="24"/>
          <w:highlight w:val="none"/>
        </w:rPr>
      </w:pPr>
      <w:r>
        <w:rPr>
          <w:rFonts w:hint="eastAsia" w:ascii="宋体" w:hAnsi="宋体" w:cs="宋体"/>
          <w:sz w:val="24"/>
          <w:highlight w:val="none"/>
        </w:rPr>
        <w:t>2.2 “采购代理机构”系指招标公告中载明的本项目的采购代理机构。</w:t>
      </w:r>
    </w:p>
    <w:p w14:paraId="68E6BB6D">
      <w:pPr>
        <w:spacing w:line="360" w:lineRule="auto"/>
        <w:ind w:firstLine="480" w:firstLineChars="200"/>
        <w:rPr>
          <w:rFonts w:ascii="宋体" w:hAnsi="宋体" w:cs="宋体"/>
          <w:sz w:val="24"/>
          <w:highlight w:val="none"/>
        </w:rPr>
      </w:pPr>
      <w:r>
        <w:rPr>
          <w:rFonts w:hint="eastAsia" w:ascii="宋体" w:hAnsi="宋体" w:cs="宋体"/>
          <w:sz w:val="24"/>
          <w:highlight w:val="none"/>
        </w:rPr>
        <w:t>2.3 “投标人”系指是指响应招标、参加投标竞争的法人、其他组织或者自然人。</w:t>
      </w:r>
    </w:p>
    <w:p w14:paraId="54D30A5D">
      <w:pPr>
        <w:spacing w:line="360" w:lineRule="auto"/>
        <w:ind w:firstLine="480" w:firstLineChars="200"/>
        <w:rPr>
          <w:rFonts w:ascii="宋体" w:hAnsi="宋体" w:cs="宋体"/>
          <w:sz w:val="24"/>
          <w:highlight w:val="none"/>
        </w:rPr>
      </w:pPr>
      <w:r>
        <w:rPr>
          <w:rFonts w:hint="eastAsia" w:ascii="宋体" w:hAnsi="宋体" w:cs="宋体"/>
          <w:sz w:val="24"/>
          <w:highlight w:val="none"/>
        </w:rPr>
        <w:t>2.4 “负责人”系指法人企业的法定负责人，或其他组织为法律、行政法规规定代表单位行使职权的主要负责人，或自然人本人。</w:t>
      </w:r>
    </w:p>
    <w:p w14:paraId="0F68C625">
      <w:pPr>
        <w:spacing w:line="360" w:lineRule="auto"/>
        <w:ind w:firstLine="480" w:firstLineChars="200"/>
        <w:rPr>
          <w:rFonts w:ascii="宋体" w:hAnsi="宋体" w:cs="宋体"/>
          <w:sz w:val="24"/>
          <w:highlight w:val="none"/>
        </w:rPr>
      </w:pPr>
      <w:r>
        <w:rPr>
          <w:rFonts w:hint="eastAsia" w:ascii="宋体" w:hAnsi="宋体" w:cs="宋体"/>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B3C5B5">
      <w:pPr>
        <w:spacing w:line="360" w:lineRule="auto"/>
        <w:ind w:firstLine="480" w:firstLineChars="200"/>
        <w:rPr>
          <w:rFonts w:ascii="宋体" w:hAnsi="宋体" w:cs="宋体"/>
          <w:sz w:val="24"/>
          <w:highlight w:val="none"/>
        </w:rPr>
      </w:pPr>
      <w:r>
        <w:rPr>
          <w:rFonts w:hint="eastAsia" w:ascii="宋体" w:hAnsi="宋体" w:cs="宋体"/>
          <w:sz w:val="24"/>
          <w:highlight w:val="none"/>
        </w:rPr>
        <w:t>2.6 “电子交易平台”系指本项目政府采购活动所依托的政府采购云平台（https://www.zcygov.cn/）。</w:t>
      </w:r>
    </w:p>
    <w:p w14:paraId="234D8224">
      <w:pPr>
        <w:spacing w:line="360" w:lineRule="auto"/>
        <w:ind w:firstLine="480" w:firstLineChars="200"/>
        <w:rPr>
          <w:rFonts w:ascii="宋体" w:hAnsi="宋体" w:cs="宋体"/>
          <w:sz w:val="24"/>
          <w:highlight w:val="none"/>
        </w:rPr>
      </w:pPr>
      <w:r>
        <w:rPr>
          <w:rFonts w:hint="eastAsia" w:ascii="宋体" w:hAnsi="宋体" w:cs="宋体"/>
          <w:sz w:val="24"/>
          <w:highlight w:val="none"/>
        </w:rPr>
        <w:t>2.7 “▲” 系指实质性要求条款，“</w:t>
      </w:r>
      <w:sdt>
        <w:sdtPr>
          <w:rPr>
            <w:rFonts w:hint="eastAsia" w:ascii="宋体" w:hAnsi="宋体" w:cs="宋体"/>
            <w:kern w:val="0"/>
            <w:sz w:val="24"/>
            <w:highlight w:val="none"/>
          </w:rPr>
          <w:id w:val="512970236"/>
        </w:sdtPr>
        <w:sdtEndPr>
          <w:rPr>
            <w:rFonts w:hint="eastAsia" w:ascii="宋体" w:hAnsi="宋体" w:cs="宋体"/>
            <w:kern w:val="0"/>
            <w:sz w:val="24"/>
            <w:highlight w:val="none"/>
          </w:rPr>
        </w:sdtEndPr>
        <w:sdtContent>
          <w:r>
            <w:rPr>
              <w:rFonts w:ascii="Wingdings" w:hAnsi="Wingdings" w:cs="宋体"/>
              <w:kern w:val="0"/>
              <w:sz w:val="24"/>
              <w:highlight w:val="none"/>
            </w:rPr>
            <w:t></w:t>
          </w:r>
        </w:sdtContent>
      </w:sdt>
      <w:r>
        <w:rPr>
          <w:rFonts w:hint="eastAsia" w:ascii="宋体" w:hAnsi="宋体" w:cs="宋体"/>
          <w:sz w:val="24"/>
          <w:highlight w:val="none"/>
        </w:rPr>
        <w:t>” 系指适用本项目的要求，“</w:t>
      </w:r>
      <w:sdt>
        <w:sdtPr>
          <w:rPr>
            <w:rFonts w:hint="eastAsia" w:ascii="宋体" w:hAnsi="宋体" w:cs="宋体"/>
            <w:kern w:val="0"/>
            <w:sz w:val="24"/>
            <w:highlight w:val="none"/>
          </w:rPr>
          <w:id w:val="404888855"/>
        </w:sdtPr>
        <w:sdtEndPr>
          <w:rPr>
            <w:rFonts w:hint="eastAsia" w:ascii="宋体" w:hAnsi="宋体" w:cs="宋体"/>
            <w:kern w:val="0"/>
            <w:sz w:val="24"/>
            <w:highlight w:val="none"/>
          </w:rPr>
        </w:sdtEndPr>
        <w:sdtContent>
          <w:r>
            <w:rPr>
              <w:rFonts w:hint="eastAsia" w:ascii="宋体" w:hAnsi="宋体" w:cs="宋体"/>
              <w:kern w:val="0"/>
              <w:sz w:val="24"/>
              <w:highlight w:val="none"/>
            </w:rPr>
            <w:t>☐</w:t>
          </w:r>
        </w:sdtContent>
      </w:sdt>
      <w:r>
        <w:rPr>
          <w:rFonts w:hint="eastAsia" w:ascii="宋体" w:hAnsi="宋体" w:cs="宋体"/>
          <w:sz w:val="24"/>
          <w:highlight w:val="none"/>
        </w:rPr>
        <w:t>” 系指不适用本项目的要求。“★”系指重要条款。</w:t>
      </w:r>
    </w:p>
    <w:p w14:paraId="6E845355">
      <w:pPr>
        <w:pStyle w:val="5"/>
        <w:rPr>
          <w:highlight w:val="none"/>
        </w:rPr>
      </w:pPr>
      <w:r>
        <w:rPr>
          <w:rFonts w:hint="eastAsia"/>
          <w:highlight w:val="none"/>
        </w:rPr>
        <w:t>3.采购项目需要落实的政府采购政策</w:t>
      </w:r>
    </w:p>
    <w:p w14:paraId="64089BB3">
      <w:pPr>
        <w:spacing w:line="360" w:lineRule="auto"/>
        <w:ind w:firstLine="480" w:firstLineChars="200"/>
        <w:rPr>
          <w:rFonts w:ascii="宋体" w:hAnsi="宋体" w:cs="宋体"/>
          <w:sz w:val="24"/>
          <w:highlight w:val="none"/>
        </w:rPr>
      </w:pPr>
      <w:r>
        <w:rPr>
          <w:rFonts w:hint="eastAsia" w:ascii="宋体" w:hAnsi="宋体" w:cs="宋体"/>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highlight w:val="none"/>
        </w:rPr>
        <w:t>优先采购向我国企业转让技术、与我国企业签订消化吸收再创新方案的供应商的进口产品</w:t>
      </w:r>
      <w:r>
        <w:rPr>
          <w:rFonts w:hint="eastAsia" w:ascii="宋体" w:hAnsi="宋体" w:cs="宋体"/>
          <w:sz w:val="24"/>
          <w:highlight w:val="none"/>
        </w:rPr>
        <w:t>。</w:t>
      </w:r>
    </w:p>
    <w:p w14:paraId="7D1B0A92">
      <w:pPr>
        <w:spacing w:line="360" w:lineRule="auto"/>
        <w:ind w:firstLine="480" w:firstLineChars="200"/>
        <w:rPr>
          <w:rFonts w:ascii="宋体" w:hAnsi="宋体" w:cs="宋体"/>
          <w:sz w:val="24"/>
          <w:highlight w:val="none"/>
        </w:rPr>
      </w:pPr>
      <w:r>
        <w:rPr>
          <w:rFonts w:hint="eastAsia" w:ascii="宋体" w:hAnsi="宋体" w:cs="宋体"/>
          <w:sz w:val="24"/>
          <w:highlight w:val="none"/>
        </w:rPr>
        <w:t>3.2 支持绿色发展</w:t>
      </w:r>
    </w:p>
    <w:p w14:paraId="64BF7E33">
      <w:pPr>
        <w:spacing w:line="360" w:lineRule="auto"/>
        <w:ind w:firstLine="480" w:firstLineChars="200"/>
        <w:rPr>
          <w:rFonts w:ascii="宋体" w:hAnsi="宋体" w:cs="宋体"/>
          <w:b/>
          <w:sz w:val="24"/>
          <w:highlight w:val="none"/>
        </w:rPr>
      </w:pPr>
      <w:r>
        <w:rPr>
          <w:rFonts w:hint="eastAsia" w:ascii="宋体" w:hAnsi="宋体" w:cs="宋体"/>
          <w:sz w:val="24"/>
          <w:highlight w:val="none"/>
        </w:rPr>
        <w:t>3.2.1 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22B83F58">
      <w:pPr>
        <w:spacing w:line="360" w:lineRule="auto"/>
        <w:ind w:firstLine="480" w:firstLineChars="200"/>
        <w:rPr>
          <w:rFonts w:ascii="宋体" w:hAnsi="宋体" w:cs="宋体"/>
          <w:sz w:val="24"/>
          <w:highlight w:val="none"/>
        </w:rPr>
      </w:pPr>
      <w:r>
        <w:rPr>
          <w:rFonts w:hint="eastAsia" w:ascii="宋体" w:hAnsi="宋体" w:cs="宋体"/>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2AA33661">
      <w:pPr>
        <w:spacing w:line="360" w:lineRule="auto"/>
        <w:ind w:firstLine="480" w:firstLineChars="200"/>
        <w:rPr>
          <w:rFonts w:ascii="宋体" w:hAnsi="宋体" w:cs="宋体"/>
          <w:sz w:val="24"/>
          <w:highlight w:val="none"/>
        </w:rPr>
      </w:pPr>
      <w:bookmarkStart w:id="15" w:name="_Hlk107568539"/>
      <w:r>
        <w:rPr>
          <w:rFonts w:hint="eastAsia" w:ascii="宋体" w:hAnsi="宋体" w:cs="宋体"/>
          <w:sz w:val="24"/>
          <w:highlight w:val="none"/>
        </w:rPr>
        <w:t>3.2.3 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bookmarkEnd w:id="15"/>
    <w:p w14:paraId="7CDB066D">
      <w:pPr>
        <w:spacing w:line="360" w:lineRule="auto"/>
        <w:ind w:firstLine="480" w:firstLineChars="200"/>
        <w:rPr>
          <w:rFonts w:ascii="宋体" w:hAnsi="宋体" w:cs="宋体"/>
          <w:sz w:val="24"/>
          <w:highlight w:val="none"/>
        </w:rPr>
      </w:pPr>
      <w:r>
        <w:rPr>
          <w:rFonts w:hint="eastAsia" w:ascii="宋体" w:hAnsi="宋体" w:cs="宋体"/>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A0F10B6">
      <w:pPr>
        <w:spacing w:line="360" w:lineRule="auto"/>
        <w:ind w:firstLine="480" w:firstLineChars="200"/>
        <w:rPr>
          <w:rFonts w:ascii="宋体" w:hAnsi="宋体" w:cs="宋体"/>
          <w:sz w:val="24"/>
          <w:highlight w:val="none"/>
        </w:rPr>
      </w:pPr>
      <w:r>
        <w:rPr>
          <w:rFonts w:hint="eastAsia" w:ascii="宋体" w:hAnsi="宋体" w:cs="宋体"/>
          <w:sz w:val="24"/>
          <w:highlight w:val="none"/>
        </w:rPr>
        <w:t>3.3 支持中小企业发展</w:t>
      </w:r>
    </w:p>
    <w:p w14:paraId="5A3F594B">
      <w:pPr>
        <w:spacing w:line="360" w:lineRule="auto"/>
        <w:ind w:firstLine="480" w:firstLineChars="200"/>
        <w:rPr>
          <w:rFonts w:ascii="宋体" w:hAnsi="宋体" w:cs="宋体"/>
          <w:sz w:val="24"/>
          <w:highlight w:val="none"/>
        </w:rPr>
      </w:pPr>
      <w:r>
        <w:rPr>
          <w:rFonts w:hint="eastAsia" w:ascii="宋体" w:hAnsi="宋体" w:cs="宋体"/>
          <w:sz w:val="24"/>
          <w:highlight w:val="none"/>
        </w:rPr>
        <w:t>3.3.1 中小企业，是指在中华人民共和国境内依法设立，依据国务院批准的中小企业划分标准确定的中型企业、小型企业和微型企业，但与大企业的负责人为同一人，或者与大企业存在直接控股、管理关系的除外。</w:t>
      </w:r>
    </w:p>
    <w:p w14:paraId="56A2BFCB">
      <w:pPr>
        <w:spacing w:line="360" w:lineRule="auto"/>
        <w:ind w:firstLine="480" w:firstLineChars="200"/>
        <w:rPr>
          <w:rFonts w:ascii="宋体" w:hAnsi="宋体" w:cs="宋体"/>
          <w:sz w:val="24"/>
          <w:highlight w:val="none"/>
        </w:rPr>
      </w:pPr>
      <w:r>
        <w:rPr>
          <w:rFonts w:hint="eastAsia" w:ascii="宋体" w:hAnsi="宋体" w:cs="宋体"/>
          <w:sz w:val="24"/>
          <w:highlight w:val="none"/>
        </w:rPr>
        <w:t>符合中小企业划分标准的个体工商户，在政府采购活动中视同中小企业。</w:t>
      </w:r>
    </w:p>
    <w:p w14:paraId="08707825">
      <w:pPr>
        <w:widowControl/>
        <w:spacing w:line="360" w:lineRule="auto"/>
        <w:ind w:firstLine="480" w:firstLineChars="200"/>
        <w:jc w:val="left"/>
        <w:rPr>
          <w:rFonts w:ascii="宋体" w:hAnsi="宋体" w:cs="宋体"/>
          <w:kern w:val="0"/>
          <w:sz w:val="24"/>
          <w:highlight w:val="none"/>
        </w:rPr>
      </w:pPr>
      <w:r>
        <w:rPr>
          <w:rFonts w:ascii="宋体" w:hAnsi="宋体" w:cs="宋体"/>
          <w:bCs/>
          <w:sz w:val="24"/>
          <w:highlight w:val="none"/>
        </w:rPr>
        <w:t>3.3.2</w:t>
      </w:r>
      <w:r>
        <w:rPr>
          <w:rFonts w:hint="eastAsia" w:ascii="宋体" w:hAnsi="宋体" w:cs="宋体"/>
          <w:bCs/>
          <w:sz w:val="24"/>
          <w:highlight w:val="none"/>
        </w:rPr>
        <w:t xml:space="preserve"> </w:t>
      </w:r>
      <w:r>
        <w:rPr>
          <w:rFonts w:hint="eastAsia" w:ascii="宋体" w:hAnsi="宋体" w:cs="宋体"/>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3DD123B4">
      <w:pPr>
        <w:widowControl/>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以联合体形式参加政府采购活动，联合体各方均为中小企业的，联合体视同中小企业。其中，联合体各方均为小微企业的，联合体视同小微企业。</w:t>
      </w:r>
    </w:p>
    <w:p w14:paraId="31084254">
      <w:pPr>
        <w:spacing w:line="360" w:lineRule="auto"/>
        <w:ind w:firstLine="480" w:firstLineChars="200"/>
        <w:rPr>
          <w:rFonts w:ascii="宋体" w:hAnsi="宋体" w:cs="宋体"/>
          <w:sz w:val="24"/>
          <w:highlight w:val="none"/>
        </w:rPr>
      </w:pPr>
      <w:bookmarkStart w:id="16" w:name="_Hlk101132181"/>
      <w:bookmarkEnd w:id="16"/>
      <w:r>
        <w:rPr>
          <w:rFonts w:hint="eastAsia" w:ascii="宋体" w:hAnsi="宋体" w:cs="宋体"/>
          <w:sz w:val="24"/>
          <w:highlight w:val="none"/>
        </w:rPr>
        <w:t>3.3.3 对于未预留份额专门面向中小企业的政府采购货物项目，以及预留份额政府采购货物项目中的非预留部分标项，对小型和微型企业的投标报价给予10%-</w:t>
      </w:r>
      <w:r>
        <w:rPr>
          <w:rFonts w:ascii="宋体" w:hAnsi="宋体" w:cs="宋体"/>
          <w:sz w:val="24"/>
          <w:highlight w:val="none"/>
        </w:rPr>
        <w:t>20</w:t>
      </w:r>
      <w:r>
        <w:rPr>
          <w:rFonts w:hint="eastAsia" w:ascii="宋体" w:hAnsi="宋体" w:cs="宋体"/>
          <w:sz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sz w:val="24"/>
          <w:highlight w:val="none"/>
        </w:rPr>
        <w:t>6</w:t>
      </w:r>
      <w:r>
        <w:rPr>
          <w:rFonts w:hint="eastAsia" w:ascii="宋体" w:hAnsi="宋体" w:cs="宋体"/>
          <w:sz w:val="24"/>
          <w:highlight w:val="none"/>
        </w:rPr>
        <w:t>%的扣除，用扣除后的价格参加评审。组成联合体或者接受分包的小微企业与联合体内其他企业、分包企业之间存在直接控股、管理关系的，不享受价格扣除优惠政策。</w:t>
      </w:r>
    </w:p>
    <w:p w14:paraId="36A5B6BC">
      <w:pPr>
        <w:spacing w:line="360" w:lineRule="auto"/>
        <w:ind w:firstLine="480" w:firstLineChars="200"/>
        <w:rPr>
          <w:rFonts w:ascii="宋体" w:hAnsi="宋体" w:cs="宋体"/>
          <w:sz w:val="24"/>
          <w:highlight w:val="none"/>
        </w:rPr>
      </w:pPr>
      <w:r>
        <w:rPr>
          <w:rFonts w:hint="eastAsia" w:ascii="宋体" w:hAnsi="宋体" w:cs="宋体"/>
          <w:sz w:val="24"/>
          <w:highlight w:val="none"/>
        </w:rPr>
        <w:t>3.3.4 符合《关于促进残疾人就业政府采购政策的通知》（财库〔2017〕141号）规定的条件并提供《残疾人福利性单位声明函》（附件1）的残疾人福利性单位视同小型、微型企业；</w:t>
      </w:r>
    </w:p>
    <w:p w14:paraId="58B4F9F9">
      <w:pPr>
        <w:spacing w:line="360" w:lineRule="auto"/>
        <w:ind w:firstLine="480" w:firstLineChars="200"/>
        <w:rPr>
          <w:rFonts w:ascii="宋体" w:hAnsi="宋体" w:cs="宋体"/>
          <w:sz w:val="24"/>
          <w:highlight w:val="none"/>
        </w:rPr>
      </w:pPr>
      <w:r>
        <w:rPr>
          <w:rFonts w:hint="eastAsia" w:ascii="宋体" w:hAnsi="宋体" w:cs="宋体"/>
          <w:sz w:val="24"/>
          <w:highlight w:val="none"/>
        </w:rPr>
        <w:t>3.3.5 符合《关于政府采购支持监狱企业发展有关问题的通知》（财库[2014]68号）规定的监狱企业并提供由省级以上监狱管理局、戒毒管理局（含新疆生产建设兵团）出具的属于监狱企业证明文件的，视同为小型、微型企业。</w:t>
      </w:r>
    </w:p>
    <w:p w14:paraId="4D90CC00">
      <w:pPr>
        <w:spacing w:line="360" w:lineRule="auto"/>
        <w:ind w:firstLine="480" w:firstLineChars="200"/>
        <w:rPr>
          <w:rFonts w:ascii="宋体" w:hAnsi="宋体" w:cs="宋体"/>
          <w:sz w:val="24"/>
          <w:highlight w:val="none"/>
        </w:rPr>
      </w:pPr>
      <w:r>
        <w:rPr>
          <w:rFonts w:hint="eastAsia" w:ascii="宋体" w:hAnsi="宋体" w:cs="宋体"/>
          <w:sz w:val="24"/>
          <w:highlight w:val="none"/>
        </w:rPr>
        <w:t>3.3.6 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7FD1FC9">
      <w:pPr>
        <w:spacing w:line="360" w:lineRule="auto"/>
        <w:ind w:firstLine="480" w:firstLineChars="200"/>
        <w:rPr>
          <w:rFonts w:ascii="宋体" w:hAnsi="宋体" w:cs="宋体"/>
          <w:sz w:val="24"/>
          <w:highlight w:val="none"/>
        </w:rPr>
      </w:pPr>
      <w:r>
        <w:rPr>
          <w:rFonts w:hint="eastAsia" w:ascii="宋体" w:hAnsi="宋体" w:cs="宋体"/>
          <w:sz w:val="24"/>
          <w:highlight w:val="none"/>
        </w:rPr>
        <w:t>3.3.7 中小企业享受扶持政策获得政府采购合同的，小微企业不得将合同分包给大中型企业，中型企业不得将合同分包给大型企业。</w:t>
      </w:r>
    </w:p>
    <w:p w14:paraId="396F91FC">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3.4 </w:t>
      </w:r>
      <w:r>
        <w:rPr>
          <w:rFonts w:hint="eastAsia" w:ascii="宋体" w:hAnsi="宋体" w:cs="宋体"/>
          <w:bCs/>
          <w:sz w:val="24"/>
          <w:highlight w:val="none"/>
        </w:rPr>
        <w:t>支持创新发展</w:t>
      </w:r>
    </w:p>
    <w:p w14:paraId="4978F5D4">
      <w:pPr>
        <w:spacing w:line="360" w:lineRule="auto"/>
        <w:ind w:firstLine="480" w:firstLineChars="200"/>
        <w:rPr>
          <w:rFonts w:ascii="宋体" w:hAnsi="宋体" w:cs="宋体"/>
          <w:sz w:val="24"/>
          <w:highlight w:val="none"/>
        </w:rPr>
      </w:pPr>
      <w:r>
        <w:rPr>
          <w:rFonts w:hint="eastAsia" w:ascii="宋体" w:hAnsi="宋体" w:cs="宋体"/>
          <w:sz w:val="24"/>
          <w:highlight w:val="none"/>
        </w:rPr>
        <w:t>3.4.1 采购人优先采购被认定为首台套产品和“制造精品”的自主创新产品。</w:t>
      </w:r>
    </w:p>
    <w:p w14:paraId="09DD5E44">
      <w:pPr>
        <w:spacing w:line="360" w:lineRule="auto"/>
        <w:ind w:firstLine="480" w:firstLineChars="200"/>
        <w:rPr>
          <w:rFonts w:ascii="宋体" w:hAnsi="宋体" w:cs="宋体"/>
          <w:sz w:val="24"/>
          <w:highlight w:val="none"/>
        </w:rPr>
      </w:pPr>
      <w:r>
        <w:rPr>
          <w:rFonts w:hint="eastAsia" w:ascii="宋体" w:hAnsi="宋体" w:cs="宋体"/>
          <w:sz w:val="24"/>
          <w:highlight w:val="none"/>
        </w:rPr>
        <w:t>3.4.2 首台套产品被纳入《首台套产品推广应用指导目录》之日起</w:t>
      </w:r>
      <w:r>
        <w:rPr>
          <w:rFonts w:ascii="宋体" w:hAnsi="宋体" w:cs="宋体"/>
          <w:sz w:val="24"/>
          <w:highlight w:val="none"/>
        </w:rPr>
        <w:t>3</w:t>
      </w:r>
      <w:r>
        <w:rPr>
          <w:rFonts w:hint="eastAsia" w:ascii="宋体" w:hAnsi="宋体" w:cs="宋体"/>
          <w:sz w:val="24"/>
          <w:highlight w:val="none"/>
        </w:rPr>
        <w:t>年内，以及产品核心技术高于国内领先水平，并具有明晰自主知识产权的“制造精品”产品，自认定之日起2年内视同已具备相应销售业绩，参加政府采购活动时业绩分值为满分。</w:t>
      </w:r>
    </w:p>
    <w:p w14:paraId="6BC86F82">
      <w:pPr>
        <w:spacing w:line="360" w:lineRule="auto"/>
        <w:ind w:firstLine="480" w:firstLineChars="200"/>
        <w:rPr>
          <w:rFonts w:ascii="宋体" w:hAnsi="宋体" w:cs="宋体"/>
          <w:sz w:val="24"/>
          <w:highlight w:val="none"/>
        </w:rPr>
      </w:pPr>
      <w:r>
        <w:rPr>
          <w:rFonts w:hint="eastAsia" w:ascii="宋体" w:hAnsi="宋体" w:cs="宋体"/>
          <w:sz w:val="24"/>
          <w:highlight w:val="none"/>
        </w:rPr>
        <w:t>3.5 平等对待内外资企业和符合条件的破产重整企业</w:t>
      </w:r>
    </w:p>
    <w:p w14:paraId="1007B159">
      <w:pPr>
        <w:spacing w:line="360" w:lineRule="auto"/>
        <w:ind w:firstLine="480" w:firstLineChars="200"/>
        <w:rPr>
          <w:rFonts w:ascii="宋体" w:hAnsi="宋体" w:cs="宋体"/>
          <w:sz w:val="24"/>
          <w:highlight w:val="none"/>
        </w:rPr>
      </w:pPr>
      <w:r>
        <w:rPr>
          <w:rFonts w:hint="eastAsia" w:ascii="宋体" w:hAnsi="宋体" w:cs="宋体"/>
          <w:sz w:val="24"/>
          <w:highlight w:val="none"/>
        </w:rPr>
        <w:t>平等对待内外资企业和符合条件的破产重整企业，切实保障企业公平竞争，平等维护企业的合法利益。</w:t>
      </w:r>
    </w:p>
    <w:p w14:paraId="087AC5E0">
      <w:pPr>
        <w:pStyle w:val="5"/>
        <w:rPr>
          <w:highlight w:val="none"/>
        </w:rPr>
      </w:pPr>
      <w:r>
        <w:rPr>
          <w:rFonts w:hint="eastAsia"/>
          <w:highlight w:val="none"/>
        </w:rPr>
        <w:t>4.询问、质疑、投诉</w:t>
      </w:r>
    </w:p>
    <w:p w14:paraId="14DA7E2A">
      <w:pPr>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4.1</w:t>
      </w:r>
      <w:r>
        <w:rPr>
          <w:rFonts w:hint="eastAsia" w:ascii="宋体" w:hAnsi="宋体" w:cs="宋体"/>
          <w:sz w:val="24"/>
          <w:highlight w:val="none"/>
        </w:rPr>
        <w:t xml:space="preserve"> </w:t>
      </w:r>
      <w:r>
        <w:rPr>
          <w:rFonts w:hint="eastAsia" w:ascii="宋体" w:hAnsi="宋体" w:cs="宋体"/>
          <w:sz w:val="24"/>
          <w:highlight w:val="none"/>
          <w:lang w:val="zh-CN"/>
        </w:rPr>
        <w:t>在线询问、质疑、投诉</w:t>
      </w:r>
    </w:p>
    <w:p w14:paraId="5E02E6D4">
      <w:pPr>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9F2D8F7">
      <w:pPr>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4.2</w:t>
      </w:r>
      <w:r>
        <w:rPr>
          <w:rFonts w:hint="eastAsia" w:ascii="宋体" w:hAnsi="宋体" w:cs="宋体"/>
          <w:sz w:val="24"/>
          <w:highlight w:val="none"/>
        </w:rPr>
        <w:t xml:space="preserve"> </w:t>
      </w:r>
      <w:r>
        <w:rPr>
          <w:rFonts w:hint="eastAsia" w:ascii="宋体" w:hAnsi="宋体" w:cs="宋体"/>
          <w:sz w:val="24"/>
          <w:highlight w:val="none"/>
          <w:lang w:val="zh-CN"/>
        </w:rPr>
        <w:t>供应商询问</w:t>
      </w:r>
    </w:p>
    <w:p w14:paraId="5B806237">
      <w:pPr>
        <w:spacing w:line="360" w:lineRule="auto"/>
        <w:ind w:firstLine="480" w:firstLineChars="200"/>
        <w:rPr>
          <w:rFonts w:ascii="宋体" w:hAnsi="宋体" w:cs="宋体"/>
          <w:kern w:val="0"/>
          <w:sz w:val="24"/>
          <w:highlight w:val="none"/>
          <w:lang w:val="zh-CN"/>
        </w:rPr>
      </w:pPr>
      <w:r>
        <w:rPr>
          <w:rFonts w:hint="eastAsia" w:ascii="宋体" w:hAnsi="宋体" w:cs="宋体"/>
          <w:sz w:val="24"/>
          <w:highlight w:val="none"/>
          <w:lang w:val="zh-CN"/>
        </w:rPr>
        <w:t>供应商对政府采购活动事项有疑问的，可以提出询问，采购人或者采购代理机构应当在3个工作日内对供应商依法提出的询问作出答复，但答复的内容不得</w:t>
      </w:r>
      <w:r>
        <w:rPr>
          <w:rFonts w:hint="eastAsia" w:ascii="宋体" w:hAnsi="宋体" w:cs="宋体"/>
          <w:kern w:val="0"/>
          <w:sz w:val="24"/>
          <w:highlight w:val="none"/>
          <w:lang w:val="zh-CN"/>
        </w:rPr>
        <w:t>涉及商业秘密。供应商提出的询问超出采购人对采购代理机构委托授权范围的，采购代理机构应当告知供应商向采购人提出。</w:t>
      </w:r>
    </w:p>
    <w:p w14:paraId="29ED8C63">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4.3</w:t>
      </w:r>
      <w:r>
        <w:rPr>
          <w:rFonts w:hint="eastAsia" w:ascii="宋体" w:hAnsi="宋体" w:cs="宋体"/>
          <w:kern w:val="0"/>
          <w:sz w:val="24"/>
          <w:highlight w:val="none"/>
        </w:rPr>
        <w:t xml:space="preserve"> </w:t>
      </w:r>
      <w:r>
        <w:rPr>
          <w:rFonts w:hint="eastAsia" w:ascii="宋体" w:hAnsi="宋体" w:cs="宋体"/>
          <w:kern w:val="0"/>
          <w:sz w:val="24"/>
          <w:highlight w:val="none"/>
          <w:lang w:val="zh-CN"/>
        </w:rPr>
        <w:t>供应商质疑</w:t>
      </w:r>
    </w:p>
    <w:p w14:paraId="3A9BBF7E">
      <w:pPr>
        <w:pStyle w:val="32"/>
        <w:spacing w:line="360" w:lineRule="auto"/>
        <w:ind w:firstLine="480" w:firstLineChars="200"/>
        <w:rPr>
          <w:rFonts w:hAnsi="宋体" w:cs="宋体"/>
          <w:sz w:val="24"/>
          <w:highlight w:val="none"/>
        </w:rPr>
      </w:pPr>
      <w:r>
        <w:rPr>
          <w:rFonts w:hint="eastAsia" w:hAnsi="宋体" w:cs="宋体"/>
          <w:kern w:val="0"/>
          <w:sz w:val="24"/>
          <w:highlight w:val="none"/>
          <w:lang w:val="zh-CN"/>
        </w:rPr>
        <w:t>4.3</w:t>
      </w:r>
      <w:r>
        <w:rPr>
          <w:rFonts w:hint="eastAsia" w:hAnsi="宋体" w:cs="宋体"/>
          <w:sz w:val="24"/>
          <w:highlight w:val="none"/>
        </w:rPr>
        <w:t>.1 提出质疑的供应商应当是参与所质疑项目采购活动的供应商。潜在供应商已依法获取其可质疑的招标文件的，可以对该文件提出质疑。</w:t>
      </w:r>
    </w:p>
    <w:p w14:paraId="25A4E153">
      <w:pPr>
        <w:pStyle w:val="32"/>
        <w:spacing w:line="360" w:lineRule="auto"/>
        <w:ind w:firstLine="480" w:firstLineChars="200"/>
        <w:rPr>
          <w:rFonts w:hAnsi="宋体" w:cs="宋体"/>
          <w:sz w:val="24"/>
          <w:highlight w:val="none"/>
        </w:rPr>
      </w:pPr>
      <w:r>
        <w:rPr>
          <w:rFonts w:hint="eastAsia" w:hAnsi="宋体" w:cs="宋体"/>
          <w:kern w:val="0"/>
          <w:sz w:val="24"/>
          <w:highlight w:val="none"/>
          <w:lang w:val="zh-CN"/>
        </w:rPr>
        <w:t>4.3</w:t>
      </w:r>
      <w:r>
        <w:rPr>
          <w:rFonts w:hint="eastAsia" w:hAnsi="宋体" w:cs="宋体"/>
          <w:sz w:val="24"/>
          <w:highlight w:val="none"/>
        </w:rPr>
        <w:t>.2 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27B6E42">
      <w:pPr>
        <w:pStyle w:val="16"/>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4.3.2.1 对招标文件提出质疑的，质疑期限为供应商获得招标文件之日或者招标文件公告期限届满之日起计算。</w:t>
      </w:r>
    </w:p>
    <w:p w14:paraId="333FC0B6">
      <w:pPr>
        <w:pStyle w:val="32"/>
        <w:spacing w:line="360" w:lineRule="auto"/>
        <w:ind w:left="479" w:leftChars="228"/>
        <w:rPr>
          <w:rFonts w:hAnsi="宋体" w:cs="宋体"/>
          <w:sz w:val="24"/>
          <w:highlight w:val="none"/>
        </w:rPr>
      </w:pPr>
      <w:r>
        <w:rPr>
          <w:rFonts w:hint="eastAsia" w:hAnsi="宋体" w:cs="宋体"/>
          <w:sz w:val="24"/>
          <w:highlight w:val="none"/>
        </w:rPr>
        <w:t>4.3.2.2 对采购过程提出质疑的，质疑期限为各采购程序环节结束之日起计算。4.3.2.3对采购结果提出质疑的，质疑期限自采购结果公告期限届满之日起计算。</w:t>
      </w:r>
    </w:p>
    <w:p w14:paraId="5E333DB6">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4.3.3</w:t>
      </w:r>
      <w:r>
        <w:rPr>
          <w:rFonts w:hint="eastAsia" w:hAnsi="宋体" w:cs="宋体"/>
          <w:kern w:val="0"/>
          <w:sz w:val="24"/>
          <w:highlight w:val="none"/>
        </w:rPr>
        <w:t xml:space="preserve"> </w:t>
      </w:r>
      <w:r>
        <w:rPr>
          <w:rFonts w:hint="eastAsia" w:hAnsi="宋体" w:cs="宋体"/>
          <w:sz w:val="24"/>
          <w:highlight w:val="none"/>
        </w:rPr>
        <w:t>供应商提出质疑应当提交质疑函和必要的证明材料。质疑函应当包括下列内容：</w:t>
      </w:r>
    </w:p>
    <w:p w14:paraId="07701AF2">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4.3.3.1</w:t>
      </w:r>
      <w:r>
        <w:rPr>
          <w:rFonts w:hint="eastAsia" w:hAnsi="宋体" w:cs="宋体"/>
          <w:kern w:val="0"/>
          <w:sz w:val="24"/>
          <w:highlight w:val="none"/>
        </w:rPr>
        <w:t xml:space="preserve"> </w:t>
      </w:r>
      <w:r>
        <w:rPr>
          <w:rFonts w:hint="eastAsia" w:hAnsi="宋体" w:cs="宋体"/>
          <w:kern w:val="0"/>
          <w:sz w:val="24"/>
          <w:highlight w:val="none"/>
          <w:lang w:val="zh-CN"/>
        </w:rPr>
        <w:t>供应商的姓名或者名称、地址、邮编、联系人及联系电话；</w:t>
      </w:r>
    </w:p>
    <w:p w14:paraId="6112275A">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4.3.3.2</w:t>
      </w:r>
      <w:r>
        <w:rPr>
          <w:rFonts w:hint="eastAsia" w:hAnsi="宋体" w:cs="宋体"/>
          <w:kern w:val="0"/>
          <w:sz w:val="24"/>
          <w:highlight w:val="none"/>
        </w:rPr>
        <w:t xml:space="preserve"> </w:t>
      </w:r>
      <w:r>
        <w:rPr>
          <w:rFonts w:hint="eastAsia" w:hAnsi="宋体" w:cs="宋体"/>
          <w:kern w:val="0"/>
          <w:sz w:val="24"/>
          <w:highlight w:val="none"/>
          <w:lang w:val="zh-CN"/>
        </w:rPr>
        <w:t>质疑项目的名称、编号；</w:t>
      </w:r>
    </w:p>
    <w:p w14:paraId="69E46E9F">
      <w:pPr>
        <w:pStyle w:val="32"/>
        <w:spacing w:line="360" w:lineRule="auto"/>
        <w:ind w:firstLine="480" w:firstLineChars="200"/>
        <w:rPr>
          <w:rFonts w:hAnsi="宋体" w:cs="宋体"/>
          <w:sz w:val="24"/>
          <w:highlight w:val="none"/>
          <w:lang w:val="zh-CN"/>
        </w:rPr>
      </w:pPr>
      <w:r>
        <w:rPr>
          <w:rFonts w:hint="eastAsia" w:hAnsi="宋体" w:cs="宋体"/>
          <w:kern w:val="0"/>
          <w:sz w:val="24"/>
          <w:highlight w:val="none"/>
          <w:lang w:val="zh-CN"/>
        </w:rPr>
        <w:t>4.3.3.3</w:t>
      </w:r>
      <w:r>
        <w:rPr>
          <w:rFonts w:hint="eastAsia" w:hAnsi="宋体" w:cs="宋体"/>
          <w:kern w:val="0"/>
          <w:sz w:val="24"/>
          <w:highlight w:val="none"/>
        </w:rPr>
        <w:t xml:space="preserve"> </w:t>
      </w:r>
      <w:r>
        <w:rPr>
          <w:rFonts w:hint="eastAsia" w:hAnsi="宋体" w:cs="宋体"/>
          <w:kern w:val="0"/>
          <w:sz w:val="24"/>
          <w:highlight w:val="none"/>
          <w:lang w:val="zh-CN"/>
        </w:rPr>
        <w:t>具体、明确的质疑事项</w:t>
      </w:r>
      <w:r>
        <w:rPr>
          <w:rFonts w:hint="eastAsia" w:hAnsi="宋体" w:cs="宋体"/>
          <w:sz w:val="24"/>
          <w:highlight w:val="none"/>
          <w:lang w:val="zh-CN"/>
        </w:rPr>
        <w:t>和与质疑事项相关的请求；</w:t>
      </w:r>
    </w:p>
    <w:p w14:paraId="49A49EBF">
      <w:pPr>
        <w:pStyle w:val="32"/>
        <w:spacing w:line="360" w:lineRule="auto"/>
        <w:ind w:firstLine="480" w:firstLineChars="200"/>
        <w:rPr>
          <w:rFonts w:hAnsi="宋体" w:cs="宋体"/>
          <w:sz w:val="24"/>
          <w:highlight w:val="none"/>
          <w:lang w:val="zh-CN"/>
        </w:rPr>
      </w:pPr>
      <w:r>
        <w:rPr>
          <w:rFonts w:hint="eastAsia" w:hAnsi="宋体" w:cs="宋体"/>
          <w:sz w:val="24"/>
          <w:highlight w:val="none"/>
          <w:lang w:val="zh-CN"/>
        </w:rPr>
        <w:t>4.3.3.4</w:t>
      </w:r>
      <w:r>
        <w:rPr>
          <w:rFonts w:hint="eastAsia" w:hAnsi="宋体" w:cs="宋体"/>
          <w:sz w:val="24"/>
          <w:highlight w:val="none"/>
        </w:rPr>
        <w:t xml:space="preserve"> </w:t>
      </w:r>
      <w:r>
        <w:rPr>
          <w:rFonts w:hint="eastAsia" w:hAnsi="宋体" w:cs="宋体"/>
          <w:sz w:val="24"/>
          <w:highlight w:val="none"/>
          <w:lang w:val="zh-CN"/>
        </w:rPr>
        <w:t>事实依据；</w:t>
      </w:r>
    </w:p>
    <w:p w14:paraId="59A50772">
      <w:pPr>
        <w:pStyle w:val="32"/>
        <w:spacing w:line="360" w:lineRule="auto"/>
        <w:ind w:firstLine="480" w:firstLineChars="200"/>
        <w:rPr>
          <w:rFonts w:hAnsi="宋体" w:cs="宋体"/>
          <w:sz w:val="24"/>
          <w:highlight w:val="none"/>
          <w:lang w:val="zh-CN"/>
        </w:rPr>
      </w:pPr>
      <w:r>
        <w:rPr>
          <w:rFonts w:hint="eastAsia" w:hAnsi="宋体" w:cs="宋体"/>
          <w:sz w:val="24"/>
          <w:highlight w:val="none"/>
          <w:lang w:val="zh-CN"/>
        </w:rPr>
        <w:t>4.3.3.5</w:t>
      </w:r>
      <w:r>
        <w:rPr>
          <w:rFonts w:hint="eastAsia" w:hAnsi="宋体" w:cs="宋体"/>
          <w:sz w:val="24"/>
          <w:highlight w:val="none"/>
        </w:rPr>
        <w:t xml:space="preserve"> </w:t>
      </w:r>
      <w:r>
        <w:rPr>
          <w:rFonts w:hint="eastAsia" w:hAnsi="宋体" w:cs="宋体"/>
          <w:sz w:val="24"/>
          <w:highlight w:val="none"/>
          <w:lang w:val="zh-CN"/>
        </w:rPr>
        <w:t>必要的法律依据；</w:t>
      </w:r>
    </w:p>
    <w:p w14:paraId="0F7921A8">
      <w:pPr>
        <w:pStyle w:val="32"/>
        <w:spacing w:line="360" w:lineRule="auto"/>
        <w:ind w:firstLine="480" w:firstLineChars="200"/>
        <w:rPr>
          <w:rFonts w:hAnsi="宋体" w:cs="宋体"/>
          <w:sz w:val="24"/>
          <w:highlight w:val="none"/>
          <w:lang w:val="zh-CN"/>
        </w:rPr>
      </w:pPr>
      <w:r>
        <w:rPr>
          <w:rFonts w:hint="eastAsia" w:hAnsi="宋体" w:cs="宋体"/>
          <w:sz w:val="24"/>
          <w:highlight w:val="none"/>
          <w:lang w:val="zh-CN"/>
        </w:rPr>
        <w:t>4.3.3.6</w:t>
      </w:r>
      <w:r>
        <w:rPr>
          <w:rFonts w:hint="eastAsia" w:hAnsi="宋体" w:cs="宋体"/>
          <w:sz w:val="24"/>
          <w:highlight w:val="none"/>
        </w:rPr>
        <w:t xml:space="preserve"> </w:t>
      </w:r>
      <w:r>
        <w:rPr>
          <w:rFonts w:hint="eastAsia" w:hAnsi="宋体" w:cs="宋体"/>
          <w:sz w:val="24"/>
          <w:highlight w:val="none"/>
          <w:lang w:val="zh-CN"/>
        </w:rPr>
        <w:t>提出质疑的日期。</w:t>
      </w:r>
    </w:p>
    <w:p w14:paraId="42770FA7">
      <w:pPr>
        <w:pStyle w:val="32"/>
        <w:spacing w:line="360" w:lineRule="auto"/>
        <w:ind w:firstLine="482" w:firstLineChars="200"/>
        <w:rPr>
          <w:rFonts w:hAnsi="宋体" w:cs="宋体"/>
          <w:b/>
          <w:bCs/>
          <w:sz w:val="24"/>
          <w:highlight w:val="none"/>
        </w:rPr>
      </w:pPr>
      <w:r>
        <w:rPr>
          <w:rFonts w:hint="eastAsia" w:hAnsi="宋体" w:cs="宋体"/>
          <w:b/>
          <w:bCs/>
          <w:sz w:val="24"/>
          <w:highlight w:val="none"/>
        </w:rPr>
        <w:t>供应商提交的质疑函需一式三份。供应商为自然人的，应当由本人签字；供应商为法人或者其他组织的，应当由法定代表人、主要负责人，或者其授权代表签字或者盖章，并加盖公章。</w:t>
      </w:r>
    </w:p>
    <w:p w14:paraId="22513BA0">
      <w:pPr>
        <w:pStyle w:val="32"/>
        <w:spacing w:line="360" w:lineRule="auto"/>
        <w:ind w:firstLine="482" w:firstLineChars="200"/>
        <w:rPr>
          <w:rFonts w:hAnsi="宋体" w:cs="宋体"/>
          <w:b/>
          <w:bCs/>
          <w:sz w:val="24"/>
          <w:highlight w:val="none"/>
        </w:rPr>
      </w:pPr>
      <w:r>
        <w:rPr>
          <w:rFonts w:hint="eastAsia" w:hAnsi="宋体" w:cs="宋体"/>
          <w:b/>
          <w:bCs/>
          <w:sz w:val="24"/>
          <w:highlight w:val="none"/>
        </w:rPr>
        <w:t>质疑函范本及制作说明详见附件2。</w:t>
      </w:r>
    </w:p>
    <w:p w14:paraId="0271048E">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4.3.4</w:t>
      </w:r>
      <w:r>
        <w:rPr>
          <w:rFonts w:hint="eastAsia" w:hAnsi="宋体" w:cs="宋体"/>
          <w:kern w:val="0"/>
          <w:sz w:val="24"/>
          <w:highlight w:val="none"/>
        </w:rPr>
        <w:t xml:space="preserve"> </w:t>
      </w:r>
      <w:r>
        <w:rPr>
          <w:rFonts w:hint="eastAsia" w:hAnsi="宋体" w:cs="宋体"/>
          <w:kern w:val="0"/>
          <w:sz w:val="24"/>
          <w:highlight w:val="none"/>
          <w:lang w:val="zh-CN"/>
        </w:rPr>
        <w:t>对同一采购程序环节的质疑，供应商须在法定质疑期内一次性提出。</w:t>
      </w:r>
    </w:p>
    <w:p w14:paraId="5C1F7B69">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4.3.5</w:t>
      </w:r>
      <w:r>
        <w:rPr>
          <w:rFonts w:hint="eastAsia" w:hAnsi="宋体" w:cs="宋体"/>
          <w:kern w:val="0"/>
          <w:sz w:val="24"/>
          <w:highlight w:val="none"/>
        </w:rPr>
        <w:t xml:space="preserve"> </w:t>
      </w:r>
      <w:r>
        <w:rPr>
          <w:rFonts w:hint="eastAsia" w:hAnsi="宋体" w:cs="宋体"/>
          <w:kern w:val="0"/>
          <w:sz w:val="24"/>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w:t>
      </w:r>
    </w:p>
    <w:p w14:paraId="092B2B10">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4.3.6</w:t>
      </w:r>
      <w:r>
        <w:rPr>
          <w:rFonts w:hint="eastAsia" w:hAnsi="宋体" w:cs="宋体"/>
          <w:kern w:val="0"/>
          <w:sz w:val="24"/>
          <w:highlight w:val="none"/>
        </w:rPr>
        <w:t xml:space="preserve"> </w:t>
      </w:r>
      <w:r>
        <w:rPr>
          <w:rFonts w:hint="eastAsia" w:hAnsi="宋体" w:cs="宋体"/>
          <w:kern w:val="0"/>
          <w:sz w:val="24"/>
          <w:highlight w:val="none"/>
          <w:lang w:val="zh-CN"/>
        </w:rPr>
        <w:t>询问或者质疑事项可能影响采购结果的，采购人应当暂停签订合同，已经签订合同的，应当中止履行合同。</w:t>
      </w:r>
    </w:p>
    <w:p w14:paraId="754AFC31">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4.4</w:t>
      </w:r>
      <w:r>
        <w:rPr>
          <w:rFonts w:hint="eastAsia" w:hAnsi="宋体" w:cs="宋体"/>
          <w:kern w:val="0"/>
          <w:sz w:val="24"/>
          <w:highlight w:val="none"/>
        </w:rPr>
        <w:t xml:space="preserve"> </w:t>
      </w:r>
      <w:r>
        <w:rPr>
          <w:rFonts w:hint="eastAsia" w:hAnsi="宋体" w:cs="宋体"/>
          <w:kern w:val="0"/>
          <w:sz w:val="24"/>
          <w:highlight w:val="none"/>
          <w:lang w:val="zh-CN"/>
        </w:rPr>
        <w:t>供应商投诉</w:t>
      </w:r>
    </w:p>
    <w:p w14:paraId="2F7A2103">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4.4.1</w:t>
      </w:r>
      <w:r>
        <w:rPr>
          <w:rFonts w:hint="eastAsia" w:hAnsi="宋体" w:cs="宋体"/>
          <w:kern w:val="0"/>
          <w:sz w:val="24"/>
          <w:highlight w:val="none"/>
        </w:rPr>
        <w:t xml:space="preserve"> </w:t>
      </w:r>
      <w:r>
        <w:rPr>
          <w:rFonts w:hint="eastAsia" w:hAnsi="宋体" w:cs="宋体"/>
          <w:kern w:val="0"/>
          <w:sz w:val="24"/>
          <w:highlight w:val="none"/>
          <w:lang w:val="zh-CN"/>
        </w:rPr>
        <w:t>质疑供应商对采购人、采购代理机构的答复不满意或者采购人、采购代理机构未在规定的时间内作出答复的，可以在答复期满后十五个工作日内向同级政府采购监督管理部门提出投诉。</w:t>
      </w:r>
    </w:p>
    <w:p w14:paraId="096C49FB">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4.4.2</w:t>
      </w:r>
      <w:r>
        <w:rPr>
          <w:rFonts w:hint="eastAsia" w:hAnsi="宋体" w:cs="宋体"/>
          <w:kern w:val="0"/>
          <w:sz w:val="24"/>
          <w:highlight w:val="none"/>
        </w:rPr>
        <w:t xml:space="preserve"> </w:t>
      </w:r>
      <w:r>
        <w:rPr>
          <w:rFonts w:hint="eastAsia" w:hAnsi="宋体" w:cs="宋体"/>
          <w:kern w:val="0"/>
          <w:sz w:val="24"/>
          <w:highlight w:val="none"/>
          <w:lang w:val="zh-CN"/>
        </w:rPr>
        <w:t>供应商投诉的事项不得超出已质疑事项的范围，基于质疑答复内容提出的投诉事项除外。</w:t>
      </w:r>
    </w:p>
    <w:p w14:paraId="484C0BAB">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4.4.3</w:t>
      </w:r>
      <w:r>
        <w:rPr>
          <w:rFonts w:hint="eastAsia" w:hAnsi="宋体" w:cs="宋体"/>
          <w:kern w:val="0"/>
          <w:sz w:val="24"/>
          <w:highlight w:val="none"/>
        </w:rPr>
        <w:t xml:space="preserve"> </w:t>
      </w:r>
      <w:r>
        <w:rPr>
          <w:rFonts w:hint="eastAsia" w:hAnsi="宋体" w:cs="宋体"/>
          <w:kern w:val="0"/>
          <w:sz w:val="24"/>
          <w:highlight w:val="none"/>
          <w:lang w:val="zh-CN"/>
        </w:rPr>
        <w:t>供应商投诉应当有明确的请求和必要的证明材料。</w:t>
      </w:r>
    </w:p>
    <w:p w14:paraId="5BE39F61">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4.4.4 以联合体形式参加政府采购活动的，其投诉应当由组成联合体的所有供应商共同提出。</w:t>
      </w:r>
    </w:p>
    <w:p w14:paraId="3C783B7C">
      <w:pPr>
        <w:pStyle w:val="32"/>
        <w:spacing w:line="360" w:lineRule="auto"/>
        <w:ind w:firstLine="480" w:firstLineChars="200"/>
        <w:rPr>
          <w:rFonts w:hAnsi="宋体" w:cs="宋体"/>
          <w:kern w:val="0"/>
          <w:sz w:val="24"/>
          <w:highlight w:val="none"/>
          <w:lang w:val="zh-CN"/>
        </w:rPr>
      </w:pPr>
      <w:r>
        <w:rPr>
          <w:rFonts w:hint="eastAsia" w:hAnsi="宋体" w:cs="宋体"/>
          <w:kern w:val="0"/>
          <w:sz w:val="24"/>
          <w:highlight w:val="none"/>
          <w:lang w:val="zh-CN"/>
        </w:rPr>
        <w:t>投诉书范本及制作说明详见附件3。</w:t>
      </w:r>
    </w:p>
    <w:p w14:paraId="4D5E3144">
      <w:pPr>
        <w:rPr>
          <w:highlight w:val="none"/>
        </w:rPr>
      </w:pPr>
    </w:p>
    <w:p w14:paraId="2244F056">
      <w:pPr>
        <w:pStyle w:val="4"/>
        <w:jc w:val="center"/>
        <w:rPr>
          <w:highlight w:val="none"/>
        </w:rPr>
      </w:pPr>
      <w:bookmarkStart w:id="17" w:name="_Toc32424"/>
      <w:r>
        <w:rPr>
          <w:rFonts w:hint="eastAsia"/>
          <w:highlight w:val="none"/>
        </w:rPr>
        <w:t>二、招标文件的构成、澄清、修改</w:t>
      </w:r>
      <w:bookmarkEnd w:id="17"/>
    </w:p>
    <w:p w14:paraId="59733017">
      <w:pPr>
        <w:pStyle w:val="5"/>
        <w:rPr>
          <w:highlight w:val="none"/>
        </w:rPr>
      </w:pPr>
      <w:r>
        <w:rPr>
          <w:rFonts w:hint="eastAsia"/>
          <w:highlight w:val="none"/>
        </w:rPr>
        <w:t>5．招标文件的构成</w:t>
      </w:r>
    </w:p>
    <w:p w14:paraId="57841753">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5.1 招标文件包括下列文件及附件：</w:t>
      </w:r>
    </w:p>
    <w:p w14:paraId="0457077B">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5.1.1 招标公告；</w:t>
      </w:r>
    </w:p>
    <w:p w14:paraId="3AFD49EC">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5.1.2 投标人须知；</w:t>
      </w:r>
    </w:p>
    <w:p w14:paraId="295E9F23">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5.1.3 采购需求；</w:t>
      </w:r>
    </w:p>
    <w:p w14:paraId="41DD46A2">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5.1.4 评标办法；</w:t>
      </w:r>
    </w:p>
    <w:p w14:paraId="01722F35">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szCs w:val="24"/>
          <w:highlight w:val="none"/>
        </w:rPr>
        <w:t>5.1.5 拟签订的合同文本；</w:t>
      </w:r>
    </w:p>
    <w:p w14:paraId="7FE4E07B">
      <w:pPr>
        <w:pStyle w:val="32"/>
        <w:tabs>
          <w:tab w:val="left" w:pos="840"/>
        </w:tabs>
        <w:spacing w:line="360" w:lineRule="auto"/>
        <w:ind w:firstLine="960" w:firstLineChars="400"/>
        <w:rPr>
          <w:rFonts w:hAnsi="宋体" w:cs="宋体"/>
          <w:sz w:val="24"/>
          <w:szCs w:val="24"/>
          <w:highlight w:val="none"/>
        </w:rPr>
      </w:pPr>
      <w:r>
        <w:rPr>
          <w:rFonts w:hint="eastAsia" w:hAnsi="宋体" w:cs="宋体"/>
          <w:sz w:val="24"/>
          <w:highlight w:val="none"/>
        </w:rPr>
        <w:t xml:space="preserve">5.1.6 </w:t>
      </w:r>
      <w:r>
        <w:rPr>
          <w:rFonts w:hint="eastAsia" w:hAnsi="宋体" w:cs="宋体"/>
          <w:sz w:val="24"/>
          <w:szCs w:val="24"/>
          <w:highlight w:val="none"/>
        </w:rPr>
        <w:t>应提交的有关格式范例。</w:t>
      </w:r>
    </w:p>
    <w:p w14:paraId="077B6622">
      <w:pPr>
        <w:spacing w:line="360" w:lineRule="auto"/>
        <w:ind w:firstLine="480" w:firstLineChars="200"/>
        <w:rPr>
          <w:rFonts w:ascii="宋体" w:hAnsi="宋体" w:cs="宋体"/>
          <w:sz w:val="24"/>
          <w:highlight w:val="none"/>
        </w:rPr>
      </w:pPr>
      <w:r>
        <w:rPr>
          <w:rFonts w:hint="eastAsia" w:ascii="宋体" w:hAnsi="宋体" w:cs="宋体"/>
          <w:sz w:val="24"/>
          <w:highlight w:val="none"/>
        </w:rPr>
        <w:t>5.2 与本项目有关的</w:t>
      </w:r>
      <w:r>
        <w:rPr>
          <w:rFonts w:hint="eastAsia" w:ascii="宋体" w:hAnsi="宋体" w:cs="宋体"/>
          <w:bCs/>
          <w:sz w:val="24"/>
          <w:highlight w:val="none"/>
        </w:rPr>
        <w:t>澄清或者修改的内容为招标文件的组成部分</w:t>
      </w:r>
      <w:r>
        <w:rPr>
          <w:rFonts w:hint="eastAsia" w:ascii="宋体" w:hAnsi="宋体" w:cs="宋体"/>
          <w:sz w:val="24"/>
          <w:highlight w:val="none"/>
        </w:rPr>
        <w:t>。</w:t>
      </w:r>
    </w:p>
    <w:p w14:paraId="072E671A">
      <w:pPr>
        <w:pStyle w:val="5"/>
        <w:rPr>
          <w:highlight w:val="none"/>
        </w:rPr>
      </w:pPr>
      <w:r>
        <w:rPr>
          <w:rFonts w:hint="eastAsia"/>
          <w:highlight w:val="none"/>
        </w:rPr>
        <w:t>6.招标文件的澄清、修改</w:t>
      </w:r>
    </w:p>
    <w:p w14:paraId="2DEEB5B1">
      <w:pPr>
        <w:pStyle w:val="134"/>
        <w:snapToGrid w:val="0"/>
        <w:spacing w:before="0"/>
        <w:ind w:firstLine="480"/>
        <w:rPr>
          <w:rFonts w:ascii="宋体" w:hAnsi="宋体" w:cs="宋体"/>
          <w:highlight w:val="none"/>
        </w:rPr>
      </w:pPr>
      <w:r>
        <w:rPr>
          <w:rFonts w:hint="eastAsia" w:ascii="宋体" w:hAnsi="宋体" w:cs="宋体"/>
          <w:highlight w:val="none"/>
        </w:rPr>
        <w:t>6.1 已获取招标文件的潜在投标人，若有问题需要澄清，应于投标截止时间前，以书面形式向采购代理机构提出。</w:t>
      </w:r>
    </w:p>
    <w:p w14:paraId="14FB8A86">
      <w:pPr>
        <w:pStyle w:val="134"/>
        <w:snapToGrid w:val="0"/>
        <w:spacing w:before="0"/>
        <w:ind w:firstLine="480"/>
        <w:rPr>
          <w:rFonts w:ascii="宋体" w:hAnsi="宋体" w:cs="宋体"/>
          <w:highlight w:val="none"/>
        </w:rPr>
      </w:pPr>
      <w:r>
        <w:rPr>
          <w:rFonts w:hint="eastAsia" w:ascii="宋体" w:hAnsi="宋体" w:cs="宋体"/>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0FF2DDE">
      <w:pPr>
        <w:rPr>
          <w:highlight w:val="none"/>
        </w:rPr>
      </w:pPr>
    </w:p>
    <w:p w14:paraId="65A4B548">
      <w:pPr>
        <w:pStyle w:val="4"/>
        <w:jc w:val="center"/>
        <w:rPr>
          <w:highlight w:val="none"/>
        </w:rPr>
      </w:pPr>
      <w:bookmarkStart w:id="18" w:name="_Toc6324"/>
      <w:r>
        <w:rPr>
          <w:rFonts w:hint="eastAsia"/>
          <w:highlight w:val="none"/>
        </w:rPr>
        <w:t>三、投标</w:t>
      </w:r>
      <w:bookmarkEnd w:id="18"/>
    </w:p>
    <w:p w14:paraId="2DADF9E1">
      <w:pPr>
        <w:pStyle w:val="5"/>
        <w:rPr>
          <w:highlight w:val="none"/>
        </w:rPr>
      </w:pPr>
      <w:r>
        <w:rPr>
          <w:rFonts w:hint="eastAsia"/>
          <w:highlight w:val="none"/>
        </w:rPr>
        <w:t>7.招标文件的获取</w:t>
      </w:r>
    </w:p>
    <w:p w14:paraId="49CC2BD2">
      <w:pPr>
        <w:spacing w:line="360" w:lineRule="auto"/>
        <w:ind w:firstLine="480" w:firstLineChars="200"/>
        <w:rPr>
          <w:rFonts w:ascii="宋体" w:hAnsi="宋体" w:cs="宋体"/>
          <w:kern w:val="28"/>
          <w:sz w:val="24"/>
          <w:highlight w:val="none"/>
        </w:rPr>
      </w:pPr>
      <w:r>
        <w:rPr>
          <w:rFonts w:hint="eastAsia" w:ascii="宋体" w:hAnsi="宋体" w:cs="宋体"/>
          <w:kern w:val="28"/>
          <w:sz w:val="24"/>
          <w:highlight w:val="none"/>
        </w:rPr>
        <w:t>详见招标公告中获取招标文件的时间期限、地点、方式及招标文件售价。</w:t>
      </w:r>
    </w:p>
    <w:p w14:paraId="77FD8C72">
      <w:pPr>
        <w:pStyle w:val="5"/>
        <w:rPr>
          <w:highlight w:val="none"/>
        </w:rPr>
      </w:pPr>
      <w:r>
        <w:rPr>
          <w:rFonts w:hint="eastAsia"/>
          <w:highlight w:val="none"/>
        </w:rPr>
        <w:t>8.开标前答疑会或现场考察</w:t>
      </w:r>
    </w:p>
    <w:p w14:paraId="0979A2AB">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采购人组织潜在投标人现场考察或者召开开标前答疑会的，潜在投标人按第二部分投标人须知前附表的规定参加现场考察或者开标前答疑会。</w:t>
      </w:r>
    </w:p>
    <w:p w14:paraId="4E358582">
      <w:pPr>
        <w:pStyle w:val="5"/>
        <w:rPr>
          <w:highlight w:val="none"/>
        </w:rPr>
      </w:pPr>
      <w:r>
        <w:rPr>
          <w:rFonts w:hint="eastAsia"/>
          <w:highlight w:val="none"/>
        </w:rPr>
        <w:t>9.投标保证金</w:t>
      </w:r>
    </w:p>
    <w:p w14:paraId="2AC39511">
      <w:pPr>
        <w:pStyle w:val="1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2BAB1626">
      <w:pPr>
        <w:pStyle w:val="5"/>
        <w:rPr>
          <w:highlight w:val="none"/>
        </w:rPr>
      </w:pPr>
      <w:r>
        <w:rPr>
          <w:rFonts w:hint="eastAsia"/>
          <w:highlight w:val="none"/>
        </w:rPr>
        <w:t>10.投标文件的语言</w:t>
      </w:r>
    </w:p>
    <w:p w14:paraId="15C78613">
      <w:pPr>
        <w:autoSpaceDE w:val="0"/>
        <w:autoSpaceDN w:val="0"/>
        <w:spacing w:line="360" w:lineRule="auto"/>
        <w:ind w:firstLine="480" w:firstLineChars="200"/>
        <w:rPr>
          <w:rFonts w:ascii="宋体" w:hAnsi="宋体" w:cs="宋体"/>
          <w:sz w:val="24"/>
          <w:highlight w:val="none"/>
          <w:lang w:val="zh-CN"/>
        </w:rPr>
      </w:pPr>
      <w:r>
        <w:rPr>
          <w:rFonts w:hint="eastAsia" w:ascii="宋体" w:hAnsi="宋体" w:cs="宋体"/>
          <w:sz w:val="24"/>
          <w:highlight w:val="none"/>
        </w:rPr>
        <w:t>投标文件及投标人与采购有关的来往通知、函件和文件均应使用中文。</w:t>
      </w:r>
    </w:p>
    <w:p w14:paraId="0535C23C">
      <w:pPr>
        <w:pStyle w:val="5"/>
        <w:rPr>
          <w:highlight w:val="none"/>
        </w:rPr>
      </w:pPr>
      <w:r>
        <w:rPr>
          <w:rFonts w:hint="eastAsia"/>
          <w:highlight w:val="none"/>
        </w:rPr>
        <w:t>11.投标文件的组成</w:t>
      </w:r>
    </w:p>
    <w:p w14:paraId="147CFF72">
      <w:pPr>
        <w:snapToGrid w:val="0"/>
        <w:spacing w:line="360" w:lineRule="auto"/>
        <w:ind w:firstLine="482" w:firstLineChars="200"/>
        <w:rPr>
          <w:rFonts w:ascii="宋体" w:hAnsi="宋体" w:cs="宋体"/>
          <w:sz w:val="24"/>
          <w:highlight w:val="none"/>
        </w:rPr>
      </w:pPr>
      <w:r>
        <w:rPr>
          <w:rFonts w:hint="eastAsia" w:ascii="宋体" w:hAnsi="宋体" w:cs="宋体"/>
          <w:b/>
          <w:bCs/>
          <w:sz w:val="24"/>
          <w:highlight w:val="none"/>
        </w:rPr>
        <w:t xml:space="preserve">11.1 </w:t>
      </w:r>
      <w:r>
        <w:rPr>
          <w:rFonts w:hint="eastAsia" w:ascii="宋体" w:hAnsi="宋体" w:cs="宋体"/>
          <w:b/>
          <w:sz w:val="24"/>
          <w:highlight w:val="none"/>
        </w:rPr>
        <w:t>资格文件</w:t>
      </w:r>
      <w:r>
        <w:rPr>
          <w:rFonts w:hint="eastAsia" w:ascii="宋体" w:hAnsi="宋体" w:cs="宋体"/>
          <w:sz w:val="24"/>
          <w:highlight w:val="none"/>
        </w:rPr>
        <w:t>：</w:t>
      </w:r>
    </w:p>
    <w:p w14:paraId="00D796FC">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11.1.1符合参加政府采购活动应当具备的一般条件的承诺函；</w:t>
      </w:r>
    </w:p>
    <w:p w14:paraId="24C62971">
      <w:pPr>
        <w:snapToGrid w:val="0"/>
        <w:spacing w:line="360" w:lineRule="auto"/>
        <w:ind w:firstLine="960" w:firstLineChars="400"/>
        <w:rPr>
          <w:rFonts w:ascii="宋体" w:hAnsi="宋体" w:cs="宋体"/>
          <w:sz w:val="24"/>
          <w:highlight w:val="none"/>
        </w:rPr>
      </w:pPr>
      <w:bookmarkStart w:id="19" w:name="_Hlk101259339"/>
      <w:bookmarkEnd w:id="19"/>
      <w:r>
        <w:rPr>
          <w:rFonts w:hint="eastAsia" w:ascii="宋体" w:hAnsi="宋体" w:cs="宋体"/>
          <w:sz w:val="24"/>
          <w:highlight w:val="none"/>
        </w:rPr>
        <w:t>1</w:t>
      </w:r>
      <w:r>
        <w:rPr>
          <w:rFonts w:ascii="宋体" w:hAnsi="宋体" w:cs="宋体"/>
          <w:sz w:val="24"/>
          <w:highlight w:val="none"/>
        </w:rPr>
        <w:t>1.1.2</w:t>
      </w:r>
      <w:r>
        <w:rPr>
          <w:rFonts w:hint="eastAsia" w:ascii="宋体" w:hAnsi="宋体" w:cs="宋体"/>
          <w:kern w:val="28"/>
          <w:sz w:val="24"/>
          <w:szCs w:val="20"/>
          <w:highlight w:val="none"/>
        </w:rPr>
        <w:t>联合协议（如果有)；</w:t>
      </w:r>
    </w:p>
    <w:p w14:paraId="001E8D46">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11.1.</w:t>
      </w:r>
      <w:r>
        <w:rPr>
          <w:rFonts w:ascii="宋体" w:hAnsi="宋体" w:cs="宋体"/>
          <w:sz w:val="24"/>
          <w:highlight w:val="none"/>
        </w:rPr>
        <w:t>3</w:t>
      </w:r>
      <w:r>
        <w:rPr>
          <w:rFonts w:hint="eastAsia" w:ascii="宋体" w:hAnsi="宋体" w:cs="宋体"/>
          <w:sz w:val="24"/>
          <w:highlight w:val="none"/>
        </w:rPr>
        <w:t>落实政府采购政策需满足的资格要求</w:t>
      </w:r>
      <w:r>
        <w:rPr>
          <w:rFonts w:hint="eastAsia" w:ascii="宋体" w:hAnsi="宋体" w:cs="宋体"/>
          <w:kern w:val="28"/>
          <w:sz w:val="24"/>
          <w:szCs w:val="20"/>
          <w:highlight w:val="none"/>
        </w:rPr>
        <w:t>（如果有)</w:t>
      </w:r>
      <w:r>
        <w:rPr>
          <w:rFonts w:hint="eastAsia" w:ascii="宋体" w:hAnsi="宋体" w:cs="宋体"/>
          <w:sz w:val="24"/>
          <w:highlight w:val="none"/>
        </w:rPr>
        <w:t>；</w:t>
      </w:r>
    </w:p>
    <w:p w14:paraId="245B4AEB">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11.1.</w:t>
      </w:r>
      <w:r>
        <w:rPr>
          <w:rFonts w:ascii="宋体" w:hAnsi="宋体" w:cs="宋体"/>
          <w:sz w:val="24"/>
          <w:highlight w:val="none"/>
        </w:rPr>
        <w:t>4</w:t>
      </w:r>
      <w:r>
        <w:rPr>
          <w:rFonts w:hint="eastAsia" w:ascii="宋体" w:hAnsi="宋体" w:cs="宋体"/>
          <w:sz w:val="24"/>
          <w:highlight w:val="none"/>
        </w:rPr>
        <w:t>本项目的特定资格要求</w:t>
      </w:r>
      <w:r>
        <w:rPr>
          <w:rFonts w:hint="eastAsia" w:ascii="宋体" w:hAnsi="宋体" w:cs="宋体"/>
          <w:kern w:val="28"/>
          <w:sz w:val="24"/>
          <w:szCs w:val="20"/>
          <w:highlight w:val="none"/>
        </w:rPr>
        <w:t>（如果有)</w:t>
      </w:r>
      <w:r>
        <w:rPr>
          <w:rFonts w:hint="eastAsia" w:ascii="宋体" w:hAnsi="宋体" w:cs="宋体"/>
          <w:sz w:val="24"/>
          <w:highlight w:val="none"/>
        </w:rPr>
        <w:t>。</w:t>
      </w:r>
    </w:p>
    <w:p w14:paraId="34B91210">
      <w:pPr>
        <w:snapToGrid w:val="0"/>
        <w:spacing w:line="360" w:lineRule="auto"/>
        <w:ind w:firstLine="482" w:firstLineChars="200"/>
        <w:rPr>
          <w:rFonts w:ascii="宋体" w:hAnsi="宋体" w:cs="宋体"/>
          <w:b/>
          <w:bCs/>
          <w:sz w:val="24"/>
          <w:highlight w:val="none"/>
          <w:lang w:val="zh-CN"/>
        </w:rPr>
      </w:pPr>
      <w:r>
        <w:rPr>
          <w:rFonts w:hint="eastAsia" w:ascii="宋体" w:hAnsi="宋体" w:cs="宋体"/>
          <w:b/>
          <w:bCs/>
          <w:sz w:val="24"/>
          <w:highlight w:val="none"/>
          <w:lang w:val="zh-CN"/>
        </w:rPr>
        <w:t>11.</w:t>
      </w:r>
      <w:r>
        <w:rPr>
          <w:rFonts w:hint="eastAsia" w:ascii="宋体" w:hAnsi="宋体" w:cs="宋体"/>
          <w:b/>
          <w:bCs/>
          <w:sz w:val="24"/>
          <w:highlight w:val="none"/>
        </w:rPr>
        <w:t>2</w:t>
      </w:r>
      <w:r>
        <w:rPr>
          <w:rFonts w:hint="eastAsia" w:ascii="宋体" w:hAnsi="宋体" w:cs="宋体"/>
          <w:b/>
          <w:bCs/>
          <w:sz w:val="24"/>
          <w:highlight w:val="none"/>
          <w:lang w:val="zh-CN"/>
        </w:rPr>
        <w:t xml:space="preserve"> </w:t>
      </w:r>
      <w:r>
        <w:rPr>
          <w:rFonts w:hint="eastAsia" w:ascii="宋体" w:hAnsi="宋体" w:cs="宋体"/>
          <w:b/>
          <w:bCs/>
          <w:sz w:val="24"/>
          <w:highlight w:val="none"/>
        </w:rPr>
        <w:t>商务技术</w:t>
      </w:r>
      <w:r>
        <w:rPr>
          <w:rFonts w:hint="eastAsia" w:ascii="宋体" w:hAnsi="宋体" w:cs="宋体"/>
          <w:b/>
          <w:bCs/>
          <w:sz w:val="24"/>
          <w:highlight w:val="none"/>
          <w:lang w:val="zh-CN"/>
        </w:rPr>
        <w:t>文件：</w:t>
      </w:r>
    </w:p>
    <w:p w14:paraId="397A9505">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11.2.1投标函；</w:t>
      </w:r>
      <w:r>
        <w:rPr>
          <w:rFonts w:hint="eastAsia" w:ascii="宋体" w:hAnsi="宋体" w:cs="宋体"/>
          <w:sz w:val="24"/>
          <w:highlight w:val="none"/>
          <w:lang w:val="zh-CN"/>
        </w:rPr>
        <w:t xml:space="preserve"> </w:t>
      </w:r>
    </w:p>
    <w:p w14:paraId="574FB5B3">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11.2.2授权委托书或法定代表人（单位负责人、自然人本人）身份证明；</w:t>
      </w:r>
    </w:p>
    <w:p w14:paraId="152D52D5">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11.2.3分包意向协议</w:t>
      </w:r>
      <w:r>
        <w:rPr>
          <w:rFonts w:hint="eastAsia" w:ascii="宋体" w:hAnsi="宋体" w:cs="宋体"/>
          <w:kern w:val="28"/>
          <w:sz w:val="24"/>
          <w:szCs w:val="20"/>
          <w:highlight w:val="none"/>
        </w:rPr>
        <w:t>（如果有)</w:t>
      </w:r>
      <w:r>
        <w:rPr>
          <w:rFonts w:hint="eastAsia" w:ascii="宋体" w:hAnsi="宋体" w:cs="宋体"/>
          <w:sz w:val="24"/>
          <w:highlight w:val="none"/>
        </w:rPr>
        <w:t>；</w:t>
      </w:r>
    </w:p>
    <w:p w14:paraId="363516D2">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11.2.4符合性审查资料；</w:t>
      </w:r>
    </w:p>
    <w:p w14:paraId="30B9B11F">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11.2.5评标标准相应的商务技术资料；</w:t>
      </w:r>
    </w:p>
    <w:p w14:paraId="78C2B7F9">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11.2.6投标标的清单；</w:t>
      </w:r>
    </w:p>
    <w:p w14:paraId="04C71915">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11.2.7商务技术偏离表；</w:t>
      </w:r>
    </w:p>
    <w:p w14:paraId="68C7E017">
      <w:pPr>
        <w:snapToGrid w:val="0"/>
        <w:spacing w:line="360" w:lineRule="auto"/>
        <w:ind w:firstLine="960" w:firstLineChars="400"/>
        <w:rPr>
          <w:rFonts w:ascii="宋体" w:hAnsi="宋体" w:cs="宋体"/>
          <w:sz w:val="24"/>
          <w:highlight w:val="none"/>
          <w:lang w:val="zh-CN"/>
        </w:rPr>
      </w:pPr>
      <w:r>
        <w:rPr>
          <w:rFonts w:hint="eastAsia" w:ascii="宋体" w:hAnsi="宋体" w:cs="宋体"/>
          <w:sz w:val="24"/>
          <w:highlight w:val="none"/>
          <w:lang w:val="zh-CN"/>
        </w:rPr>
        <w:t>11.</w:t>
      </w: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8</w:t>
      </w:r>
      <w:r>
        <w:rPr>
          <w:rFonts w:hint="eastAsia" w:ascii="宋体" w:hAnsi="宋体" w:cs="宋体"/>
          <w:sz w:val="24"/>
          <w:highlight w:val="none"/>
          <w:lang w:val="zh-CN"/>
        </w:rPr>
        <w:t>政府采购供应商廉洁自律承诺书；</w:t>
      </w:r>
    </w:p>
    <w:p w14:paraId="4CBC01BF">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11.2.9投标人股权信息表；</w:t>
      </w:r>
    </w:p>
    <w:p w14:paraId="03F73EAB">
      <w:pPr>
        <w:snapToGrid w:val="0"/>
        <w:spacing w:line="360" w:lineRule="auto"/>
        <w:ind w:firstLine="720" w:firstLineChars="300"/>
        <w:rPr>
          <w:rFonts w:ascii="宋体" w:hAnsi="宋体" w:cs="宋体"/>
          <w:sz w:val="24"/>
          <w:highlight w:val="none"/>
        </w:rPr>
      </w:pPr>
      <w:r>
        <w:rPr>
          <w:rFonts w:hint="eastAsia" w:ascii="宋体" w:hAnsi="宋体" w:cs="宋体"/>
          <w:sz w:val="24"/>
          <w:highlight w:val="none"/>
        </w:rPr>
        <w:t>▲11.2.10缴纳代理服务费承诺书。</w:t>
      </w:r>
    </w:p>
    <w:p w14:paraId="195D9CF2">
      <w:pPr>
        <w:snapToGrid w:val="0"/>
        <w:spacing w:line="360" w:lineRule="auto"/>
        <w:ind w:firstLine="482" w:firstLineChars="200"/>
        <w:rPr>
          <w:rFonts w:ascii="宋体" w:hAnsi="宋体" w:cs="宋体"/>
          <w:sz w:val="24"/>
          <w:highlight w:val="none"/>
          <w:u w:val="single"/>
          <w:lang w:val="zh-CN"/>
        </w:rPr>
      </w:pPr>
      <w:r>
        <w:rPr>
          <w:rFonts w:hint="eastAsia" w:ascii="宋体" w:hAnsi="宋体" w:cs="宋体"/>
          <w:b/>
          <w:bCs/>
          <w:kern w:val="0"/>
          <w:sz w:val="24"/>
          <w:highlight w:val="none"/>
          <w:lang w:val="zh-CN"/>
        </w:rPr>
        <w:t>11.</w:t>
      </w:r>
      <w:r>
        <w:rPr>
          <w:rFonts w:hint="eastAsia" w:ascii="宋体" w:hAnsi="宋体" w:cs="宋体"/>
          <w:b/>
          <w:bCs/>
          <w:kern w:val="0"/>
          <w:sz w:val="24"/>
          <w:highlight w:val="none"/>
        </w:rPr>
        <w:t>3</w:t>
      </w:r>
      <w:r>
        <w:rPr>
          <w:rFonts w:hint="eastAsia" w:ascii="宋体" w:hAnsi="宋体" w:cs="宋体"/>
          <w:b/>
          <w:sz w:val="24"/>
          <w:highlight w:val="none"/>
        </w:rPr>
        <w:t>报价文件：</w:t>
      </w:r>
      <w:r>
        <w:rPr>
          <w:rFonts w:hint="eastAsia" w:ascii="宋体" w:hAnsi="宋体" w:cs="宋体"/>
          <w:sz w:val="24"/>
          <w:highlight w:val="none"/>
        </w:rPr>
        <w:t xml:space="preserve"> </w:t>
      </w:r>
    </w:p>
    <w:p w14:paraId="55EF2518">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11.3.1开标一览表（报价表）；</w:t>
      </w:r>
    </w:p>
    <w:p w14:paraId="24923470">
      <w:pPr>
        <w:snapToGrid w:val="0"/>
        <w:spacing w:line="360" w:lineRule="auto"/>
        <w:ind w:firstLine="964" w:firstLineChars="400"/>
        <w:rPr>
          <w:rFonts w:ascii="宋体" w:hAnsi="宋体" w:cs="宋体"/>
          <w:b/>
          <w:bCs/>
          <w:sz w:val="24"/>
          <w:highlight w:val="none"/>
        </w:rPr>
      </w:pPr>
      <w:r>
        <w:rPr>
          <w:rFonts w:hint="eastAsia" w:ascii="宋体" w:hAnsi="宋体" w:cs="宋体"/>
          <w:b/>
          <w:bCs/>
          <w:sz w:val="24"/>
          <w:highlight w:val="none"/>
        </w:rPr>
        <w:t>11.3.2中小企业声明函。</w:t>
      </w:r>
    </w:p>
    <w:p w14:paraId="333DC44A">
      <w:pPr>
        <w:spacing w:line="360" w:lineRule="auto"/>
        <w:ind w:firstLine="723" w:firstLineChars="300"/>
        <w:rPr>
          <w:rFonts w:ascii="宋体" w:hAnsi="宋体" w:cs="宋体"/>
          <w:b/>
          <w:sz w:val="24"/>
          <w:highlight w:val="none"/>
        </w:rPr>
      </w:pPr>
      <w:r>
        <w:rPr>
          <w:rFonts w:hint="eastAsia" w:ascii="宋体" w:hAnsi="宋体" w:cs="宋体"/>
          <w:b/>
          <w:sz w:val="24"/>
          <w:highlight w:val="none"/>
        </w:rPr>
        <w:t>投标文件含有采购人不能接受的附加条件的，投标无效；</w:t>
      </w:r>
    </w:p>
    <w:p w14:paraId="7446D347">
      <w:pPr>
        <w:spacing w:line="360" w:lineRule="auto"/>
        <w:ind w:firstLine="723" w:firstLineChars="300"/>
        <w:rPr>
          <w:rFonts w:ascii="宋体" w:hAnsi="宋体" w:cs="宋体"/>
          <w:b/>
          <w:sz w:val="24"/>
          <w:szCs w:val="21"/>
          <w:highlight w:val="none"/>
        </w:rPr>
      </w:pPr>
      <w:r>
        <w:rPr>
          <w:rFonts w:hint="eastAsia" w:ascii="宋体" w:hAnsi="宋体" w:cs="宋体"/>
          <w:b/>
          <w:sz w:val="24"/>
          <w:highlight w:val="none"/>
        </w:rPr>
        <w:t>投标人提供虚假材料投标的，投标无效。</w:t>
      </w:r>
    </w:p>
    <w:p w14:paraId="24EAE7D3">
      <w:pPr>
        <w:pStyle w:val="5"/>
        <w:rPr>
          <w:rFonts w:cs="宋体"/>
          <w:szCs w:val="24"/>
          <w:highlight w:val="none"/>
        </w:rPr>
      </w:pPr>
      <w:r>
        <w:rPr>
          <w:rFonts w:hint="eastAsia" w:cs="宋体"/>
          <w:szCs w:val="24"/>
          <w:highlight w:val="none"/>
        </w:rPr>
        <w:t>12</w:t>
      </w:r>
      <w:r>
        <w:rPr>
          <w:rFonts w:hint="eastAsia" w:cs="宋体"/>
          <w:kern w:val="0"/>
          <w:szCs w:val="24"/>
          <w:highlight w:val="none"/>
          <w:lang w:val="zh-CN"/>
        </w:rPr>
        <w:t>.</w:t>
      </w:r>
      <w:r>
        <w:rPr>
          <w:rFonts w:hint="eastAsia" w:cs="宋体"/>
          <w:szCs w:val="24"/>
          <w:highlight w:val="none"/>
        </w:rPr>
        <w:t>投标文件的编制</w:t>
      </w:r>
    </w:p>
    <w:p w14:paraId="1154F284">
      <w:pPr>
        <w:spacing w:line="360" w:lineRule="auto"/>
        <w:ind w:firstLine="480" w:firstLineChars="200"/>
        <w:rPr>
          <w:rFonts w:ascii="宋体" w:hAnsi="宋体" w:cs="宋体"/>
          <w:b/>
          <w:sz w:val="24"/>
          <w:highlight w:val="none"/>
        </w:rPr>
      </w:pPr>
      <w:r>
        <w:rPr>
          <w:rFonts w:hint="eastAsia" w:ascii="宋体" w:hAnsi="宋体" w:cs="宋体"/>
          <w:kern w:val="0"/>
          <w:sz w:val="24"/>
          <w:highlight w:val="none"/>
          <w:lang w:val="zh-CN"/>
        </w:rPr>
        <w:t>12.1</w:t>
      </w:r>
      <w:r>
        <w:rPr>
          <w:rFonts w:hint="eastAsia" w:ascii="宋体" w:hAnsi="宋体" w:cs="宋体"/>
          <w:kern w:val="0"/>
          <w:sz w:val="24"/>
          <w:highlight w:val="none"/>
        </w:rPr>
        <w:t xml:space="preserve"> </w:t>
      </w:r>
      <w:r>
        <w:rPr>
          <w:rFonts w:hint="eastAsia" w:ascii="宋体" w:hAnsi="宋体" w:cs="宋体"/>
          <w:kern w:val="0"/>
          <w:sz w:val="24"/>
          <w:highlight w:val="none"/>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F5850CA">
      <w:pPr>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12.2</w:t>
      </w:r>
      <w:r>
        <w:rPr>
          <w:rFonts w:hint="eastAsia" w:ascii="宋体" w:hAnsi="宋体" w:cs="宋体"/>
          <w:kern w:val="0"/>
          <w:sz w:val="24"/>
          <w:highlight w:val="none"/>
        </w:rPr>
        <w:t xml:space="preserve"> </w:t>
      </w:r>
      <w:r>
        <w:rPr>
          <w:rFonts w:hint="eastAsia" w:ascii="宋体" w:hAnsi="宋体" w:cs="宋体"/>
          <w:kern w:val="0"/>
          <w:sz w:val="24"/>
          <w:highlight w:val="none"/>
          <w:lang w:val="zh-CN"/>
        </w:rPr>
        <w:t>投标人进行电子投标应安装客户端软件—“政采云电子交易客户端”，并按照招标文件和电子交易平台的要求编制并加密投标文件。投标人未按规定加密的投标文件，电子交易平台将拒收并提示。</w:t>
      </w:r>
    </w:p>
    <w:p w14:paraId="69B6F6E1">
      <w:pPr>
        <w:spacing w:line="360" w:lineRule="auto"/>
        <w:ind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12.3</w:t>
      </w:r>
      <w:r>
        <w:rPr>
          <w:rFonts w:hint="eastAsia" w:ascii="宋体" w:hAnsi="宋体" w:cs="宋体"/>
          <w:kern w:val="0"/>
          <w:sz w:val="24"/>
          <w:highlight w:val="none"/>
        </w:rPr>
        <w:t xml:space="preserve"> </w:t>
      </w:r>
      <w:r>
        <w:rPr>
          <w:rFonts w:hint="eastAsia" w:ascii="宋体" w:hAnsi="宋体" w:cs="宋体"/>
          <w:kern w:val="0"/>
          <w:sz w:val="24"/>
          <w:highlight w:val="none"/>
          <w:lang w:val="zh-CN"/>
        </w:rPr>
        <w:t>使用“政采云电子交易客户端”需要提前申领CA数字证书，申领流程请自行前往“浙江政府采购网-下载专区-电子交易客户端-CA驱动和申领流程”进行查阅。</w:t>
      </w:r>
    </w:p>
    <w:p w14:paraId="7C74127C">
      <w:pPr>
        <w:pStyle w:val="5"/>
        <w:rPr>
          <w:highlight w:val="none"/>
        </w:rPr>
      </w:pPr>
      <w:r>
        <w:rPr>
          <w:rFonts w:hint="eastAsia"/>
          <w:highlight w:val="none"/>
        </w:rPr>
        <w:t>13.投标文件的签署、盖章</w:t>
      </w:r>
    </w:p>
    <w:p w14:paraId="76B7B4C9">
      <w:pPr>
        <w:pStyle w:val="134"/>
        <w:snapToGrid w:val="0"/>
        <w:spacing w:before="0"/>
        <w:ind w:firstLine="480"/>
        <w:rPr>
          <w:rFonts w:ascii="宋体" w:hAnsi="宋体" w:cs="宋体"/>
          <w:b/>
          <w:highlight w:val="none"/>
        </w:rPr>
      </w:pPr>
      <w:r>
        <w:rPr>
          <w:rFonts w:hint="eastAsia" w:ascii="宋体" w:hAnsi="宋体" w:cs="宋体"/>
          <w:szCs w:val="24"/>
          <w:highlight w:val="none"/>
        </w:rPr>
        <w:t>13.1 投标文件按照招标文件第六部分格式要</w:t>
      </w:r>
      <w:r>
        <w:rPr>
          <w:rFonts w:hint="eastAsia" w:ascii="宋体" w:hAnsi="宋体" w:cs="宋体"/>
          <w:highlight w:val="none"/>
        </w:rPr>
        <w:t>求进行签署、盖章。</w:t>
      </w:r>
      <w:r>
        <w:rPr>
          <w:rFonts w:hint="eastAsia" w:ascii="宋体" w:hAnsi="宋体" w:cs="宋体"/>
          <w:b/>
          <w:highlight w:val="none"/>
        </w:rPr>
        <w:t>▲投标人的投标文件未按照招标文件要求签署、盖章的，其投标无效</w:t>
      </w:r>
      <w:r>
        <w:rPr>
          <w:rFonts w:hint="eastAsia" w:ascii="宋体" w:hAnsi="宋体" w:cs="宋体"/>
          <w:szCs w:val="24"/>
          <w:highlight w:val="none"/>
        </w:rPr>
        <w:t>。</w:t>
      </w:r>
    </w:p>
    <w:p w14:paraId="2E61DEE4">
      <w:pPr>
        <w:pStyle w:val="134"/>
        <w:snapToGrid w:val="0"/>
        <w:spacing w:before="0"/>
        <w:ind w:firstLine="480"/>
        <w:rPr>
          <w:rFonts w:ascii="宋体" w:hAnsi="宋体" w:cs="宋体"/>
          <w:highlight w:val="none"/>
        </w:rPr>
      </w:pPr>
      <w:r>
        <w:rPr>
          <w:rFonts w:hint="eastAsia" w:ascii="宋体" w:hAnsi="宋体" w:cs="宋体"/>
          <w:highlight w:val="none"/>
        </w:rPr>
        <w:t>13.2 为确保网上操作合法、有效和安全，投标人应当在投标截止时间前完成在“政府采购云平台”的身份认证，确保在电子投标过程中能够对相关数据电文进行加密和使用电子签名。</w:t>
      </w:r>
    </w:p>
    <w:p w14:paraId="1D243359">
      <w:pPr>
        <w:pStyle w:val="134"/>
        <w:snapToGrid w:val="0"/>
        <w:spacing w:before="0"/>
        <w:ind w:firstLine="480"/>
        <w:rPr>
          <w:rFonts w:ascii="宋体" w:hAnsi="宋体" w:cs="宋体"/>
          <w:szCs w:val="24"/>
          <w:highlight w:val="none"/>
        </w:rPr>
      </w:pPr>
      <w:r>
        <w:rPr>
          <w:rFonts w:hint="eastAsia" w:ascii="宋体" w:hAnsi="宋体" w:cs="宋体"/>
          <w:highlight w:val="none"/>
        </w:rPr>
        <w:t>13.3 招标文件对投标文件签署、盖章的要求适用于电子签名。</w:t>
      </w:r>
    </w:p>
    <w:p w14:paraId="7C685953">
      <w:pPr>
        <w:pStyle w:val="5"/>
        <w:rPr>
          <w:highlight w:val="none"/>
        </w:rPr>
      </w:pPr>
      <w:r>
        <w:rPr>
          <w:rFonts w:hint="eastAsia"/>
          <w:highlight w:val="none"/>
        </w:rPr>
        <w:t>14.投标文件的提交、补充、修改、撤回</w:t>
      </w:r>
    </w:p>
    <w:p w14:paraId="02D0CCBA">
      <w:pPr>
        <w:pStyle w:val="134"/>
        <w:snapToGrid w:val="0"/>
        <w:spacing w:before="0"/>
        <w:ind w:firstLine="480"/>
        <w:rPr>
          <w:rFonts w:ascii="宋体" w:hAnsi="宋体" w:cs="宋体"/>
          <w:highlight w:val="none"/>
        </w:rPr>
      </w:pPr>
      <w:r>
        <w:rPr>
          <w:rFonts w:hint="eastAsia" w:ascii="宋体" w:hAnsi="宋体" w:cs="宋体"/>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63D072">
      <w:pPr>
        <w:pStyle w:val="134"/>
        <w:snapToGrid w:val="0"/>
        <w:spacing w:before="0"/>
        <w:ind w:firstLine="480"/>
        <w:rPr>
          <w:rFonts w:ascii="宋体" w:hAnsi="宋体" w:cs="宋体"/>
          <w:highlight w:val="none"/>
        </w:rPr>
      </w:pPr>
      <w:r>
        <w:rPr>
          <w:rFonts w:hint="eastAsia" w:ascii="宋体" w:hAnsi="宋体" w:cs="宋体"/>
          <w:highlight w:val="none"/>
        </w:rPr>
        <w:t>14.2 电子交易平台收到投标文件，将妥善保存并即时向供应商发出确认回执通知。在投标截止时间前，除供应商补充、修改或者撤回投标文件外，任何单位和个人不得解密或提取投标文件。</w:t>
      </w:r>
    </w:p>
    <w:p w14:paraId="730D5062">
      <w:pPr>
        <w:pStyle w:val="134"/>
        <w:snapToGrid w:val="0"/>
        <w:spacing w:before="0"/>
        <w:ind w:firstLine="480"/>
        <w:rPr>
          <w:rFonts w:ascii="宋体" w:hAnsi="宋体" w:cs="宋体"/>
          <w:highlight w:val="none"/>
        </w:rPr>
      </w:pPr>
      <w:r>
        <w:rPr>
          <w:rFonts w:hint="eastAsia" w:ascii="宋体" w:hAnsi="宋体" w:cs="宋体"/>
          <w:highlight w:val="none"/>
        </w:rPr>
        <w:t>14.3 采购人、采购代理机构可以视情况延长投标文件提交的截止时间。在上述情况下，采购代理机构与投标人以前在投标截止期方面的全部权利、责任和义务，将适用于延长至新的投标截止期。</w:t>
      </w:r>
    </w:p>
    <w:p w14:paraId="47914A29">
      <w:pPr>
        <w:pStyle w:val="5"/>
        <w:rPr>
          <w:highlight w:val="none"/>
        </w:rPr>
      </w:pPr>
      <w:r>
        <w:rPr>
          <w:rFonts w:hint="eastAsia"/>
          <w:highlight w:val="none"/>
        </w:rPr>
        <w:t>15.备份投标文件</w:t>
      </w:r>
    </w:p>
    <w:p w14:paraId="2CA546FC">
      <w:pPr>
        <w:pStyle w:val="134"/>
        <w:snapToGrid w:val="0"/>
        <w:spacing w:before="0"/>
        <w:ind w:firstLine="480"/>
        <w:rPr>
          <w:rFonts w:ascii="宋体" w:hAnsi="宋体" w:cs="宋体"/>
          <w:b/>
          <w:bCs/>
          <w:highlight w:val="none"/>
        </w:rPr>
      </w:pPr>
      <w:r>
        <w:rPr>
          <w:rFonts w:hint="eastAsia" w:ascii="宋体" w:hAnsi="宋体" w:cs="宋体"/>
          <w:highlight w:val="none"/>
        </w:rPr>
        <w:t>15.1 投标人在电子交易平台传输递交投标文件后，还可以在投标截止时间前直接提交或者以邮政快递方式递交备份投标文件1份，</w:t>
      </w:r>
      <w:r>
        <w:rPr>
          <w:rFonts w:hint="eastAsia" w:ascii="宋体" w:hAnsi="宋体" w:cs="宋体"/>
          <w:b/>
          <w:bCs/>
          <w:highlight w:val="none"/>
        </w:rPr>
        <w:t>但采购人、采购代理机构不强制或变相强制投标人提交备份投标文件。</w:t>
      </w:r>
    </w:p>
    <w:p w14:paraId="6B345AEA">
      <w:pPr>
        <w:pStyle w:val="134"/>
        <w:snapToGrid w:val="0"/>
        <w:spacing w:before="0"/>
        <w:ind w:firstLine="480"/>
        <w:rPr>
          <w:rFonts w:hAnsi="宋体" w:cs="宋体"/>
          <w:b/>
          <w:szCs w:val="24"/>
          <w:highlight w:val="none"/>
        </w:rPr>
      </w:pPr>
      <w:r>
        <w:rPr>
          <w:rFonts w:hint="eastAsia" w:hAnsi="宋体" w:cs="宋体"/>
          <w:szCs w:val="24"/>
          <w:highlight w:val="none"/>
        </w:rPr>
        <w:t>15.2 备份投标文件须在“政采云投标客户端”制作生成，并储存在</w:t>
      </w:r>
      <w:r>
        <w:rPr>
          <w:rFonts w:hint="eastAsia" w:hAnsi="宋体" w:cs="宋体"/>
          <w:highlight w:val="none"/>
        </w:rPr>
        <w:t>DVD光盘等存储介质</w:t>
      </w:r>
      <w:r>
        <w:rPr>
          <w:rFonts w:hint="eastAsia" w:hAnsi="宋体" w:cs="宋体"/>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highlight w:val="none"/>
        </w:rPr>
        <w:t>不符合上述制作、</w:t>
      </w:r>
      <w:r>
        <w:rPr>
          <w:rFonts w:hint="eastAsia" w:hAnsi="宋体" w:cs="宋体"/>
          <w:b/>
          <w:szCs w:val="24"/>
          <w:highlight w:val="none"/>
        </w:rPr>
        <w:t>存储、密封规定的备份投标文件将被视为无效或者被拒绝接收。</w:t>
      </w:r>
    </w:p>
    <w:p w14:paraId="045D2625">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15.3 直接提交备份投标文件的，投标人应于投标截止时间前在招标公告中载明的开标地点将备份投标文件提交给采购代理机构，采购代理机构将拒绝接受逾期送达的备份投标文件。</w:t>
      </w:r>
    </w:p>
    <w:p w14:paraId="10593B0A">
      <w:pPr>
        <w:pStyle w:val="32"/>
        <w:spacing w:line="360" w:lineRule="auto"/>
        <w:ind w:firstLine="480" w:firstLineChars="200"/>
        <w:rPr>
          <w:rFonts w:hAnsi="宋体" w:cs="宋体"/>
          <w:sz w:val="24"/>
          <w:szCs w:val="24"/>
          <w:highlight w:val="none"/>
        </w:rPr>
      </w:pPr>
      <w:r>
        <w:rPr>
          <w:rFonts w:hint="eastAsia" w:hAnsi="宋体" w:cs="宋体"/>
          <w:sz w:val="24"/>
          <w:szCs w:val="24"/>
          <w:highlight w:val="none"/>
        </w:rPr>
        <w:t>15.4 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42F76295">
      <w:pPr>
        <w:pStyle w:val="32"/>
        <w:spacing w:line="360" w:lineRule="auto"/>
        <w:ind w:firstLine="479" w:firstLineChars="199"/>
        <w:rPr>
          <w:rFonts w:hAnsi="宋体" w:cs="宋体"/>
          <w:b/>
          <w:sz w:val="24"/>
          <w:szCs w:val="24"/>
          <w:highlight w:val="none"/>
        </w:rPr>
      </w:pPr>
      <w:r>
        <w:rPr>
          <w:rFonts w:hint="eastAsia" w:hAnsi="宋体" w:cs="宋体"/>
          <w:b/>
          <w:sz w:val="24"/>
          <w:szCs w:val="24"/>
          <w:highlight w:val="none"/>
        </w:rPr>
        <w:t>15.5 投标人仅提交备份投标文件，未在电子交易平台传输递交投标文件的，投标无效。</w:t>
      </w:r>
    </w:p>
    <w:p w14:paraId="209F83C6">
      <w:pPr>
        <w:pStyle w:val="5"/>
        <w:rPr>
          <w:highlight w:val="none"/>
        </w:rPr>
      </w:pPr>
      <w:r>
        <w:rPr>
          <w:rFonts w:hint="eastAsia"/>
          <w:highlight w:val="none"/>
        </w:rPr>
        <w:t>16.投标文件的无效处理</w:t>
      </w:r>
    </w:p>
    <w:p w14:paraId="696068E7">
      <w:pPr>
        <w:pStyle w:val="2"/>
        <w:spacing w:line="360" w:lineRule="auto"/>
        <w:ind w:firstLine="360" w:firstLineChars="150"/>
        <w:rPr>
          <w:rFonts w:cs="宋体"/>
          <w:szCs w:val="21"/>
          <w:highlight w:val="none"/>
        </w:rPr>
      </w:pPr>
      <w:r>
        <w:rPr>
          <w:rFonts w:hint="eastAsia" w:cs="宋体"/>
          <w:szCs w:val="21"/>
          <w:highlight w:val="none"/>
        </w:rPr>
        <w:t>有招标文件第四部分</w:t>
      </w:r>
      <w:r>
        <w:rPr>
          <w:rFonts w:cs="宋体"/>
          <w:highlight w:val="none"/>
        </w:rPr>
        <w:t>4.2规定</w:t>
      </w:r>
      <w:r>
        <w:rPr>
          <w:rFonts w:hint="eastAsia" w:cs="宋体"/>
          <w:szCs w:val="21"/>
          <w:highlight w:val="none"/>
        </w:rPr>
        <w:t>的情形之一的，投标无效：</w:t>
      </w:r>
    </w:p>
    <w:p w14:paraId="7B2C0F47">
      <w:pPr>
        <w:pStyle w:val="5"/>
        <w:rPr>
          <w:highlight w:val="none"/>
        </w:rPr>
      </w:pPr>
      <w:r>
        <w:rPr>
          <w:rFonts w:hint="eastAsia"/>
          <w:highlight w:val="none"/>
        </w:rPr>
        <w:t>17.投标有效期</w:t>
      </w:r>
    </w:p>
    <w:p w14:paraId="0515FD5E">
      <w:pPr>
        <w:spacing w:line="360" w:lineRule="auto"/>
        <w:ind w:firstLine="480" w:firstLineChars="200"/>
        <w:rPr>
          <w:rFonts w:ascii="宋体" w:hAnsi="宋体" w:cs="宋体"/>
          <w:b/>
          <w:sz w:val="24"/>
          <w:szCs w:val="21"/>
          <w:highlight w:val="none"/>
        </w:rPr>
      </w:pPr>
      <w:r>
        <w:rPr>
          <w:rFonts w:hint="eastAsia" w:ascii="宋体" w:hAnsi="宋体" w:cs="宋体"/>
          <w:sz w:val="24"/>
          <w:szCs w:val="20"/>
          <w:highlight w:val="none"/>
        </w:rPr>
        <w:t>17.1 投标有效期为从提交投标文件的截止之日起90天。▲</w:t>
      </w:r>
      <w:r>
        <w:rPr>
          <w:rFonts w:hint="eastAsia" w:ascii="宋体" w:hAnsi="宋体" w:cs="宋体"/>
          <w:b/>
          <w:sz w:val="24"/>
          <w:szCs w:val="20"/>
          <w:highlight w:val="none"/>
        </w:rPr>
        <w:t>投标人的投标文件中承</w:t>
      </w:r>
      <w:r>
        <w:rPr>
          <w:rFonts w:hint="eastAsia" w:ascii="宋体" w:hAnsi="宋体" w:cs="宋体"/>
          <w:b/>
          <w:sz w:val="24"/>
          <w:szCs w:val="21"/>
          <w:highlight w:val="none"/>
        </w:rPr>
        <w:t>诺的投标有效期少于招标文件中载明的投标有效期的，投标无效。</w:t>
      </w:r>
    </w:p>
    <w:p w14:paraId="62FF80F7">
      <w:pPr>
        <w:pStyle w:val="134"/>
        <w:spacing w:before="0"/>
        <w:ind w:firstLine="480"/>
        <w:rPr>
          <w:rFonts w:ascii="宋体" w:hAnsi="宋体" w:cs="宋体"/>
          <w:highlight w:val="none"/>
        </w:rPr>
      </w:pPr>
      <w:r>
        <w:rPr>
          <w:rFonts w:hint="eastAsia" w:ascii="宋体" w:hAnsi="宋体" w:cs="宋体"/>
          <w:highlight w:val="none"/>
        </w:rPr>
        <w:t>17.2 投标文件合格投递后，自投标截止日期起，在投标有效期内有效。</w:t>
      </w:r>
    </w:p>
    <w:p w14:paraId="78843322">
      <w:pPr>
        <w:pStyle w:val="134"/>
        <w:spacing w:before="0"/>
        <w:ind w:firstLine="480"/>
        <w:rPr>
          <w:rFonts w:ascii="宋体" w:hAnsi="宋体" w:cs="宋体"/>
          <w:highlight w:val="none"/>
        </w:rPr>
      </w:pPr>
      <w:r>
        <w:rPr>
          <w:rFonts w:hint="eastAsia" w:ascii="宋体" w:hAnsi="宋体" w:cs="宋体"/>
          <w:highlight w:val="none"/>
        </w:rPr>
        <w:t>17.3 在原定投标有效期满之前，如果出现特殊情况，采购代理机构可以以书面形式通知投标人延长投标有效期。投标人同意延长的，不得要求或被允许修改其投标文件，投标人拒绝延长的，其投标无效。</w:t>
      </w:r>
    </w:p>
    <w:p w14:paraId="5435ADA1">
      <w:pPr>
        <w:pStyle w:val="134"/>
        <w:spacing w:before="0"/>
        <w:ind w:firstLine="480"/>
        <w:rPr>
          <w:rFonts w:ascii="宋体" w:hAnsi="宋体" w:cs="宋体"/>
          <w:highlight w:val="none"/>
        </w:rPr>
      </w:pPr>
    </w:p>
    <w:p w14:paraId="38977E95">
      <w:pPr>
        <w:pStyle w:val="4"/>
        <w:jc w:val="center"/>
        <w:rPr>
          <w:highlight w:val="none"/>
        </w:rPr>
      </w:pPr>
      <w:bookmarkStart w:id="20" w:name="_Toc12025"/>
      <w:r>
        <w:rPr>
          <w:rFonts w:hint="eastAsia"/>
          <w:highlight w:val="none"/>
        </w:rPr>
        <w:t>四、开标、资格审查与信用信息查询</w:t>
      </w:r>
      <w:bookmarkEnd w:id="20"/>
    </w:p>
    <w:p w14:paraId="203E04C1">
      <w:pPr>
        <w:pStyle w:val="5"/>
        <w:rPr>
          <w:rFonts w:cs="宋体"/>
          <w:highlight w:val="none"/>
        </w:rPr>
      </w:pPr>
      <w:r>
        <w:rPr>
          <w:rFonts w:hint="eastAsia" w:cs="宋体"/>
          <w:szCs w:val="24"/>
          <w:highlight w:val="none"/>
        </w:rPr>
        <w:t>18.开标</w:t>
      </w:r>
    </w:p>
    <w:p w14:paraId="52887204">
      <w:pPr>
        <w:pStyle w:val="558"/>
        <w:spacing w:before="0" w:line="360" w:lineRule="auto"/>
        <w:ind w:left="0" w:firstLine="480" w:firstLineChars="200"/>
        <w:contextualSpacing/>
        <w:rPr>
          <w:rFonts w:ascii="宋体" w:hAnsi="宋体" w:cs="宋体"/>
          <w:sz w:val="24"/>
          <w:highlight w:val="none"/>
        </w:rPr>
      </w:pPr>
      <w:r>
        <w:rPr>
          <w:rFonts w:hint="eastAsia" w:ascii="宋体" w:hAnsi="宋体" w:cs="宋体"/>
          <w:sz w:val="24"/>
          <w:highlight w:val="none"/>
        </w:rPr>
        <w:t>18.1 采购代理机构按照招标文件规定的时间通过电子交易平台组织开标，所有投标人均应当准时在线参加。投标人不足3家的，不得开标。</w:t>
      </w:r>
    </w:p>
    <w:p w14:paraId="034B8743">
      <w:pPr>
        <w:pStyle w:val="558"/>
        <w:spacing w:before="0" w:line="360" w:lineRule="auto"/>
        <w:ind w:left="0" w:firstLine="480" w:firstLineChars="200"/>
        <w:contextualSpacing/>
        <w:rPr>
          <w:rFonts w:ascii="宋体" w:hAnsi="宋体" w:cs="宋体"/>
          <w:sz w:val="24"/>
          <w:highlight w:val="none"/>
        </w:rPr>
      </w:pPr>
      <w:r>
        <w:rPr>
          <w:rFonts w:hint="eastAsia" w:ascii="宋体" w:hAnsi="宋体" w:cs="宋体"/>
          <w:sz w:val="24"/>
          <w:highlight w:val="none"/>
        </w:rPr>
        <w:t>18.2 开标时，电子交易平台按开标时间自动提取所有投标文件。采购代理机构依托电子交易平台发起开始解密指令，投标人按照平台提示和招标文件的规定在半小时内完成在线解密。</w:t>
      </w:r>
    </w:p>
    <w:p w14:paraId="131CDFC3">
      <w:pPr>
        <w:pStyle w:val="558"/>
        <w:spacing w:before="0" w:line="360" w:lineRule="auto"/>
        <w:ind w:left="0" w:firstLine="480" w:firstLineChars="200"/>
        <w:contextualSpacing/>
        <w:rPr>
          <w:rFonts w:ascii="宋体" w:hAnsi="宋体" w:cs="宋体"/>
          <w:b/>
          <w:sz w:val="24"/>
          <w:highlight w:val="none"/>
        </w:rPr>
      </w:pPr>
      <w:r>
        <w:rPr>
          <w:rFonts w:hint="eastAsia" w:ascii="宋体" w:hAnsi="宋体" w:cs="宋体"/>
          <w:sz w:val="24"/>
          <w:highlight w:val="none"/>
        </w:rPr>
        <w:t xml:space="preserve">18.3 </w:t>
      </w:r>
      <w:r>
        <w:rPr>
          <w:rFonts w:hint="eastAsia" w:ascii="宋体" w:hAnsi="宋体" w:cs="宋体"/>
          <w:b/>
          <w:sz w:val="24"/>
          <w:highlight w:val="none"/>
        </w:rPr>
        <w:t>投标文件未按时解密，投标人提供了备份投标文件的，以备份投标文件作为依据，否则视为投标文件撤回。投标文件已按时解密的，备份投标文件自动失效。</w:t>
      </w:r>
    </w:p>
    <w:p w14:paraId="774FEAEA">
      <w:pPr>
        <w:pStyle w:val="5"/>
        <w:rPr>
          <w:highlight w:val="none"/>
        </w:rPr>
      </w:pPr>
      <w:r>
        <w:rPr>
          <w:rFonts w:hint="eastAsia"/>
          <w:highlight w:val="none"/>
        </w:rPr>
        <w:t>19.资格审查</w:t>
      </w:r>
    </w:p>
    <w:p w14:paraId="5751CF73">
      <w:pPr>
        <w:snapToGrid w:val="0"/>
        <w:spacing w:line="360" w:lineRule="auto"/>
        <w:ind w:firstLine="480" w:firstLineChars="200"/>
        <w:rPr>
          <w:rFonts w:ascii="宋体" w:hAnsi="宋体" w:cs="宋体"/>
          <w:sz w:val="24"/>
          <w:highlight w:val="none"/>
        </w:rPr>
      </w:pPr>
      <w:r>
        <w:rPr>
          <w:rFonts w:hint="eastAsia" w:ascii="宋体" w:hAnsi="宋体" w:cs="宋体"/>
          <w:kern w:val="0"/>
          <w:sz w:val="24"/>
          <w:highlight w:val="none"/>
        </w:rPr>
        <w:t xml:space="preserve">19.1 </w:t>
      </w:r>
      <w:r>
        <w:rPr>
          <w:rFonts w:hint="eastAsia" w:ascii="宋体" w:hAnsi="宋体" w:cs="宋体"/>
          <w:sz w:val="24"/>
          <w:highlight w:val="none"/>
        </w:rPr>
        <w:t>采购人或采购代理机构依据法律法规和招标文件的规定，对投标人的资格进行审查。</w:t>
      </w:r>
    </w:p>
    <w:p w14:paraId="1A9EB80C">
      <w:pPr>
        <w:pStyle w:val="134"/>
        <w:spacing w:before="0"/>
        <w:ind w:firstLine="480"/>
        <w:rPr>
          <w:rFonts w:ascii="宋体" w:hAnsi="宋体" w:cs="宋体"/>
          <w:highlight w:val="none"/>
        </w:rPr>
      </w:pPr>
      <w:r>
        <w:rPr>
          <w:rFonts w:hint="eastAsia" w:ascii="宋体" w:hAnsi="宋体" w:cs="宋体"/>
          <w:kern w:val="0"/>
          <w:szCs w:val="24"/>
          <w:highlight w:val="none"/>
        </w:rPr>
        <w:t>19.2 投标人未按照招标文件要求提供与</w:t>
      </w:r>
      <w:r>
        <w:rPr>
          <w:rFonts w:hint="eastAsia" w:ascii="宋体" w:hAnsi="宋体" w:cs="宋体"/>
          <w:highlight w:val="none"/>
        </w:rPr>
        <w:t>资格条件相应的</w:t>
      </w:r>
      <w:r>
        <w:rPr>
          <w:rFonts w:hint="eastAsia" w:ascii="宋体" w:hAnsi="宋体" w:cs="宋体"/>
          <w:kern w:val="0"/>
          <w:szCs w:val="24"/>
          <w:highlight w:val="none"/>
        </w:rPr>
        <w:t>有效资格证明材料的，视为</w:t>
      </w:r>
      <w:r>
        <w:rPr>
          <w:rFonts w:hint="eastAsia" w:ascii="宋体" w:hAnsi="宋体" w:cs="宋体"/>
          <w:highlight w:val="none"/>
        </w:rPr>
        <w:t>投标人不具备招标文件中规定的资格要求，其投标无效。</w:t>
      </w:r>
    </w:p>
    <w:p w14:paraId="739D8CE3">
      <w:pPr>
        <w:pStyle w:val="134"/>
        <w:spacing w:before="0"/>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3 对未通过资格审查的投标人，采购人或采购代理机构告知其未通过的原因。</w:t>
      </w:r>
    </w:p>
    <w:p w14:paraId="7A80DFB9">
      <w:pPr>
        <w:pStyle w:val="134"/>
        <w:spacing w:before="0"/>
        <w:ind w:firstLine="480"/>
        <w:rPr>
          <w:rFonts w:ascii="宋体" w:hAnsi="宋体" w:cs="宋体"/>
          <w:highlight w:val="none"/>
        </w:rPr>
      </w:pPr>
      <w:r>
        <w:rPr>
          <w:rFonts w:hint="eastAsia" w:ascii="宋体" w:hAnsi="宋体" w:cs="宋体"/>
          <w:kern w:val="0"/>
          <w:szCs w:val="24"/>
          <w:highlight w:val="none"/>
        </w:rPr>
        <w:t>19.</w:t>
      </w:r>
      <w:r>
        <w:rPr>
          <w:rFonts w:hint="eastAsia" w:ascii="宋体" w:hAnsi="宋体" w:cs="宋体"/>
          <w:highlight w:val="none"/>
        </w:rPr>
        <w:t>4 合格投标人不足3家的，不再评标。</w:t>
      </w:r>
    </w:p>
    <w:p w14:paraId="7B8DEDE7">
      <w:pPr>
        <w:pStyle w:val="5"/>
        <w:rPr>
          <w:highlight w:val="none"/>
        </w:rPr>
      </w:pPr>
      <w:r>
        <w:rPr>
          <w:rFonts w:hint="eastAsia"/>
          <w:highlight w:val="none"/>
        </w:rPr>
        <w:t>20.信用信息查询</w:t>
      </w:r>
    </w:p>
    <w:p w14:paraId="01899306">
      <w:pPr>
        <w:pStyle w:val="134"/>
        <w:spacing w:before="0"/>
        <w:ind w:firstLine="495" w:firstLineChars="0"/>
        <w:rPr>
          <w:rFonts w:ascii="宋体" w:hAnsi="宋体" w:cs="宋体"/>
          <w:kern w:val="0"/>
          <w:szCs w:val="24"/>
          <w:highlight w:val="none"/>
        </w:rPr>
      </w:pPr>
      <w:r>
        <w:rPr>
          <w:rFonts w:hint="eastAsia" w:ascii="宋体" w:hAnsi="宋体" w:cs="宋体"/>
          <w:kern w:val="0"/>
          <w:szCs w:val="24"/>
          <w:highlight w:val="none"/>
        </w:rPr>
        <w:t>20.1 信用信息查询渠道及截止时间：采购代理机构将在资格审查时通过“信用中国”网站(www.creditchina.gov.cn)、中国政府采购网(www.ccgp.gov.cn)渠道查询投标人接受资格审查时的信用记录。</w:t>
      </w:r>
    </w:p>
    <w:p w14:paraId="67470C97">
      <w:pPr>
        <w:pStyle w:val="134"/>
        <w:spacing w:before="0"/>
        <w:ind w:firstLine="495" w:firstLineChars="0"/>
        <w:rPr>
          <w:rFonts w:ascii="宋体" w:hAnsi="宋体" w:cs="宋体"/>
          <w:kern w:val="0"/>
          <w:szCs w:val="24"/>
          <w:highlight w:val="none"/>
        </w:rPr>
      </w:pPr>
      <w:r>
        <w:rPr>
          <w:rFonts w:hint="eastAsia" w:ascii="宋体" w:hAnsi="宋体" w:cs="宋体"/>
          <w:kern w:val="0"/>
          <w:szCs w:val="24"/>
          <w:highlight w:val="none"/>
        </w:rPr>
        <w:t>20.2 信用信息查询记录和证据留存的具体方式：现场查询的投标人的信用记录、查询结果经确认后将与采购文件一起存档。</w:t>
      </w:r>
    </w:p>
    <w:p w14:paraId="5C88E6AE">
      <w:pPr>
        <w:pStyle w:val="134"/>
        <w:spacing w:before="0"/>
        <w:ind w:firstLine="495" w:firstLineChars="0"/>
        <w:rPr>
          <w:rFonts w:ascii="宋体" w:hAnsi="宋体" w:cs="宋体"/>
          <w:kern w:val="0"/>
          <w:szCs w:val="24"/>
          <w:highlight w:val="none"/>
        </w:rPr>
      </w:pPr>
      <w:r>
        <w:rPr>
          <w:rFonts w:hint="eastAsia" w:ascii="宋体" w:hAnsi="宋体" w:cs="宋体"/>
          <w:kern w:val="0"/>
          <w:szCs w:val="24"/>
          <w:highlight w:val="none"/>
        </w:rPr>
        <w:t>20.3 信用信息的使用规则：经查询列入失信被执行人名单、重大税收违法案件当事人名单、政府采购严重违法失信行为记录名单的投标人将被拒绝参与政府采购活动。</w:t>
      </w:r>
    </w:p>
    <w:p w14:paraId="16A94201">
      <w:pPr>
        <w:pStyle w:val="134"/>
        <w:spacing w:before="0"/>
        <w:ind w:firstLine="480"/>
        <w:rPr>
          <w:rFonts w:ascii="宋体" w:hAnsi="宋体" w:cs="宋体"/>
          <w:highlight w:val="none"/>
        </w:rPr>
      </w:pPr>
      <w:r>
        <w:rPr>
          <w:rFonts w:hint="eastAsia" w:ascii="宋体" w:hAnsi="宋体" w:cs="宋体"/>
          <w:kern w:val="0"/>
          <w:szCs w:val="24"/>
          <w:highlight w:val="none"/>
        </w:rPr>
        <w:t>20.4 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highlight w:val="none"/>
        </w:rPr>
        <w:t>。</w:t>
      </w:r>
    </w:p>
    <w:p w14:paraId="67C740CC">
      <w:pPr>
        <w:pStyle w:val="134"/>
        <w:spacing w:before="0"/>
        <w:ind w:firstLine="0" w:firstLineChars="0"/>
        <w:rPr>
          <w:rFonts w:ascii="宋体" w:hAnsi="宋体" w:cs="宋体"/>
          <w:kern w:val="0"/>
          <w:szCs w:val="24"/>
          <w:highlight w:val="none"/>
        </w:rPr>
      </w:pPr>
    </w:p>
    <w:p w14:paraId="0CC2B075">
      <w:pPr>
        <w:pStyle w:val="4"/>
        <w:jc w:val="center"/>
        <w:rPr>
          <w:highlight w:val="none"/>
        </w:rPr>
      </w:pPr>
      <w:bookmarkStart w:id="21" w:name="_Toc2269"/>
      <w:r>
        <w:rPr>
          <w:rFonts w:hint="eastAsia"/>
          <w:highlight w:val="none"/>
        </w:rPr>
        <w:t>五、评标</w:t>
      </w:r>
      <w:bookmarkEnd w:id="21"/>
    </w:p>
    <w:p w14:paraId="44531B1E">
      <w:pPr>
        <w:pStyle w:val="5"/>
        <w:rPr>
          <w:rFonts w:cs="宋体"/>
          <w:highlight w:val="none"/>
        </w:rPr>
      </w:pPr>
      <w:r>
        <w:rPr>
          <w:rFonts w:hint="eastAsia" w:cs="宋体"/>
          <w:highlight w:val="none"/>
        </w:rPr>
        <w:t>21.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14:paraId="54F254D0">
      <w:pPr>
        <w:rPr>
          <w:highlight w:val="none"/>
        </w:rPr>
      </w:pPr>
    </w:p>
    <w:p w14:paraId="7EEE0A9C">
      <w:pPr>
        <w:pStyle w:val="4"/>
        <w:jc w:val="center"/>
        <w:rPr>
          <w:highlight w:val="none"/>
        </w:rPr>
      </w:pPr>
      <w:bookmarkStart w:id="22" w:name="_Toc1866"/>
      <w:r>
        <w:rPr>
          <w:rFonts w:hint="eastAsia"/>
          <w:highlight w:val="none"/>
        </w:rPr>
        <w:t>六、定标</w:t>
      </w:r>
      <w:bookmarkEnd w:id="22"/>
    </w:p>
    <w:p w14:paraId="189BDEBC">
      <w:pPr>
        <w:pStyle w:val="5"/>
        <w:rPr>
          <w:highlight w:val="none"/>
        </w:rPr>
      </w:pPr>
      <w:r>
        <w:rPr>
          <w:rFonts w:hint="eastAsia"/>
          <w:highlight w:val="none"/>
        </w:rPr>
        <w:t>22.确定中标供应商</w:t>
      </w:r>
    </w:p>
    <w:p w14:paraId="72C273EC">
      <w:pPr>
        <w:widowControl/>
        <w:spacing w:line="360" w:lineRule="auto"/>
        <w:ind w:firstLine="480"/>
        <w:jc w:val="left"/>
        <w:rPr>
          <w:rFonts w:ascii="宋体" w:hAnsi="宋体" w:cs="宋体"/>
          <w:sz w:val="24"/>
          <w:highlight w:val="none"/>
        </w:rPr>
      </w:pPr>
      <w:r>
        <w:rPr>
          <w:rFonts w:hint="eastAsia" w:ascii="宋体" w:hAnsi="宋体" w:cs="宋体"/>
          <w:sz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中标人。中标、成交通知书和中标、成交结果公告应当在规定时间内同时发出。</w:t>
      </w:r>
    </w:p>
    <w:p w14:paraId="51B13F97">
      <w:pPr>
        <w:pStyle w:val="5"/>
        <w:rPr>
          <w:highlight w:val="none"/>
        </w:rPr>
      </w:pPr>
      <w:r>
        <w:rPr>
          <w:rFonts w:hint="eastAsia"/>
          <w:highlight w:val="none"/>
        </w:rPr>
        <w:t>23.中标通知与中标结果公告</w:t>
      </w:r>
    </w:p>
    <w:p w14:paraId="498BB22D">
      <w:pPr>
        <w:widowControl/>
        <w:spacing w:line="360" w:lineRule="auto"/>
        <w:ind w:firstLine="480"/>
        <w:jc w:val="left"/>
        <w:rPr>
          <w:rFonts w:ascii="宋体" w:hAnsi="宋体" w:cs="宋体"/>
          <w:sz w:val="24"/>
          <w:highlight w:val="none"/>
        </w:rPr>
      </w:pPr>
      <w:r>
        <w:rPr>
          <w:rFonts w:hint="eastAsia" w:ascii="宋体" w:hAnsi="宋体" w:cs="宋体"/>
          <w:sz w:val="24"/>
          <w:highlight w:val="none"/>
        </w:rPr>
        <w:t>23.1 自中标人确定之日起2个工作日内，采购代理机构通过电子交易平台向中标人发出中标通知书，同时编制发布采购结果公告。采购代理机构也可以以纸质形式进行中标通知。</w:t>
      </w:r>
    </w:p>
    <w:p w14:paraId="15EB0DFB">
      <w:pPr>
        <w:widowControl/>
        <w:spacing w:line="360" w:lineRule="auto"/>
        <w:ind w:firstLine="480"/>
        <w:jc w:val="left"/>
        <w:rPr>
          <w:rFonts w:ascii="宋体" w:hAnsi="宋体" w:cs="宋体"/>
          <w:sz w:val="24"/>
          <w:highlight w:val="none"/>
        </w:rPr>
      </w:pPr>
      <w:r>
        <w:rPr>
          <w:rFonts w:hint="eastAsia" w:ascii="宋体" w:hAnsi="宋体" w:cs="宋体"/>
          <w:sz w:val="24"/>
          <w:highlight w:val="none"/>
        </w:rPr>
        <w:t>23.2 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3549ED0">
      <w:pPr>
        <w:widowControl/>
        <w:spacing w:line="360" w:lineRule="auto"/>
        <w:ind w:firstLine="480"/>
        <w:jc w:val="left"/>
        <w:rPr>
          <w:rFonts w:ascii="宋体" w:hAnsi="宋体" w:cs="宋体"/>
          <w:sz w:val="24"/>
          <w:highlight w:val="none"/>
        </w:rPr>
      </w:pPr>
      <w:r>
        <w:rPr>
          <w:rFonts w:hint="eastAsia" w:ascii="宋体" w:hAnsi="宋体" w:cs="宋体"/>
          <w:sz w:val="24"/>
          <w:highlight w:val="none"/>
        </w:rPr>
        <w:t>23.3 公告期限为1个工作日。</w:t>
      </w:r>
    </w:p>
    <w:p w14:paraId="45007401">
      <w:pPr>
        <w:rPr>
          <w:highlight w:val="none"/>
        </w:rPr>
      </w:pPr>
    </w:p>
    <w:p w14:paraId="0C82A01A">
      <w:pPr>
        <w:pStyle w:val="4"/>
        <w:jc w:val="center"/>
        <w:rPr>
          <w:highlight w:val="none"/>
        </w:rPr>
      </w:pPr>
      <w:bookmarkStart w:id="23" w:name="_Toc300"/>
      <w:r>
        <w:rPr>
          <w:rFonts w:hint="eastAsia"/>
          <w:highlight w:val="none"/>
        </w:rPr>
        <w:t>七、合同授予</w:t>
      </w:r>
      <w:bookmarkEnd w:id="23"/>
    </w:p>
    <w:p w14:paraId="4A24FEE8">
      <w:pPr>
        <w:pStyle w:val="5"/>
        <w:rPr>
          <w:rFonts w:cs="宋体"/>
          <w:highlight w:val="none"/>
        </w:rPr>
      </w:pPr>
      <w:r>
        <w:rPr>
          <w:rFonts w:hint="eastAsia" w:cs="宋体"/>
          <w:highlight w:val="none"/>
        </w:rPr>
        <w:t>24.合同主要条款详见第五部分拟签订的合同文本。</w:t>
      </w:r>
    </w:p>
    <w:p w14:paraId="04329B41">
      <w:pPr>
        <w:pStyle w:val="5"/>
        <w:rPr>
          <w:highlight w:val="none"/>
        </w:rPr>
      </w:pPr>
      <w:r>
        <w:rPr>
          <w:rFonts w:hint="eastAsia"/>
          <w:highlight w:val="none"/>
        </w:rPr>
        <w:t>25.合同的签订</w:t>
      </w:r>
    </w:p>
    <w:p w14:paraId="1B7DB447">
      <w:pPr>
        <w:widowControl/>
        <w:spacing w:line="360" w:lineRule="auto"/>
        <w:ind w:firstLine="480"/>
        <w:jc w:val="left"/>
        <w:rPr>
          <w:rFonts w:ascii="宋体" w:hAnsi="宋体" w:cs="宋体"/>
          <w:kern w:val="0"/>
          <w:sz w:val="24"/>
          <w:highlight w:val="none"/>
        </w:rPr>
      </w:pPr>
      <w:r>
        <w:rPr>
          <w:rFonts w:hint="eastAsia" w:ascii="宋体" w:hAnsi="宋体" w:cs="宋体"/>
          <w:sz w:val="24"/>
          <w:highlight w:val="none"/>
        </w:rPr>
        <w:t>25.1</w:t>
      </w:r>
      <w:r>
        <w:rPr>
          <w:rFonts w:hint="eastAsia" w:ascii="宋体" w:hAnsi="宋体" w:cs="宋体"/>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w:t>
      </w:r>
    </w:p>
    <w:p w14:paraId="63E52584">
      <w:pPr>
        <w:pStyle w:val="134"/>
        <w:snapToGrid w:val="0"/>
        <w:spacing w:before="0"/>
        <w:ind w:firstLine="480"/>
        <w:rPr>
          <w:rFonts w:ascii="宋体" w:hAnsi="宋体" w:cs="宋体"/>
          <w:kern w:val="0"/>
          <w:highlight w:val="none"/>
        </w:rPr>
      </w:pPr>
      <w:r>
        <w:rPr>
          <w:rFonts w:hint="eastAsia" w:ascii="宋体" w:hAnsi="宋体" w:cs="宋体"/>
          <w:kern w:val="0"/>
          <w:highlight w:val="none"/>
          <w:lang w:val="zh-CN"/>
        </w:rPr>
        <w:t>25.2</w:t>
      </w:r>
      <w:r>
        <w:rPr>
          <w:rFonts w:hint="eastAsia" w:ascii="宋体" w:hAnsi="宋体" w:cs="宋体"/>
          <w:kern w:val="0"/>
          <w:highlight w:val="none"/>
        </w:rPr>
        <w:t xml:space="preserve"> </w:t>
      </w:r>
      <w:r>
        <w:rPr>
          <w:rFonts w:hint="eastAsia" w:ascii="宋体" w:hAnsi="宋体" w:cs="宋体"/>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14:paraId="6249C02A">
      <w:pPr>
        <w:pStyle w:val="134"/>
        <w:snapToGrid w:val="0"/>
        <w:spacing w:before="0"/>
        <w:ind w:firstLine="480"/>
        <w:rPr>
          <w:rFonts w:ascii="宋体" w:hAnsi="宋体" w:cs="宋体"/>
          <w:highlight w:val="none"/>
        </w:rPr>
      </w:pPr>
      <w:r>
        <w:rPr>
          <w:rFonts w:hint="eastAsia" w:ascii="宋体" w:hAnsi="宋体" w:cs="宋体"/>
          <w:highlight w:val="none"/>
        </w:rPr>
        <w:t>25.3 如签订合同并生效后，供应商无故拒绝或延期，除按照合同条款处理外，列入不良行为记录一次，并给予通报。</w:t>
      </w:r>
    </w:p>
    <w:p w14:paraId="2388AC44">
      <w:pPr>
        <w:pStyle w:val="134"/>
        <w:snapToGrid w:val="0"/>
        <w:spacing w:before="0"/>
        <w:ind w:firstLine="480"/>
        <w:rPr>
          <w:rFonts w:ascii="宋体" w:hAnsi="宋体" w:cs="宋体"/>
          <w:highlight w:val="none"/>
        </w:rPr>
      </w:pPr>
      <w:r>
        <w:rPr>
          <w:rFonts w:hint="eastAsia" w:ascii="宋体" w:hAnsi="宋体" w:cs="宋体"/>
          <w:highlight w:val="none"/>
        </w:rPr>
        <w:t>25.4 中标供应商拒绝与采购人签订合同的，采购人可以按照评审报告推荐的中标或者成交候选人名单排序，确定下一候选人为中标供应商，也可以重新开展政府采购活动。</w:t>
      </w:r>
    </w:p>
    <w:p w14:paraId="15F1C041">
      <w:pPr>
        <w:pStyle w:val="134"/>
        <w:snapToGrid w:val="0"/>
        <w:spacing w:before="0" w:after="120"/>
        <w:ind w:firstLine="480"/>
        <w:rPr>
          <w:rFonts w:ascii="宋体" w:hAnsi="宋体" w:cs="宋体"/>
          <w:highlight w:val="none"/>
        </w:rPr>
      </w:pPr>
      <w:r>
        <w:rPr>
          <w:rFonts w:hint="eastAsia" w:ascii="宋体" w:hAnsi="宋体" w:cs="宋体"/>
          <w:highlight w:val="none"/>
        </w:rPr>
        <w:t>25.5 采购合同由采购人与中标供应商根据招标文件、投标文件等内容通过政府采购电子交易平台在线签订，自动备案。</w:t>
      </w:r>
    </w:p>
    <w:p w14:paraId="61CDE480">
      <w:pPr>
        <w:pStyle w:val="5"/>
        <w:rPr>
          <w:highlight w:val="none"/>
        </w:rPr>
      </w:pPr>
      <w:r>
        <w:rPr>
          <w:rFonts w:hint="eastAsia"/>
          <w:highlight w:val="none"/>
        </w:rPr>
        <w:t>26.履约保证金</w:t>
      </w:r>
    </w:p>
    <w:p w14:paraId="660C8A6B">
      <w:pPr>
        <w:tabs>
          <w:tab w:val="left" w:pos="0"/>
        </w:tabs>
        <w:spacing w:line="360" w:lineRule="auto"/>
        <w:ind w:firstLine="482"/>
        <w:rPr>
          <w:rFonts w:ascii="宋体" w:hAnsi="宋体" w:cs="宋体"/>
          <w:kern w:val="0"/>
          <w:sz w:val="24"/>
          <w:highlight w:val="none"/>
        </w:rPr>
      </w:pPr>
      <w:r>
        <w:rPr>
          <w:rFonts w:hint="eastAsia" w:ascii="宋体" w:hAnsi="宋体" w:cs="宋体"/>
          <w:kern w:val="0"/>
          <w:sz w:val="24"/>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2CC2FB0">
      <w:pPr>
        <w:tabs>
          <w:tab w:val="left" w:pos="0"/>
        </w:tabs>
        <w:spacing w:line="360" w:lineRule="auto"/>
        <w:ind w:firstLine="482"/>
        <w:rPr>
          <w:rFonts w:ascii="宋体" w:hAnsi="宋体" w:cs="宋体"/>
          <w:kern w:val="0"/>
          <w:sz w:val="24"/>
          <w:highlight w:val="none"/>
        </w:rPr>
      </w:pPr>
      <w:r>
        <w:rPr>
          <w:rFonts w:hint="eastAsia" w:ascii="宋体" w:hAnsi="宋体" w:cs="宋体"/>
          <w:kern w:val="0"/>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5492C40">
      <w:pPr>
        <w:pStyle w:val="5"/>
        <w:rPr>
          <w:highlight w:val="none"/>
        </w:rPr>
      </w:pPr>
      <w:r>
        <w:rPr>
          <w:highlight w:val="none"/>
        </w:rPr>
        <w:t>27.预付款</w:t>
      </w:r>
    </w:p>
    <w:p w14:paraId="102FEBE5">
      <w:pPr>
        <w:adjustRightInd/>
        <w:spacing w:line="360" w:lineRule="auto"/>
        <w:ind w:firstLine="480" w:firstLineChars="200"/>
        <w:rPr>
          <w:highlight w:val="none"/>
        </w:rPr>
      </w:pPr>
      <w:r>
        <w:rPr>
          <w:rFonts w:hint="eastAsia" w:ascii="宋体" w:hAnsi="宋体"/>
          <w:sz w:val="24"/>
          <w:highlight w:val="none"/>
        </w:rPr>
        <w:t>采购单位应当在政府采购合同中约定预付款，对中小企业合同预付款比例原则上不低于合同金额的</w:t>
      </w:r>
      <w:r>
        <w:rPr>
          <w:rFonts w:ascii="宋体" w:hAnsi="宋体"/>
          <w:sz w:val="24"/>
          <w:highlight w:val="none"/>
        </w:rPr>
        <w:t>40％</w:t>
      </w:r>
      <w:r>
        <w:rPr>
          <w:rFonts w:hint="eastAsia" w:ascii="宋体" w:hAnsi="宋体"/>
          <w:sz w:val="24"/>
          <w:highlight w:val="none"/>
        </w:rPr>
        <w:t>，不高于合同金额的</w:t>
      </w:r>
      <w:r>
        <w:rPr>
          <w:rFonts w:ascii="宋体" w:hAnsi="宋体"/>
          <w:sz w:val="24"/>
          <w:highlight w:val="none"/>
        </w:rPr>
        <w:t>70%；项目分年安排预算的，每年预付款比例</w:t>
      </w:r>
      <w:r>
        <w:rPr>
          <w:rFonts w:hint="eastAsia" w:ascii="宋体" w:hAnsi="宋体"/>
          <w:sz w:val="24"/>
          <w:highlight w:val="none"/>
        </w:rPr>
        <w:t>不低于</w:t>
      </w:r>
      <w:r>
        <w:rPr>
          <w:rFonts w:ascii="宋体" w:hAnsi="宋体"/>
          <w:sz w:val="24"/>
          <w:highlight w:val="none"/>
        </w:rPr>
        <w:t>项目年度计划支付资金额的40％</w:t>
      </w:r>
      <w:r>
        <w:rPr>
          <w:rFonts w:hint="eastAsia" w:ascii="宋体" w:hAnsi="宋体"/>
          <w:sz w:val="24"/>
          <w:highlight w:val="none"/>
        </w:rPr>
        <w:t>，不高于合同金额的</w:t>
      </w:r>
      <w:r>
        <w:rPr>
          <w:rFonts w:ascii="宋体" w:hAnsi="宋体"/>
          <w:sz w:val="24"/>
          <w:highlight w:val="none"/>
        </w:rPr>
        <w:t>70%；采购项目实施以人工投入为主的，</w:t>
      </w:r>
      <w:r>
        <w:rPr>
          <w:rFonts w:hint="eastAsia" w:ascii="宋体" w:hAnsi="宋体"/>
          <w:sz w:val="24"/>
          <w:highlight w:val="none"/>
        </w:rPr>
        <w:t>可适当降低预付款比例，但不得低于</w:t>
      </w:r>
      <w:r>
        <w:rPr>
          <w:rFonts w:ascii="宋体" w:hAnsi="宋体"/>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sz w:val="24"/>
          <w:highlight w:val="none"/>
        </w:rPr>
        <w:t>供应商</w:t>
      </w:r>
      <w:r>
        <w:rPr>
          <w:rFonts w:ascii="宋体" w:hAnsi="宋体"/>
          <w:sz w:val="24"/>
          <w:highlight w:val="none"/>
        </w:rPr>
        <w:t>明确表示无需预付款或者主动要求降低预付款比例的，</w:t>
      </w:r>
      <w:r>
        <w:rPr>
          <w:rFonts w:hint="eastAsia" w:ascii="宋体" w:hAnsi="宋体"/>
          <w:sz w:val="24"/>
          <w:highlight w:val="none"/>
        </w:rPr>
        <w:t>采购单位</w:t>
      </w:r>
      <w:r>
        <w:rPr>
          <w:rFonts w:ascii="宋体" w:hAnsi="宋体"/>
          <w:sz w:val="24"/>
          <w:highlight w:val="none"/>
        </w:rPr>
        <w:t>可不适用前述规定。</w:t>
      </w:r>
      <w:r>
        <w:rPr>
          <w:rFonts w:hint="eastAsia" w:ascii="宋体" w:hAnsi="宋体"/>
          <w:sz w:val="24"/>
          <w:highlight w:val="none"/>
        </w:rPr>
        <w:t>采购单位</w:t>
      </w:r>
      <w:r>
        <w:rPr>
          <w:rFonts w:ascii="宋体" w:hAnsi="宋体"/>
          <w:sz w:val="24"/>
          <w:highlight w:val="none"/>
        </w:rPr>
        <w:t>根据项目特点、供应商诚信等因素，可以要求</w:t>
      </w:r>
      <w:r>
        <w:rPr>
          <w:rFonts w:hint="eastAsia" w:ascii="宋体" w:hAnsi="宋体"/>
          <w:sz w:val="24"/>
          <w:highlight w:val="none"/>
        </w:rPr>
        <w:t>供应商</w:t>
      </w:r>
      <w:r>
        <w:rPr>
          <w:rFonts w:ascii="宋体" w:hAnsi="宋体"/>
          <w:sz w:val="24"/>
          <w:highlight w:val="none"/>
        </w:rPr>
        <w:t>提交银行、保险公司等金融机构出具的预付款保函或其他担保措施。政府采购预付款应在合同生效以及具备实施条件后5个工作日内支付。</w:t>
      </w:r>
      <w:r>
        <w:rPr>
          <w:rFonts w:hint="eastAsia" w:ascii="宋体" w:hAnsi="宋体"/>
          <w:sz w:val="24"/>
          <w:highlight w:val="none"/>
        </w:rPr>
        <w:t>政府采购工程以及与工程建设有关的货物、服务，采用招标方式采购的，预付款从其相关规定。供应商可登录政采云前台大厅选择金融服务</w:t>
      </w:r>
      <w:r>
        <w:rPr>
          <w:rFonts w:ascii="宋体" w:hAnsi="宋体"/>
          <w:sz w:val="24"/>
          <w:highlight w:val="none"/>
        </w:rPr>
        <w:t xml:space="preserve"> - </w:t>
      </w:r>
      <w:r>
        <w:rPr>
          <w:rFonts w:hint="eastAsia" w:ascii="宋体" w:hAnsi="宋体"/>
          <w:sz w:val="24"/>
          <w:highlight w:val="none"/>
        </w:rPr>
        <w:t>【保函保险服务】出具预付款保函，具体步骤：选择产品—填写供应商信息—选择中标项目—确认信息—等待保险</w:t>
      </w:r>
      <w:r>
        <w:rPr>
          <w:rFonts w:ascii="宋体" w:hAnsi="宋体"/>
          <w:sz w:val="24"/>
          <w:highlight w:val="none"/>
        </w:rPr>
        <w:t>/保函受理—确认保单—支付保费—成功出单。政</w:t>
      </w:r>
      <w:r>
        <w:rPr>
          <w:rFonts w:hint="eastAsia" w:ascii="宋体" w:hAnsi="宋体"/>
          <w:sz w:val="24"/>
          <w:highlight w:val="none"/>
        </w:rPr>
        <w:t>采云金融专线</w:t>
      </w:r>
      <w:r>
        <w:rPr>
          <w:rFonts w:ascii="宋体" w:hAnsi="宋体"/>
          <w:sz w:val="24"/>
          <w:highlight w:val="none"/>
        </w:rPr>
        <w:t>400-903-9583。</w:t>
      </w:r>
    </w:p>
    <w:p w14:paraId="7EF9F48B">
      <w:pPr>
        <w:rPr>
          <w:highlight w:val="none"/>
        </w:rPr>
      </w:pPr>
    </w:p>
    <w:p w14:paraId="301400B9">
      <w:pPr>
        <w:pStyle w:val="4"/>
        <w:jc w:val="center"/>
        <w:rPr>
          <w:highlight w:val="none"/>
        </w:rPr>
      </w:pPr>
      <w:bookmarkStart w:id="24" w:name="_Toc10170"/>
      <w:r>
        <w:rPr>
          <w:rFonts w:hint="eastAsia"/>
          <w:highlight w:val="none"/>
        </w:rPr>
        <w:t>八、电子交易活动的中止</w:t>
      </w:r>
      <w:bookmarkEnd w:id="24"/>
    </w:p>
    <w:p w14:paraId="636D84EE">
      <w:pPr>
        <w:pStyle w:val="5"/>
        <w:rPr>
          <w:highlight w:val="none"/>
        </w:rPr>
      </w:pPr>
      <w:r>
        <w:rPr>
          <w:highlight w:val="none"/>
        </w:rPr>
        <w:t>28</w:t>
      </w:r>
      <w:r>
        <w:rPr>
          <w:rFonts w:hint="eastAsia"/>
          <w:highlight w:val="none"/>
        </w:rPr>
        <w:t>.电子交易活动的中止。</w:t>
      </w:r>
    </w:p>
    <w:p w14:paraId="1DEAFFAB">
      <w:pPr>
        <w:pStyle w:val="134"/>
        <w:snapToGrid w:val="0"/>
        <w:spacing w:before="0"/>
        <w:ind w:firstLine="480"/>
        <w:rPr>
          <w:rFonts w:ascii="宋体" w:hAnsi="宋体" w:cs="宋体"/>
          <w:highlight w:val="none"/>
        </w:rPr>
      </w:pPr>
      <w:r>
        <w:rPr>
          <w:rFonts w:hint="eastAsia" w:ascii="宋体" w:hAnsi="宋体" w:cs="宋体"/>
          <w:highlight w:val="none"/>
        </w:rPr>
        <w:t>采购过程中出现以下情形，导致电子交易平台无法正常运行，或者无法保证电子交易的公平、公正和安全时，采购代理机构可中止电子交易活动：</w:t>
      </w:r>
    </w:p>
    <w:p w14:paraId="37FAB4D0">
      <w:pPr>
        <w:pStyle w:val="134"/>
        <w:snapToGrid w:val="0"/>
        <w:spacing w:before="0"/>
        <w:ind w:firstLine="480"/>
        <w:rPr>
          <w:rFonts w:ascii="宋体" w:hAnsi="宋体" w:cs="宋体"/>
          <w:highlight w:val="none"/>
        </w:rPr>
      </w:pPr>
      <w:r>
        <w:rPr>
          <w:rFonts w:hint="eastAsia" w:ascii="宋体" w:hAnsi="宋体" w:cs="宋体"/>
          <w:highlight w:val="none"/>
        </w:rPr>
        <w:t xml:space="preserve">28.1 电子交易平台发生故障而无法登录访问的； </w:t>
      </w:r>
    </w:p>
    <w:p w14:paraId="25264352">
      <w:pPr>
        <w:pStyle w:val="134"/>
        <w:snapToGrid w:val="0"/>
        <w:spacing w:before="0"/>
        <w:ind w:firstLine="480"/>
        <w:rPr>
          <w:rFonts w:ascii="宋体" w:hAnsi="宋体" w:cs="宋体"/>
          <w:highlight w:val="none"/>
        </w:rPr>
      </w:pPr>
      <w:r>
        <w:rPr>
          <w:rFonts w:hint="eastAsia" w:ascii="宋体" w:hAnsi="宋体" w:cs="宋体"/>
          <w:highlight w:val="none"/>
        </w:rPr>
        <w:t>28.2 电子交易平台应用或数据库出现错误，不能进行正常操作的；</w:t>
      </w:r>
    </w:p>
    <w:p w14:paraId="5E405968">
      <w:pPr>
        <w:pStyle w:val="134"/>
        <w:snapToGrid w:val="0"/>
        <w:spacing w:before="0"/>
        <w:ind w:firstLine="480"/>
        <w:rPr>
          <w:rFonts w:ascii="宋体" w:hAnsi="宋体" w:cs="宋体"/>
          <w:highlight w:val="none"/>
        </w:rPr>
      </w:pPr>
      <w:r>
        <w:rPr>
          <w:rFonts w:hint="eastAsia" w:ascii="宋体" w:hAnsi="宋体" w:cs="宋体"/>
          <w:highlight w:val="none"/>
        </w:rPr>
        <w:t>28.3 电子交易平台发现严重安全漏洞，有潜在泄密危险的；</w:t>
      </w:r>
    </w:p>
    <w:p w14:paraId="37C8A752">
      <w:pPr>
        <w:pStyle w:val="134"/>
        <w:snapToGrid w:val="0"/>
        <w:spacing w:before="0"/>
        <w:ind w:firstLine="480"/>
        <w:rPr>
          <w:rFonts w:ascii="宋体" w:hAnsi="宋体" w:cs="宋体"/>
          <w:highlight w:val="none"/>
        </w:rPr>
      </w:pPr>
      <w:r>
        <w:rPr>
          <w:rFonts w:hint="eastAsia" w:ascii="宋体" w:hAnsi="宋体" w:cs="宋体"/>
          <w:highlight w:val="none"/>
        </w:rPr>
        <w:t xml:space="preserve">28.4 病毒发作导致不能进行正常操作的； </w:t>
      </w:r>
    </w:p>
    <w:p w14:paraId="6004DD68">
      <w:pPr>
        <w:pStyle w:val="134"/>
        <w:snapToGrid w:val="0"/>
        <w:spacing w:before="0"/>
        <w:ind w:firstLine="480"/>
        <w:rPr>
          <w:rFonts w:ascii="宋体" w:hAnsi="宋体" w:cs="宋体"/>
          <w:highlight w:val="none"/>
        </w:rPr>
      </w:pPr>
      <w:r>
        <w:rPr>
          <w:rFonts w:hint="eastAsia" w:ascii="宋体" w:hAnsi="宋体" w:cs="宋体"/>
          <w:highlight w:val="none"/>
        </w:rPr>
        <w:t>28.5 其他无法保证电子交易的公平、公正和安全的情况。</w:t>
      </w:r>
    </w:p>
    <w:p w14:paraId="43F4CDD7">
      <w:pPr>
        <w:pStyle w:val="5"/>
        <w:rPr>
          <w:highlight w:val="none"/>
        </w:rPr>
      </w:pPr>
      <w:r>
        <w:rPr>
          <w:rFonts w:hint="eastAsia"/>
          <w:highlight w:val="none"/>
        </w:rPr>
        <w:t>29.出现以上情形，不影响采购公平、公正性的，采购组织机构可以待上述情形消除后继续组织电子交易活动，也可以决定某些环节以纸质形式进行；影响或可能影响采购公平、公正性的，应当重新采购。</w:t>
      </w:r>
    </w:p>
    <w:p w14:paraId="7648CF5C">
      <w:pPr>
        <w:rPr>
          <w:highlight w:val="none"/>
        </w:rPr>
      </w:pPr>
    </w:p>
    <w:p w14:paraId="754EE1AE">
      <w:pPr>
        <w:pStyle w:val="4"/>
        <w:jc w:val="center"/>
        <w:rPr>
          <w:highlight w:val="none"/>
        </w:rPr>
      </w:pPr>
      <w:bookmarkStart w:id="25" w:name="_Toc23650"/>
      <w:r>
        <w:rPr>
          <w:rFonts w:hint="eastAsia"/>
          <w:highlight w:val="none"/>
        </w:rPr>
        <w:t>九、验收</w:t>
      </w:r>
      <w:bookmarkEnd w:id="25"/>
    </w:p>
    <w:p w14:paraId="68D46C35">
      <w:pPr>
        <w:pStyle w:val="5"/>
        <w:rPr>
          <w:highlight w:val="none"/>
        </w:rPr>
      </w:pPr>
      <w:r>
        <w:rPr>
          <w:rFonts w:hint="eastAsia"/>
          <w:highlight w:val="none"/>
        </w:rPr>
        <w:t>30.验收</w:t>
      </w:r>
    </w:p>
    <w:p w14:paraId="04518D3D">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30.1 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C582E72">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30.2 采购人可以邀请参加本项目的其他投标人或者第三方机构参与验收。参与验收的投标人或者第三方机构的意见作为验收书的参考资料一并存档。</w:t>
      </w:r>
    </w:p>
    <w:p w14:paraId="3B89871E">
      <w:pPr>
        <w:tabs>
          <w:tab w:val="left" w:pos="0"/>
        </w:tabs>
        <w:spacing w:line="360" w:lineRule="auto"/>
        <w:ind w:firstLine="480"/>
        <w:rPr>
          <w:rFonts w:ascii="宋体" w:hAnsi="宋体" w:cs="宋体"/>
          <w:kern w:val="0"/>
          <w:sz w:val="24"/>
          <w:highlight w:val="none"/>
        </w:rPr>
      </w:pPr>
      <w:r>
        <w:rPr>
          <w:rFonts w:hint="eastAsia" w:ascii="宋体" w:hAnsi="宋体" w:cs="宋体"/>
          <w:kern w:val="0"/>
          <w:sz w:val="24"/>
          <w:highlight w:val="none"/>
        </w:rPr>
        <w:t>30.3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F007F6C">
      <w:pPr>
        <w:tabs>
          <w:tab w:val="left" w:pos="0"/>
        </w:tabs>
        <w:spacing w:line="360" w:lineRule="auto"/>
        <w:ind w:firstLine="480"/>
        <w:rPr>
          <w:rFonts w:ascii="宋体" w:hAnsi="宋体" w:cs="宋体"/>
          <w:sz w:val="18"/>
          <w:szCs w:val="18"/>
          <w:highlight w:val="none"/>
        </w:rPr>
      </w:pPr>
      <w:r>
        <w:rPr>
          <w:rFonts w:hint="eastAsia" w:ascii="宋体" w:hAnsi="宋体" w:cs="宋体"/>
          <w:kern w:val="0"/>
          <w:sz w:val="24"/>
          <w:highlight w:val="none"/>
        </w:rPr>
        <w:t>30.4 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E8B94D6">
      <w:pPr>
        <w:tabs>
          <w:tab w:val="left" w:pos="0"/>
        </w:tabs>
        <w:spacing w:line="360" w:lineRule="auto"/>
        <w:ind w:firstLine="480"/>
        <w:rPr>
          <w:rFonts w:ascii="宋体" w:hAnsi="宋体" w:cs="宋体"/>
          <w:kern w:val="0"/>
          <w:sz w:val="24"/>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bookmarkStart w:id="26" w:name="_Hlt68057669"/>
      <w:bookmarkEnd w:id="26"/>
      <w:bookmarkStart w:id="27" w:name="_Hlt68403820"/>
      <w:bookmarkEnd w:id="27"/>
      <w:bookmarkStart w:id="28" w:name="_Hlt68072998"/>
      <w:bookmarkEnd w:id="28"/>
      <w:bookmarkStart w:id="29" w:name="_Hlt74707468"/>
      <w:bookmarkEnd w:id="29"/>
      <w:bookmarkStart w:id="30" w:name="_Hlt75236101"/>
      <w:bookmarkEnd w:id="30"/>
      <w:bookmarkStart w:id="31" w:name="_Hlt75236290"/>
      <w:bookmarkEnd w:id="31"/>
      <w:bookmarkStart w:id="32" w:name="_Hlt68072990"/>
      <w:bookmarkEnd w:id="32"/>
      <w:bookmarkStart w:id="33" w:name="_Hlt74714665"/>
      <w:bookmarkEnd w:id="33"/>
      <w:bookmarkStart w:id="34" w:name="_Hlt74729768"/>
      <w:bookmarkEnd w:id="34"/>
      <w:bookmarkStart w:id="35" w:name="_Hlt75236011"/>
      <w:bookmarkEnd w:id="35"/>
      <w:bookmarkStart w:id="36" w:name="_Hlt68073093"/>
      <w:bookmarkEnd w:id="36"/>
      <w:bookmarkStart w:id="37" w:name="_Hlt74730295"/>
      <w:bookmarkEnd w:id="37"/>
    </w:p>
    <w:p w14:paraId="702C35C8">
      <w:pPr>
        <w:pStyle w:val="3"/>
        <w:rPr>
          <w:highlight w:val="none"/>
        </w:rPr>
      </w:pPr>
      <w:bookmarkStart w:id="38" w:name="_Toc22177"/>
      <w:bookmarkStart w:id="39" w:name="第四部分"/>
      <w:r>
        <w:rPr>
          <w:rFonts w:hint="eastAsia" w:ascii="宋体" w:hAnsi="宋体" w:cs="宋体"/>
          <w:szCs w:val="36"/>
          <w:highlight w:val="none"/>
        </w:rPr>
        <w:t>第三部分</w:t>
      </w:r>
      <w:r>
        <w:rPr>
          <w:rFonts w:hint="eastAsia"/>
          <w:highlight w:val="none"/>
        </w:rPr>
        <w:t xml:space="preserve"> 采购需求</w:t>
      </w:r>
      <w:bookmarkEnd w:id="38"/>
    </w:p>
    <w:p w14:paraId="2A020889">
      <w:pPr>
        <w:pStyle w:val="4"/>
        <w:rPr>
          <w:highlight w:val="none"/>
          <w:lang w:val="en-US"/>
        </w:rPr>
      </w:pPr>
      <w:bookmarkStart w:id="40" w:name="_Toc11180"/>
      <w:r>
        <w:rPr>
          <w:rFonts w:hint="eastAsia"/>
          <w:highlight w:val="none"/>
          <w:lang w:val="en-US"/>
        </w:rPr>
        <w:t>一、</w:t>
      </w:r>
      <w:r>
        <w:rPr>
          <w:rFonts w:hint="eastAsia" w:cs="宋体"/>
          <w:szCs w:val="24"/>
          <w:highlight w:val="none"/>
          <w:lang w:val="en-US"/>
        </w:rPr>
        <w:t>技术性能要求</w:t>
      </w:r>
      <w:bookmarkEnd w:id="40"/>
    </w:p>
    <w:tbl>
      <w:tblPr>
        <w:tblStyle w:val="64"/>
        <w:tblW w:w="5160" w:type="pct"/>
        <w:tblInd w:w="-189" w:type="dxa"/>
        <w:tblLayout w:type="fixed"/>
        <w:tblCellMar>
          <w:top w:w="0" w:type="dxa"/>
          <w:left w:w="108" w:type="dxa"/>
          <w:bottom w:w="0" w:type="dxa"/>
          <w:right w:w="108" w:type="dxa"/>
        </w:tblCellMar>
      </w:tblPr>
      <w:tblGrid>
        <w:gridCol w:w="885"/>
        <w:gridCol w:w="1092"/>
        <w:gridCol w:w="1259"/>
        <w:gridCol w:w="7463"/>
        <w:gridCol w:w="930"/>
        <w:gridCol w:w="1065"/>
        <w:gridCol w:w="1934"/>
      </w:tblGrid>
      <w:tr w14:paraId="10D8E875">
        <w:tblPrEx>
          <w:tblCellMar>
            <w:top w:w="0" w:type="dxa"/>
            <w:left w:w="108" w:type="dxa"/>
            <w:bottom w:w="0" w:type="dxa"/>
            <w:right w:w="108" w:type="dxa"/>
          </w:tblCellMar>
        </w:tblPrEx>
        <w:trPr>
          <w:trHeight w:val="54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F596">
            <w:pPr>
              <w:widowControl/>
              <w:jc w:val="center"/>
              <w:textAlignment w:val="center"/>
              <w:rPr>
                <w:rFonts w:ascii="宋体" w:hAnsi="宋体" w:cs="宋体"/>
                <w:b/>
                <w:bCs/>
                <w:color w:val="000000" w:themeColor="text1"/>
                <w:szCs w:val="21"/>
                <w:highlight w:val="none"/>
                <w14:textFill>
                  <w14:solidFill>
                    <w14:schemeClr w14:val="tx1"/>
                  </w14:solidFill>
                </w14:textFill>
              </w:rPr>
            </w:pPr>
            <w:bookmarkStart w:id="41" w:name="_Toc20170"/>
            <w:r>
              <w:rPr>
                <w:rFonts w:hint="eastAsia" w:ascii="宋体" w:hAnsi="宋体" w:cs="宋体"/>
                <w:b/>
                <w:bCs/>
                <w:color w:val="000000" w:themeColor="text1"/>
                <w:kern w:val="0"/>
                <w:szCs w:val="21"/>
                <w:highlight w:val="none"/>
                <w14:textFill>
                  <w14:solidFill>
                    <w14:schemeClr w14:val="tx1"/>
                  </w14:solidFill>
                </w14:textFill>
              </w:rPr>
              <w:t>序号</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B84CE">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名称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B6B4D">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规格</w:t>
            </w:r>
          </w:p>
        </w:tc>
        <w:tc>
          <w:tcPr>
            <w:tcW w:w="2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B7193">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材质要求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949C8">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数量</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0830B">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单位</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6219">
            <w:pPr>
              <w:widowControl/>
              <w:jc w:val="center"/>
              <w:textAlignment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参考图片</w:t>
            </w:r>
          </w:p>
        </w:tc>
      </w:tr>
      <w:tr w14:paraId="65327B16">
        <w:tblPrEx>
          <w:tblCellMar>
            <w:top w:w="0" w:type="dxa"/>
            <w:left w:w="108" w:type="dxa"/>
            <w:bottom w:w="0" w:type="dxa"/>
            <w:right w:w="108" w:type="dxa"/>
          </w:tblCellMar>
        </w:tblPrEx>
        <w:trPr>
          <w:trHeight w:val="9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5592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499FA">
            <w:pPr>
              <w:jc w:val="center"/>
              <w:rPr>
                <w:rFonts w:ascii="宋体" w:hAnsi="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视听椅（带书写板）</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0CA3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扶手中心距离：560mm</w:t>
            </w:r>
          </w:p>
          <w:p w14:paraId="6DEEC2F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椅座高度：440±10mm</w:t>
            </w:r>
          </w:p>
        </w:tc>
        <w:tc>
          <w:tcPr>
            <w:tcW w:w="2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6E9E5">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1.面料：应选用经过高级麻绒布料，并具有较高的耐磨性；面料切割边缘整齐匀称，缝合牢固均匀，无线头外露，针脚密实，缝纫质量好；扪制后表面工整且左右对称，压缩变形后无皱摺和脱离现象。</w:t>
            </w:r>
          </w:p>
          <w:p w14:paraId="7B8441B3">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座、背海绵：选用冷固发泡一体成型的高密度环保聚氨酯海绵，成型的海绵应具有高回弹、高密度、超软等特性，同时具有良好的吸音功能，海绵具有良好的抗菌性能。座背海绵造型根据人体工程学原理设计，确保座椅舒适度。其中背绵密度为45-50KG/m</w:t>
            </w:r>
            <w:r>
              <w:rPr>
                <w:rFonts w:hint="eastAsia" w:ascii="宋体" w:hAnsi="宋体"/>
                <w:color w:val="000000" w:themeColor="text1"/>
                <w:szCs w:val="21"/>
                <w:highlight w:val="none"/>
                <w:vertAlign w:val="superscript"/>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，；座棉密度为50-55KG/m</w:t>
            </w:r>
            <w:r>
              <w:rPr>
                <w:rFonts w:hint="eastAsia" w:ascii="宋体" w:hAnsi="宋体"/>
                <w:color w:val="000000" w:themeColor="text1"/>
                <w:szCs w:val="21"/>
                <w:highlight w:val="none"/>
                <w:vertAlign w:val="superscript"/>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p>
          <w:p w14:paraId="0CF6A403">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座、背外板：背外板采用≥15mm实木多层板；座外板应采用≥12mm厚实木多层板，经高温高压模具压制成型，座外板上有吸音小孔，以加强座椅的吸音功能，便于在音响效果较高要求的场合使用。甲醛释放量符合E1级标准，表面经环保油漆饰面处理，表面耐磨符合要求，背外板与背包采用卡扣式连接，与扶手采用角码螺丝锁紧连接，角码由优质钢材折弯成型，连接牢固，便于拆装及定位。</w:t>
            </w:r>
          </w:p>
          <w:p w14:paraId="64DC2402">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座包内框：座包内部设有钢框架加承重弹簧结构，框架采用厚度≥1.2mm优质冷轧钢经模具冲压、焊接、打磨、除油除锈后静电喷涂而成，防锈耐腐蚀，坚固耐用。承重弹簧应采用不少于5根蛇形拉簧组成，弹簧应横向均匀排布在钢框上，座包海绵底部应设计有耐磨层。</w:t>
            </w:r>
          </w:p>
          <w:p w14:paraId="5C829D9D">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座包回复：座垫回复系统采用扭簧阻尼自动回复机构，回复旋转轴采用壁厚≥2mm的横管，搭配优质扭簧及调节机构，回复简单，便于后期维护保养，设置三级调节阀机构，回复速度快、中、慢三级可调，可根据需求调节回复速度，增强座椅体验感。</w:t>
            </w:r>
          </w:p>
          <w:p w14:paraId="172F589B">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6.扶手盖：采用优质实木有线分割而成，贴合人体工程学原理设计，造型流畅，保证体感舒适，表面涂环保聚氨酯油漆。</w:t>
            </w:r>
          </w:p>
          <w:p w14:paraId="479ABFEB">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写字板：配隐藏式写字板，写字板板面采用三胺板或防火板，周边采用经注塑封边工艺处理，设有塑料拉扣及笔槽结构，具有较强的耐磨、耐划及耐撞击性能。支撑件采用优质高强度钢管及钢板经模具冲压、焊接而成，支架结构牢固，承重能力强，结构巧妙，造型美观。</w:t>
            </w:r>
          </w:p>
          <w:p w14:paraId="66880F3D">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站脚及扶手框架：站脚设计为落地式钢结构，双站脚落地，结构稳固；站脚及扶手框架采用优质高强度钢板经折弯、焊接等工序加工而成，表面经防氧化喷涂处理。底脚应采用地爆螺丝与地面固定；扶手框两侧应采用≥3mm优质中纤板扪布饰面处理，美观大方。</w:t>
            </w:r>
          </w:p>
          <w:p w14:paraId="2AB6696E">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9.金属件：所有金属件表面做耐腐蚀、抗盐雾、防锈处理，金属喷漆（塑）涂层应无鼓泡产生，无锈迹、剥落、起皱、变色和失光等现象。</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42A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45</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A1C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4F87">
            <w:pPr>
              <w:jc w:val="center"/>
              <w:rPr>
                <w:color w:val="000000" w:themeColor="text1"/>
                <w:szCs w:val="21"/>
                <w:highlight w:val="none"/>
                <w14:textFill>
                  <w14:solidFill>
                    <w14:schemeClr w14:val="tx1"/>
                  </w14:solidFill>
                </w14:textFill>
              </w:rPr>
            </w:pPr>
            <w:r>
              <w:rPr>
                <w:highlight w:val="none"/>
              </w:rPr>
              <w:drawing>
                <wp:inline distT="0" distB="0" distL="114300" distR="114300">
                  <wp:extent cx="1089025" cy="1403985"/>
                  <wp:effectExtent l="0" t="0" r="3175"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7"/>
                          <a:stretch>
                            <a:fillRect/>
                          </a:stretch>
                        </pic:blipFill>
                        <pic:spPr>
                          <a:xfrm>
                            <a:off x="0" y="0"/>
                            <a:ext cx="1089025" cy="1403985"/>
                          </a:xfrm>
                          <a:prstGeom prst="rect">
                            <a:avLst/>
                          </a:prstGeom>
                          <a:noFill/>
                          <a:ln>
                            <a:noFill/>
                          </a:ln>
                        </pic:spPr>
                      </pic:pic>
                    </a:graphicData>
                  </a:graphic>
                </wp:inline>
              </w:drawing>
            </w:r>
          </w:p>
          <w:p w14:paraId="3D9AE749">
            <w:pPr>
              <w:jc w:val="center"/>
              <w:rPr>
                <w:color w:val="000000" w:themeColor="text1"/>
                <w:szCs w:val="21"/>
                <w:highlight w:val="none"/>
                <w14:textFill>
                  <w14:solidFill>
                    <w14:schemeClr w14:val="tx1"/>
                  </w14:solidFill>
                </w14:textFill>
              </w:rPr>
            </w:pPr>
          </w:p>
        </w:tc>
      </w:tr>
      <w:tr w14:paraId="69FD190A">
        <w:tblPrEx>
          <w:tblCellMar>
            <w:top w:w="0" w:type="dxa"/>
            <w:left w:w="108" w:type="dxa"/>
            <w:bottom w:w="0" w:type="dxa"/>
            <w:right w:w="108" w:type="dxa"/>
          </w:tblCellMar>
        </w:tblPrEx>
        <w:trPr>
          <w:trHeight w:val="1702"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AC6E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DE973">
            <w:pPr>
              <w:jc w:val="center"/>
              <w:rPr>
                <w:rFonts w:ascii="宋体" w:hAnsi="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自习位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9520">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1600*700*750mm</w:t>
            </w:r>
          </w:p>
          <w:p w14:paraId="1F52CA7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（组合中的单人位尺寸）</w:t>
            </w:r>
          </w:p>
        </w:tc>
        <w:tc>
          <w:tcPr>
            <w:tcW w:w="2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38A10">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1.基材：参照大亚、福人、露水河或同档次及以上品牌ENF级刨花板，甲醛释放量≤0.025mg/m³。</w:t>
            </w:r>
          </w:p>
          <w:p w14:paraId="113AFECF">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2.饰面：双贴参照夏王、欧亚、夏特或同档次及以上品牌三聚氰胺浸渍面纸饰面材料，桌板厚度≥20mm。</w:t>
            </w:r>
          </w:p>
          <w:p w14:paraId="449D5D36">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3.封边：PUR封边，所有板件四封边。</w:t>
            </w:r>
          </w:p>
          <w:p w14:paraId="6FA38C1C">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脚架：参照“宝钢”、“首钢”、“鞍钢”或同档次及以上品牌钢材，壁厚≥1.5mm；经脱脂、水洗、酸洗、水洗中和、表调、磷化、干燥等工艺处理，表面参照阿克苏诺贝尔、Tiger、杜邦或同档次及以上品牌环保环氧树脂粉体静电喷涂。</w:t>
            </w:r>
          </w:p>
          <w:p w14:paraId="7FDAC63F">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5.胶粘剂：参照胶王、汉高、Buehnen或同档次及以上品牌环保水性胶粘剂。</w:t>
            </w:r>
          </w:p>
          <w:p w14:paraId="3BCFF72E">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6.走线：桌面翻线盖，每个翻线盖内至少预留2个标准五孔插座和2个USB孔插座；桌下金属横向过线槽，中间脚隐藏式上线。</w:t>
            </w:r>
          </w:p>
          <w:p w14:paraId="36479038">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7.屏风：面对面桌上中央屏风，MFC内芯外包参照Gabriel、 Kvadart、Camira或同档次及以上及以上品牌环保布饰面，耐干摩擦色牢度达到5级，耐磨性≥50000 转 。</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420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D96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7496">
            <w:pPr>
              <w:jc w:val="center"/>
              <w:rPr>
                <w:rFonts w:ascii="宋体" w:hAnsi="宋体"/>
                <w:color w:val="000000" w:themeColor="text1"/>
                <w:szCs w:val="21"/>
                <w:highlight w:val="none"/>
                <w14:textFill>
                  <w14:solidFill>
                    <w14:schemeClr w14:val="tx1"/>
                  </w14:solidFill>
                </w14:textFill>
              </w:rPr>
            </w:pPr>
            <w:r>
              <w:rPr>
                <w:highlight w:val="none"/>
              </w:rPr>
              <w:drawing>
                <wp:inline distT="0" distB="0" distL="114300" distR="114300">
                  <wp:extent cx="1090295" cy="529590"/>
                  <wp:effectExtent l="0" t="0" r="1905" b="381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8"/>
                          <a:stretch>
                            <a:fillRect/>
                          </a:stretch>
                        </pic:blipFill>
                        <pic:spPr>
                          <a:xfrm>
                            <a:off x="0" y="0"/>
                            <a:ext cx="1090295" cy="529590"/>
                          </a:xfrm>
                          <a:prstGeom prst="rect">
                            <a:avLst/>
                          </a:prstGeom>
                          <a:noFill/>
                          <a:ln>
                            <a:noFill/>
                          </a:ln>
                        </pic:spPr>
                      </pic:pic>
                    </a:graphicData>
                  </a:graphic>
                </wp:inline>
              </w:drawing>
            </w:r>
          </w:p>
        </w:tc>
      </w:tr>
      <w:tr w14:paraId="540F3D16">
        <w:tblPrEx>
          <w:tblCellMar>
            <w:top w:w="0" w:type="dxa"/>
            <w:left w:w="108" w:type="dxa"/>
            <w:bottom w:w="0" w:type="dxa"/>
            <w:right w:w="108" w:type="dxa"/>
          </w:tblCellMar>
        </w:tblPrEx>
        <w:trPr>
          <w:trHeight w:val="231"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20CB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5CDBD">
            <w:pPr>
              <w:jc w:val="center"/>
              <w:rPr>
                <w:rFonts w:ascii="宋体" w:hAnsi="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钢制活动柜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FE00">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390*500*600mm</w:t>
            </w:r>
          </w:p>
        </w:tc>
        <w:tc>
          <w:tcPr>
            <w:tcW w:w="2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36331">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1.基材：参照“宝钢”、“首钢”、“鞍钢”或同档次及以上品牌一级冷轧钢板，钢板厚度≥0.8mm。</w:t>
            </w:r>
          </w:p>
          <w:p w14:paraId="733BB1DE">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表面处理：（1）采用环保工艺，静电亚光喷塑；（2）表面处理工艺，采用乳化剂和碱性助洗脱脂、磷酸除锈锌系薄膜型磷化、钝化、最后粉末喷涂；架体内壁的处理方法和外表面的处理方法相同；（3）表面处理工艺过程，热水脱脂--水洗--除锈--二合一处理--水洗--磷化--热水洗--钝化--清洗--喷粉--固化；（4）表面理化性能，金属喷塑涂层，硬度为不低于H，冲击强度于冲击高度40cm，无剥落、裂纹、皱纹;附着力不低于2级；（5）粉末要求不含三酸异氰肝油脂（TGIC）的环氧树脂和聚脂树脂之混合型热固性粉末，品牌参考阿克苏诺贝尔、Tiger、杜邦或同档次及以上品牌。</w:t>
            </w:r>
          </w:p>
          <w:p w14:paraId="5843D7FC">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3.焊接：焊接部件连接牢固，焊点光滑平整。</w:t>
            </w:r>
          </w:p>
          <w:p w14:paraId="521B480C">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4.五金件：（1）三节式全展钢珠滑轨，高承载、寿命长，每个抽屉可以独立承受≥35KG的重量；（2）参照LEHMANN、Harvsun、DTC或同档次及以上品牌锁具。</w:t>
            </w:r>
          </w:p>
          <w:p w14:paraId="3B5AD84C">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5.功能：（1）互锁装置，确保第二抽与第三抽不能同时打开，可防止倾倒；（2）柜体底部带封板，保证柜体完整性，提高强度，防止虫鼠进入；（3）第一抽标配笔盘，第三抽标配大抽活动杆两支。</w:t>
            </w:r>
          </w:p>
          <w:p w14:paraId="6A8B6BC2">
            <w:pPr>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6.脚轮：尼龙脚轮，可锁定，耐久性测试10万次无损坏；配备第五轮，有效防止大抽屉因超载产生的倾倒。</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FB4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3499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8646">
            <w:pPr>
              <w:jc w:val="center"/>
              <w:rPr>
                <w:rFonts w:ascii="宋体" w:hAnsi="宋体"/>
                <w:color w:val="000000" w:themeColor="text1"/>
                <w:szCs w:val="21"/>
                <w:highlight w:val="none"/>
                <w14:textFill>
                  <w14:solidFill>
                    <w14:schemeClr w14:val="tx1"/>
                  </w14:solidFill>
                </w14:textFill>
              </w:rPr>
            </w:pPr>
            <w:r>
              <w:rPr>
                <w:highlight w:val="none"/>
              </w:rPr>
              <w:drawing>
                <wp:inline distT="0" distB="0" distL="114300" distR="114300">
                  <wp:extent cx="1090295" cy="1367155"/>
                  <wp:effectExtent l="0" t="0" r="1905" b="444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9"/>
                          <a:stretch>
                            <a:fillRect/>
                          </a:stretch>
                        </pic:blipFill>
                        <pic:spPr>
                          <a:xfrm>
                            <a:off x="0" y="0"/>
                            <a:ext cx="1090295" cy="1367155"/>
                          </a:xfrm>
                          <a:prstGeom prst="rect">
                            <a:avLst/>
                          </a:prstGeom>
                          <a:noFill/>
                          <a:ln>
                            <a:noFill/>
                          </a:ln>
                        </pic:spPr>
                      </pic:pic>
                    </a:graphicData>
                  </a:graphic>
                </wp:inline>
              </w:drawing>
            </w:r>
          </w:p>
        </w:tc>
      </w:tr>
      <w:tr w14:paraId="1C222E00">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3490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9375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功能座椅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C7D5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730*700*1020-1120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DB8C2">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xml:space="preserve">1.椅背：背部框架尼龙加玻纤，内侧网布饰面。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2.座垫：内置一体成型PU泡棉，外包参照Gabriel、Kvadart、Camira或同档次及以上品牌系列面料， 耐摩擦色牢度(千/湿)≥4 级，耐磨性≥50000 转；一档锁定机构。</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3.脚架：黑色聚酰胺添加玻璃纤维涂装椅脚，二段式高强度塑胶耐磨椅轮，耐久性测试10万次无损坏。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4.升降机构：采用优质安全气棒，一档锁定机构。</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5.扶手：聚酰胺材质，PU扶手面，2D可调节。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6.环保：坐垫不含胶水。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41E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38A1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B5D5">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00430" cy="1428750"/>
                  <wp:effectExtent l="0" t="0" r="1270" b="635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30"/>
                          <a:stretch>
                            <a:fillRect/>
                          </a:stretch>
                        </pic:blipFill>
                        <pic:spPr>
                          <a:xfrm>
                            <a:off x="0" y="0"/>
                            <a:ext cx="900430" cy="1428750"/>
                          </a:xfrm>
                          <a:prstGeom prst="rect">
                            <a:avLst/>
                          </a:prstGeom>
                          <a:noFill/>
                          <a:ln>
                            <a:noFill/>
                          </a:ln>
                        </pic:spPr>
                      </pic:pic>
                    </a:graphicData>
                  </a:graphic>
                </wp:inline>
              </w:drawing>
            </w:r>
          </w:p>
        </w:tc>
      </w:tr>
      <w:tr w14:paraId="2278C720">
        <w:tblPrEx>
          <w:tblCellMar>
            <w:top w:w="0" w:type="dxa"/>
            <w:left w:w="108" w:type="dxa"/>
            <w:bottom w:w="0" w:type="dxa"/>
            <w:right w:w="108" w:type="dxa"/>
          </w:tblCellMar>
        </w:tblPrEx>
        <w:trPr>
          <w:trHeight w:val="1353"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0508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9809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休闲阅览沙发椅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A101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700*740*1000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053446">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3.内胆：定型胶合板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4.脚架：静电喷塑钢管。</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5.摇挡：红橡木，表面清漆处理工艺。</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D7E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68E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BB15">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025" cy="1137285"/>
                  <wp:effectExtent l="0" t="0" r="3175" b="571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1"/>
                          <a:stretch>
                            <a:fillRect/>
                          </a:stretch>
                        </pic:blipFill>
                        <pic:spPr>
                          <a:xfrm>
                            <a:off x="0" y="0"/>
                            <a:ext cx="1089025" cy="1137285"/>
                          </a:xfrm>
                          <a:prstGeom prst="rect">
                            <a:avLst/>
                          </a:prstGeom>
                          <a:noFill/>
                          <a:ln>
                            <a:noFill/>
                          </a:ln>
                        </pic:spPr>
                      </pic:pic>
                    </a:graphicData>
                  </a:graphic>
                </wp:inline>
              </w:drawing>
            </w:r>
          </w:p>
        </w:tc>
      </w:tr>
      <w:tr w14:paraId="207D4E48">
        <w:tblPrEx>
          <w:tblCellMar>
            <w:top w:w="0" w:type="dxa"/>
            <w:left w:w="108" w:type="dxa"/>
            <w:bottom w:w="0" w:type="dxa"/>
            <w:right w:w="108" w:type="dxa"/>
          </w:tblCellMar>
        </w:tblPrEx>
        <w:trPr>
          <w:trHeight w:val="10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F5DE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954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休闲茶几</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B752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直径500*450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4AB58">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1.桌板：桌板厚度≥25mm,选用E1级桦木胶合板基材；顶面实木免漆贴面，底面白色防火板，原木色倒斜角边；。</w:t>
            </w:r>
          </w:p>
          <w:p w14:paraId="6F9CC18C">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2.桌脚：红橡木实木材质，表面开放环保水性漆处理，承重≥80KG。</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1DC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7DEE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043F">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706120" cy="759460"/>
                  <wp:effectExtent l="0" t="0" r="5080" b="254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32"/>
                          <a:stretch>
                            <a:fillRect/>
                          </a:stretch>
                        </pic:blipFill>
                        <pic:spPr>
                          <a:xfrm>
                            <a:off x="0" y="0"/>
                            <a:ext cx="706120" cy="759460"/>
                          </a:xfrm>
                          <a:prstGeom prst="rect">
                            <a:avLst/>
                          </a:prstGeom>
                          <a:noFill/>
                          <a:ln>
                            <a:noFill/>
                          </a:ln>
                        </pic:spPr>
                      </pic:pic>
                    </a:graphicData>
                  </a:graphic>
                </wp:inline>
              </w:drawing>
            </w:r>
          </w:p>
        </w:tc>
      </w:tr>
      <w:tr w14:paraId="03415C93">
        <w:tblPrEx>
          <w:tblCellMar>
            <w:top w:w="0" w:type="dxa"/>
            <w:left w:w="108" w:type="dxa"/>
            <w:bottom w:w="0" w:type="dxa"/>
            <w:right w:w="108" w:type="dxa"/>
          </w:tblCellMar>
        </w:tblPrEx>
        <w:trPr>
          <w:trHeight w:val="9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1416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190B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模块组合</w:t>
            </w: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br w:type="textWrapping"/>
            </w: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休闲沙发1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B543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曲线长5445</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，沙发深度715</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，沙发高度735</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17D19">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3.沙发内框架：采用优质多层板与实木结合框架，木材含水率≤12%。</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4.封板和连接件内框架：≥25mm厚度环保中密度板+2边各≥12mm的胶合板。</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03B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DAD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B973">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10590" cy="1001395"/>
                  <wp:effectExtent l="0" t="0" r="3810" b="190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3"/>
                          <a:stretch>
                            <a:fillRect/>
                          </a:stretch>
                        </pic:blipFill>
                        <pic:spPr>
                          <a:xfrm>
                            <a:off x="0" y="0"/>
                            <a:ext cx="910590" cy="1001395"/>
                          </a:xfrm>
                          <a:prstGeom prst="rect">
                            <a:avLst/>
                          </a:prstGeom>
                          <a:noFill/>
                          <a:ln>
                            <a:noFill/>
                          </a:ln>
                        </pic:spPr>
                      </pic:pic>
                    </a:graphicData>
                  </a:graphic>
                </wp:inline>
              </w:drawing>
            </w:r>
          </w:p>
        </w:tc>
      </w:tr>
      <w:tr w14:paraId="6BF4DD33">
        <w:tblPrEx>
          <w:tblCellMar>
            <w:top w:w="0" w:type="dxa"/>
            <w:left w:w="108" w:type="dxa"/>
            <w:bottom w:w="0" w:type="dxa"/>
            <w:right w:w="108" w:type="dxa"/>
          </w:tblCellMar>
        </w:tblPrEx>
        <w:trPr>
          <w:trHeight w:val="323"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7F4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5554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模块组合</w:t>
            </w: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br w:type="textWrapping"/>
            </w: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休闲沙发2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7C15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曲线长4575</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，沙发深度715</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，沙发高度735</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3347D">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3.沙发内框架：采用优质多层板与实木结合框架，木材含水率≤12%。</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4.封板和连接件内框架：≥25mm厚度环保中密度板+2边各≥12mm的胶合板。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5.沙发中间设2处扶手箱，均带圆角三角形台面。</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13EF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B151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AC55A">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8390" cy="717550"/>
                  <wp:effectExtent l="0" t="0" r="3810" b="6350"/>
                  <wp:docPr id="1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3"/>
                          <pic:cNvPicPr>
                            <a:picLocks noChangeAspect="1"/>
                          </pic:cNvPicPr>
                        </pic:nvPicPr>
                        <pic:blipFill>
                          <a:blip r:embed="rId34"/>
                          <a:stretch>
                            <a:fillRect/>
                          </a:stretch>
                        </pic:blipFill>
                        <pic:spPr>
                          <a:xfrm>
                            <a:off x="0" y="0"/>
                            <a:ext cx="1088390" cy="717550"/>
                          </a:xfrm>
                          <a:prstGeom prst="rect">
                            <a:avLst/>
                          </a:prstGeom>
                          <a:noFill/>
                          <a:ln>
                            <a:noFill/>
                          </a:ln>
                        </pic:spPr>
                      </pic:pic>
                    </a:graphicData>
                  </a:graphic>
                </wp:inline>
              </w:drawing>
            </w:r>
          </w:p>
        </w:tc>
      </w:tr>
      <w:tr w14:paraId="53B688A3">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272B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FC97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新书展台</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096F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2600*1200*1050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D3E45">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1.基材：参照大亚、福人、丰林或同档次及以上品牌ENF级中密度纤维板，甲醛释放量≤0.025mg/m³。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2.饰面：选用科技木皮，厚度≥0.6mm，经过防虫防腐处理,耐磨性好,纹理清晰自然,色泽一致；白木或与贴面相同的实木木材封边，颜色均匀平整。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油漆工艺：采用环保水性漆，开放漆工艺，底漆采用PE不饱和树脂漆，五底三面工艺；游离甲醛含量≤100mg/kg，挥发性有机化合物含量≤300mg/kg，油漆面漆、底漆部分VOC≤60g/L，甲苯、二甲苯、乙苯含量总和≤1%，苯含量≤0.01%，硬度达到3H级，漆膜附着力不低于2级，漆膜抗冲击不低于2级，耐干热、耐湿热不低于2级，耐香烟灼烧试验后不得有黑斑、裂纹、鼓泡。</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4.结构工艺：采用注胶工艺，无任何外露金属连接件，保证柜体内部及外观美。</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236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01D8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8D2D">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7755" cy="792480"/>
                  <wp:effectExtent l="0" t="0" r="4445" b="762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35"/>
                          <a:stretch>
                            <a:fillRect/>
                          </a:stretch>
                        </pic:blipFill>
                        <pic:spPr>
                          <a:xfrm>
                            <a:off x="0" y="0"/>
                            <a:ext cx="1087755" cy="792480"/>
                          </a:xfrm>
                          <a:prstGeom prst="rect">
                            <a:avLst/>
                          </a:prstGeom>
                          <a:noFill/>
                          <a:ln>
                            <a:noFill/>
                          </a:ln>
                        </pic:spPr>
                      </pic:pic>
                    </a:graphicData>
                  </a:graphic>
                </wp:inline>
              </w:drawing>
            </w:r>
          </w:p>
        </w:tc>
      </w:tr>
      <w:tr w14:paraId="7A98F3F0">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815A">
            <w:pPr>
              <w:widowControl/>
              <w:jc w:val="center"/>
              <w:textAlignment w:val="center"/>
              <w:rPr>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B02C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定制书柜</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685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1000*700*1200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0328E">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材质及工艺：所有钢板均参照“宝钢”、“首钢”、“鞍钢”或同档次及以上品牌钢材优质冷轧钢板；搁板厚≥1.2mm，三道折弯工艺，折弯高度为≥25mm，挡书板厚≥1.0mm，高度≥100mm，挂板厚≥1.2mm，双挂钩式高度≥140mm，底架厚≥1.5mm，高度≥120mm，顶板厚≥1.2mm，高度≥35mm，斜面板厚≥1.2mm，宽度≥300mm，斜面板放置为：45度，双面为90度。</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静电喷漆、工艺结构要求：钢质部分磨具化生产，去油、降锈、磷化处理、经亚光静电喷粉、高温塑化，具有良好的抗腐蚀性能，色泽明快、附着力强；凡需焊接的部件要焊接牢固，因焊接面暗生的形变必须矫正，不允许出现漏焊、焊穿、气孔、咬边等现象，焊痕表面波纹应均匀；外表的接头处要求光滑，冲压件表面不允许有裂痕；表面涂饰应平整光滑，色泽均匀一致，不允许有流挂、起粒、皱皮、露底、剥落、伤痕等缺陷。安装后立面载荷倾斜度≤3mm；载荷每层大于100kg，每架大于200kg。与侧板的衔接必须成弧形。表面光亮平整、无颗粒、无毒害、易清洁。要求：造材优良，涂材坚固，稳定性好，翻板灵活性好，无声音。</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C69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540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1ADBB">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025" cy="1265555"/>
                  <wp:effectExtent l="0" t="0" r="3175" b="4445"/>
                  <wp:docPr id="6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pic:cNvPicPr>
                            <a:picLocks noChangeAspect="1"/>
                          </pic:cNvPicPr>
                        </pic:nvPicPr>
                        <pic:blipFill>
                          <a:blip r:embed="rId36"/>
                          <a:stretch>
                            <a:fillRect/>
                          </a:stretch>
                        </pic:blipFill>
                        <pic:spPr>
                          <a:xfrm>
                            <a:off x="0" y="0"/>
                            <a:ext cx="1089025" cy="1265555"/>
                          </a:xfrm>
                          <a:prstGeom prst="rect">
                            <a:avLst/>
                          </a:prstGeom>
                          <a:noFill/>
                          <a:ln>
                            <a:noFill/>
                          </a:ln>
                        </pic:spPr>
                      </pic:pic>
                    </a:graphicData>
                  </a:graphic>
                </wp:inline>
              </w:drawing>
            </w:r>
          </w:p>
        </w:tc>
      </w:tr>
      <w:tr w14:paraId="6D4F2ECC">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666F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771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休闲高桌1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7FC4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2000*800*1000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B4A4D">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2.饰面：参照富美家(Formica)、威盛亚（Wilsonart）、木恪或同档次及以上品牌防火板饰面材料，抗划伤、耐磨、耐酸碱、耐烟灼、防火、不易褪色、易清洁，桌板厚度≥25mm。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3.封边：ABS封边，厚度≥2mm，所有板件四封边。</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架：参照“宝钢”、“首钢”、“鞍钢”或同档次及以上品牌钢材，壁厚≥1.5mm；经脱脂、水洗、酸洗、水洗中和、表调、磷化、干燥等工艺处理，表面参照阿克苏诺贝尔、Tiger、杜邦或同档次及以上品牌环保环氧树脂粉体静电喷涂；支撑脚中空，用于走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5.胶粘剂：参照胶王、汉高、Buehnen或同档次及以上品牌环保水性胶粘剂。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6.脚垫：优质PPR工程塑加尼龙防滑脚垫。</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7.电源：桌面一端设置电源集成模块，方便随时取电。</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CF31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48E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300FB">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025" cy="855345"/>
                  <wp:effectExtent l="0" t="0" r="3175" b="825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37"/>
                          <a:stretch>
                            <a:fillRect/>
                          </a:stretch>
                        </pic:blipFill>
                        <pic:spPr>
                          <a:xfrm>
                            <a:off x="0" y="0"/>
                            <a:ext cx="1089025" cy="855345"/>
                          </a:xfrm>
                          <a:prstGeom prst="rect">
                            <a:avLst/>
                          </a:prstGeom>
                          <a:noFill/>
                          <a:ln>
                            <a:noFill/>
                          </a:ln>
                        </pic:spPr>
                      </pic:pic>
                    </a:graphicData>
                  </a:graphic>
                </wp:inline>
              </w:drawing>
            </w:r>
          </w:p>
        </w:tc>
      </w:tr>
      <w:tr w14:paraId="14F0F4BD">
        <w:tblPrEx>
          <w:tblCellMar>
            <w:top w:w="0" w:type="dxa"/>
            <w:left w:w="108" w:type="dxa"/>
            <w:bottom w:w="0" w:type="dxa"/>
            <w:right w:w="108" w:type="dxa"/>
          </w:tblCellMar>
        </w:tblPrEx>
        <w:trPr>
          <w:trHeight w:val="9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70F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8EE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多功能条形长凳</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E4EB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1600*430*720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7E91B">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基座：参照“宝钢”、“首钢”、“鞍钢”或同档次及以上品牌钢材，壁厚≥1.5mm，表面采用参照阿克苏诺贝尔、Tiger、杜邦或同档次及以上品牌环保环氧树脂粉体静电喷涂；带横向搁脚杆，通过圆管连接件嵌入桌脚锁定。</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4.脚垫：优质PPR工程塑加尼龙防滑脚垫。</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AF46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D8A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CD112">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775970"/>
                  <wp:effectExtent l="0" t="0" r="2540" b="1143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38"/>
                          <a:stretch>
                            <a:fillRect/>
                          </a:stretch>
                        </pic:blipFill>
                        <pic:spPr>
                          <a:xfrm>
                            <a:off x="0" y="0"/>
                            <a:ext cx="1089660" cy="775970"/>
                          </a:xfrm>
                          <a:prstGeom prst="rect">
                            <a:avLst/>
                          </a:prstGeom>
                          <a:noFill/>
                          <a:ln>
                            <a:noFill/>
                          </a:ln>
                        </pic:spPr>
                      </pic:pic>
                    </a:graphicData>
                  </a:graphic>
                </wp:inline>
              </w:drawing>
            </w:r>
          </w:p>
        </w:tc>
      </w:tr>
      <w:tr w14:paraId="2A3508F5">
        <w:tblPrEx>
          <w:tblCellMar>
            <w:top w:w="0" w:type="dxa"/>
            <w:left w:w="108" w:type="dxa"/>
            <w:bottom w:w="0" w:type="dxa"/>
            <w:right w:w="108" w:type="dxa"/>
          </w:tblCellMar>
        </w:tblPrEx>
        <w:trPr>
          <w:trHeight w:val="9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314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0A17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高吧椅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CA867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490*460*890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469BB">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1.椅板：座板和背板均采用PP塑料。</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脚架：参照“宝钢”、“首钢”、“鞍钢”或同档次及以上品牌钢材；经脱脂、水洗、酸洗、水洗中和、表调、磷化、干燥等工艺处理，表面采用参照阿克苏诺贝尔、Tiger、杜邦或同档次及以上品牌环保环氧树脂粉体静电喷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1B5B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75BF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069E">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751840" cy="1158875"/>
                  <wp:effectExtent l="0" t="0" r="10160" b="952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39"/>
                          <a:stretch>
                            <a:fillRect/>
                          </a:stretch>
                        </pic:blipFill>
                        <pic:spPr>
                          <a:xfrm>
                            <a:off x="0" y="0"/>
                            <a:ext cx="751840" cy="1158875"/>
                          </a:xfrm>
                          <a:prstGeom prst="rect">
                            <a:avLst/>
                          </a:prstGeom>
                          <a:noFill/>
                          <a:ln>
                            <a:noFill/>
                          </a:ln>
                        </pic:spPr>
                      </pic:pic>
                    </a:graphicData>
                  </a:graphic>
                </wp:inline>
              </w:drawing>
            </w:r>
          </w:p>
        </w:tc>
      </w:tr>
      <w:tr w14:paraId="06D57030">
        <w:tblPrEx>
          <w:tblCellMar>
            <w:top w:w="0" w:type="dxa"/>
            <w:left w:w="108" w:type="dxa"/>
            <w:bottom w:w="0" w:type="dxa"/>
            <w:right w:w="108" w:type="dxa"/>
          </w:tblCellMar>
        </w:tblPrEx>
        <w:trPr>
          <w:trHeight w:val="54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994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3A7B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六层双面书架</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69D4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900*520*2180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A7E4F">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1.钢板：所有钢板均参照“宝钢”、“首钢”、“鞍钢”或同档次及以上品牌钢材优质冷轧钢板。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底盘：（1）钢板厚度≥2.0mm；（2）分段组合焊接式，压制成槽型，高度120mm，并双弯边加强；（3）每个底盘两端封头横梁与纵梁接，在直角处上、下两平面均焊接三角形加强板；（4）底盘经磷化喷塑处理，颜色与架体一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立柱：（1）立柱钢板厚度≥1.5mm；（2）立柱采用一体成型工艺，设计为半敞开式，利于立柱表面喷涂全部到位，正面压制梯形凹槽，梯形凹槽底部尺寸≥20mm，上面尺寸≥25mm，深度≥2.0mm；侧面设有双排立柱调节孔，孔中心距≥50mm；（3）立柱成型尺寸≥50mmx40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搁板：（1）钢板厚度≥1.0mm；（2）每层搁板要求双块拼合，能自由拆御，高度可调整，采用六折折弯边工艺，搁板表面光滑流畅无冲压步冲印痕；（3）每块/层搁板承重：单面≥60kg，双面≥120kg，最大挠度≤2mm，24h卸载后，搁板无裂纹，无永久变形；每节书架底层搁板向外端倾斜。</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5.隔档：（1）钢板厚度≥0.8mm；（2）每层两块搁板中间装一个个性化书挡条，长度以书架间距为准。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挂板：钢板厚度≥1.2mm，挂板成型高≥125mm，两端四挂钩结构设计，挂板中间档棒孔为方孔内梯形结构，档棒插入方孔后可挂扣在梯形上，可防止档棒两端滑落；中间腰形拉伸翻边模成形两个台阶加强孔，孔上下位置设有四根圆筋，挂板上下端直角折弯，并冲有四个凸槽，使搁板嵌置于弯边凸肩上，承重性好，外观新颖，可防止搁板前后窜动，通用性互换性好，搁板与立柱侧面间隙更小、更美观；挂板与立柱之间连接方式采用四挂钩扣接，组装后，挂板表面不超出立柱侧表面；四挂钩挂板强度高，承重性能更优越，挂板与立柱对接处更牢固。</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7.顶板：（1）钢板厚度≥1.0mm;（2）顶板折弯成长方体，校正立柱成立方体框架，通过螺丝将立柱和顶板连接起来，使框架定型。</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8.按国家标准，在全负载的情况下，承受X、Y轴向的水平拉力，拉力≥120N，架体不翻倒，架体倾斜量均不得大于架体总高的1%，各部件应无塑性变形或其他异常现象；</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9.零部件及组合件：（1）组合件表面光滑、平整，无尖角、凸起；（2）色泽一致，漆面均匀，无划痕；（3）书架整体不允许有锣栓露在表面；4）产品各零部件及组合件之间必须互换性好，且安装方便。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10.表面处理：（1）采用环保工艺，静电亚光喷塑；（2）表面处理工艺，采用乳化剂和碱性助洗脱脂、磷酸除锈锌系薄膜型磷化、钝化、最后粉末喷涂；架体内壁的处理方法和外表面的处理方法相同；（3）表面处理工艺过程，热水脱脂--水洗--除锈--二合一处理--水洗--磷化--热水洗--钝化--清洗--喷粉--固化；（4）表面理化性能，金属喷塑涂层：硬度为不低于H，冲击强度于冲击高度40cm，无剥落、裂纹、皱纹;附着力不低于2级；（5）粉末要求，不含三酸异氰肝油脂（TGIC）的环氧树脂和聚脂树脂之混合型热固性粉末。</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11.焊接：焊接部件连接牢固，焊点光滑平整。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12.灯架：每节书架灯顶板前后面配LED节能感应灯，色温控制在2800K-4000K，灯具安装于书架灯壳外边沿顶部底面。控制系统应具备人体自动感应功能，即“人来灯亮，人走灯灭”功能。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13.外饰护板/顶板：7节或者8节一列，每列带外护板；采用木纹防火板贴面，基材参照大亚、福人、露水河或同档次及以上品牌ENF级刨花板，甲醛释放量≤0.025mg/m³，厚度为≥18MM。</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367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0ABA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列</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182F">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686435"/>
                  <wp:effectExtent l="0" t="0" r="2540" b="1206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40"/>
                          <a:stretch>
                            <a:fillRect/>
                          </a:stretch>
                        </pic:blipFill>
                        <pic:spPr>
                          <a:xfrm>
                            <a:off x="0" y="0"/>
                            <a:ext cx="1089660" cy="686435"/>
                          </a:xfrm>
                          <a:prstGeom prst="rect">
                            <a:avLst/>
                          </a:prstGeom>
                          <a:noFill/>
                          <a:ln>
                            <a:noFill/>
                          </a:ln>
                        </pic:spPr>
                      </pic:pic>
                    </a:graphicData>
                  </a:graphic>
                </wp:inline>
              </w:drawing>
            </w:r>
          </w:p>
        </w:tc>
      </w:tr>
      <w:tr w14:paraId="7A759667">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FD7F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3CFA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静音书车</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428D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800*460*1150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2577F0">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1.基材：参照“宝钢”、“首钢”、“鞍钢”或同档次及以上品牌一级冷轧钢板，裸板壁厚≥0.8mm。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工艺：表面经酸洗、磷化、防腐、防锈处理，表面采用参照阿克苏诺贝尔、Tiger、杜邦或同档次及以上品牌环保环氧树脂粉体静电喷涂处理，色泽均匀。用环保的无磷有机皮膜转换层，确保涂层外观均匀度、结晶致密性、附着力、机械强度、耐磨性和防锈性能。生产工艺焊接采用电阻焊，平整度高，四周接口处采用铜焊，便于长久使用和搬迁。</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3.脚轮：可锁定尼龙万向轮。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4.结构：双面三层。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43F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7F41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个</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69E0A">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1334135"/>
                  <wp:effectExtent l="0" t="0" r="1905" b="12065"/>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41"/>
                          <a:stretch>
                            <a:fillRect/>
                          </a:stretch>
                        </pic:blipFill>
                        <pic:spPr>
                          <a:xfrm>
                            <a:off x="0" y="0"/>
                            <a:ext cx="1090295" cy="1334135"/>
                          </a:xfrm>
                          <a:prstGeom prst="rect">
                            <a:avLst/>
                          </a:prstGeom>
                          <a:noFill/>
                          <a:ln>
                            <a:noFill/>
                          </a:ln>
                        </pic:spPr>
                      </pic:pic>
                    </a:graphicData>
                  </a:graphic>
                </wp:inline>
              </w:drawing>
            </w:r>
          </w:p>
        </w:tc>
      </w:tr>
      <w:tr w14:paraId="49610D05">
        <w:tblPrEx>
          <w:tblCellMar>
            <w:top w:w="0" w:type="dxa"/>
            <w:left w:w="108" w:type="dxa"/>
            <w:bottom w:w="0" w:type="dxa"/>
            <w:right w:w="108" w:type="dxa"/>
          </w:tblCellMar>
        </w:tblPrEx>
        <w:trPr>
          <w:trHeight w:val="1263"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659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9E59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创意阅览沙发1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9197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1473*622*457</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4BED07">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1.饰面：采用100%乙烯基面料，不含邻苯二甲酸酯，衬底采用聚酯纤维材料，高度耐用，不低于100000 Wyzenbeek双重摩擦(CD)等级。易清洁，可使用10:1的水和漂白剂混合物清洗。</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2.海绵：柔性聚氨酯泡沫制成，不含添加阻燃化学品。</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3.内框架：由≥18mm厚度的桦木胶合板组成，甲醛释放量≤0.050mg/m³，每一块胶合板都与相邻的胶合板互锁，形成坚固的承重连接。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4.功能：表面可防水；同时支持3人就坐，沙发最大承重≥300kg。</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7F6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A882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2CD15">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858520"/>
                  <wp:effectExtent l="0" t="0" r="1905" b="508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42"/>
                          <a:stretch>
                            <a:fillRect/>
                          </a:stretch>
                        </pic:blipFill>
                        <pic:spPr>
                          <a:xfrm>
                            <a:off x="0" y="0"/>
                            <a:ext cx="1090295" cy="858520"/>
                          </a:xfrm>
                          <a:prstGeom prst="rect">
                            <a:avLst/>
                          </a:prstGeom>
                          <a:noFill/>
                          <a:ln>
                            <a:noFill/>
                          </a:ln>
                        </pic:spPr>
                      </pic:pic>
                    </a:graphicData>
                  </a:graphic>
                </wp:inline>
              </w:drawing>
            </w:r>
          </w:p>
        </w:tc>
      </w:tr>
      <w:tr w14:paraId="7EF63F1B">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13C4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51F0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创意屏风</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82E0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483*1499*660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BB751">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1.饰面：采用100%乙烯基面料，不含邻苯二甲酸酯，衬底采用聚酯纤维材料，高度耐用，不低于100000 Wyzenbeek双重摩擦(CD)等级。易清洁，可使用10:1的水和漂白剂混合物清洗。</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2.海绵：柔性聚氨酯泡沫制成，不含添加阻燃化学品。</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3.内框架：由≥18mm厚度的桦木胶合板组成，甲醛释放量≤0.050mg/m³，每一块胶合板都与相邻的胶合板互锁，形成坚固的承重连接。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4.脚架：采用≥6mm厚度的钢板作为支撑。</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5.功能：表面可防水，可与同系列沙发组合作为靠背使用。</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BAB0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CBF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535C">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858520"/>
                  <wp:effectExtent l="0" t="0" r="1905" b="508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43"/>
                          <a:stretch>
                            <a:fillRect/>
                          </a:stretch>
                        </pic:blipFill>
                        <pic:spPr>
                          <a:xfrm>
                            <a:off x="0" y="0"/>
                            <a:ext cx="1090295" cy="858520"/>
                          </a:xfrm>
                          <a:prstGeom prst="rect">
                            <a:avLst/>
                          </a:prstGeom>
                          <a:noFill/>
                          <a:ln>
                            <a:noFill/>
                          </a:ln>
                        </pic:spPr>
                      </pic:pic>
                    </a:graphicData>
                  </a:graphic>
                </wp:inline>
              </w:drawing>
            </w:r>
          </w:p>
        </w:tc>
      </w:tr>
      <w:tr w14:paraId="068D2535">
        <w:tblPrEx>
          <w:tblCellMar>
            <w:top w:w="0" w:type="dxa"/>
            <w:left w:w="108" w:type="dxa"/>
            <w:bottom w:w="0" w:type="dxa"/>
            <w:right w:w="108" w:type="dxa"/>
          </w:tblCellMar>
        </w:tblPrEx>
        <w:trPr>
          <w:trHeight w:val="1194"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72E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2243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异形升降阅览桌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A15F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813*800*660–1016</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1F408">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2.饰面：参照富美家(Formica)、威盛亚（Wilsonart）、木恪或或同档次及以上品牌防火板贴面，抗划伤、耐磨、耐酸碱、耐烟灼、防火、不易褪色、易清洁；桌板形状为圆角三角形，厚度≥25mm。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4.功能：（1）每根桌脚上设调节孔位，桌子高度可调节，调节范围≥660–1016mm；（2）桌下设金属储物搁板和金属挂钩。</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钢材，钢管壁厚≥1.5mm，经脱脂、水洗、酸洗、水洗中和、表调、磷化、干燥等工艺处理，表面参照阿克苏诺贝尔、Tiger、杜邦或同档次及以上品牌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6.胶粘剂：参照胶王、汉高、Buehnen或同档次及以上品牌胶粘剂。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7.脚轮：可锁定活动脚轮，耐久性测试10万次无损坏。</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5B4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26F6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F735">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38225" cy="1176020"/>
                  <wp:effectExtent l="0" t="0" r="3175" b="5080"/>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44"/>
                          <a:stretch>
                            <a:fillRect/>
                          </a:stretch>
                        </pic:blipFill>
                        <pic:spPr>
                          <a:xfrm>
                            <a:off x="0" y="0"/>
                            <a:ext cx="1038225" cy="1176020"/>
                          </a:xfrm>
                          <a:prstGeom prst="rect">
                            <a:avLst/>
                          </a:prstGeom>
                          <a:noFill/>
                          <a:ln>
                            <a:noFill/>
                          </a:ln>
                        </pic:spPr>
                      </pic:pic>
                    </a:graphicData>
                  </a:graphic>
                </wp:inline>
              </w:drawing>
            </w:r>
          </w:p>
        </w:tc>
      </w:tr>
      <w:tr w14:paraId="7B676B68">
        <w:tblPrEx>
          <w:tblCellMar>
            <w:top w:w="0" w:type="dxa"/>
            <w:left w:w="108" w:type="dxa"/>
            <w:bottom w:w="0" w:type="dxa"/>
            <w:right w:w="108" w:type="dxa"/>
          </w:tblCellMar>
        </w:tblPrEx>
        <w:trPr>
          <w:trHeight w:val="569"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CCF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A788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休闲高桌2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9E94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2200*1000*1000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D9B75">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2.饰面：参照飞德莱（Pfleiderer）、富美家(Formica)、威盛亚（Wilsonart）或同档次及以上品牌防火板饰面材料，抗划伤、耐磨、耐酸碱、耐烟灼、防火、不易褪色、易清洁，桌板厚度≥25mm。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3.封边：ABS封边，厚度≥2mm，所有板件四封边。</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架：参照“宝钢”、“首钢”、“鞍钢”或同档次及以上品牌钢材，壁厚≥1.5mm；经脱脂、水洗、酸洗、水洗中和、表调、磷化、干燥等工艺处理，表面参照阿克苏诺贝尔、Tiger、杜邦或同档次及以上品牌环保环氧树脂粉体静电喷涂；支撑脚中空，用于走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5.胶粘剂：参照胶王、汉高、Buehnen或同档次及以上品牌环保水性胶粘剂。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6.脚垫：优质PPR工程塑加尼龙防滑脚垫。</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7.电源：桌面一端设置电源集成模块，方便随时取电。</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E43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7197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5DA66">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025" cy="871855"/>
                  <wp:effectExtent l="0" t="0" r="3175" b="4445"/>
                  <wp:docPr id="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pic:cNvPicPr>
                            <a:picLocks noChangeAspect="1"/>
                          </pic:cNvPicPr>
                        </pic:nvPicPr>
                        <pic:blipFill>
                          <a:blip r:embed="rId45"/>
                          <a:stretch>
                            <a:fillRect/>
                          </a:stretch>
                        </pic:blipFill>
                        <pic:spPr>
                          <a:xfrm>
                            <a:off x="0" y="0"/>
                            <a:ext cx="1089025" cy="871855"/>
                          </a:xfrm>
                          <a:prstGeom prst="rect">
                            <a:avLst/>
                          </a:prstGeom>
                          <a:noFill/>
                          <a:ln>
                            <a:noFill/>
                          </a:ln>
                        </pic:spPr>
                      </pic:pic>
                    </a:graphicData>
                  </a:graphic>
                </wp:inline>
              </w:drawing>
            </w:r>
          </w:p>
        </w:tc>
      </w:tr>
      <w:tr w14:paraId="38A5761D">
        <w:tblPrEx>
          <w:tblCellMar>
            <w:top w:w="0" w:type="dxa"/>
            <w:left w:w="108" w:type="dxa"/>
            <w:bottom w:w="0" w:type="dxa"/>
            <w:right w:w="108" w:type="dxa"/>
          </w:tblCellMar>
        </w:tblPrEx>
        <w:trPr>
          <w:trHeight w:val="741"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FFF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3C19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半私密个人学习位</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19A9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主体尺寸：1090*915*1220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圆型脚蹬尺寸：直径460*240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E338C">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整体配置：围合式屏风，内嵌式座椅，带侧边储物兜和边桌，带可调节个人工作台，带1个圆形脚蹬，带一盏单臂台灯。</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半隐私个人工作站配置：                                                                                                                                                                                                                                                               1.内嵌式座椅：高回弹软质聚氨酯泡沫塑料，座垫密度≥35kg/m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，回弹率≥40%；参照Gabriel、 Kvadart、Camira或同档次及以上品牌环保布饰面，经过防火、防污、抗菌、抗静电、耐色牢度、抗强度等加工处理，耐干摩擦色牢度达到5级，耐磨性≥50000 转 。背部可倾仰，内置自我感应式腰靠，椅背后仰时座垫自动往前滑动，带头枕。</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活动工作台：由金属活动支臂连接到屏风固定，尺寸≥422mm*460mm，离地面高度≥682mm；工作台台面可旋转调节，在水平方向上台面最大可旋转角度≥125度，方便使用者进出，在垂直方向上，台面最大可旋转角度≥40度；工作台台面前端设卡槽，可以用来固定手机、平板等手持设备，台面末端设一条防滑凸起，防止笔记本等物品滑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3.边桌：参照大亚、福人、露水河或同档次及以上品牌优质刨花板，甲醛释放量≤0.025mg/m³；ABS封边条。</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4.储物兜：金属钢制储物兜，采用参照阿克苏诺贝尔、Tiger、杜邦或同档次及以上品牌环保环氧树脂粉体静电喷涂。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5.屏风：金属铝制框架，上半部份采用两片亚克力弯成弧面，亚克力屏用金属材质收边并连接下半部门布饰面款框架。下半部分采用全布屏风。</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6.金属支撑脚，壁厚不低于1.5mm，采用参照阿克苏诺贝尔、Tiger、杜邦或同档次及以上品牌环保环氧树脂粉体静电喷涂。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492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0A0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4BFF4">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1217930"/>
                  <wp:effectExtent l="0" t="0" r="2540" b="127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46"/>
                          <a:stretch>
                            <a:fillRect/>
                          </a:stretch>
                        </pic:blipFill>
                        <pic:spPr>
                          <a:xfrm>
                            <a:off x="0" y="0"/>
                            <a:ext cx="1089660" cy="1217930"/>
                          </a:xfrm>
                          <a:prstGeom prst="rect">
                            <a:avLst/>
                          </a:prstGeom>
                          <a:noFill/>
                          <a:ln>
                            <a:noFill/>
                          </a:ln>
                        </pic:spPr>
                      </pic:pic>
                    </a:graphicData>
                  </a:graphic>
                </wp:inline>
              </w:drawing>
            </w:r>
          </w:p>
        </w:tc>
      </w:tr>
      <w:tr w14:paraId="0C08E7BB">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4CA5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2EA0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圆形树台桌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8B8D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直径1400*740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B6699">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1.桌板基材：参照大亚、福人、露水河或同档次及以上品牌ENF级刨花板，甲醛释放量≤0.025mg/m³。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2.桌板饰面：参照富美家(Formica)、威盛亚（Wilsonart）、木恪或或同档次及以上品牌防火板贴面，抗划伤、耐磨、耐酸碱、耐烟灼、防火、不易褪色、易清洁；厚度≥25mm。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3.桌板封条：ABS封边，厚度≥2mm，板材四周完全封闭。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4.脚架基材：参照大亚、福人、丰林或同档次及以上品牌ENF级中密度纤维板，甲醛释放量≤0.025mg/m³。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5.脚架饰面：表面实色油漆。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6.胶粘剂：参照胶王、汉高、Buehnen或同档次及以上品牌环保水性胶粘剂。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7.功能：环形，中空处可供使用方放置装饰树木。</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B25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68B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27CBA">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815975"/>
                  <wp:effectExtent l="0" t="0" r="2540" b="9525"/>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47"/>
                          <a:stretch>
                            <a:fillRect/>
                          </a:stretch>
                        </pic:blipFill>
                        <pic:spPr>
                          <a:xfrm>
                            <a:off x="0" y="0"/>
                            <a:ext cx="1089660" cy="815975"/>
                          </a:xfrm>
                          <a:prstGeom prst="rect">
                            <a:avLst/>
                          </a:prstGeom>
                          <a:noFill/>
                          <a:ln>
                            <a:noFill/>
                          </a:ln>
                        </pic:spPr>
                      </pic:pic>
                    </a:graphicData>
                  </a:graphic>
                </wp:inline>
              </w:drawing>
            </w:r>
          </w:p>
        </w:tc>
      </w:tr>
      <w:tr w14:paraId="3716D742">
        <w:tblPrEx>
          <w:tblCellMar>
            <w:top w:w="0" w:type="dxa"/>
            <w:left w:w="108" w:type="dxa"/>
            <w:bottom w:w="0" w:type="dxa"/>
            <w:right w:w="108" w:type="dxa"/>
          </w:tblCellMar>
        </w:tblPrEx>
        <w:trPr>
          <w:trHeight w:val="1234"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52F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D94A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休闲圆墩1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C88DB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直径490*450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0EA7E">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2.海绵：高压泡沫棉，高回弹性，耐用度高，座垫密度大于35kg/m3，回弹率≥40%。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3.沙发内框架：成型发泡内胆。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4.实木多层板提手。</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740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5146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64DF">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837565" cy="878840"/>
                  <wp:effectExtent l="0" t="0" r="635" b="10160"/>
                  <wp:docPr id="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3"/>
                          <pic:cNvPicPr>
                            <a:picLocks noChangeAspect="1"/>
                          </pic:cNvPicPr>
                        </pic:nvPicPr>
                        <pic:blipFill>
                          <a:blip r:embed="rId48"/>
                          <a:stretch>
                            <a:fillRect/>
                          </a:stretch>
                        </pic:blipFill>
                        <pic:spPr>
                          <a:xfrm>
                            <a:off x="0" y="0"/>
                            <a:ext cx="837565" cy="878840"/>
                          </a:xfrm>
                          <a:prstGeom prst="rect">
                            <a:avLst/>
                          </a:prstGeom>
                          <a:noFill/>
                          <a:ln>
                            <a:noFill/>
                          </a:ln>
                        </pic:spPr>
                      </pic:pic>
                    </a:graphicData>
                  </a:graphic>
                </wp:inline>
              </w:drawing>
            </w:r>
          </w:p>
        </w:tc>
      </w:tr>
      <w:tr w14:paraId="21A99433">
        <w:tblPrEx>
          <w:tblCellMar>
            <w:top w:w="0" w:type="dxa"/>
            <w:left w:w="108" w:type="dxa"/>
            <w:bottom w:w="0" w:type="dxa"/>
            <w:right w:w="108" w:type="dxa"/>
          </w:tblCellMar>
        </w:tblPrEx>
        <w:trPr>
          <w:trHeight w:val="1078"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5A2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FE2A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懒人沙发</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A00E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750*760*510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E508B">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1.水洗棉麻+EPP颗粒；</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2.可拆洗外套。</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08F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5FE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6E1E">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09015" cy="854710"/>
                  <wp:effectExtent l="0" t="0" r="6985" b="889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49"/>
                          <a:stretch>
                            <a:fillRect/>
                          </a:stretch>
                        </pic:blipFill>
                        <pic:spPr>
                          <a:xfrm>
                            <a:off x="0" y="0"/>
                            <a:ext cx="1009015" cy="854710"/>
                          </a:xfrm>
                          <a:prstGeom prst="rect">
                            <a:avLst/>
                          </a:prstGeom>
                          <a:noFill/>
                          <a:ln>
                            <a:noFill/>
                          </a:ln>
                        </pic:spPr>
                      </pic:pic>
                    </a:graphicData>
                  </a:graphic>
                </wp:inline>
              </w:drawing>
            </w:r>
          </w:p>
        </w:tc>
      </w:tr>
      <w:tr w14:paraId="673A9945">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341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E71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休闲圆墩2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C00E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直径495*457</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77E87">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1.饰面：采用100%乙烯基面料，不含邻苯二甲酸酯，衬底采用聚酯纤维材料，高度耐用，100000 Wyzenbeek双重摩擦(CD)等级。易清洁，可使用10:1的水和漂白剂混合物清洗。</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2.海绵：柔性聚氨酯泡沫制成，不含添加阻燃化学品。</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3.内框架：由≥18mm厚度的桦木胶合板组成，甲醛释放量≤0.050mg/m³，每一块胶合板都与相邻的胶合板互锁，形成坚固的承重连接。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表面可防水，沙发为倒圆台形状。</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993D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891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127C4">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784860" cy="925195"/>
                  <wp:effectExtent l="0" t="0" r="2540" b="1905"/>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50"/>
                          <a:stretch>
                            <a:fillRect/>
                          </a:stretch>
                        </pic:blipFill>
                        <pic:spPr>
                          <a:xfrm>
                            <a:off x="0" y="0"/>
                            <a:ext cx="784860" cy="925195"/>
                          </a:xfrm>
                          <a:prstGeom prst="rect">
                            <a:avLst/>
                          </a:prstGeom>
                          <a:noFill/>
                          <a:ln>
                            <a:noFill/>
                          </a:ln>
                        </pic:spPr>
                      </pic:pic>
                    </a:graphicData>
                  </a:graphic>
                </wp:inline>
              </w:drawing>
            </w:r>
          </w:p>
        </w:tc>
      </w:tr>
      <w:tr w14:paraId="4C2E3D7B">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3F3D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4415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创意阅览沙发2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9247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521*667*648</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71672">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1.饰面：采用100%乙烯基面料，不含邻苯二甲酸酯，衬底采用聚酯纤维材料，高度耐用，100000 Wyzenbeek双重摩擦(CD)等级。易清洁，可使用10:1的水和漂白剂混合物清洗。</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2.海绵：柔性聚氨酯泡沫制成，不含添加阻燃化学品。</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3.内框架：由≥18mm厚度的桦木胶合板组成，甲醛释放量≤0.050mg/m³，每一块胶合板都与相邻的胶合板互锁，形成坚固的承重连接。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4.功能：表面可防水，沙发可前后摇摆。</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575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C9AF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B122">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1068705"/>
                  <wp:effectExtent l="0" t="0" r="2540" b="10795"/>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51"/>
                          <a:stretch>
                            <a:fillRect/>
                          </a:stretch>
                        </pic:blipFill>
                        <pic:spPr>
                          <a:xfrm>
                            <a:off x="0" y="0"/>
                            <a:ext cx="1089660" cy="1068705"/>
                          </a:xfrm>
                          <a:prstGeom prst="rect">
                            <a:avLst/>
                          </a:prstGeom>
                          <a:noFill/>
                          <a:ln>
                            <a:noFill/>
                          </a:ln>
                        </pic:spPr>
                      </pic:pic>
                    </a:graphicData>
                  </a:graphic>
                </wp:inline>
              </w:drawing>
            </w:r>
          </w:p>
        </w:tc>
      </w:tr>
      <w:tr w14:paraId="4851F33A">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E91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9603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休闲沙发椅1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3845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810*880*1180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B87325">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1.饰面：有机硅胶皮，耐清洁剂，消毒液及酒精等常用溶剂，防圆珠笔、大头笔、红酒、饮料及油脂类等常见污染；零溶剂，重金属及五苯三醛等；马丁代尔耐磨超 15 万次，砂轮超 8 千次耐水解超 10 年，老化超 15 年，高温超 300℃，严寒超-50℃。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3.沙发脚：参照“宝钢”、“首钢”、“鞍钢”或同档次及以上品牌壁厚壁厚≥1.5mm钢管，表面参照阿克苏诺贝尔、Tiger、杜邦或同档次及以上品牌环保环氧树脂粉体静电喷涂。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18C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DFC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D90A">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1257300"/>
                  <wp:effectExtent l="0" t="0" r="1905" b="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52"/>
                          <a:stretch>
                            <a:fillRect/>
                          </a:stretch>
                        </pic:blipFill>
                        <pic:spPr>
                          <a:xfrm>
                            <a:off x="0" y="0"/>
                            <a:ext cx="1090295" cy="1257300"/>
                          </a:xfrm>
                          <a:prstGeom prst="rect">
                            <a:avLst/>
                          </a:prstGeom>
                          <a:noFill/>
                          <a:ln>
                            <a:noFill/>
                          </a:ln>
                        </pic:spPr>
                      </pic:pic>
                    </a:graphicData>
                  </a:graphic>
                </wp:inline>
              </w:drawing>
            </w:r>
          </w:p>
        </w:tc>
      </w:tr>
      <w:tr w14:paraId="7D705B07">
        <w:tblPrEx>
          <w:tblCellMar>
            <w:top w:w="0" w:type="dxa"/>
            <w:left w:w="108" w:type="dxa"/>
            <w:bottom w:w="0" w:type="dxa"/>
            <w:right w:w="108" w:type="dxa"/>
          </w:tblCellMar>
        </w:tblPrEx>
        <w:trPr>
          <w:trHeight w:val="9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F8C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7DF3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休闲圆桌1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31E8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直径700*450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458C15">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2.饰面：双贴参照夏王、欧亚、夏特或同档次及以上品牌三聚氰胺浸渍面纸饰面材料，桌板厚度≥20mm。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3.封边：PUR封边，所有板件四封边。</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4.功能：KT化自动螺丝组装，无焊接。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5.脚架：十字形交叉脚，参照“宝钢”、“首钢”、“鞍钢”或同档次及以上品牌一级冷轧钢，表面参照阿克苏诺贝尔、Tiger、杜邦或同档次及以上品牌环保环氧树脂粉体静电喷涂。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6.胶粘剂：参照胶王、汉高、Buehnen或同档次及以上品牌水性胶粘剂。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AD5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B90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C153">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845185"/>
                  <wp:effectExtent l="0" t="0" r="1905" b="5715"/>
                  <wp:docPr id="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6"/>
                          <pic:cNvPicPr>
                            <a:picLocks noChangeAspect="1"/>
                          </pic:cNvPicPr>
                        </pic:nvPicPr>
                        <pic:blipFill>
                          <a:blip r:embed="rId53"/>
                          <a:stretch>
                            <a:fillRect/>
                          </a:stretch>
                        </pic:blipFill>
                        <pic:spPr>
                          <a:xfrm>
                            <a:off x="0" y="0"/>
                            <a:ext cx="1090295" cy="845185"/>
                          </a:xfrm>
                          <a:prstGeom prst="rect">
                            <a:avLst/>
                          </a:prstGeom>
                          <a:noFill/>
                          <a:ln>
                            <a:noFill/>
                          </a:ln>
                        </pic:spPr>
                      </pic:pic>
                    </a:graphicData>
                  </a:graphic>
                </wp:inline>
              </w:drawing>
            </w:r>
          </w:p>
        </w:tc>
      </w:tr>
      <w:tr w14:paraId="6BB7F40B">
        <w:tblPrEx>
          <w:tblCellMar>
            <w:top w:w="0" w:type="dxa"/>
            <w:left w:w="108" w:type="dxa"/>
            <w:bottom w:w="0" w:type="dxa"/>
            <w:right w:w="108" w:type="dxa"/>
          </w:tblCellMar>
        </w:tblPrEx>
        <w:trPr>
          <w:trHeight w:val="1357"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DE6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9D27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定制满墙书柜</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4ABA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26200*500*2800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C2396">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2.饰面：采用参照夏王、欧亚、夏特或同档次及以上品牌三聚氰胺浸渍面纸饰面材料，板件厚度≥18mm。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3.封边：PUR封边，所有板件四封边。</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4.结构工艺：采用注胶工艺，无任何外露金属连接件，保证柜体内部及外观美。</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5.胶粘剂：参照胶王、汉高、Buehnen或同等档次及以上品牌胶粘剂。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8651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43C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75E8D">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5215" cy="309245"/>
                  <wp:effectExtent l="0" t="0" r="6985" b="825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54"/>
                          <a:stretch>
                            <a:fillRect/>
                          </a:stretch>
                        </pic:blipFill>
                        <pic:spPr>
                          <a:xfrm>
                            <a:off x="0" y="0"/>
                            <a:ext cx="1085215" cy="309245"/>
                          </a:xfrm>
                          <a:prstGeom prst="rect">
                            <a:avLst/>
                          </a:prstGeom>
                          <a:noFill/>
                          <a:ln>
                            <a:noFill/>
                          </a:ln>
                        </pic:spPr>
                      </pic:pic>
                    </a:graphicData>
                  </a:graphic>
                </wp:inline>
              </w:drawing>
            </w:r>
          </w:p>
        </w:tc>
      </w:tr>
      <w:tr w14:paraId="52DF615C">
        <w:tblPrEx>
          <w:tblCellMar>
            <w:top w:w="0" w:type="dxa"/>
            <w:left w:w="108" w:type="dxa"/>
            <w:bottom w:w="0" w:type="dxa"/>
            <w:right w:w="108" w:type="dxa"/>
          </w:tblCellMar>
        </w:tblPrEx>
        <w:trPr>
          <w:trHeight w:val="114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A599">
            <w:pPr>
              <w:widowControl/>
              <w:jc w:val="center"/>
              <w:textAlignment w:val="center"/>
              <w:rPr>
                <w:rFonts w:ascii="宋体" w:hAnsi="宋体" w:cs="宋体"/>
                <w:color w:val="4F81BD" w:themeColor="accent1"/>
                <w:szCs w:val="21"/>
                <w:highlight w:val="none"/>
                <w14:textFill>
                  <w14:solidFill>
                    <w14:schemeClr w14:val="accent1"/>
                  </w14:solidFill>
                </w14:textFill>
              </w:rPr>
            </w:pPr>
            <w:r>
              <w:rPr>
                <w:rFonts w:hint="eastAsia" w:ascii="宋体" w:hAnsi="宋体" w:cs="宋体"/>
                <w:color w:val="4F81BD" w:themeColor="accent1"/>
                <w:kern w:val="0"/>
                <w:szCs w:val="21"/>
                <w:highlight w:val="none"/>
                <w:lang w:bidi="ar"/>
                <w14:textFill>
                  <w14:solidFill>
                    <w14:schemeClr w14:val="accent1"/>
                  </w14:solidFill>
                </w14:textFill>
              </w:rPr>
              <w:t>29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4BF7A">
            <w:pPr>
              <w:widowControl/>
              <w:jc w:val="center"/>
              <w:textAlignment w:val="center"/>
              <w:rPr>
                <w:rFonts w:ascii="宋体" w:hAnsi="宋体" w:cs="宋体"/>
                <w:color w:val="4F81BD" w:themeColor="accent1"/>
                <w:szCs w:val="21"/>
                <w:highlight w:val="none"/>
                <w14:textFill>
                  <w14:solidFill>
                    <w14:schemeClr w14:val="accent1"/>
                  </w14:solidFill>
                </w14:textFill>
              </w:rPr>
            </w:pPr>
            <w:r>
              <w:rPr>
                <w:rFonts w:hint="eastAsia" w:asciiTheme="minorEastAsia" w:hAnsiTheme="minorEastAsia" w:eastAsiaTheme="minorEastAsia" w:cstheme="minorEastAsia"/>
                <w:color w:val="4F81BD" w:themeColor="accent1"/>
                <w:kern w:val="0"/>
                <w:szCs w:val="21"/>
                <w:highlight w:val="none"/>
                <w:lang w:bidi="ar"/>
                <w14:textFill>
                  <w14:solidFill>
                    <w14:schemeClr w14:val="accent1"/>
                  </w14:solidFill>
                </w14:textFill>
              </w:rPr>
              <w:t>球形沙发椅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C678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直径1020*1200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EDF09">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2.海绵：高压泡沫棉，高回弹性，耐用度高，座垫密度大于40kg/m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3.外壳：玻璃钢外壳，表面烤漆处理，带旋转功能。</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11B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B3F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3FAA1">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813435" cy="952500"/>
                  <wp:effectExtent l="0" t="0" r="12065" b="0"/>
                  <wp:docPr id="8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pic:cNvPicPr>
                            <a:picLocks noChangeAspect="1"/>
                          </pic:cNvPicPr>
                        </pic:nvPicPr>
                        <pic:blipFill>
                          <a:blip r:embed="rId55"/>
                          <a:stretch>
                            <a:fillRect/>
                          </a:stretch>
                        </pic:blipFill>
                        <pic:spPr>
                          <a:xfrm>
                            <a:off x="0" y="0"/>
                            <a:ext cx="813435" cy="952500"/>
                          </a:xfrm>
                          <a:prstGeom prst="rect">
                            <a:avLst/>
                          </a:prstGeom>
                          <a:noFill/>
                          <a:ln>
                            <a:noFill/>
                          </a:ln>
                        </pic:spPr>
                      </pic:pic>
                    </a:graphicData>
                  </a:graphic>
                </wp:inline>
              </w:drawing>
            </w:r>
          </w:p>
        </w:tc>
      </w:tr>
      <w:tr w14:paraId="45C06BBE">
        <w:tblPrEx>
          <w:tblCellMar>
            <w:top w:w="0" w:type="dxa"/>
            <w:left w:w="108" w:type="dxa"/>
            <w:bottom w:w="0" w:type="dxa"/>
            <w:right w:w="108" w:type="dxa"/>
          </w:tblCellMar>
        </w:tblPrEx>
        <w:trPr>
          <w:trHeight w:val="2137"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5E9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5521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多功能活动弧形屏风</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46D7B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1894*682*1997</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B4912">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整体配置：环保PET主材，侧翼布饰面，一侧设曲面白板、椭圆形置物台、挂钩和储物格，另一侧设可钉PET面板和弧形桌板，活动脚轮。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1.材质：环保PET主材，侧翼外包参照Gabriel、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2.曲面白板：面白板，表面材质为陶瓷钢书写板，白板四周倒圆角；</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3.椭圆形置物台：可临时存放设备，可旋转收纳在曲面白板下方；</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4.储物格：开放储物格；</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5.弧形桌板：参照大亚、福人、露水河或同档次及以上品牌ENF级刨花板，甲醛释放量≤0.025mg/m³；参照富美家(Formica)、威盛亚（Wilsonart）、木恪或或同档次及以上品牌防火板贴面。</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6.活动脚轮：聚丙烯加玻璃纤维塑胶尼龙脚轮，耐久性测试10万次无损坏。</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A499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33B4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46D4">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58215" cy="1193165"/>
                  <wp:effectExtent l="0" t="0" r="6985" b="635"/>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56"/>
                          <a:stretch>
                            <a:fillRect/>
                          </a:stretch>
                        </pic:blipFill>
                        <pic:spPr>
                          <a:xfrm>
                            <a:off x="0" y="0"/>
                            <a:ext cx="958215" cy="1193165"/>
                          </a:xfrm>
                          <a:prstGeom prst="rect">
                            <a:avLst/>
                          </a:prstGeom>
                          <a:noFill/>
                          <a:ln>
                            <a:noFill/>
                          </a:ln>
                        </pic:spPr>
                      </pic:pic>
                    </a:graphicData>
                  </a:graphic>
                </wp:inline>
              </w:drawing>
            </w:r>
          </w:p>
        </w:tc>
      </w:tr>
      <w:tr w14:paraId="673E4532">
        <w:tblPrEx>
          <w:tblCellMar>
            <w:top w:w="0" w:type="dxa"/>
            <w:left w:w="108" w:type="dxa"/>
            <w:bottom w:w="0" w:type="dxa"/>
            <w:right w:w="108" w:type="dxa"/>
          </w:tblCellMar>
        </w:tblPrEx>
        <w:trPr>
          <w:trHeight w:val="2262"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CBAD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629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多功能高桌1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C373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1800*750*1000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67DD21">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2.饰面：参照富美家(Formica)、威盛亚（Wilsonart）、木恪或或同档次及以上品牌防火板贴面，抗划伤、耐磨、耐酸碱、耐烟灼、防火、不易褪色、易清洁；桌板倒圆角处理，厚度≥25mm。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4.胶粘剂：参照胶王、汉高、Buehnen或同档次及以上品牌胶粘剂。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一级冷轧钢材，主框架三角形钢管壁厚≥1.2mm，结构补强钢管壁厚≥1.0mm；经脱脂、水洗、酸洗、水洗中和、表调、磷化、干燥等工艺处理，表面参照阿克苏诺贝尔、Tiger、杜邦或同档次及以上品牌环保环氧树脂粉体静电喷涂；每根桌腿上设金属挂杆，配备全金属地台，其中两只脚带活动脚轮，另外两只脚末端带1cm-2cm的调节底座。</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6.脚轮：15cm-20cm直径聚丙烯加玻璃纤维塑胶尼龙万向轮，耐久性测试10万次无损坏。</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C2D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344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DE542">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8390" cy="893445"/>
                  <wp:effectExtent l="0" t="0" r="3810" b="8255"/>
                  <wp:docPr id="9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0"/>
                          <pic:cNvPicPr>
                            <a:picLocks noChangeAspect="1"/>
                          </pic:cNvPicPr>
                        </pic:nvPicPr>
                        <pic:blipFill>
                          <a:blip r:embed="rId57"/>
                          <a:stretch>
                            <a:fillRect/>
                          </a:stretch>
                        </pic:blipFill>
                        <pic:spPr>
                          <a:xfrm>
                            <a:off x="0" y="0"/>
                            <a:ext cx="1088390" cy="893445"/>
                          </a:xfrm>
                          <a:prstGeom prst="rect">
                            <a:avLst/>
                          </a:prstGeom>
                          <a:noFill/>
                          <a:ln>
                            <a:noFill/>
                          </a:ln>
                        </pic:spPr>
                      </pic:pic>
                    </a:graphicData>
                  </a:graphic>
                </wp:inline>
              </w:drawing>
            </w:r>
          </w:p>
        </w:tc>
      </w:tr>
      <w:tr w14:paraId="7CF1BE51">
        <w:tblPrEx>
          <w:tblCellMar>
            <w:top w:w="0" w:type="dxa"/>
            <w:left w:w="108" w:type="dxa"/>
            <w:bottom w:w="0" w:type="dxa"/>
            <w:right w:w="108" w:type="dxa"/>
          </w:tblCellMar>
        </w:tblPrEx>
        <w:trPr>
          <w:trHeight w:val="1961"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564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1658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多功能高桌2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6BD4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1500*450*1000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B5BD6">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2.饰面：参照富美家(Formica)、威盛亚（Wilsonart）、木恪或或同档次及以上品牌防火板贴面，抗划伤、耐磨、耐酸碱、耐烟灼、防火、不易褪色、易清洁；桌板倒圆角处理，厚度≥25mm。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4.胶粘剂：参照胶王、汉高、Buehnen或同档次及以上品牌胶粘剂。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一级冷轧钢材，主框架三角形钢管壁厚≥1.2mm，结构补强钢管壁厚≥1.0mm；经脱脂、水洗、酸洗、水洗中和、表调、磷化、干燥等工艺处理，表面参照阿克苏诺贝尔、Tiger、杜邦或同档次及以上品牌环保环氧树脂粉体静电喷涂；每根桌腿上设金属挂杆，配备全金属地台，脚末端带1cm-2cm的调节底座。</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4634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6D6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E57D">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025" cy="1016000"/>
                  <wp:effectExtent l="0" t="0" r="3175" b="0"/>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58"/>
                          <a:stretch>
                            <a:fillRect/>
                          </a:stretch>
                        </pic:blipFill>
                        <pic:spPr>
                          <a:xfrm>
                            <a:off x="0" y="0"/>
                            <a:ext cx="1089025" cy="1016000"/>
                          </a:xfrm>
                          <a:prstGeom prst="rect">
                            <a:avLst/>
                          </a:prstGeom>
                          <a:noFill/>
                          <a:ln>
                            <a:noFill/>
                          </a:ln>
                        </pic:spPr>
                      </pic:pic>
                    </a:graphicData>
                  </a:graphic>
                </wp:inline>
              </w:drawing>
            </w:r>
          </w:p>
        </w:tc>
      </w:tr>
      <w:tr w14:paraId="1F137DB3">
        <w:tblPrEx>
          <w:tblCellMar>
            <w:top w:w="0" w:type="dxa"/>
            <w:left w:w="108" w:type="dxa"/>
            <w:bottom w:w="0" w:type="dxa"/>
            <w:right w:w="108" w:type="dxa"/>
          </w:tblCellMar>
        </w:tblPrEx>
        <w:trPr>
          <w:trHeight w:val="2175"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AA0D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B9F3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高脚阅览椅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7D98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611*622*922-1194</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9197C">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椅身：座板和背板均采用聚丙烯添加防静电剂（聚乙醇酯）原色颗粒塑料，座面、椅背、扶手一体成型；椅背腰部镂空设计，镂空形状为倒梯形四周倒圆角处理，椅背倚靠时有明显的弹力；扶手外翻，韧性强，充分的人体工学设计，坐面边缘圆弧设计，久坐舒适。坐高≥565-820mm，椅背高度≥460mm，座面深度≥420mm，座面宽度≥490mm，椅背宽度≥530mm，颜色可选（投标时须注明具体颜色）。</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2.结构功能：气动升降，参照SAMHONGSA、WDF、KGS或同档次及以上安全气棒，气棒通过X形金属件与椅身底部连接固定，行程≥120mm。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3.椅脚：尼龙五星脚架，直径≥650mm，保证底部稳定性，脚架颜色可选（投标时须注明具体颜色）。</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4.椅轮：50mm-60mm直径聚丙烯加玻璃纤维塑胶尼龙万向轮，耐久性测试10万次无损坏。</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5.搁脚钢圈：直径≥500mm钢制脚踏圈，表面采用参照阿克苏诺贝尔、Tiger、杜邦或同档次及以上品牌环保环氧树脂粉体静电喷涂，带活动螺转型调节装置。</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B8B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D1D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344D">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90600" cy="1622425"/>
                  <wp:effectExtent l="0" t="0" r="0" b="3175"/>
                  <wp:docPr id="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pic:cNvPicPr>
                            <a:picLocks noChangeAspect="1"/>
                          </pic:cNvPicPr>
                        </pic:nvPicPr>
                        <pic:blipFill>
                          <a:blip r:embed="rId59"/>
                          <a:stretch>
                            <a:fillRect/>
                          </a:stretch>
                        </pic:blipFill>
                        <pic:spPr>
                          <a:xfrm>
                            <a:off x="0" y="0"/>
                            <a:ext cx="990600" cy="1622425"/>
                          </a:xfrm>
                          <a:prstGeom prst="rect">
                            <a:avLst/>
                          </a:prstGeom>
                          <a:noFill/>
                          <a:ln>
                            <a:noFill/>
                          </a:ln>
                        </pic:spPr>
                      </pic:pic>
                    </a:graphicData>
                  </a:graphic>
                </wp:inline>
              </w:drawing>
            </w:r>
          </w:p>
        </w:tc>
      </w:tr>
      <w:tr w14:paraId="2D15BD34">
        <w:tblPrEx>
          <w:tblCellMar>
            <w:top w:w="0" w:type="dxa"/>
            <w:left w:w="108" w:type="dxa"/>
            <w:bottom w:w="0" w:type="dxa"/>
            <w:right w:w="108" w:type="dxa"/>
          </w:tblCellMar>
        </w:tblPrEx>
        <w:trPr>
          <w:trHeight w:val="93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835B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A1E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可堆叠吧椅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60028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546*317*705</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AEAAE">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1.材料：采用100%可回收尼龙材料，整个座椅一体成型，颜色有≥5种选择。</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2.功能：座板设计成不小于7.2度倾斜角度；座椅可堆叠收纳；座椅最大承重136kg。</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C156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273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A60B9">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744220" cy="949960"/>
                  <wp:effectExtent l="0" t="0" r="5080" b="2540"/>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60"/>
                          <a:stretch>
                            <a:fillRect/>
                          </a:stretch>
                        </pic:blipFill>
                        <pic:spPr>
                          <a:xfrm>
                            <a:off x="0" y="0"/>
                            <a:ext cx="744220" cy="949960"/>
                          </a:xfrm>
                          <a:prstGeom prst="rect">
                            <a:avLst/>
                          </a:prstGeom>
                          <a:noFill/>
                          <a:ln>
                            <a:noFill/>
                          </a:ln>
                        </pic:spPr>
                      </pic:pic>
                    </a:graphicData>
                  </a:graphic>
                </wp:inline>
              </w:drawing>
            </w:r>
          </w:p>
        </w:tc>
      </w:tr>
      <w:tr w14:paraId="5E8567CE">
        <w:tblPrEx>
          <w:tblCellMar>
            <w:top w:w="0" w:type="dxa"/>
            <w:left w:w="108" w:type="dxa"/>
            <w:bottom w:w="0" w:type="dxa"/>
            <w:right w:w="108" w:type="dxa"/>
          </w:tblCellMar>
        </w:tblPrEx>
        <w:trPr>
          <w:trHeight w:val="106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DA295">
            <w:pPr>
              <w:widowControl/>
              <w:jc w:val="center"/>
              <w:textAlignment w:val="center"/>
              <w:rPr>
                <w:rFonts w:ascii="宋体" w:hAnsi="宋体" w:cs="宋体"/>
                <w:szCs w:val="21"/>
                <w:highlight w:val="none"/>
              </w:rPr>
            </w:pPr>
            <w:r>
              <w:rPr>
                <w:rFonts w:hint="eastAsia" w:ascii="宋体" w:hAnsi="宋体" w:cs="宋体"/>
                <w:kern w:val="0"/>
                <w:szCs w:val="21"/>
                <w:highlight w:val="none"/>
                <w:lang w:bidi="ar"/>
              </w:rPr>
              <w:t>35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DAC62">
            <w:pPr>
              <w:widowControl/>
              <w:jc w:val="center"/>
              <w:textAlignment w:val="center"/>
              <w:rPr>
                <w:rFonts w:ascii="宋体" w:hAnsi="宋体" w:cs="宋体"/>
                <w:szCs w:val="21"/>
                <w:highlight w:val="none"/>
              </w:rPr>
            </w:pPr>
            <w:r>
              <w:rPr>
                <w:rFonts w:hint="eastAsia" w:asciiTheme="minorEastAsia" w:hAnsiTheme="minorEastAsia" w:eastAsiaTheme="minorEastAsia" w:cstheme="minorEastAsia"/>
                <w:kern w:val="0"/>
                <w:szCs w:val="21"/>
                <w:highlight w:val="none"/>
                <w:lang w:bidi="ar"/>
              </w:rPr>
              <w:t>多功能储物推车+双面可书写白板</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71AD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储物推车 1160*500*1150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，双面白板 900*13*1800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19918">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一、储物推车（约1160*500*1150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w:t>
            </w:r>
          </w:p>
          <w:p w14:paraId="455FD89C">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1.基材：采用一级冷轧钢板，裸板壁厚≥0.8mm。</w:t>
            </w:r>
          </w:p>
          <w:p w14:paraId="1A697414">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工艺：表面经酸洗、磷化、防腐、防锈处理，表面环保环氧树脂粉体静电喷涂处理，色泽均匀。用环保的无磷有机皮膜转换层，确保涂层外观均匀度、结晶致密性、附着力、机械强度、耐磨性和防锈性能。生产工艺焊接采用电阻焊，平整度高，四周接口处采用铜焊，便于长久使用和搬迁；运用先进的冲压成型技术，确保镶嵌把手外观完成度及结构强度。</w:t>
            </w:r>
          </w:p>
          <w:p w14:paraId="75963E81">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3.脚轮：15cm-20cm直径聚丙烯加玻璃纤维塑胶尼龙轮，耐久性测试10万次无损坏。</w:t>
            </w:r>
          </w:p>
          <w:p w14:paraId="0F2C37E9">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4.结构：分成三层，两侧各带两个可旋转挂钩，可以挂白板/屏风，挂钩材质采用聚丙烯添加防静电剂（聚乙醇酯）原色颗粒ABS。</w:t>
            </w:r>
          </w:p>
          <w:p w14:paraId="1E283F6E">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二、双面可书写白板（约900*13*1800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w:t>
            </w:r>
          </w:p>
          <w:p w14:paraId="70211D42">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1.双面可书写白板，经久耐用，写字板和展示板二合一。</w:t>
            </w:r>
          </w:p>
          <w:p w14:paraId="73306549">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2.白板四周倒圆角，边缘设≥3mm 厚的胶合板保护条，白板重量≥4.5kg，配合支架使用书写的同时可做屏风分隔空间。</w:t>
            </w:r>
          </w:p>
          <w:p w14:paraId="2B950972">
            <w:pPr>
              <w:widowControl/>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三、置物篮</w:t>
            </w:r>
          </w:p>
          <w:p w14:paraId="3DAA6BC3">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尺寸;约340*290*190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，一体成型。</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447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49A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C60F0">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025" cy="1259840"/>
                  <wp:effectExtent l="0" t="0" r="3175" b="10160"/>
                  <wp:docPr id="8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4"/>
                          <pic:cNvPicPr>
                            <a:picLocks noChangeAspect="1"/>
                          </pic:cNvPicPr>
                        </pic:nvPicPr>
                        <pic:blipFill>
                          <a:blip r:embed="rId61"/>
                          <a:stretch>
                            <a:fillRect/>
                          </a:stretch>
                        </pic:blipFill>
                        <pic:spPr>
                          <a:xfrm>
                            <a:off x="0" y="0"/>
                            <a:ext cx="1089025" cy="1259840"/>
                          </a:xfrm>
                          <a:prstGeom prst="rect">
                            <a:avLst/>
                          </a:prstGeom>
                          <a:noFill/>
                          <a:ln>
                            <a:noFill/>
                          </a:ln>
                        </pic:spPr>
                      </pic:pic>
                    </a:graphicData>
                  </a:graphic>
                </wp:inline>
              </w:drawing>
            </w:r>
          </w:p>
        </w:tc>
      </w:tr>
      <w:tr w14:paraId="4639602D">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D31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9F17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白板+支架</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AA97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1个直径406*914</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的白板支架+1个900*13*1800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的双面白板</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A0EF3">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一、双面白板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1.双面可书写白板，经久耐用，写字板和展示板二合一。</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2.白板四周倒圆角，边缘设≥3mm厚的胶合板保护条，白板重量≤4.5kg，配合支架使用书写的同时可做屏风分隔空间。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二、支架</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1.支架台面：采用≥12mm厚七层天然模压胶合板，一体成型，表面透明涂层，台面设两条白板/屏风卡槽；台面底部通过聚酰胺添加玻璃纤维材质圆锥链接支撑杆。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2.支架支撑杆：聚酰胺添加玻璃纤维材质，杆上设两个挂杆，可以悬挂背包、电源或文具收纳篮。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3.支架底座：聚酰胺添加玻璃纤维材质，形状为直径不小于400mm的圆锥，设两条白板/屏风卡槽。</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F220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42D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53C3">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37260" cy="1412875"/>
                  <wp:effectExtent l="0" t="0" r="2540" b="9525"/>
                  <wp:docPr id="8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5"/>
                          <pic:cNvPicPr>
                            <a:picLocks noChangeAspect="1"/>
                          </pic:cNvPicPr>
                        </pic:nvPicPr>
                        <pic:blipFill>
                          <a:blip r:embed="rId62"/>
                          <a:stretch>
                            <a:fillRect/>
                          </a:stretch>
                        </pic:blipFill>
                        <pic:spPr>
                          <a:xfrm>
                            <a:off x="0" y="0"/>
                            <a:ext cx="937260" cy="1412875"/>
                          </a:xfrm>
                          <a:prstGeom prst="rect">
                            <a:avLst/>
                          </a:prstGeom>
                          <a:noFill/>
                          <a:ln>
                            <a:noFill/>
                          </a:ln>
                        </pic:spPr>
                      </pic:pic>
                    </a:graphicData>
                  </a:graphic>
                </wp:inline>
              </w:drawing>
            </w:r>
          </w:p>
        </w:tc>
      </w:tr>
      <w:tr w14:paraId="67CB4075">
        <w:tblPrEx>
          <w:tblCellMar>
            <w:top w:w="0" w:type="dxa"/>
            <w:left w:w="108" w:type="dxa"/>
            <w:bottom w:w="0" w:type="dxa"/>
            <w:right w:w="108" w:type="dxa"/>
          </w:tblCellMar>
        </w:tblPrEx>
        <w:trPr>
          <w:trHeight w:val="9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3F2B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8EDA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双面屏风1</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04EF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900*13*1800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146E1">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1.配置：矩形双面可钉磁吸布屏风，屏风均倒圆角处理，屏风自重≤3kg；</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3.磁性边缘：屏风两侧边缘均带磁吸条，可以和同系列屏风彼此磁吸连接达到独立站立，连接角度可以任意调整；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4.底部：屏风底部带滑轨，保护屏风布饰面不受磨损；</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5.分色：双面可钉布屏风，双面布料颜色可选不同颜色。</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468D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729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42A3">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756285" cy="1139190"/>
                  <wp:effectExtent l="0" t="0" r="5715" b="3810"/>
                  <wp:docPr id="8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6"/>
                          <pic:cNvPicPr>
                            <a:picLocks noChangeAspect="1"/>
                          </pic:cNvPicPr>
                        </pic:nvPicPr>
                        <pic:blipFill>
                          <a:blip r:embed="rId63"/>
                          <a:stretch>
                            <a:fillRect/>
                          </a:stretch>
                        </pic:blipFill>
                        <pic:spPr>
                          <a:xfrm>
                            <a:off x="0" y="0"/>
                            <a:ext cx="756285" cy="1139190"/>
                          </a:xfrm>
                          <a:prstGeom prst="rect">
                            <a:avLst/>
                          </a:prstGeom>
                          <a:noFill/>
                          <a:ln>
                            <a:noFill/>
                          </a:ln>
                        </pic:spPr>
                      </pic:pic>
                    </a:graphicData>
                  </a:graphic>
                </wp:inline>
              </w:drawing>
            </w:r>
          </w:p>
        </w:tc>
      </w:tr>
      <w:tr w14:paraId="2FC8E568">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16FD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106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双面屏风2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FDBA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1200*13*1200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919C3">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1.配置：五边形双面可钉磁吸布屏风，屏风均倒圆角处理，屏风自重≤3kg；</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2.饰面面料：参照Gabriel、 Kvadart、Camira或同档次及以上品牌环保布饰面，耐干摩擦色牢度达到5级，耐磨性≥50000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3.磁性边缘：屏风两侧边缘均带磁吸条，可以和同系列屏风彼此磁吸连接达到独立站立，连接角度可以任意调整；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4.底部：屏风底部带滑轨，保护屏风布饰面不受磨损；</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5.分色：双面可钉布屏风，双面布料颜色可选不同颜色。</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93E2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9373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D998A">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55040" cy="1073150"/>
                  <wp:effectExtent l="0" t="0" r="10160" b="6350"/>
                  <wp:docPr id="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7"/>
                          <pic:cNvPicPr>
                            <a:picLocks noChangeAspect="1"/>
                          </pic:cNvPicPr>
                        </pic:nvPicPr>
                        <pic:blipFill>
                          <a:blip r:embed="rId64"/>
                          <a:stretch>
                            <a:fillRect/>
                          </a:stretch>
                        </pic:blipFill>
                        <pic:spPr>
                          <a:xfrm>
                            <a:off x="0" y="0"/>
                            <a:ext cx="955040" cy="1073150"/>
                          </a:xfrm>
                          <a:prstGeom prst="rect">
                            <a:avLst/>
                          </a:prstGeom>
                          <a:noFill/>
                          <a:ln>
                            <a:noFill/>
                          </a:ln>
                        </pic:spPr>
                      </pic:pic>
                    </a:graphicData>
                  </a:graphic>
                </wp:inline>
              </w:drawing>
            </w:r>
          </w:p>
        </w:tc>
      </w:tr>
      <w:tr w14:paraId="7BE03E52">
        <w:tblPrEx>
          <w:tblCellMar>
            <w:top w:w="0" w:type="dxa"/>
            <w:left w:w="108" w:type="dxa"/>
            <w:bottom w:w="0" w:type="dxa"/>
            <w:right w:w="108" w:type="dxa"/>
          </w:tblCellMar>
        </w:tblPrEx>
        <w:trPr>
          <w:trHeight w:val="155"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8974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8C5C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多功能移动升降桌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1543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1200*600*（575-1237）</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2F7300">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2.饰面：参照富美家(Formica)、威盛亚（Wilsonart）、木恪或或同档次及以上品牌防火板贴面，抗划伤、耐磨、耐酸碱、耐烟灼、防火、不易褪色、易清洁。桌板厚度≥25mm，桌板四周倒圆角。</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3.封条：桌面同色ABS封边，厚度≥2mm，板材四周完全封闭。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4.功能：带走线功能，桌上夹桌式电源（2个五孔强电，1个USB1个Type-c充电，一根三眼插头）；电动升降，升降里程≥575–1237mm，额定功率为450W，电机运行噪音≤55 bB，最大承重量≥126 kg（包含桌板的重量）；升降过程遇到障碍物会自动回弹；升降控制器上拨升高下压降低；升降控制器含数字显示屏，2个预设高度按钮，双击自动驱动主动运动压力提醒；可以与手机应用配对，支持偏好、预设和活动跟踪。</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钢管，钢管壁厚≥1.5mm，乙酸盐雾试验100h达到10级；经脱脂、水洗、酸洗、水洗中和、表调、磷化、干燥等工艺处理，表面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6.桌脚底部带平移滑动轮，脚架上下可分色（投标时须分别注明脚架上下两部分的具体可选颜色）。</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7.胶粘剂：参照胶王、汉高、Buehnen或同档次及以上品牌胶粘剂。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8.屏风：可自由拆装式L形屏风（一左一右各1个），通过卡扣与桌板连接。环保PET内芯材，外包环保布饰面，耐摩擦色牢度(干/湿)5 级，耐磨性≥50000 转。屏风厚度≥13mm，屏风高度≥470mm。</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2A68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CDEC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11B69">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1020445"/>
                  <wp:effectExtent l="0" t="0" r="1905" b="8255"/>
                  <wp:docPr id="9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8"/>
                          <pic:cNvPicPr>
                            <a:picLocks noChangeAspect="1"/>
                          </pic:cNvPicPr>
                        </pic:nvPicPr>
                        <pic:blipFill>
                          <a:blip r:embed="rId65"/>
                          <a:stretch>
                            <a:fillRect/>
                          </a:stretch>
                        </pic:blipFill>
                        <pic:spPr>
                          <a:xfrm>
                            <a:off x="0" y="0"/>
                            <a:ext cx="1090295" cy="1020445"/>
                          </a:xfrm>
                          <a:prstGeom prst="rect">
                            <a:avLst/>
                          </a:prstGeom>
                          <a:noFill/>
                          <a:ln>
                            <a:noFill/>
                          </a:ln>
                        </pic:spPr>
                      </pic:pic>
                    </a:graphicData>
                  </a:graphic>
                </wp:inline>
              </w:drawing>
            </w:r>
          </w:p>
        </w:tc>
      </w:tr>
      <w:tr w14:paraId="479AD572">
        <w:tblPrEx>
          <w:tblCellMar>
            <w:top w:w="0" w:type="dxa"/>
            <w:left w:w="108" w:type="dxa"/>
            <w:bottom w:w="0" w:type="dxa"/>
            <w:right w:w="108" w:type="dxa"/>
          </w:tblCellMar>
        </w:tblPrEx>
        <w:trPr>
          <w:trHeight w:val="110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9C1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24CA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多功能椅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784A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（597-686）*（533-603）*（927-1048）</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497937">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椅背：背部框架尼龙加玻纤，带活动式可调节腰靠（①背部框架和腰靠不同色；②腰靠和背部支撑横条同色，颜色可选10种以上，投标时须注明具体颜色），腰靠调节范围≥50mm。内侧3D网布（颜色可选6种以上，投标时须注明具体颜色），椅背高度≥546mm，背部可倾仰锁定，3档调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2.网布：3D编织网布，耐干摩擦色牢度达到5级，耐磨性≥50000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3.椅座：座垫前缘被动式减压处理，座垫深度≥467mm。座垫位置可前后伸缩调节，调节范围为≥394-457mm。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4.座垫布料：参照Gabriel、 Kvadart、Camira或同档次及以上品牌环保布饰面，耐干摩擦色牢度达到5级，耐磨性≥50000 转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5.海绵：高回弹软质聚氨酯泡沫塑料，座垫密度≥35kg/m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6.底盘：安全防爆底盘，自负重机构。</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7.气压棒：参照SAMHONGSA、WDF、KGS或同档次及以上安全气棒，行程≥120mm。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8.椅脚：白色或黑色聚酰胺添加玻璃纤维涂装五星脚架，直径≥650mm。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9.椅轮：直径≥60mm 的尼龙+聚氨酯（PU）脚轮。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10.扶手：聚酰胺材质，PU扶手面，4D(高度/深度/宽度/轴心)可调节，扶手高度调节里程≥100mm，扶手前后伸缩距离≥76mm，扶手面可左右调节距离≥50mm，轴心旋转角度≥40度。</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363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247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C93C">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1730375"/>
                  <wp:effectExtent l="0" t="0" r="2540" b="9525"/>
                  <wp:docPr id="9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9"/>
                          <pic:cNvPicPr>
                            <a:picLocks noChangeAspect="1"/>
                          </pic:cNvPicPr>
                        </pic:nvPicPr>
                        <pic:blipFill>
                          <a:blip r:embed="rId66"/>
                          <a:stretch>
                            <a:fillRect/>
                          </a:stretch>
                        </pic:blipFill>
                        <pic:spPr>
                          <a:xfrm>
                            <a:off x="0" y="0"/>
                            <a:ext cx="1089660" cy="1730375"/>
                          </a:xfrm>
                          <a:prstGeom prst="rect">
                            <a:avLst/>
                          </a:prstGeom>
                          <a:noFill/>
                          <a:ln>
                            <a:noFill/>
                          </a:ln>
                        </pic:spPr>
                      </pic:pic>
                    </a:graphicData>
                  </a:graphic>
                </wp:inline>
              </w:drawing>
            </w:r>
          </w:p>
        </w:tc>
      </w:tr>
      <w:tr w14:paraId="04504F29">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354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9C47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可升降圆桌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620F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直径800*700-1090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447EA">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2.饰面：参照富美家(Formica)、威盛亚（Wilsonart）、木恪或或同档次及以上品牌防火板贴面，抗划伤、耐磨、耐酸碱、耐烟灼、防火、不易褪色、易清洁；桌板形状为圆形，厚度≥25mm。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4.胶粘剂：参照胶王、汉高、Buehnen或同档次及以上品牌胶粘剂。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钢管，壁厚≥1.5mm；经脱脂、水洗、酸洗、水洗中和、表调、磷化、干燥等工艺处理，表面参照阿克苏诺贝尔、Tiger、杜邦或同档次及以上品牌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6.脚轮：可锁定活动轮。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7.功能：气动升降，升降范围≥700-1090mm。</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F29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BA8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7F89F">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1616075"/>
                  <wp:effectExtent l="0" t="0" r="2540" b="9525"/>
                  <wp:docPr id="9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0"/>
                          <pic:cNvPicPr>
                            <a:picLocks noChangeAspect="1"/>
                          </pic:cNvPicPr>
                        </pic:nvPicPr>
                        <pic:blipFill>
                          <a:blip r:embed="rId67"/>
                          <a:stretch>
                            <a:fillRect/>
                          </a:stretch>
                        </pic:blipFill>
                        <pic:spPr>
                          <a:xfrm>
                            <a:off x="0" y="0"/>
                            <a:ext cx="1089660" cy="1616075"/>
                          </a:xfrm>
                          <a:prstGeom prst="rect">
                            <a:avLst/>
                          </a:prstGeom>
                          <a:noFill/>
                          <a:ln>
                            <a:noFill/>
                          </a:ln>
                        </pic:spPr>
                      </pic:pic>
                    </a:graphicData>
                  </a:graphic>
                </wp:inline>
              </w:drawing>
            </w:r>
          </w:p>
        </w:tc>
      </w:tr>
      <w:tr w14:paraId="14E64D62">
        <w:tblPrEx>
          <w:tblCellMar>
            <w:top w:w="0" w:type="dxa"/>
            <w:left w:w="108" w:type="dxa"/>
            <w:bottom w:w="0" w:type="dxa"/>
            <w:right w:w="108" w:type="dxa"/>
          </w:tblCellMar>
        </w:tblPrEx>
        <w:trPr>
          <w:trHeight w:val="40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C8A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153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异形高桌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A975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944*950*1050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C8E05">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2.饰面：参照富美家(Formica)、威盛亚（Wilsonart）、木恪或或同档次及以上品牌防火板贴面，抗划伤、耐磨、耐酸碱、耐烟灼、防火、不易褪色、易清洁；桌板形状为圆角五边形，厚度≥25mm。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4.功能：脚架底盘带2个活动尼龙脚轮，轻轻抬起便可移动桌子。</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一级冷轧钢材，钢管壁厚≥1.5mm，经脱脂、水洗、酸洗、水洗中和、表调、磷化、干燥等工艺处理，表面参照阿克苏诺贝尔、Tiger、杜邦或同档次及以上品牌环保环氧树脂粉体静电喷涂；脚架立柱直径≥70mm，通过尺寸≥20*20cm的金属垫片与桌板连接固定，脚架底盘钢板厚度≥9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6.胶粘剂：参照胶王、汉高、Buehnen或同档次及以上品牌胶粘剂。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7.脚轮：直径40-50mm聚丙烯加玻璃纤维塑胶尼龙轮，耐久性测试10万次无损坏。</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AA6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B833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F798B">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9660" cy="1616075"/>
                  <wp:effectExtent l="0" t="0" r="2540" b="9525"/>
                  <wp:docPr id="10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1"/>
                          <pic:cNvPicPr>
                            <a:picLocks noChangeAspect="1"/>
                          </pic:cNvPicPr>
                        </pic:nvPicPr>
                        <pic:blipFill>
                          <a:blip r:embed="rId68"/>
                          <a:stretch>
                            <a:fillRect/>
                          </a:stretch>
                        </pic:blipFill>
                        <pic:spPr>
                          <a:xfrm>
                            <a:off x="0" y="0"/>
                            <a:ext cx="1089660" cy="1616075"/>
                          </a:xfrm>
                          <a:prstGeom prst="rect">
                            <a:avLst/>
                          </a:prstGeom>
                          <a:noFill/>
                          <a:ln>
                            <a:noFill/>
                          </a:ln>
                        </pic:spPr>
                      </pic:pic>
                    </a:graphicData>
                  </a:graphic>
                </wp:inline>
              </w:drawing>
            </w:r>
          </w:p>
        </w:tc>
      </w:tr>
      <w:tr w14:paraId="017DF1D5">
        <w:tblPrEx>
          <w:tblCellMar>
            <w:top w:w="0" w:type="dxa"/>
            <w:left w:w="108" w:type="dxa"/>
            <w:bottom w:w="0" w:type="dxa"/>
            <w:right w:w="108" w:type="dxa"/>
          </w:tblCellMar>
        </w:tblPrEx>
        <w:trPr>
          <w:trHeight w:val="1111" w:hRule="atLeast"/>
        </w:trPr>
        <w:tc>
          <w:tcPr>
            <w:tcW w:w="302" w:type="pct"/>
            <w:vMerge w:val="restart"/>
            <w:tcBorders>
              <w:top w:val="single" w:color="000000" w:sz="4" w:space="0"/>
              <w:left w:val="single" w:color="000000" w:sz="4" w:space="0"/>
              <w:right w:val="single" w:color="000000" w:sz="4" w:space="0"/>
            </w:tcBorders>
            <w:shd w:val="clear" w:color="auto" w:fill="auto"/>
            <w:noWrap/>
            <w:vAlign w:val="center"/>
          </w:tcPr>
          <w:p w14:paraId="596EF6C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43</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F8A4E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创意组合沙发</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F35E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梯形沙发：2032/1067*838*737</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，坐高406</w:t>
            </w:r>
            <w:r>
              <w:rPr>
                <w:rFonts w:hint="eastAsia" w:ascii="宋体" w:hAnsi="宋体"/>
                <w:color w:val="000000" w:themeColor="text1"/>
                <w:szCs w:val="21"/>
                <w:highlight w:val="none"/>
                <w14:textFill>
                  <w14:solidFill>
                    <w14:schemeClr w14:val="tx1"/>
                  </w14:solidFill>
                </w14:textFill>
              </w:rPr>
              <w:t>mm</w:t>
            </w:r>
          </w:p>
        </w:tc>
        <w:tc>
          <w:tcPr>
            <w:tcW w:w="254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7C3C43">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1.面料：参照Gabriel、 Kvadart、Camira或同档次及以上及以上品牌系列面料，经过防火、防污、抗菌、抗静电、耐色牢度、抗强度等加工处理。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2.海绵：高回弹软质聚氨酯泡沫塑料，耐用度高，座垫密度≥35kg/m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3.内框架：天然实木加优质天然实木多层板 ，内含安全负重装置。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4.底部：特斯林网布+黑色蒙布。</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5.脚框：金属脚框，壁厚不低于2mm，高度可调节，可调节高度不小于2公分。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6.挑板：带1块一体成型钢制可书写挑板，钢板壁厚不低于4mm，挑板离地高度980mm-1050mm；挑板外加防火板防踢护板，无任何螺丝外露，保证美观。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7.功能：三张组成半围合造型，支持团队讨论，后挑板的配置可以随时增加讨论参与人数，后面的人离开时也不会打扰到讨论进程。</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6366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920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vMerge w:val="restart"/>
            <w:tcBorders>
              <w:top w:val="single" w:color="000000" w:sz="4" w:space="0"/>
              <w:left w:val="single" w:color="000000" w:sz="4" w:space="0"/>
              <w:right w:val="single" w:color="000000" w:sz="4" w:space="0"/>
            </w:tcBorders>
            <w:shd w:val="clear" w:color="auto" w:fill="auto"/>
            <w:noWrap/>
            <w:vAlign w:val="center"/>
          </w:tcPr>
          <w:p w14:paraId="13E996ED">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8390" cy="805180"/>
                  <wp:effectExtent l="0" t="0" r="3810" b="7620"/>
                  <wp:docPr id="9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2"/>
                          <pic:cNvPicPr>
                            <a:picLocks noChangeAspect="1"/>
                          </pic:cNvPicPr>
                        </pic:nvPicPr>
                        <pic:blipFill>
                          <a:blip r:embed="rId69"/>
                          <a:stretch>
                            <a:fillRect/>
                          </a:stretch>
                        </pic:blipFill>
                        <pic:spPr>
                          <a:xfrm>
                            <a:off x="0" y="0"/>
                            <a:ext cx="1088390" cy="805180"/>
                          </a:xfrm>
                          <a:prstGeom prst="rect">
                            <a:avLst/>
                          </a:prstGeom>
                          <a:noFill/>
                          <a:ln>
                            <a:noFill/>
                          </a:ln>
                        </pic:spPr>
                      </pic:pic>
                    </a:graphicData>
                  </a:graphic>
                </wp:inline>
              </w:drawing>
            </w:r>
          </w:p>
        </w:tc>
      </w:tr>
      <w:tr w14:paraId="0943D288">
        <w:tblPrEx>
          <w:tblCellMar>
            <w:top w:w="0" w:type="dxa"/>
            <w:left w:w="108" w:type="dxa"/>
            <w:bottom w:w="0" w:type="dxa"/>
            <w:right w:w="108" w:type="dxa"/>
          </w:tblCellMar>
        </w:tblPrEx>
        <w:trPr>
          <w:trHeight w:val="916" w:hRule="atLeast"/>
        </w:trPr>
        <w:tc>
          <w:tcPr>
            <w:tcW w:w="302" w:type="pct"/>
            <w:vMerge w:val="continue"/>
            <w:tcBorders>
              <w:left w:val="single" w:color="000000" w:sz="4" w:space="0"/>
              <w:right w:val="single" w:color="000000" w:sz="4" w:space="0"/>
            </w:tcBorders>
            <w:shd w:val="clear" w:color="auto" w:fill="auto"/>
            <w:noWrap/>
            <w:vAlign w:val="center"/>
          </w:tcPr>
          <w:p w14:paraId="31E51893">
            <w:pPr>
              <w:widowControl/>
              <w:jc w:val="center"/>
              <w:textAlignment w:val="center"/>
              <w:rPr>
                <w:rFonts w:ascii="宋体" w:hAnsi="宋体" w:cs="宋体"/>
                <w:color w:val="000000" w:themeColor="text1"/>
                <w:szCs w:val="21"/>
                <w:highlight w:val="none"/>
                <w14:textFill>
                  <w14:solidFill>
                    <w14:schemeClr w14:val="tx1"/>
                  </w14:solidFill>
                </w14:textFill>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554E9">
            <w:pPr>
              <w:jc w:val="center"/>
              <w:rPr>
                <w:rFonts w:ascii="宋体" w:hAnsi="宋体" w:cs="宋体"/>
                <w:color w:val="000000" w:themeColor="text1"/>
                <w:szCs w:val="21"/>
                <w:highlight w:val="none"/>
                <w14:textFill>
                  <w14:solidFill>
                    <w14:schemeClr w14:val="tx1"/>
                  </w14:solidFill>
                </w14:textFill>
              </w:rPr>
            </w:pP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7102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右向扶手转角沙发：2337*838*737</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，坐高406</w:t>
            </w:r>
            <w:r>
              <w:rPr>
                <w:rFonts w:hint="eastAsia" w:ascii="宋体" w:hAnsi="宋体"/>
                <w:color w:val="000000" w:themeColor="text1"/>
                <w:szCs w:val="21"/>
                <w:highlight w:val="none"/>
                <w14:textFill>
                  <w14:solidFill>
                    <w14:schemeClr w14:val="tx1"/>
                  </w14:solidFill>
                </w14:textFill>
              </w:rPr>
              <w:t>mm</w:t>
            </w:r>
          </w:p>
        </w:tc>
        <w:tc>
          <w:tcPr>
            <w:tcW w:w="254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436E83">
            <w:pPr>
              <w:jc w:val="left"/>
              <w:rPr>
                <w:rFonts w:ascii="宋体" w:hAnsi="宋体" w:cs="宋体"/>
                <w:color w:val="000000" w:themeColor="text1"/>
                <w:szCs w:val="21"/>
                <w:highlight w:val="none"/>
                <w14:textFill>
                  <w14:solidFill>
                    <w14:schemeClr w14:val="tx1"/>
                  </w14:solidFill>
                </w14:textFill>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69F8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83B1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vMerge w:val="continue"/>
            <w:tcBorders>
              <w:left w:val="single" w:color="000000" w:sz="4" w:space="0"/>
              <w:right w:val="single" w:color="000000" w:sz="4" w:space="0"/>
            </w:tcBorders>
            <w:shd w:val="clear" w:color="auto" w:fill="auto"/>
            <w:noWrap/>
            <w:vAlign w:val="center"/>
          </w:tcPr>
          <w:p w14:paraId="09CC981C">
            <w:pPr>
              <w:widowControl/>
              <w:jc w:val="center"/>
              <w:textAlignment w:val="center"/>
              <w:rPr>
                <w:rFonts w:ascii="宋体" w:hAnsi="宋体" w:cs="宋体"/>
                <w:color w:val="000000" w:themeColor="text1"/>
                <w:szCs w:val="21"/>
                <w:highlight w:val="none"/>
                <w14:textFill>
                  <w14:solidFill>
                    <w14:schemeClr w14:val="tx1"/>
                  </w14:solidFill>
                </w14:textFill>
              </w:rPr>
            </w:pPr>
          </w:p>
        </w:tc>
      </w:tr>
      <w:tr w14:paraId="7B0D3E1A">
        <w:tblPrEx>
          <w:tblCellMar>
            <w:top w:w="0" w:type="dxa"/>
            <w:left w:w="108" w:type="dxa"/>
            <w:bottom w:w="0" w:type="dxa"/>
            <w:right w:w="108" w:type="dxa"/>
          </w:tblCellMar>
        </w:tblPrEx>
        <w:trPr>
          <w:trHeight w:val="877" w:hRule="atLeast"/>
        </w:trPr>
        <w:tc>
          <w:tcPr>
            <w:tcW w:w="302" w:type="pct"/>
            <w:vMerge w:val="continue"/>
            <w:tcBorders>
              <w:left w:val="single" w:color="000000" w:sz="4" w:space="0"/>
              <w:bottom w:val="single" w:color="000000" w:sz="4" w:space="0"/>
              <w:right w:val="single" w:color="000000" w:sz="4" w:space="0"/>
            </w:tcBorders>
            <w:shd w:val="clear" w:color="auto" w:fill="auto"/>
            <w:noWrap/>
            <w:vAlign w:val="center"/>
          </w:tcPr>
          <w:p w14:paraId="53ABB29D">
            <w:pPr>
              <w:widowControl/>
              <w:jc w:val="center"/>
              <w:textAlignment w:val="center"/>
              <w:rPr>
                <w:rFonts w:ascii="宋体" w:hAnsi="宋体" w:cs="宋体"/>
                <w:color w:val="000000" w:themeColor="text1"/>
                <w:szCs w:val="21"/>
                <w:highlight w:val="none"/>
                <w14:textFill>
                  <w14:solidFill>
                    <w14:schemeClr w14:val="tx1"/>
                  </w14:solidFill>
                </w14:textFill>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3C630">
            <w:pPr>
              <w:jc w:val="center"/>
              <w:rPr>
                <w:rFonts w:ascii="宋体" w:hAnsi="宋体" w:cs="宋体"/>
                <w:color w:val="000000" w:themeColor="text1"/>
                <w:szCs w:val="21"/>
                <w:highlight w:val="none"/>
                <w14:textFill>
                  <w14:solidFill>
                    <w14:schemeClr w14:val="tx1"/>
                  </w14:solidFill>
                </w14:textFill>
              </w:rPr>
            </w:pP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1401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左向扶手转角沙发：2337*838*737</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，坐高406</w:t>
            </w:r>
            <w:r>
              <w:rPr>
                <w:rFonts w:hint="eastAsia" w:ascii="宋体" w:hAnsi="宋体"/>
                <w:color w:val="000000" w:themeColor="text1"/>
                <w:szCs w:val="21"/>
                <w:highlight w:val="none"/>
                <w14:textFill>
                  <w14:solidFill>
                    <w14:schemeClr w14:val="tx1"/>
                  </w14:solidFill>
                </w14:textFill>
              </w:rPr>
              <w:t>mm</w:t>
            </w:r>
          </w:p>
        </w:tc>
        <w:tc>
          <w:tcPr>
            <w:tcW w:w="254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6DE4A">
            <w:pPr>
              <w:jc w:val="left"/>
              <w:rPr>
                <w:rFonts w:ascii="宋体" w:hAnsi="宋体" w:cs="宋体"/>
                <w:color w:val="000000" w:themeColor="text1"/>
                <w:szCs w:val="21"/>
                <w:highlight w:val="none"/>
                <w14:textFill>
                  <w14:solidFill>
                    <w14:schemeClr w14:val="tx1"/>
                  </w14:solidFill>
                </w14:textFill>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75F3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A2D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vMerge w:val="continue"/>
            <w:tcBorders>
              <w:left w:val="single" w:color="000000" w:sz="4" w:space="0"/>
              <w:bottom w:val="single" w:color="000000" w:sz="4" w:space="0"/>
              <w:right w:val="single" w:color="000000" w:sz="4" w:space="0"/>
            </w:tcBorders>
            <w:shd w:val="clear" w:color="auto" w:fill="auto"/>
            <w:noWrap/>
            <w:vAlign w:val="center"/>
          </w:tcPr>
          <w:p w14:paraId="4D490A04">
            <w:pPr>
              <w:widowControl/>
              <w:jc w:val="center"/>
              <w:textAlignment w:val="center"/>
              <w:rPr>
                <w:rFonts w:ascii="宋体" w:hAnsi="宋体" w:cs="宋体"/>
                <w:color w:val="000000" w:themeColor="text1"/>
                <w:szCs w:val="21"/>
                <w:highlight w:val="none"/>
                <w14:textFill>
                  <w14:solidFill>
                    <w14:schemeClr w14:val="tx1"/>
                  </w14:solidFill>
                </w14:textFill>
              </w:rPr>
            </w:pPr>
          </w:p>
        </w:tc>
      </w:tr>
      <w:tr w14:paraId="4716F94C">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7FC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44</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3041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休闲圆桌2</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9B59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直径1200*700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EE30A">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3.封条：ABS封边，厚度≥2mm，板材四周完全封闭。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4.功能：KT化自动螺丝组装，无焊接。</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5.脚架：参照“宝钢”、“首钢”、“鞍钢”或同档次及以上品牌一级冷轧钢材，支撑脚钢管壁厚≥1.5mm，支撑脚盘壁厚≥8mm，表面参照阿克苏诺贝尔、Tiger、杜邦或同档次及以上品牌环保环氧树脂粉体静电喷涂。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6.胶粘剂：参照胶王、汉高、Buehnen或同档次及以上品牌环保水性胶粘剂。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00B5B">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0A5C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10256">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942975"/>
                  <wp:effectExtent l="0" t="0" r="1905" b="9525"/>
                  <wp:docPr id="1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
                          <pic:cNvPicPr>
                            <a:picLocks noChangeAspect="1"/>
                          </pic:cNvPicPr>
                        </pic:nvPicPr>
                        <pic:blipFill>
                          <a:blip r:embed="rId70"/>
                          <a:stretch>
                            <a:fillRect/>
                          </a:stretch>
                        </pic:blipFill>
                        <pic:spPr>
                          <a:xfrm>
                            <a:off x="0" y="0"/>
                            <a:ext cx="1090295" cy="942975"/>
                          </a:xfrm>
                          <a:prstGeom prst="rect">
                            <a:avLst/>
                          </a:prstGeom>
                          <a:noFill/>
                          <a:ln>
                            <a:noFill/>
                          </a:ln>
                        </pic:spPr>
                      </pic:pic>
                    </a:graphicData>
                  </a:graphic>
                </wp:inline>
              </w:drawing>
            </w:r>
          </w:p>
        </w:tc>
      </w:tr>
      <w:tr w14:paraId="00A6724A">
        <w:tblPrEx>
          <w:tblCellMar>
            <w:top w:w="0" w:type="dxa"/>
            <w:left w:w="108" w:type="dxa"/>
            <w:bottom w:w="0" w:type="dxa"/>
            <w:right w:w="108" w:type="dxa"/>
          </w:tblCellMar>
        </w:tblPrEx>
        <w:trPr>
          <w:trHeight w:val="1434"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585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45</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8CC7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蘑菇凳</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6A0E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直径425*470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9DDAD">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1.饰面：选用参照Gabriel、 Kvadart、Camira或同档次及以上及以上品牌环保布饰面，耐干摩擦色牢度达到5级，耐磨性≥50000 转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2.海绵：高回弹软质聚氨酯泡沫塑料，座垫密度≥35kg/m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3.基座：PP注塑塑料材质，圆锥形基座；</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4.功能：带活动轮，使用移动手柄可轻松移动，气动气缸吸收坐着时的震动并产生缓冲，360度可旋转，圆润的底面可摇动。</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567B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67FB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1772">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942975" cy="1095375"/>
                  <wp:effectExtent l="0" t="0" r="9525" b="9525"/>
                  <wp:docPr id="9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4"/>
                          <pic:cNvPicPr>
                            <a:picLocks noChangeAspect="1"/>
                          </pic:cNvPicPr>
                        </pic:nvPicPr>
                        <pic:blipFill>
                          <a:blip r:embed="rId71"/>
                          <a:stretch>
                            <a:fillRect/>
                          </a:stretch>
                        </pic:blipFill>
                        <pic:spPr>
                          <a:xfrm>
                            <a:off x="0" y="0"/>
                            <a:ext cx="942975" cy="1095375"/>
                          </a:xfrm>
                          <a:prstGeom prst="rect">
                            <a:avLst/>
                          </a:prstGeom>
                          <a:noFill/>
                          <a:ln>
                            <a:noFill/>
                          </a:ln>
                        </pic:spPr>
                      </pic:pic>
                    </a:graphicData>
                  </a:graphic>
                </wp:inline>
              </w:drawing>
            </w:r>
          </w:p>
        </w:tc>
      </w:tr>
      <w:tr w14:paraId="53FAF598">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93BB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46</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9BFB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双面白板组合</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7A8A7E">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1个直径406*914</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的白板支架+2个900*13*1800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lang w:bidi="ar"/>
                <w14:textFill>
                  <w14:solidFill>
                    <w14:schemeClr w14:val="tx1"/>
                  </w14:solidFill>
                </w14:textFill>
              </w:rPr>
              <w:t>的双面白板</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51F02">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一、双面白板</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1.双面可书写白板，经久耐用，写字板和展示板二合一。</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2.白板四周倒圆角，边缘设≥3mm厚的胶合板保护条，白板重量≤4.5kg，配合支架使用书写的同时可做屏风分隔空间。</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二、支架</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1.支架台面：采用≥12mm厚七层天然模压胶合板，一体成型，表面透明涂层，台面设两条白板/屏风卡槽；台面底部通过聚酰胺添加玻璃纤维材质圆锥链接支撑杆。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2.支架支撑杆：聚酰胺添加玻璃纤维材质，杆上设两个挂杆，可以悬挂背包、电源或文具收纳篮。</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3.支架底座：聚酰胺添加玻璃纤维材质，形状为直径不小于400mm的圆锥，设两条白板/屏风卡槽。</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B67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9A9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组</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621A1">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8390" cy="1409065"/>
                  <wp:effectExtent l="0" t="0" r="3810" b="635"/>
                  <wp:docPr id="10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5"/>
                          <pic:cNvPicPr>
                            <a:picLocks noChangeAspect="1"/>
                          </pic:cNvPicPr>
                        </pic:nvPicPr>
                        <pic:blipFill>
                          <a:blip r:embed="rId72"/>
                          <a:stretch>
                            <a:fillRect/>
                          </a:stretch>
                        </pic:blipFill>
                        <pic:spPr>
                          <a:xfrm>
                            <a:off x="0" y="0"/>
                            <a:ext cx="1088390" cy="1409065"/>
                          </a:xfrm>
                          <a:prstGeom prst="rect">
                            <a:avLst/>
                          </a:prstGeom>
                          <a:noFill/>
                          <a:ln>
                            <a:noFill/>
                          </a:ln>
                        </pic:spPr>
                      </pic:pic>
                    </a:graphicData>
                  </a:graphic>
                </wp:inline>
              </w:drawing>
            </w:r>
          </w:p>
        </w:tc>
      </w:tr>
      <w:tr w14:paraId="2F24BB01">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9ADC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47</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74B6F">
            <w:pPr>
              <w:widowControl/>
              <w:jc w:val="center"/>
              <w:textAlignment w:val="center"/>
              <w:rPr>
                <w:rFonts w:ascii="宋体" w:hAnsi="宋体" w:cs="宋体"/>
                <w:color w:val="4F81BD" w:themeColor="accent1"/>
                <w:szCs w:val="21"/>
                <w:highlight w:val="none"/>
                <w14:textFill>
                  <w14:solidFill>
                    <w14:schemeClr w14:val="accent1"/>
                  </w14:solidFill>
                </w14:textFill>
              </w:rPr>
            </w:pPr>
            <w:r>
              <w:rPr>
                <w:rFonts w:hint="eastAsia" w:asciiTheme="minorEastAsia" w:hAnsiTheme="minorEastAsia" w:eastAsiaTheme="minorEastAsia" w:cstheme="minorEastAsia"/>
                <w:color w:val="4F81BD" w:themeColor="accent1"/>
                <w:kern w:val="0"/>
                <w:szCs w:val="21"/>
                <w:highlight w:val="none"/>
                <w:lang w:bidi="ar"/>
                <w14:textFill>
                  <w14:solidFill>
                    <w14:schemeClr w14:val="accent1"/>
                  </w14:solidFill>
                </w14:textFill>
              </w:rPr>
              <w:t>12人阅览桌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F02E3">
            <w:pPr>
              <w:widowControl/>
              <w:jc w:val="center"/>
              <w:textAlignment w:val="center"/>
              <w:rPr>
                <w:rFonts w:ascii="宋体" w:hAnsi="宋体" w:cs="宋体"/>
                <w:color w:val="4F81BD" w:themeColor="accent1"/>
                <w:szCs w:val="21"/>
                <w:highlight w:val="none"/>
                <w14:textFill>
                  <w14:solidFill>
                    <w14:schemeClr w14:val="accent1"/>
                  </w14:solidFill>
                </w14:textFill>
              </w:rPr>
            </w:pPr>
            <w:r>
              <w:rPr>
                <w:rFonts w:hint="eastAsia" w:ascii="宋体" w:hAnsi="宋体" w:cs="宋体"/>
                <w:color w:val="4F81BD" w:themeColor="accent1"/>
                <w:kern w:val="0"/>
                <w:szCs w:val="21"/>
                <w:highlight w:val="none"/>
                <w:lang w:bidi="ar"/>
                <w14:textFill>
                  <w14:solidFill>
                    <w14:schemeClr w14:val="accent1"/>
                  </w14:solidFill>
                </w14:textFill>
              </w:rPr>
              <w:t>5400*1200*750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BA167">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1.基材：参照大亚、福人、露水河或同档次及以上品牌ENF级刨花板，甲醛释放量≤0.025mg/m³。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2.饰面：参照富美家(Formica)、威盛亚（Wilsonart）、木恪或或同档次及以上品牌防火板贴面，抗划伤、耐磨、耐酸碱、耐烟灼、防火、不易褪色、易清洁；桌板厚度≥25mm。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3.封边：桌面同色ABS封边，所有板件四封边，厚度≥2mm。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4.脚架：选用一级冷轧钢材，钢管壁厚≥1.5mm，经脱脂、水洗、酸洗、水洗中和、表调、磷化、干燥等工艺处理，表面品牌环保环氧树脂粉体静电喷涂。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5.胶粘剂：参照胶王、汉高、Buehnen或同档次及以上品牌水性胶粘剂。</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6.功能：带走线功能，隐藏式上线，桌面设置3组电源集成模块，每组电源模块配置3个五孔插座，3个USB孔位,3个无线充电面板，电源系统符合3C认证。</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条形阅读灯：铝合金框架结构，蜂窝板+PC扩散膜组合灯罩；高亮、高效、高显光源，光效≥82LM/W，色容差SDCM≤3，防眩等级小于16，无频闪，灯色温暖白光3500-4200K，单下照≥30W；高转换率电源，具有短路、过载、过压保护。</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DE6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12</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7719">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F451E">
            <w:pPr>
              <w:widowControl/>
              <w:jc w:val="center"/>
              <w:textAlignment w:val="center"/>
              <w:rPr>
                <w:color w:val="000000" w:themeColor="text1"/>
                <w:szCs w:val="21"/>
                <w:highlight w:val="none"/>
                <w14:textFill>
                  <w14:solidFill>
                    <w14:schemeClr w14:val="tx1"/>
                  </w14:solidFill>
                </w14:textFill>
              </w:rPr>
            </w:pPr>
          </w:p>
          <w:p w14:paraId="3275F7F8">
            <w:pPr>
              <w:widowControl/>
              <w:jc w:val="center"/>
              <w:textAlignment w:val="center"/>
              <w:rPr>
                <w:color w:val="000000" w:themeColor="text1"/>
                <w:szCs w:val="21"/>
                <w:highlight w:val="none"/>
                <w14:textFill>
                  <w14:solidFill>
                    <w14:schemeClr w14:val="tx1"/>
                  </w14:solidFill>
                </w14:textFill>
              </w:rPr>
            </w:pPr>
            <w:r>
              <w:rPr>
                <w:highlight w:val="none"/>
              </w:rPr>
              <w:drawing>
                <wp:inline distT="0" distB="0" distL="114300" distR="114300">
                  <wp:extent cx="1087755" cy="592455"/>
                  <wp:effectExtent l="0" t="0" r="4445" b="4445"/>
                  <wp:docPr id="10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6"/>
                          <pic:cNvPicPr>
                            <a:picLocks noChangeAspect="1"/>
                          </pic:cNvPicPr>
                        </pic:nvPicPr>
                        <pic:blipFill>
                          <a:blip r:embed="rId73"/>
                          <a:stretch>
                            <a:fillRect/>
                          </a:stretch>
                        </pic:blipFill>
                        <pic:spPr>
                          <a:xfrm>
                            <a:off x="0" y="0"/>
                            <a:ext cx="1087755" cy="592455"/>
                          </a:xfrm>
                          <a:prstGeom prst="rect">
                            <a:avLst/>
                          </a:prstGeom>
                          <a:noFill/>
                          <a:ln>
                            <a:noFill/>
                          </a:ln>
                        </pic:spPr>
                      </pic:pic>
                    </a:graphicData>
                  </a:graphic>
                </wp:inline>
              </w:drawing>
            </w:r>
          </w:p>
          <w:p w14:paraId="68A8D896">
            <w:pPr>
              <w:widowControl/>
              <w:jc w:val="center"/>
              <w:textAlignment w:val="center"/>
              <w:rPr>
                <w:color w:val="000000" w:themeColor="text1"/>
                <w:szCs w:val="21"/>
                <w:highlight w:val="none"/>
                <w14:textFill>
                  <w14:solidFill>
                    <w14:schemeClr w14:val="tx1"/>
                  </w14:solidFill>
                </w14:textFill>
              </w:rPr>
            </w:pPr>
          </w:p>
        </w:tc>
      </w:tr>
      <w:tr w14:paraId="0B75BA8F">
        <w:tblPrEx>
          <w:tblCellMar>
            <w:top w:w="0" w:type="dxa"/>
            <w:left w:w="108" w:type="dxa"/>
            <w:bottom w:w="0" w:type="dxa"/>
            <w:right w:w="108" w:type="dxa"/>
          </w:tblCellMar>
        </w:tblPrEx>
        <w:trPr>
          <w:trHeight w:val="119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A2B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48</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3987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可折叠阅览椅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958E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670*580*850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5A4BB">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1.椅背：尼龙塑料背框，内侧网布，带中空拉手。</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2.网布：网布面料，耐干摩擦色牢度达到5级，耐磨性≥50000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 xml:space="preserve">3.椅座：座垫为一体成型定型泡棉，下配塑壳，干净美观；不使用曲木板，不使用胶水。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4.座垫布料：选用参照Gabriel、 Kvadart、Camira或同档次及以上品牌环保布饰面，耐干摩擦色牢度达到5级，耐磨性≥50000 转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5.海绵：高回弹软质聚氨酯泡沫塑料，座垫密度≥65kg/m3，回弹率≥40%。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6.结构功能：座垫可翻转折叠，座椅可前后推叠收纳。</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7.脚架：参照“宝钢”、“首钢”、“鞍钢”或同档次及以上品牌一级冷轧钢材，钢管壁厚≥1.5mm；经脱脂、水洗、酸洗、水洗中和、表调、磷化、干燥等工艺处理，表面电镀处理，高强度ADC12铝合金连接件。</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8.脚轮：直径≥50mm，重力刹车PU轮，产生重力时才会滑动。</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9.扶手：ABS材质，L型扶手设计。</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14D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144</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48B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26E7">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1384935"/>
                  <wp:effectExtent l="0" t="0" r="1905" b="12065"/>
                  <wp:docPr id="10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7"/>
                          <pic:cNvPicPr>
                            <a:picLocks noChangeAspect="1"/>
                          </pic:cNvPicPr>
                        </pic:nvPicPr>
                        <pic:blipFill>
                          <a:blip r:embed="rId74"/>
                          <a:stretch>
                            <a:fillRect/>
                          </a:stretch>
                        </pic:blipFill>
                        <pic:spPr>
                          <a:xfrm>
                            <a:off x="0" y="0"/>
                            <a:ext cx="1090295" cy="1384935"/>
                          </a:xfrm>
                          <a:prstGeom prst="rect">
                            <a:avLst/>
                          </a:prstGeom>
                          <a:noFill/>
                          <a:ln>
                            <a:noFill/>
                          </a:ln>
                        </pic:spPr>
                      </pic:pic>
                    </a:graphicData>
                  </a:graphic>
                </wp:inline>
              </w:drawing>
            </w:r>
          </w:p>
        </w:tc>
      </w:tr>
      <w:tr w14:paraId="6C57DA73">
        <w:tblPrEx>
          <w:tblCellMar>
            <w:top w:w="0" w:type="dxa"/>
            <w:left w:w="108" w:type="dxa"/>
            <w:bottom w:w="0" w:type="dxa"/>
            <w:right w:w="108" w:type="dxa"/>
          </w:tblCellMar>
        </w:tblPrEx>
        <w:trPr>
          <w:trHeight w:val="345"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ECE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49</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9917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休闲圆桌3</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14F2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直径1000*750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C1FC2">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1.基材：采用品牌参照或相当于大亚、福人、露水河刨花板，板材厚度≥18mm，甲醛释放量≤0.05mg/m³（检测方法按 GB18580-2017）。</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2.饰面：采用品牌参照或相当于菲德耐（pfleiderer）、富美家(Formica)、欧亚双贴三聚氰胺浸渍面纸饰面材料。</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3.封条：采用桌面同色ABS封边，厚度≥2mm，所有板材四周完全封闭。</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4.五金件：采用品牌参照或相当于雷曼、海福乐、BMB锁具；采用品牌参照或相当于百隆BLUM、萨丽奇（SALICE）、DTC阻尼铰链；铰链符合GB/T 2189-2013(2017)标准。</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5.胶粘剂：采用品牌参照或相当于胶王、汉高、Buehnen水性胶粘剂。</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44A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4848">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786F">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90295" cy="1205865"/>
                  <wp:effectExtent l="0" t="0" r="1905" b="635"/>
                  <wp:docPr id="11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8"/>
                          <pic:cNvPicPr>
                            <a:picLocks noChangeAspect="1"/>
                          </pic:cNvPicPr>
                        </pic:nvPicPr>
                        <pic:blipFill>
                          <a:blip r:embed="rId75"/>
                          <a:stretch>
                            <a:fillRect/>
                          </a:stretch>
                        </pic:blipFill>
                        <pic:spPr>
                          <a:xfrm>
                            <a:off x="0" y="0"/>
                            <a:ext cx="1090295" cy="1205865"/>
                          </a:xfrm>
                          <a:prstGeom prst="rect">
                            <a:avLst/>
                          </a:prstGeom>
                          <a:noFill/>
                          <a:ln>
                            <a:noFill/>
                          </a:ln>
                        </pic:spPr>
                      </pic:pic>
                    </a:graphicData>
                  </a:graphic>
                </wp:inline>
              </w:drawing>
            </w:r>
          </w:p>
        </w:tc>
      </w:tr>
      <w:tr w14:paraId="0F2709B9">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FD3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5AFFA">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活动学习椅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76DE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580*600*820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636032">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1.背板：PP+10%GF玻璃纤维增强聚丙烯材质，高强度、抗裂性强、耐磨、耐腐蚀；椅背冲孔设计，顶部设镂空拉手。</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2.座板：座板及座下壳采用PP高抗冲材质，强度高，耐刮擦，不易变形；整椅可上下堆叠。</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3.坐垫：高压泡沫棉，高回弹性，耐用度高，座垫密度大于35kg/m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，回弹率≥40%；外包参照Gabriel、Kvadart、Camira或同档次及以上品牌系列面料， 耐摩擦色牢度(千/湿)≥4 级，耐磨性≥50000 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4.椅架：采用特殊水滴形强度脚管，牢固耐久，高温耐腐蚀、耐磨损；管厚度≥1.5mm。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5.固定脚钉。</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E733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36</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5484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8418">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8390" cy="1334770"/>
                  <wp:effectExtent l="0" t="0" r="3810" b="11430"/>
                  <wp:docPr id="11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9"/>
                          <pic:cNvPicPr>
                            <a:picLocks noChangeAspect="1"/>
                          </pic:cNvPicPr>
                        </pic:nvPicPr>
                        <pic:blipFill>
                          <a:blip r:embed="rId76"/>
                          <a:stretch>
                            <a:fillRect/>
                          </a:stretch>
                        </pic:blipFill>
                        <pic:spPr>
                          <a:xfrm>
                            <a:off x="0" y="0"/>
                            <a:ext cx="1088390" cy="1334770"/>
                          </a:xfrm>
                          <a:prstGeom prst="rect">
                            <a:avLst/>
                          </a:prstGeom>
                          <a:noFill/>
                          <a:ln>
                            <a:noFill/>
                          </a:ln>
                        </pic:spPr>
                      </pic:pic>
                    </a:graphicData>
                  </a:graphic>
                </wp:inline>
              </w:drawing>
            </w:r>
          </w:p>
        </w:tc>
      </w:tr>
      <w:tr w14:paraId="73183316">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219E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51</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4554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围合式阅览桌</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4354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1800*1300*1365</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932130">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1.屏风：优质定型刨花板内框架，甲醛释放量≤0.025mg/m³；双面各覆盖一层厚度5mm的聚氨酯泡沫填充物，外包布艺面料，屏风厚度≥50mm。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2.面料：采用参照Gabriel、 Kvadart、Camira或同档次及以上品牌环保布饰面，耐干摩擦色牢度达到5级，耐磨性≥50000转。</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3.桌板：桌板尺寸1240*700*750；参照大亚、福人、露水河或同档次及以上品牌ENF级刨花板，甲醛释放量≤0.025mg/m³；采用双贴参照夏王、欧亚、夏特或同档次及以上品牌三聚氰胺浸渍面纸饰面材料；桌板厚度≥18m。</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4.功能：1个夹桌式电源，2个三孔兼用插座，2个USB。</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19C4">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4FB7">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AF05F">
            <w:pPr>
              <w:widowControl/>
              <w:jc w:val="center"/>
              <w:textAlignment w:val="center"/>
              <w:rPr>
                <w:color w:val="000000" w:themeColor="text1"/>
                <w:szCs w:val="21"/>
                <w:highlight w:val="none"/>
                <w14:textFill>
                  <w14:solidFill>
                    <w14:schemeClr w14:val="tx1"/>
                  </w14:solidFill>
                </w14:textFill>
              </w:rPr>
            </w:pPr>
          </w:p>
          <w:p w14:paraId="2D691E2A">
            <w:pPr>
              <w:widowControl/>
              <w:jc w:val="center"/>
              <w:textAlignment w:val="center"/>
              <w:rPr>
                <w:color w:val="000000" w:themeColor="text1"/>
                <w:szCs w:val="21"/>
                <w:highlight w:val="none"/>
                <w14:textFill>
                  <w14:solidFill>
                    <w14:schemeClr w14:val="tx1"/>
                  </w14:solidFill>
                </w14:textFill>
              </w:rPr>
            </w:pPr>
            <w:r>
              <w:rPr>
                <w:highlight w:val="none"/>
              </w:rPr>
              <w:drawing>
                <wp:inline distT="0" distB="0" distL="114300" distR="114300">
                  <wp:extent cx="1089025" cy="1027430"/>
                  <wp:effectExtent l="0" t="0" r="3175" b="1270"/>
                  <wp:docPr id="1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0"/>
                          <pic:cNvPicPr>
                            <a:picLocks noChangeAspect="1"/>
                          </pic:cNvPicPr>
                        </pic:nvPicPr>
                        <pic:blipFill>
                          <a:blip r:embed="rId77"/>
                          <a:stretch>
                            <a:fillRect/>
                          </a:stretch>
                        </pic:blipFill>
                        <pic:spPr>
                          <a:xfrm>
                            <a:off x="0" y="0"/>
                            <a:ext cx="1089025" cy="1027430"/>
                          </a:xfrm>
                          <a:prstGeom prst="rect">
                            <a:avLst/>
                          </a:prstGeom>
                          <a:noFill/>
                          <a:ln>
                            <a:noFill/>
                          </a:ln>
                        </pic:spPr>
                      </pic:pic>
                    </a:graphicData>
                  </a:graphic>
                </wp:inline>
              </w:drawing>
            </w:r>
          </w:p>
        </w:tc>
      </w:tr>
      <w:tr w14:paraId="7E63AECF">
        <w:tblPrEx>
          <w:tblCellMar>
            <w:top w:w="0" w:type="dxa"/>
            <w:left w:w="108" w:type="dxa"/>
            <w:bottom w:w="0" w:type="dxa"/>
            <w:right w:w="108" w:type="dxa"/>
          </w:tblCellMar>
        </w:tblPrEx>
        <w:trPr>
          <w:trHeight w:val="1656"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FBA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573F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bidi="ar"/>
                <w14:textFill>
                  <w14:solidFill>
                    <w14:schemeClr w14:val="tx1"/>
                  </w14:solidFill>
                </w14:textFill>
              </w:rPr>
              <w:t>活动椅</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AED5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740*710*900-998</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9AFD3A">
            <w:pPr>
              <w:widowControl/>
              <w:jc w:val="left"/>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1.椅背：连体造型尼龙背框，内侧三明治网布面料，镂空式软性内衬支撑设计；背框扶手颜色与椅脚同色（至少有6个颜色可选，投标标注具体颜色），固定扶手。</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 xml:space="preserve">2.椅座：座垫为一体成型定型泡棉，下配塑壳，干净美观；不使用曲木板，不使用胶水。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3.座垫布料：选用参照Gabriel、 Kvadart、Camira或同档次及以上环保布饰面，耐干摩擦色牢度达到5 级，耐磨性≥50000 转 。</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4.海绵：高回弹软质聚氨酯泡沫塑料，座垫密度≥65kg/m</w:t>
            </w:r>
            <w:r>
              <w:rPr>
                <w:rFonts w:hint="eastAsia" w:ascii="宋体" w:hAnsi="宋体" w:cs="宋体"/>
                <w:color w:val="000000" w:themeColor="text1"/>
                <w:kern w:val="0"/>
                <w:szCs w:val="21"/>
                <w:highlight w:val="none"/>
                <w:vertAlign w:val="superscript"/>
                <w:lang w:bidi="ar"/>
                <w14:textFill>
                  <w14:solidFill>
                    <w14:schemeClr w14:val="tx1"/>
                  </w14:solidFill>
                </w14:textFill>
              </w:rPr>
              <w:t>3</w:t>
            </w:r>
            <w:r>
              <w:rPr>
                <w:rFonts w:hint="eastAsia" w:ascii="宋体" w:hAnsi="宋体" w:cs="宋体"/>
                <w:color w:val="000000" w:themeColor="text1"/>
                <w:kern w:val="0"/>
                <w:szCs w:val="21"/>
                <w:highlight w:val="none"/>
                <w:lang w:bidi="ar"/>
                <w14:textFill>
                  <w14:solidFill>
                    <w14:schemeClr w14:val="tx1"/>
                  </w14:solidFill>
                </w14:textFill>
              </w:rPr>
              <w:t>，回弹率≥40%。</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5.底盘：精简式调节底盘，线控操作，可调节座椅高度，原位状态可锁定，可解锁倾仰，亦有前倾功能。</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6.气压棒：参照“SAMHONGSA”、 WDF、KGS或同档次及以上品牌安全四级气棒。</w:t>
            </w:r>
            <w:r>
              <w:rPr>
                <w:rFonts w:hint="eastAsia" w:ascii="宋体" w:hAnsi="宋体" w:cs="宋体"/>
                <w:color w:val="000000" w:themeColor="text1"/>
                <w:kern w:val="0"/>
                <w:szCs w:val="21"/>
                <w:highlight w:val="none"/>
                <w:lang w:bidi="ar"/>
                <w14:textFill>
                  <w14:solidFill>
                    <w14:schemeClr w14:val="tx1"/>
                  </w14:solidFill>
                </w14:textFill>
              </w:rPr>
              <w:br w:type="textWrapping"/>
            </w:r>
            <w:r>
              <w:rPr>
                <w:rFonts w:hint="eastAsia" w:ascii="宋体" w:hAnsi="宋体" w:cs="宋体"/>
                <w:color w:val="000000" w:themeColor="text1"/>
                <w:kern w:val="0"/>
                <w:szCs w:val="21"/>
                <w:highlight w:val="none"/>
                <w:lang w:bidi="ar"/>
                <w14:textFill>
                  <w14:solidFill>
                    <w14:schemeClr w14:val="tx1"/>
                  </w14:solidFill>
                </w14:textFill>
              </w:rPr>
              <w:t>7.椅脚：直径≥650mm聚酰胺添加玻璃纤维涂装五星脚架，高强度塑胶耐磨椅轮。</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3F4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2066">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张</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AC92">
            <w:pPr>
              <w:widowControl/>
              <w:jc w:val="center"/>
              <w:textAlignment w:val="center"/>
              <w:rPr>
                <w:rFonts w:ascii="宋体" w:hAnsi="宋体" w:cs="宋体"/>
                <w:color w:val="000000" w:themeColor="text1"/>
                <w:szCs w:val="21"/>
                <w:highlight w:val="none"/>
                <w14:textFill>
                  <w14:solidFill>
                    <w14:schemeClr w14:val="tx1"/>
                  </w14:solidFill>
                </w14:textFill>
              </w:rPr>
            </w:pPr>
            <w:r>
              <w:rPr>
                <w:highlight w:val="none"/>
              </w:rPr>
              <w:drawing>
                <wp:inline distT="0" distB="0" distL="114300" distR="114300">
                  <wp:extent cx="1088390" cy="1459230"/>
                  <wp:effectExtent l="0" t="0" r="3810" b="1270"/>
                  <wp:docPr id="1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1"/>
                          <pic:cNvPicPr>
                            <a:picLocks noChangeAspect="1"/>
                          </pic:cNvPicPr>
                        </pic:nvPicPr>
                        <pic:blipFill>
                          <a:blip r:embed="rId78"/>
                          <a:stretch>
                            <a:fillRect/>
                          </a:stretch>
                        </pic:blipFill>
                        <pic:spPr>
                          <a:xfrm>
                            <a:off x="0" y="0"/>
                            <a:ext cx="1088390" cy="1459230"/>
                          </a:xfrm>
                          <a:prstGeom prst="rect">
                            <a:avLst/>
                          </a:prstGeom>
                          <a:noFill/>
                          <a:ln>
                            <a:noFill/>
                          </a:ln>
                        </pic:spPr>
                      </pic:pic>
                    </a:graphicData>
                  </a:graphic>
                </wp:inline>
              </w:drawing>
            </w:r>
          </w:p>
        </w:tc>
      </w:tr>
      <w:tr w14:paraId="66A43E1B">
        <w:tblPrEx>
          <w:tblCellMar>
            <w:top w:w="0" w:type="dxa"/>
            <w:left w:w="108" w:type="dxa"/>
            <w:bottom w:w="0" w:type="dxa"/>
            <w:right w:w="108" w:type="dxa"/>
          </w:tblCellMar>
        </w:tblPrEx>
        <w:trPr>
          <w:trHeight w:val="338"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DB316">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E98A">
            <w:pPr>
              <w:widowControl/>
              <w:jc w:val="center"/>
              <w:textAlignment w:val="center"/>
              <w:rPr>
                <w:rFonts w:asciiTheme="minorEastAsia" w:hAnsiTheme="minorEastAsia" w:eastAsiaTheme="minorEastAsia" w:cstheme="minorEastAsia"/>
                <w:kern w:val="0"/>
                <w:szCs w:val="21"/>
                <w:highlight w:val="none"/>
                <w:lang w:bidi="ar"/>
              </w:rPr>
            </w:pPr>
            <w:r>
              <w:rPr>
                <w:rFonts w:hint="eastAsia" w:asciiTheme="minorEastAsia" w:hAnsiTheme="minorEastAsia" w:eastAsiaTheme="minorEastAsia" w:cstheme="minorEastAsia"/>
                <w:kern w:val="0"/>
                <w:szCs w:val="21"/>
                <w:highlight w:val="none"/>
                <w:lang w:bidi="ar"/>
              </w:rPr>
              <w:t>密集书架</w:t>
            </w:r>
          </w:p>
          <w:p w14:paraId="301173A4">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Theme="minorEastAsia" w:hAnsiTheme="minorEastAsia" w:eastAsiaTheme="minorEastAsia" w:cstheme="minorEastAsia"/>
                <w:kern w:val="0"/>
                <w:szCs w:val="21"/>
                <w:highlight w:val="none"/>
                <w:lang w:bidi="ar"/>
              </w:rPr>
              <w:t>（手动）</w:t>
            </w:r>
          </w:p>
        </w:tc>
        <w:tc>
          <w:tcPr>
            <w:tcW w:w="43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FDF39">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950*580*2500</w:t>
            </w:r>
            <w:r>
              <w:rPr>
                <w:rFonts w:hint="eastAsia" w:ascii="宋体" w:hAnsi="宋体"/>
                <w:color w:val="000000" w:themeColor="text1"/>
                <w:szCs w:val="21"/>
                <w:highlight w:val="none"/>
                <w14:textFill>
                  <w14:solidFill>
                    <w14:schemeClr w14:val="tx1"/>
                  </w14:solidFill>
                </w14:textFill>
              </w:rPr>
              <w:t>mm</w:t>
            </w:r>
          </w:p>
        </w:tc>
        <w:tc>
          <w:tcPr>
            <w:tcW w:w="25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1106B">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1.钢板：所有钢板均选用参照“宝钢”、“首钢”、“鞍钢”或同档次及以上品牌优质冷轧钢板。</w:t>
            </w:r>
          </w:p>
          <w:p w14:paraId="4D5854F8">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底盘：（1）钢板厚度≥3.0mm；（2）分段组合焊接式，压制成槽型，高度120mm，并双弯边加强；（3）每个底盘两端封头横梁与纵梁接，在直角处上、下两平面均焊接三角形加强板；（4）底盘经磷化喷塑处理，颜色与架体一致。</w:t>
            </w:r>
          </w:p>
          <w:p w14:paraId="3E72A0F8">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3.立柱：（1）立柱钢板厚度≥1.5mm；（2）立柱采用一体成型工艺，设计为半敞开式，利于立柱表面喷涂全部到位；侧面设有双排立柱调节孔，孔中心距≥50mm；（3）立柱成型尺寸≥50mmx40mm。</w:t>
            </w:r>
          </w:p>
          <w:p w14:paraId="7F15462E">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4.搁板：（1）钢板厚度≥1.0mm；（2）每层搁板要求双块拼合，能自由拆御，高度可调整，采用六折折弯边工艺，搁板表面光滑流畅无冲压步冲印痕；（3）每块/层搁板承重：单面≥60kg，双面≥120kg，最大挠度≤2mm，24h卸载后，搁板无裂纹，无永久变形。</w:t>
            </w:r>
          </w:p>
          <w:p w14:paraId="469A11EA">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5.隔档：（1）钢板厚度≥1.0mm；（2）每层两块搁板中间装一个个性化书挡条，长度以书架间距为准。</w:t>
            </w:r>
          </w:p>
          <w:p w14:paraId="31C446CD">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挂板：钢板厚度≥1.2mm，挂板成型高≥125mm，两端四挂钩结构设计，挂板中间档棒孔为方孔内梯形结构，档棒插入方孔后可挂扣在梯形上，可防止档棒两端滑落；中间腰形拉伸翻边模成形两个台阶加强孔，孔上下位置设有四根圆筋，挂板上下端直角折弯，并冲有四个凸槽，使搁板嵌置于弯边凸肩上，承重性好，外观新颖，可防止搁板前后窜动，通用性互换性好，搁板与立柱侧面间隙更小、更美观；挂板与立柱之间连接方式采用四挂钩扣接，组装后，挂板表面不超出立柱侧表面；四挂钩挂板强度高，承重性能更优越，挂板与立柱对接处更牢固。</w:t>
            </w:r>
          </w:p>
          <w:p w14:paraId="42EA44F8">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7.顶板：（1）钢板厚度≥1.0mm;（2）顶板折弯成长方体，校正立柱成立方体框架，通过螺丝将立柱和顶板连接起来，使框架定型。</w:t>
            </w:r>
          </w:p>
          <w:p w14:paraId="2BAF3573">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8.按国家标准，在全负载的情况下，承受X、Y轴向的水平拉力，拉力≥120N，架体不翻倒，架体倾斜量均不得大于架体总高的1%，各部件应无塑性变形或其他异常现象；</w:t>
            </w:r>
          </w:p>
          <w:p w14:paraId="55F4110B">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9.零部件及组合件：（1）组合件表面光滑、平整，无尖角、凸起；（2）色泽一致，漆面均匀，无划痕；（3）书架整体不允许有锣栓露在表面；4）产品各零部件及组合件之间必须互换性好，且安装方便。</w:t>
            </w:r>
          </w:p>
          <w:p w14:paraId="6F26F011">
            <w:pPr>
              <w:widowControl/>
              <w:numPr>
                <w:ilvl w:val="255"/>
                <w:numId w:val="0"/>
              </w:numPr>
              <w:jc w:val="left"/>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10.表面处理：（1）采用环保工艺，静电亚光喷塑；（2）表面处理工艺，采用乳化剂和碱性助洗脱脂、磷酸除锈锌系薄膜型磷化、钝化、最后粉末喷涂；架体内壁的处理方法和外表面的处理方法相同；（3）表面处理工艺过程，热水脱脂--水洗--除锈--二合一处理--水洗--磷化--热水洗--钝化--清洗--喷粉--固化；（4）表面理化性能，金属喷塑涂层：硬度为不低于H，冲击强度于冲击高度40cm，无剥落、裂纹、皱纹;附着力不低于2级；（5）粉末要求，不含三酸异氰肝油脂（TGIC）的环氧树脂和聚脂树脂之混合型热固性粉末。</w:t>
            </w:r>
          </w:p>
          <w:p w14:paraId="0E908D1B">
            <w:pPr>
              <w:widowControl/>
              <w:jc w:val="left"/>
              <w:textAlignment w:val="center"/>
              <w:rPr>
                <w:rFonts w:ascii="微软雅黑" w:hAnsi="微软雅黑" w:eastAsia="微软雅黑" w:cs="微软雅黑"/>
                <w:color w:val="000000"/>
                <w:szCs w:val="21"/>
                <w:highlight w:val="none"/>
              </w:rPr>
            </w:pPr>
            <w:r>
              <w:rPr>
                <w:rFonts w:hint="eastAsia" w:ascii="宋体" w:hAnsi="宋体" w:cs="宋体"/>
                <w:color w:val="000000" w:themeColor="text1"/>
                <w:kern w:val="0"/>
                <w:szCs w:val="21"/>
                <w:highlight w:val="none"/>
                <w:lang w:bidi="ar"/>
                <w14:textFill>
                  <w14:solidFill>
                    <w14:schemeClr w14:val="tx1"/>
                  </w14:solidFill>
                </w14:textFill>
              </w:rPr>
              <w:t>11.焊接：焊接部件连接牢固，焊点光滑平整。</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5D04">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238</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8A095">
            <w:pPr>
              <w:widowControl/>
              <w:jc w:val="center"/>
              <w:textAlignment w:val="center"/>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立方米</w:t>
            </w:r>
          </w:p>
        </w:tc>
        <w:tc>
          <w:tcPr>
            <w:tcW w:w="6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83A8">
            <w:pPr>
              <w:widowControl/>
              <w:jc w:val="center"/>
              <w:textAlignment w:val="center"/>
              <w:rPr>
                <w:color w:val="000000" w:themeColor="text1"/>
                <w:szCs w:val="21"/>
                <w:highlight w:val="none"/>
                <w14:textFill>
                  <w14:solidFill>
                    <w14:schemeClr w14:val="tx1"/>
                  </w14:solidFill>
                </w14:textFill>
              </w:rPr>
            </w:pPr>
            <w:r>
              <w:rPr>
                <w:highlight w:val="none"/>
              </w:rPr>
              <w:drawing>
                <wp:inline distT="0" distB="0" distL="114300" distR="114300">
                  <wp:extent cx="1421765" cy="1142365"/>
                  <wp:effectExtent l="0" t="0" r="635" b="0"/>
                  <wp:docPr id="1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
                          <pic:cNvPicPr>
                            <a:picLocks noChangeAspect="1"/>
                          </pic:cNvPicPr>
                        </pic:nvPicPr>
                        <pic:blipFill>
                          <a:blip r:embed="rId79"/>
                          <a:stretch>
                            <a:fillRect/>
                          </a:stretch>
                        </pic:blipFill>
                        <pic:spPr>
                          <a:xfrm>
                            <a:off x="0" y="0"/>
                            <a:ext cx="1421765" cy="1142365"/>
                          </a:xfrm>
                          <a:prstGeom prst="rect">
                            <a:avLst/>
                          </a:prstGeom>
                          <a:noFill/>
                          <a:ln>
                            <a:noFill/>
                          </a:ln>
                        </pic:spPr>
                      </pic:pic>
                    </a:graphicData>
                  </a:graphic>
                </wp:inline>
              </w:drawing>
            </w:r>
          </w:p>
        </w:tc>
      </w:tr>
    </w:tbl>
    <w:p w14:paraId="120E81D9">
      <w:pPr>
        <w:rPr>
          <w:highlight w:val="none"/>
        </w:rPr>
      </w:pPr>
    </w:p>
    <w:p w14:paraId="073F6063">
      <w:pPr>
        <w:pStyle w:val="4"/>
        <w:rPr>
          <w:highlight w:val="none"/>
          <w:lang w:val="en-US"/>
        </w:rPr>
        <w:sectPr>
          <w:pgSz w:w="16838" w:h="11906" w:orient="landscape"/>
          <w:pgMar w:top="1080" w:right="1440" w:bottom="1080" w:left="1440" w:header="851" w:footer="851" w:gutter="0"/>
          <w:cols w:space="720" w:num="1"/>
          <w:docGrid w:linePitch="312" w:charSpace="0"/>
        </w:sectPr>
      </w:pPr>
    </w:p>
    <w:p w14:paraId="31E20190">
      <w:pPr>
        <w:pStyle w:val="4"/>
        <w:rPr>
          <w:rFonts w:cs="宋体"/>
          <w:highlight w:val="none"/>
          <w:lang w:val="en-US"/>
        </w:rPr>
      </w:pPr>
      <w:r>
        <w:rPr>
          <w:rFonts w:hint="eastAsia" w:cs="宋体"/>
          <w:highlight w:val="none"/>
          <w:lang w:val="en-US"/>
        </w:rPr>
        <w:t>二、样品要求</w:t>
      </w:r>
    </w:p>
    <w:p w14:paraId="32822C84">
      <w:pPr>
        <w:pStyle w:val="2"/>
        <w:snapToGrid w:val="0"/>
        <w:spacing w:line="360" w:lineRule="auto"/>
        <w:rPr>
          <w:rFonts w:cs="宋体"/>
          <w:highlight w:val="none"/>
        </w:rPr>
      </w:pPr>
      <w:r>
        <w:rPr>
          <w:rFonts w:hint="eastAsia" w:cs="宋体"/>
          <w:highlight w:val="none"/>
        </w:rPr>
        <w:t>1.样品清单</w:t>
      </w:r>
    </w:p>
    <w:tbl>
      <w:tblPr>
        <w:tblStyle w:val="64"/>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2056"/>
        <w:gridCol w:w="3232"/>
        <w:gridCol w:w="1192"/>
        <w:gridCol w:w="2368"/>
      </w:tblGrid>
      <w:tr w14:paraId="54D2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44" w:type="pct"/>
            <w:shd w:val="clear" w:color="auto" w:fill="auto"/>
            <w:vAlign w:val="center"/>
          </w:tcPr>
          <w:p w14:paraId="05273E22">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序号/产品编号</w:t>
            </w:r>
          </w:p>
        </w:tc>
        <w:tc>
          <w:tcPr>
            <w:tcW w:w="1035" w:type="pct"/>
            <w:shd w:val="clear" w:color="auto" w:fill="auto"/>
            <w:vAlign w:val="center"/>
          </w:tcPr>
          <w:p w14:paraId="46019B4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样品名称</w:t>
            </w:r>
          </w:p>
        </w:tc>
        <w:tc>
          <w:tcPr>
            <w:tcW w:w="1627" w:type="pct"/>
            <w:shd w:val="clear" w:color="auto" w:fill="auto"/>
            <w:vAlign w:val="center"/>
          </w:tcPr>
          <w:p w14:paraId="5C0775A1">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规格</w:t>
            </w:r>
          </w:p>
        </w:tc>
        <w:tc>
          <w:tcPr>
            <w:tcW w:w="600" w:type="pct"/>
            <w:shd w:val="clear" w:color="auto" w:fill="auto"/>
            <w:vAlign w:val="center"/>
          </w:tcPr>
          <w:p w14:paraId="3E6C621D">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tc>
        <w:tc>
          <w:tcPr>
            <w:tcW w:w="1192" w:type="pct"/>
            <w:shd w:val="clear" w:color="auto" w:fill="auto"/>
            <w:vAlign w:val="center"/>
          </w:tcPr>
          <w:p w14:paraId="368BC9F3">
            <w:pPr>
              <w:widowControl/>
              <w:jc w:val="center"/>
              <w:textAlignment w:val="center"/>
              <w:rPr>
                <w:rFonts w:ascii="宋体" w:hAnsi="宋体" w:cs="宋体"/>
                <w:szCs w:val="21"/>
                <w:highlight w:val="none"/>
              </w:rPr>
            </w:pPr>
            <w:r>
              <w:rPr>
                <w:rFonts w:hint="eastAsia" w:ascii="宋体" w:hAnsi="宋体" w:cs="宋体"/>
                <w:kern w:val="0"/>
                <w:szCs w:val="21"/>
                <w:highlight w:val="none"/>
              </w:rPr>
              <w:t>材质要求</w:t>
            </w:r>
          </w:p>
        </w:tc>
      </w:tr>
      <w:tr w14:paraId="7AA9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44" w:type="pct"/>
            <w:shd w:val="clear" w:color="auto" w:fill="auto"/>
            <w:vAlign w:val="center"/>
          </w:tcPr>
          <w:p w14:paraId="7C000DF2">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1（1）</w:t>
            </w:r>
          </w:p>
        </w:tc>
        <w:tc>
          <w:tcPr>
            <w:tcW w:w="1035" w:type="pct"/>
            <w:shd w:val="clear" w:color="auto" w:fill="auto"/>
            <w:vAlign w:val="center"/>
          </w:tcPr>
          <w:p w14:paraId="0D60301D">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Cs w:val="21"/>
                <w:highlight w:val="none"/>
                <w14:textFill>
                  <w14:solidFill>
                    <w14:schemeClr w14:val="tx1"/>
                  </w14:solidFill>
                </w14:textFill>
              </w:rPr>
              <w:t>视听椅（带书写板）</w:t>
            </w:r>
          </w:p>
        </w:tc>
        <w:tc>
          <w:tcPr>
            <w:tcW w:w="1627" w:type="pct"/>
            <w:shd w:val="clear" w:color="auto" w:fill="auto"/>
            <w:vAlign w:val="center"/>
          </w:tcPr>
          <w:p w14:paraId="5B39D4BF">
            <w:pPr>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扶手中心距离：560mm；椅座高度：440±10mm</w:t>
            </w:r>
          </w:p>
        </w:tc>
        <w:tc>
          <w:tcPr>
            <w:tcW w:w="600" w:type="pct"/>
            <w:shd w:val="clear" w:color="auto" w:fill="auto"/>
            <w:vAlign w:val="center"/>
          </w:tcPr>
          <w:p w14:paraId="7FDC8ED8">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1张</w:t>
            </w:r>
          </w:p>
        </w:tc>
        <w:tc>
          <w:tcPr>
            <w:tcW w:w="1192" w:type="pct"/>
            <w:vMerge w:val="restart"/>
            <w:shd w:val="clear" w:color="auto" w:fill="auto"/>
            <w:vAlign w:val="center"/>
          </w:tcPr>
          <w:p w14:paraId="3C5B0614">
            <w:pPr>
              <w:widowControl/>
              <w:jc w:val="center"/>
              <w:textAlignment w:val="top"/>
              <w:rPr>
                <w:highlight w:val="none"/>
              </w:rPr>
            </w:pPr>
            <w:r>
              <w:rPr>
                <w:rFonts w:hint="eastAsia" w:ascii="宋体" w:hAnsi="宋体" w:cs="宋体"/>
                <w:szCs w:val="21"/>
                <w:highlight w:val="none"/>
              </w:rPr>
              <w:t>按“</w:t>
            </w:r>
            <w:r>
              <w:rPr>
                <w:rFonts w:hint="eastAsia" w:ascii="宋体" w:hAnsi="宋体" w:cs="宋体"/>
                <w:szCs w:val="36"/>
                <w:highlight w:val="none"/>
              </w:rPr>
              <w:t>第三部分</w:t>
            </w:r>
            <w:r>
              <w:rPr>
                <w:rFonts w:hint="eastAsia" w:ascii="宋体" w:hAnsi="宋体" w:cs="宋体"/>
                <w:highlight w:val="none"/>
              </w:rPr>
              <w:t xml:space="preserve"> 采购需</w:t>
            </w:r>
            <w:r>
              <w:rPr>
                <w:rFonts w:hint="eastAsia" w:ascii="宋体" w:hAnsi="宋体" w:cs="宋体"/>
                <w:szCs w:val="36"/>
                <w:highlight w:val="none"/>
              </w:rPr>
              <w:t>求：一、技术性能要求”要求</w:t>
            </w:r>
          </w:p>
        </w:tc>
      </w:tr>
      <w:tr w14:paraId="03FC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44" w:type="pct"/>
            <w:shd w:val="clear" w:color="auto" w:fill="auto"/>
            <w:vAlign w:val="center"/>
          </w:tcPr>
          <w:p w14:paraId="5B3F7CF3">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2（20）</w:t>
            </w:r>
          </w:p>
        </w:tc>
        <w:tc>
          <w:tcPr>
            <w:tcW w:w="1035" w:type="pct"/>
            <w:shd w:val="clear" w:color="auto" w:fill="auto"/>
            <w:vAlign w:val="center"/>
          </w:tcPr>
          <w:p w14:paraId="2A544B32">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半私密个人学习位</w:t>
            </w:r>
          </w:p>
        </w:tc>
        <w:tc>
          <w:tcPr>
            <w:tcW w:w="1627" w:type="pct"/>
            <w:shd w:val="clear" w:color="auto" w:fill="auto"/>
            <w:vAlign w:val="center"/>
          </w:tcPr>
          <w:p w14:paraId="75D2ED27">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主体尺寸：1090*915*1220</w:t>
            </w:r>
            <w:r>
              <w:rPr>
                <w:rFonts w:hint="eastAsia" w:ascii="宋体" w:hAnsi="宋体"/>
                <w:color w:val="000000" w:themeColor="text1"/>
                <w:szCs w:val="21"/>
                <w:highlight w:val="none"/>
                <w14:textFill>
                  <w14:solidFill>
                    <w14:schemeClr w14:val="tx1"/>
                  </w14:solidFill>
                </w14:textFill>
              </w:rPr>
              <w:t>mm</w:t>
            </w:r>
            <w:r>
              <w:rPr>
                <w:rFonts w:hint="eastAsia" w:ascii="宋体" w:hAnsi="宋体" w:cs="宋体"/>
                <w:color w:val="000000" w:themeColor="text1"/>
                <w:kern w:val="0"/>
                <w:szCs w:val="21"/>
                <w:highlight w:val="none"/>
                <w14:textFill>
                  <w14:solidFill>
                    <w14:schemeClr w14:val="tx1"/>
                  </w14:solidFill>
                </w14:textFill>
              </w:rPr>
              <w:t>；</w:t>
            </w:r>
          </w:p>
          <w:p w14:paraId="613C2F81">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圆型脚蹬尺寸：直径460*240</w:t>
            </w:r>
            <w:r>
              <w:rPr>
                <w:rFonts w:hint="eastAsia" w:ascii="宋体" w:hAnsi="宋体"/>
                <w:color w:val="000000" w:themeColor="text1"/>
                <w:szCs w:val="21"/>
                <w:highlight w:val="none"/>
                <w14:textFill>
                  <w14:solidFill>
                    <w14:schemeClr w14:val="tx1"/>
                  </w14:solidFill>
                </w14:textFill>
              </w:rPr>
              <w:t>mm</w:t>
            </w:r>
          </w:p>
        </w:tc>
        <w:tc>
          <w:tcPr>
            <w:tcW w:w="600" w:type="pct"/>
            <w:shd w:val="clear" w:color="auto" w:fill="auto"/>
            <w:vAlign w:val="center"/>
          </w:tcPr>
          <w:p w14:paraId="1DD7E8F0">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1组</w:t>
            </w:r>
          </w:p>
        </w:tc>
        <w:tc>
          <w:tcPr>
            <w:tcW w:w="1192" w:type="pct"/>
            <w:vMerge w:val="continue"/>
            <w:shd w:val="clear" w:color="auto" w:fill="auto"/>
            <w:vAlign w:val="center"/>
          </w:tcPr>
          <w:p w14:paraId="4D7DE219">
            <w:pPr>
              <w:widowControl/>
              <w:jc w:val="center"/>
              <w:textAlignment w:val="top"/>
              <w:rPr>
                <w:highlight w:val="none"/>
              </w:rPr>
            </w:pPr>
          </w:p>
        </w:tc>
      </w:tr>
      <w:tr w14:paraId="30BB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44" w:type="pct"/>
            <w:shd w:val="clear" w:color="auto" w:fill="auto"/>
            <w:vAlign w:val="center"/>
          </w:tcPr>
          <w:p w14:paraId="65056092">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3（30）</w:t>
            </w:r>
          </w:p>
        </w:tc>
        <w:tc>
          <w:tcPr>
            <w:tcW w:w="1035" w:type="pct"/>
            <w:shd w:val="clear" w:color="auto" w:fill="auto"/>
            <w:vAlign w:val="center"/>
          </w:tcPr>
          <w:p w14:paraId="72A395C5">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多功能活动弧形屏风</w:t>
            </w:r>
          </w:p>
        </w:tc>
        <w:tc>
          <w:tcPr>
            <w:tcW w:w="1627" w:type="pct"/>
            <w:shd w:val="clear" w:color="auto" w:fill="auto"/>
            <w:vAlign w:val="center"/>
          </w:tcPr>
          <w:p w14:paraId="64C09721">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1894*682*1997</w:t>
            </w:r>
            <w:r>
              <w:rPr>
                <w:rFonts w:hint="eastAsia" w:ascii="宋体" w:hAnsi="宋体"/>
                <w:color w:val="000000" w:themeColor="text1"/>
                <w:szCs w:val="21"/>
                <w:highlight w:val="none"/>
                <w14:textFill>
                  <w14:solidFill>
                    <w14:schemeClr w14:val="tx1"/>
                  </w14:solidFill>
                </w14:textFill>
              </w:rPr>
              <w:t>mm</w:t>
            </w:r>
          </w:p>
        </w:tc>
        <w:tc>
          <w:tcPr>
            <w:tcW w:w="600" w:type="pct"/>
            <w:shd w:val="clear" w:color="auto" w:fill="auto"/>
            <w:vAlign w:val="center"/>
          </w:tcPr>
          <w:p w14:paraId="7011B0EF">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1张</w:t>
            </w:r>
          </w:p>
        </w:tc>
        <w:tc>
          <w:tcPr>
            <w:tcW w:w="1192" w:type="pct"/>
            <w:vMerge w:val="continue"/>
            <w:shd w:val="clear" w:color="auto" w:fill="auto"/>
            <w:vAlign w:val="center"/>
          </w:tcPr>
          <w:p w14:paraId="7C6F9C05">
            <w:pPr>
              <w:widowControl/>
              <w:jc w:val="center"/>
              <w:textAlignment w:val="top"/>
              <w:rPr>
                <w:rFonts w:ascii="宋体" w:hAnsi="宋体" w:cs="宋体"/>
                <w:sz w:val="24"/>
                <w:highlight w:val="none"/>
              </w:rPr>
            </w:pPr>
          </w:p>
        </w:tc>
      </w:tr>
      <w:tr w14:paraId="3519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44" w:type="pct"/>
            <w:shd w:val="clear" w:color="auto" w:fill="auto"/>
            <w:vAlign w:val="center"/>
          </w:tcPr>
          <w:p w14:paraId="0F5D0F80">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4（39）</w:t>
            </w:r>
          </w:p>
        </w:tc>
        <w:tc>
          <w:tcPr>
            <w:tcW w:w="1035" w:type="pct"/>
            <w:shd w:val="clear" w:color="auto" w:fill="auto"/>
            <w:vAlign w:val="center"/>
          </w:tcPr>
          <w:p w14:paraId="2C9E55DC">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多功能移动升降桌</w:t>
            </w:r>
          </w:p>
        </w:tc>
        <w:tc>
          <w:tcPr>
            <w:tcW w:w="1627" w:type="pct"/>
            <w:shd w:val="clear" w:color="auto" w:fill="auto"/>
            <w:vAlign w:val="center"/>
          </w:tcPr>
          <w:p w14:paraId="113844AA">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1200*600*（575-1237）</w:t>
            </w:r>
            <w:r>
              <w:rPr>
                <w:rFonts w:hint="eastAsia" w:ascii="宋体" w:hAnsi="宋体"/>
                <w:color w:val="000000" w:themeColor="text1"/>
                <w:szCs w:val="21"/>
                <w:highlight w:val="none"/>
                <w14:textFill>
                  <w14:solidFill>
                    <w14:schemeClr w14:val="tx1"/>
                  </w14:solidFill>
                </w14:textFill>
              </w:rPr>
              <w:t>mm</w:t>
            </w:r>
          </w:p>
        </w:tc>
        <w:tc>
          <w:tcPr>
            <w:tcW w:w="600" w:type="pct"/>
            <w:shd w:val="clear" w:color="auto" w:fill="auto"/>
            <w:vAlign w:val="center"/>
          </w:tcPr>
          <w:p w14:paraId="10D9537C">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1张</w:t>
            </w:r>
          </w:p>
        </w:tc>
        <w:tc>
          <w:tcPr>
            <w:tcW w:w="1192" w:type="pct"/>
            <w:vMerge w:val="continue"/>
            <w:shd w:val="clear" w:color="auto" w:fill="auto"/>
            <w:vAlign w:val="center"/>
          </w:tcPr>
          <w:p w14:paraId="3BCCDA97">
            <w:pPr>
              <w:widowControl/>
              <w:jc w:val="center"/>
              <w:textAlignment w:val="top"/>
              <w:rPr>
                <w:rFonts w:ascii="宋体" w:hAnsi="宋体" w:cs="宋体"/>
                <w:sz w:val="24"/>
                <w:highlight w:val="none"/>
              </w:rPr>
            </w:pPr>
          </w:p>
        </w:tc>
      </w:tr>
      <w:tr w14:paraId="4CC5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544" w:type="pct"/>
            <w:shd w:val="clear" w:color="auto" w:fill="auto"/>
            <w:vAlign w:val="center"/>
          </w:tcPr>
          <w:p w14:paraId="7DEF000A">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5（48）</w:t>
            </w:r>
          </w:p>
        </w:tc>
        <w:tc>
          <w:tcPr>
            <w:tcW w:w="1035" w:type="pct"/>
            <w:shd w:val="clear" w:color="auto" w:fill="auto"/>
            <w:vAlign w:val="center"/>
          </w:tcPr>
          <w:p w14:paraId="253A1365">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可折叠阅览椅</w:t>
            </w:r>
          </w:p>
        </w:tc>
        <w:tc>
          <w:tcPr>
            <w:tcW w:w="1627" w:type="pct"/>
            <w:shd w:val="clear" w:color="auto" w:fill="auto"/>
            <w:vAlign w:val="center"/>
          </w:tcPr>
          <w:p w14:paraId="3FA28DD5">
            <w:pPr>
              <w:widowControl/>
              <w:jc w:val="center"/>
              <w:textAlignment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670*580*850</w:t>
            </w:r>
            <w:r>
              <w:rPr>
                <w:rFonts w:hint="eastAsia" w:ascii="宋体" w:hAnsi="宋体"/>
                <w:color w:val="000000" w:themeColor="text1"/>
                <w:szCs w:val="21"/>
                <w:highlight w:val="none"/>
                <w14:textFill>
                  <w14:solidFill>
                    <w14:schemeClr w14:val="tx1"/>
                  </w14:solidFill>
                </w14:textFill>
              </w:rPr>
              <w:t>mm</w:t>
            </w:r>
          </w:p>
        </w:tc>
        <w:tc>
          <w:tcPr>
            <w:tcW w:w="600" w:type="pct"/>
            <w:shd w:val="clear" w:color="auto" w:fill="auto"/>
            <w:vAlign w:val="center"/>
          </w:tcPr>
          <w:p w14:paraId="258D0B95">
            <w:pPr>
              <w:widowControl/>
              <w:jc w:val="center"/>
              <w:textAlignment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1张</w:t>
            </w:r>
          </w:p>
        </w:tc>
        <w:tc>
          <w:tcPr>
            <w:tcW w:w="1192" w:type="pct"/>
            <w:vMerge w:val="continue"/>
            <w:shd w:val="clear" w:color="auto" w:fill="auto"/>
            <w:vAlign w:val="center"/>
          </w:tcPr>
          <w:p w14:paraId="18BC46D3">
            <w:pPr>
              <w:widowControl/>
              <w:jc w:val="center"/>
              <w:textAlignment w:val="top"/>
              <w:rPr>
                <w:rFonts w:ascii="宋体" w:hAnsi="宋体" w:cs="宋体"/>
                <w:sz w:val="24"/>
                <w:highlight w:val="none"/>
              </w:rPr>
            </w:pPr>
          </w:p>
        </w:tc>
      </w:tr>
    </w:tbl>
    <w:p w14:paraId="7B843068">
      <w:pPr>
        <w:snapToGrid w:val="0"/>
        <w:spacing w:line="360" w:lineRule="auto"/>
        <w:rPr>
          <w:rFonts w:ascii="宋体" w:hAnsi="宋体" w:cs="宋体"/>
          <w:sz w:val="24"/>
          <w:szCs w:val="32"/>
          <w:highlight w:val="none"/>
        </w:rPr>
      </w:pPr>
      <w:r>
        <w:rPr>
          <w:rFonts w:hint="eastAsia" w:ascii="宋体" w:hAnsi="宋体" w:cs="宋体"/>
          <w:sz w:val="24"/>
          <w:szCs w:val="32"/>
          <w:highlight w:val="none"/>
        </w:rPr>
        <w:t>注：样品中不得出现投标人的名称、商标。</w:t>
      </w:r>
    </w:p>
    <w:p w14:paraId="17EE75B6">
      <w:pPr>
        <w:snapToGrid w:val="0"/>
        <w:spacing w:line="360" w:lineRule="auto"/>
        <w:ind w:firstLine="480" w:firstLineChars="200"/>
        <w:rPr>
          <w:rFonts w:ascii="宋体" w:hAnsi="宋体" w:cs="宋体"/>
          <w:sz w:val="24"/>
          <w:szCs w:val="32"/>
          <w:highlight w:val="none"/>
        </w:rPr>
      </w:pPr>
      <w:r>
        <w:rPr>
          <w:rFonts w:hint="eastAsia" w:ascii="宋体" w:hAnsi="宋体" w:cs="宋体"/>
          <w:sz w:val="24"/>
          <w:szCs w:val="32"/>
          <w:highlight w:val="none"/>
        </w:rPr>
        <w:t>2.样品递交方式：供应商自行运送到指定的地点。</w:t>
      </w:r>
    </w:p>
    <w:p w14:paraId="6E14AD33">
      <w:pPr>
        <w:snapToGrid w:val="0"/>
        <w:spacing w:line="360" w:lineRule="auto"/>
        <w:ind w:firstLine="480" w:firstLineChars="200"/>
        <w:rPr>
          <w:rFonts w:ascii="宋体" w:hAnsi="宋体" w:cs="宋体"/>
          <w:sz w:val="24"/>
          <w:szCs w:val="32"/>
          <w:highlight w:val="none"/>
        </w:rPr>
      </w:pPr>
      <w:r>
        <w:rPr>
          <w:rFonts w:hint="eastAsia" w:ascii="宋体" w:hAnsi="宋体" w:cs="宋体"/>
          <w:sz w:val="24"/>
          <w:szCs w:val="32"/>
          <w:highlight w:val="none"/>
        </w:rPr>
        <w:t>3.样品递交时间：2025年08月04日13点30分00秒（北京时间）前。</w:t>
      </w:r>
    </w:p>
    <w:p w14:paraId="4994251E">
      <w:pPr>
        <w:snapToGrid w:val="0"/>
        <w:spacing w:line="360" w:lineRule="auto"/>
        <w:ind w:firstLine="480" w:firstLineChars="200"/>
        <w:rPr>
          <w:rFonts w:ascii="宋体" w:hAnsi="宋体" w:cs="宋体"/>
          <w:sz w:val="24"/>
          <w:szCs w:val="32"/>
          <w:highlight w:val="none"/>
        </w:rPr>
      </w:pPr>
      <w:r>
        <w:rPr>
          <w:rFonts w:hint="eastAsia" w:ascii="宋体" w:hAnsi="宋体" w:cs="宋体"/>
          <w:sz w:val="24"/>
          <w:szCs w:val="32"/>
          <w:highlight w:val="none"/>
        </w:rPr>
        <w:t>4.样品递交地点：杭州市西湖区天目山路东海宾馆，联系人：徐工17706633850。</w:t>
      </w:r>
    </w:p>
    <w:p w14:paraId="33A199A2">
      <w:pPr>
        <w:snapToGrid w:val="0"/>
        <w:spacing w:line="360" w:lineRule="auto"/>
        <w:ind w:firstLine="480" w:firstLineChars="200"/>
        <w:rPr>
          <w:rFonts w:ascii="宋体" w:hAnsi="宋体" w:cs="宋体"/>
          <w:sz w:val="24"/>
          <w:szCs w:val="32"/>
          <w:highlight w:val="none"/>
        </w:rPr>
      </w:pPr>
      <w:r>
        <w:rPr>
          <w:rFonts w:hint="eastAsia" w:ascii="宋体" w:hAnsi="宋体" w:cs="宋体"/>
          <w:sz w:val="24"/>
          <w:szCs w:val="32"/>
          <w:highlight w:val="none"/>
        </w:rPr>
        <w:t>5.未中标单位样品的退还处理方式：由未中标单位在开标结束后当天内自行撤回，采购人和代理机构不负责样品保管。逾期未取回的，采购人、代理机构不负保管义务；对于中标人提供的样品，采购人将进行保管、封存，并作为履约验收的参考。</w:t>
      </w:r>
    </w:p>
    <w:p w14:paraId="1961BEA4">
      <w:pPr>
        <w:snapToGrid w:val="0"/>
        <w:spacing w:line="360" w:lineRule="auto"/>
        <w:ind w:firstLine="480" w:firstLineChars="200"/>
        <w:rPr>
          <w:rFonts w:ascii="宋体" w:hAnsi="宋体" w:cs="宋体"/>
          <w:sz w:val="24"/>
          <w:szCs w:val="32"/>
          <w:highlight w:val="none"/>
        </w:rPr>
      </w:pPr>
      <w:r>
        <w:rPr>
          <w:rFonts w:hint="eastAsia" w:ascii="宋体" w:hAnsi="宋体" w:cs="宋体"/>
          <w:sz w:val="24"/>
          <w:szCs w:val="32"/>
          <w:highlight w:val="none"/>
        </w:rPr>
        <w:t>6.制作、运输、安装和保管样品所发生的一切费用由投标人自理，其中样品存放场地占用费</w:t>
      </w:r>
      <w:r>
        <w:rPr>
          <w:rFonts w:hint="eastAsia" w:ascii="宋体" w:hAnsi="宋体" w:cs="宋体"/>
          <w:sz w:val="24"/>
          <w:szCs w:val="32"/>
          <w:highlight w:val="none"/>
          <w:lang w:eastAsia="zh-CN"/>
        </w:rPr>
        <w:t>800元/间/半天（具体按实际场地使用情况进行结算）</w:t>
      </w:r>
      <w:r>
        <w:rPr>
          <w:rFonts w:hint="eastAsia" w:ascii="宋体" w:hAnsi="宋体" w:cs="宋体"/>
          <w:sz w:val="24"/>
          <w:szCs w:val="32"/>
          <w:highlight w:val="none"/>
        </w:rPr>
        <w:t>，由每个半天（以每日中午12：00为半天划分界限）内同时存放样品的供应商分摊，在取回样品时由代理公司代为收取。</w:t>
      </w:r>
    </w:p>
    <w:p w14:paraId="51963A3B">
      <w:pPr>
        <w:pStyle w:val="4"/>
        <w:rPr>
          <w:rFonts w:cs="宋体"/>
          <w:szCs w:val="24"/>
          <w:highlight w:val="none"/>
          <w:lang w:val="en-US"/>
        </w:rPr>
      </w:pPr>
      <w:r>
        <w:rPr>
          <w:rFonts w:hint="eastAsia" w:cs="宋体"/>
          <w:szCs w:val="24"/>
          <w:highlight w:val="none"/>
          <w:lang w:val="en-US"/>
        </w:rPr>
        <w:t>三</w:t>
      </w:r>
      <w:r>
        <w:rPr>
          <w:rFonts w:hint="eastAsia" w:cs="宋体"/>
          <w:szCs w:val="24"/>
          <w:highlight w:val="none"/>
        </w:rPr>
        <w:t>、空间设计要求</w:t>
      </w:r>
    </w:p>
    <w:p w14:paraId="1F6A8AC9">
      <w:pPr>
        <w:snapToGrid w:val="0"/>
        <w:spacing w:line="360" w:lineRule="auto"/>
        <w:ind w:firstLine="480" w:firstLineChars="200"/>
        <w:jc w:val="left"/>
        <w:rPr>
          <w:highlight w:val="none"/>
        </w:rPr>
      </w:pPr>
      <w:r>
        <w:rPr>
          <w:rFonts w:hint="eastAsia" w:ascii="宋体" w:hAnsi="宋体" w:cs="宋体"/>
          <w:sz w:val="24"/>
          <w:szCs w:val="32"/>
          <w:highlight w:val="none"/>
        </w:rPr>
        <w:t>图书馆作为师生学习和交流的重要场所之一，投标人需根据清单要求，提供以下3个楼层的平面布局图及各功能分区空间的立体效果图。要求家具组合科学合理，布局得当，颜色搭配须符合各区域功能特性，旨在为师生营造一个舒适宜人的图书馆环境。</w:t>
      </w:r>
    </w:p>
    <w:p w14:paraId="50EEBF55">
      <w:pPr>
        <w:snapToGrid w:val="0"/>
        <w:spacing w:line="360" w:lineRule="auto"/>
        <w:ind w:firstLine="420" w:firstLineChars="200"/>
        <w:jc w:val="left"/>
        <w:rPr>
          <w:highlight w:val="none"/>
        </w:rPr>
      </w:pPr>
    </w:p>
    <w:p w14:paraId="3E3776A1">
      <w:pPr>
        <w:snapToGrid w:val="0"/>
        <w:spacing w:line="360" w:lineRule="auto"/>
        <w:jc w:val="center"/>
        <w:rPr>
          <w:highlight w:val="none"/>
        </w:rPr>
      </w:pPr>
      <w:r>
        <w:rPr>
          <w:highlight w:val="none"/>
        </w:rPr>
        <w:drawing>
          <wp:inline distT="0" distB="0" distL="114300" distR="114300">
            <wp:extent cx="5442585" cy="4203700"/>
            <wp:effectExtent l="0" t="0" r="5715" b="0"/>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80"/>
                    <a:stretch>
                      <a:fillRect/>
                    </a:stretch>
                  </pic:blipFill>
                  <pic:spPr>
                    <a:xfrm>
                      <a:off x="0" y="0"/>
                      <a:ext cx="5442585" cy="4203700"/>
                    </a:xfrm>
                    <a:prstGeom prst="rect">
                      <a:avLst/>
                    </a:prstGeom>
                    <a:noFill/>
                    <a:ln>
                      <a:noFill/>
                    </a:ln>
                  </pic:spPr>
                </pic:pic>
              </a:graphicData>
            </a:graphic>
          </wp:inline>
        </w:drawing>
      </w:r>
    </w:p>
    <w:p w14:paraId="65E18137">
      <w:pPr>
        <w:snapToGrid w:val="0"/>
        <w:spacing w:line="360" w:lineRule="auto"/>
        <w:jc w:val="center"/>
        <w:rPr>
          <w:highlight w:val="none"/>
        </w:rPr>
      </w:pPr>
    </w:p>
    <w:p w14:paraId="227ECD8C">
      <w:pPr>
        <w:snapToGrid w:val="0"/>
        <w:spacing w:line="360" w:lineRule="auto"/>
        <w:jc w:val="center"/>
        <w:rPr>
          <w:highlight w:val="none"/>
        </w:rPr>
      </w:pPr>
      <w:r>
        <w:rPr>
          <w:highlight w:val="none"/>
        </w:rPr>
        <w:drawing>
          <wp:inline distT="0" distB="0" distL="114300" distR="114300">
            <wp:extent cx="5339715" cy="4226560"/>
            <wp:effectExtent l="0" t="0" r="6985" b="254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81"/>
                    <a:stretch>
                      <a:fillRect/>
                    </a:stretch>
                  </pic:blipFill>
                  <pic:spPr>
                    <a:xfrm>
                      <a:off x="0" y="0"/>
                      <a:ext cx="5339715" cy="4226560"/>
                    </a:xfrm>
                    <a:prstGeom prst="rect">
                      <a:avLst/>
                    </a:prstGeom>
                    <a:noFill/>
                    <a:ln>
                      <a:noFill/>
                    </a:ln>
                  </pic:spPr>
                </pic:pic>
              </a:graphicData>
            </a:graphic>
          </wp:inline>
        </w:drawing>
      </w:r>
    </w:p>
    <w:p w14:paraId="125D8122">
      <w:pPr>
        <w:snapToGrid w:val="0"/>
        <w:spacing w:line="360" w:lineRule="auto"/>
        <w:jc w:val="center"/>
        <w:rPr>
          <w:highlight w:val="none"/>
        </w:rPr>
      </w:pPr>
      <w:r>
        <w:rPr>
          <w:highlight w:val="none"/>
        </w:rPr>
        <w:drawing>
          <wp:inline distT="0" distB="0" distL="114300" distR="114300">
            <wp:extent cx="5678805" cy="4563110"/>
            <wp:effectExtent l="0" t="0" r="10795" b="889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82"/>
                    <a:stretch>
                      <a:fillRect/>
                    </a:stretch>
                  </pic:blipFill>
                  <pic:spPr>
                    <a:xfrm>
                      <a:off x="0" y="0"/>
                      <a:ext cx="5678805" cy="4563110"/>
                    </a:xfrm>
                    <a:prstGeom prst="rect">
                      <a:avLst/>
                    </a:prstGeom>
                    <a:noFill/>
                    <a:ln>
                      <a:noFill/>
                    </a:ln>
                  </pic:spPr>
                </pic:pic>
              </a:graphicData>
            </a:graphic>
          </wp:inline>
        </w:drawing>
      </w:r>
    </w:p>
    <w:p w14:paraId="5FF0E403">
      <w:pPr>
        <w:snapToGrid w:val="0"/>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注：以上图片仅供参考。</w:t>
      </w:r>
    </w:p>
    <w:p w14:paraId="7A0B8DA3">
      <w:pPr>
        <w:rPr>
          <w:highlight w:val="none"/>
        </w:rPr>
      </w:pPr>
    </w:p>
    <w:p w14:paraId="3A728E1C">
      <w:pPr>
        <w:pStyle w:val="4"/>
        <w:rPr>
          <w:highlight w:val="none"/>
        </w:rPr>
      </w:pPr>
      <w:r>
        <w:rPr>
          <w:rFonts w:hint="eastAsia"/>
          <w:highlight w:val="none"/>
          <w:lang w:val="en-US"/>
        </w:rPr>
        <w:t>四、</w:t>
      </w:r>
      <w:r>
        <w:rPr>
          <w:rFonts w:hint="eastAsia"/>
          <w:highlight w:val="none"/>
        </w:rPr>
        <w:t>商务需求</w:t>
      </w:r>
      <w:bookmarkEnd w:id="41"/>
    </w:p>
    <w:p w14:paraId="4EACE0AE">
      <w:pPr>
        <w:pStyle w:val="5"/>
        <w:rPr>
          <w:highlight w:val="none"/>
        </w:rPr>
      </w:pPr>
      <w:r>
        <w:rPr>
          <w:rFonts w:hint="eastAsia"/>
          <w:highlight w:val="none"/>
        </w:rPr>
        <w:t>（一）交货时间及地点</w:t>
      </w:r>
    </w:p>
    <w:p w14:paraId="36EECB5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1.交货时间及期限：</w:t>
      </w:r>
      <w:r>
        <w:rPr>
          <w:rFonts w:hint="eastAsia" w:ascii="宋体" w:hAnsi="宋体" w:cs="宋体"/>
          <w:b/>
          <w:sz w:val="24"/>
          <w:highlight w:val="none"/>
          <w:u w:val="single"/>
        </w:rPr>
        <w:t>合同签订后60天内完成全部供货并安装调试验收合格；</w:t>
      </w:r>
    </w:p>
    <w:p w14:paraId="3BB12FE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2.交货地点：采购人指定地点。</w:t>
      </w:r>
    </w:p>
    <w:p w14:paraId="6D018FF9">
      <w:pPr>
        <w:pStyle w:val="5"/>
        <w:rPr>
          <w:highlight w:val="none"/>
        </w:rPr>
      </w:pPr>
      <w:r>
        <w:rPr>
          <w:rFonts w:hint="eastAsia"/>
          <w:highlight w:val="none"/>
        </w:rPr>
        <w:t>（二）质保期</w:t>
      </w:r>
    </w:p>
    <w:p w14:paraId="07F610F2">
      <w:pPr>
        <w:snapToGrid w:val="0"/>
        <w:spacing w:line="360" w:lineRule="auto"/>
        <w:ind w:firstLine="480" w:firstLineChars="200"/>
        <w:rPr>
          <w:rFonts w:ascii="宋体" w:hAnsi="宋体" w:cs="宋体"/>
          <w:b/>
          <w:bCs/>
          <w:sz w:val="24"/>
          <w:highlight w:val="none"/>
        </w:rPr>
      </w:pPr>
      <w:r>
        <w:rPr>
          <w:rFonts w:hint="eastAsia" w:ascii="宋体" w:hAnsi="宋体" w:cs="宋体"/>
          <w:sz w:val="24"/>
          <w:highlight w:val="none"/>
        </w:rPr>
        <w:t>1.产品全部验收合格后（以技术验收合格签字为标准），中标人向采购人免费提供</w:t>
      </w:r>
      <w:r>
        <w:rPr>
          <w:rFonts w:hint="eastAsia" w:ascii="宋体" w:hAnsi="宋体" w:cs="宋体"/>
          <w:sz w:val="24"/>
          <w:highlight w:val="none"/>
          <w:u w:val="single"/>
        </w:rPr>
        <w:t xml:space="preserve"> 8 </w:t>
      </w:r>
      <w:r>
        <w:rPr>
          <w:rFonts w:hint="eastAsia" w:ascii="宋体" w:hAnsi="宋体" w:cs="宋体"/>
          <w:sz w:val="24"/>
          <w:highlight w:val="none"/>
        </w:rPr>
        <w:t>年以上质保期</w:t>
      </w:r>
      <w:r>
        <w:rPr>
          <w:rFonts w:hint="eastAsia" w:ascii="宋体" w:hAnsi="宋体" w:cs="宋体"/>
          <w:b/>
          <w:bCs/>
          <w:sz w:val="24"/>
          <w:highlight w:val="none"/>
        </w:rPr>
        <w:t>。</w:t>
      </w:r>
    </w:p>
    <w:p w14:paraId="2F6BEF0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2.质保期内，如因修理或更换部件（非人为因素出现故障）造成短期停用，则质保期相应顺延。如停用时间累计超过20天，则保期重新计算。 </w:t>
      </w:r>
    </w:p>
    <w:p w14:paraId="394DAA64">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3.质保期内，采购人无须自行付费，中标供应商负责修理和替换任何由于所投产品自身的质量问题造成的损坏及故障；</w:t>
      </w:r>
    </w:p>
    <w:p w14:paraId="0FAE5F2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4.质保期内，须指定一名技术工程师专门负责本项目的售后服务工作；如有更换，须采购人同意； </w:t>
      </w:r>
    </w:p>
    <w:p w14:paraId="589F5617">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5.中标供应商在质保期内安装（更换）的任何零配件，必须是货物制造商原产的或是经采购人认可的； </w:t>
      </w:r>
    </w:p>
    <w:p w14:paraId="4ABCC9D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6.所有的替代零配件必须是全新的，除非最终用户提供书面许可，否则不可使用此范围外的其他（非新的）配件； </w:t>
      </w:r>
    </w:p>
    <w:p w14:paraId="37B2B75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质保期结束前，须由中标供应商和采购人进行一次全面检查，任何缺陷必须由中标供应商负责修理，在修理之后，中标供应商应将缺陷原因、修理内容、完成修理及恢复正常的时间和日期等报告给采购人，报告一式两份。 </w:t>
      </w:r>
    </w:p>
    <w:p w14:paraId="07B64C61">
      <w:pPr>
        <w:snapToGrid w:val="0"/>
        <w:spacing w:line="360" w:lineRule="auto"/>
        <w:ind w:firstLine="480" w:firstLineChars="200"/>
        <w:rPr>
          <w:sz w:val="24"/>
          <w:highlight w:val="none"/>
        </w:rPr>
      </w:pPr>
      <w:r>
        <w:rPr>
          <w:rFonts w:hint="eastAsia" w:ascii="宋体" w:hAnsi="宋体" w:cs="宋体"/>
          <w:sz w:val="24"/>
          <w:highlight w:val="none"/>
        </w:rPr>
        <w:t>8.质保期内如发现掉漆、脱榫、坐垫凹陷、脱皮等重要质量问题，厂家须无条件更换。供应商必须对本项目所有产品实行终身维修，质保期后的维修酌情收费。</w:t>
      </w:r>
    </w:p>
    <w:p w14:paraId="7F6C56EC">
      <w:pPr>
        <w:pStyle w:val="5"/>
        <w:rPr>
          <w:highlight w:val="none"/>
        </w:rPr>
      </w:pPr>
      <w:r>
        <w:rPr>
          <w:rFonts w:hint="eastAsia"/>
          <w:highlight w:val="none"/>
        </w:rPr>
        <w:t>（三）验收要求</w:t>
      </w:r>
    </w:p>
    <w:p w14:paraId="2391AB14">
      <w:pPr>
        <w:snapToGrid w:val="0"/>
        <w:spacing w:line="360" w:lineRule="auto"/>
        <w:ind w:firstLine="480" w:firstLineChars="200"/>
        <w:rPr>
          <w:rFonts w:hAnsi="宋体" w:cs="宋体"/>
          <w:sz w:val="24"/>
          <w:highlight w:val="none"/>
        </w:rPr>
      </w:pPr>
      <w:r>
        <w:rPr>
          <w:rFonts w:hint="eastAsia" w:hAnsi="宋体" w:cs="宋体"/>
          <w:sz w:val="24"/>
          <w:highlight w:val="none"/>
        </w:rPr>
        <w:t>1.中标人须按国家有关规定及标准完成本次采购货物的供货、运输、检验等。如中标，中标人及制造商对中标产品使用的质量、安全性能与检测结果的可靠性负全部责任。采购人对中标人提交的货物依据招标文件上的技术规格要求和国家有关质量标准进行现场初步验收，外观、说明书符合招标文件技术要求的，给予签收，初步验收不合格的不予签收。货到后，中标人根据采购人指定的地点完成货物的安装，安装产生的所有费用由中标人负责。采购人组织第三方验收，验收产生的所有费用由中标人全部承担。</w:t>
      </w:r>
    </w:p>
    <w:p w14:paraId="6E3F27C9">
      <w:pPr>
        <w:snapToGrid w:val="0"/>
        <w:spacing w:line="360" w:lineRule="auto"/>
        <w:ind w:firstLine="480" w:firstLineChars="200"/>
        <w:rPr>
          <w:rFonts w:asciiTheme="minorEastAsia" w:hAnsiTheme="minorEastAsia" w:eastAsiaTheme="minorEastAsia" w:cstheme="minorEastAsia"/>
          <w:sz w:val="24"/>
          <w:highlight w:val="none"/>
        </w:rPr>
      </w:pPr>
      <w:r>
        <w:rPr>
          <w:rFonts w:hint="eastAsia" w:hAnsi="宋体" w:cs="宋体"/>
          <w:sz w:val="24"/>
          <w:highlight w:val="none"/>
        </w:rPr>
        <w:t>2.</w:t>
      </w:r>
      <w:r>
        <w:rPr>
          <w:rFonts w:hint="eastAsia" w:asciiTheme="minorEastAsia" w:hAnsiTheme="minorEastAsia" w:eastAsiaTheme="minorEastAsia" w:cstheme="minorEastAsia"/>
          <w:b/>
          <w:bCs/>
          <w:sz w:val="24"/>
          <w:highlight w:val="none"/>
        </w:rPr>
        <w:t>验收时提供以下原材料的检测报告：</w:t>
      </w:r>
    </w:p>
    <w:p w14:paraId="1601239A">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（1）刨花板：</w:t>
      </w:r>
      <w:r>
        <w:rPr>
          <w:rFonts w:hint="eastAsia" w:asciiTheme="minorEastAsia" w:hAnsiTheme="minorEastAsia" w:eastAsiaTheme="minorEastAsia" w:cstheme="minorEastAsia"/>
          <w:sz w:val="24"/>
          <w:highlight w:val="none"/>
        </w:rPr>
        <w:t>1）符合GB/T 4897-2015标准，静曲强度≥10Mpa，弹性模量≥2500Mpa，内胶合强度≥0.35Mpa，表面胶合强度≥0.8Mpa，2H吸水厚度膨胀率≤5%,板面握螺钉力≥900N、板边握螺钉力≥600N，板内密度偏差±10%；2）符合GB/T 39600-2021标准，甲醛释放量（ENF级）≤0.025mg/m³。</w:t>
      </w:r>
    </w:p>
    <w:p w14:paraId="7D9E5505">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（2）密度板：</w:t>
      </w:r>
      <w:r>
        <w:rPr>
          <w:rFonts w:hint="eastAsia" w:asciiTheme="minorEastAsia" w:hAnsiTheme="minorEastAsia" w:eastAsiaTheme="minorEastAsia" w:cstheme="minorEastAsia"/>
          <w:sz w:val="24"/>
          <w:highlight w:val="none"/>
        </w:rPr>
        <w:t>1）符合GB/T 11718-2021标准，密度符合0.65~0.80g/m³，板内密度偏差±10%，含水率3.0~13.0%；2）符合GB/T 39600-2021标准，甲醛释放量（ENF级）≤0.025mg/m³。</w:t>
      </w:r>
    </w:p>
    <w:p w14:paraId="7456570E">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（3）多层板：</w:t>
      </w:r>
      <w:r>
        <w:rPr>
          <w:rFonts w:hint="eastAsia" w:asciiTheme="minorEastAsia" w:hAnsiTheme="minorEastAsia" w:eastAsiaTheme="minorEastAsia" w:cstheme="minorEastAsia"/>
          <w:sz w:val="24"/>
          <w:highlight w:val="none"/>
        </w:rPr>
        <w:t>1）符合GB/T 9846-2015标准，静曲强度横纹≥20MPa、静曲强度顺纹≥40MPa、弹性模量横纹≥5000MPa、弹性模量顺纹≥5000MPa；2）符合GB/T 35601-2017标准，TVOC≤5ug/m³；3）符合GB/T 39600-2021标准，甲醛释放量（ENF级）≤0.025mg/m³。</w:t>
      </w:r>
    </w:p>
    <w:p w14:paraId="75CC8417">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（4）牛皮：</w:t>
      </w:r>
      <w:r>
        <w:rPr>
          <w:rFonts w:hint="eastAsia" w:asciiTheme="minorEastAsia" w:hAnsiTheme="minorEastAsia" w:eastAsiaTheme="minorEastAsia" w:cstheme="minorEastAsia"/>
          <w:sz w:val="24"/>
          <w:highlight w:val="none"/>
        </w:rPr>
        <w:t>符合GB/T 16799-2018标准；其中摩擦色牢度（干擦、湿擦、碱性汗液）达到5级，耐折牢度（50000次)无裂纹符合， 撕裂力≥20N，禁用偶氮染料含量≤30mg/kg，游离甲醛≤20mg/kg，挥发性有机化合物（VOC）≤10mg/kg，可萃取重金属铅≤5mg/kg，可萃取重金属镉≤5mg/kg。</w:t>
      </w:r>
    </w:p>
    <w:p w14:paraId="1B047FEA">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（5）布绒：</w:t>
      </w:r>
      <w:r>
        <w:rPr>
          <w:rFonts w:hint="eastAsia" w:asciiTheme="minorEastAsia" w:hAnsiTheme="minorEastAsia" w:eastAsiaTheme="minorEastAsia" w:cstheme="minorEastAsia"/>
          <w:sz w:val="24"/>
          <w:highlight w:val="none"/>
        </w:rPr>
        <w:t>1）符合GB/T 7573-2009标准，PH值在6-7之间；2）GB/T 3920-2008标准，耐干摩擦色牢度达到5级；3）符合GB/T 17592-2011标准，可分解致癌芳香胺染料禁用；4）符合GB/T 2912. 1-2009标准，甲醛含量≤20mg/kg。</w:t>
      </w:r>
    </w:p>
    <w:p w14:paraId="46E7ED48">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（6）胶粘剂：</w:t>
      </w:r>
      <w:r>
        <w:rPr>
          <w:rFonts w:hint="eastAsia" w:asciiTheme="minorEastAsia" w:hAnsiTheme="minorEastAsia" w:eastAsiaTheme="minorEastAsia" w:cstheme="minorEastAsia"/>
          <w:sz w:val="24"/>
          <w:highlight w:val="none"/>
        </w:rPr>
        <w:t>符合GB 18583-2008标准，游离甲醛（水基型胶粘剂）≤0.05g/kg，苯（水基型胶粘剂）≤0.02g/kg，甲苯+二甲苯（水基型胶粘剂）≤0.02g/kg，总挥发性有机物（水基型胶粘剂）≤100g/L。</w:t>
      </w:r>
    </w:p>
    <w:p w14:paraId="12656E37">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（7）泡绵：</w:t>
      </w:r>
      <w:r>
        <w:rPr>
          <w:rFonts w:hint="eastAsia" w:asciiTheme="minorEastAsia" w:hAnsiTheme="minorEastAsia" w:eastAsiaTheme="minorEastAsia" w:cstheme="minorEastAsia"/>
          <w:sz w:val="24"/>
          <w:highlight w:val="none"/>
        </w:rPr>
        <w:t>符合GB/T 10802-2023标准，表观密度偏差±3.0kg/m³，回弹率≥40%，75%压缩永久变形≤6%，65%/25%压陷比≥2，拉伸强度≥100kPa，断裂伸长率≥150%，撕裂强度≥3N/cm，干热老化后拉伸强度≥90kPa，干热老化后拉伸强度变化率≤±30%，湿热老化后拉伸强度≥90kPa，湿热老化后拉伸强度变化率≤±30%，灰分≤2%，甲醛散发≤10mg/kg。</w:t>
      </w:r>
    </w:p>
    <w:p w14:paraId="606C1C12">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（8）实木木皮：</w:t>
      </w:r>
      <w:r>
        <w:rPr>
          <w:rFonts w:hint="eastAsia" w:asciiTheme="minorEastAsia" w:hAnsiTheme="minorEastAsia" w:eastAsiaTheme="minorEastAsia" w:cstheme="minorEastAsia"/>
          <w:sz w:val="24"/>
          <w:highlight w:val="none"/>
        </w:rPr>
        <w:t>1）符合GB/T 3324-2017标准，木制件外观符合要求，2）符合GB 18580-2017标准，甲醛释放量≤0.010mg/m³。</w:t>
      </w:r>
    </w:p>
    <w:p w14:paraId="5854EF59">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（9）钢板：</w:t>
      </w:r>
      <w:r>
        <w:rPr>
          <w:rFonts w:hint="eastAsia" w:asciiTheme="minorEastAsia" w:hAnsiTheme="minorEastAsia" w:eastAsiaTheme="minorEastAsia" w:cstheme="minorEastAsia"/>
          <w:sz w:val="24"/>
          <w:highlight w:val="none"/>
        </w:rPr>
        <w:t>1）符合GB/T 3325-2017标准；重金属可溶性铅≤5mg/kg、可溶性镉≤5mg/kg、可溶性铬≤5mg/kg、可溶性汞≤5mg/kg；金属喷漆（塑）涂层硬度≥4H，冲击强度、耐腐蚀符合，附着力达到1级；2）符合QB/T 3827-1999、QB/T 3832-1999标准，乙酸盐雾试验100h达到10级。</w:t>
      </w:r>
    </w:p>
    <w:p w14:paraId="1A5B62E0">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（10）水性面漆：</w:t>
      </w:r>
      <w:r>
        <w:rPr>
          <w:rFonts w:hint="eastAsia" w:asciiTheme="minorEastAsia" w:hAnsiTheme="minorEastAsia" w:eastAsiaTheme="minorEastAsia" w:cstheme="minorEastAsia"/>
          <w:sz w:val="24"/>
          <w:highlight w:val="none"/>
        </w:rPr>
        <w:t>符合GB 18581-2020；其中甲醛含量≤5mg/kg，VOC含量涂料/（g/L）≤2g/L，乙二醇醚及醚酯总和含量≤50mg/kg，苯系物总和含量≤50mg/kg。</w:t>
      </w:r>
    </w:p>
    <w:p w14:paraId="02E2F3B5">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（11）铝制型材：</w:t>
      </w:r>
      <w:r>
        <w:rPr>
          <w:rFonts w:hint="eastAsia" w:asciiTheme="minorEastAsia" w:hAnsiTheme="minorEastAsia" w:eastAsiaTheme="minorEastAsia" w:cstheme="minorEastAsia"/>
          <w:sz w:val="24"/>
          <w:highlight w:val="none"/>
        </w:rPr>
        <w:t>1）符合GB/T 3325-2017标准，其中抗盐雾测试18h，直径1.5mm 以下锈点≤20点/dm2，其中直径≥1.0mm 锈点不超过5点；2）符合QB/T 3827-1999、QB/T 3832-1999标准，乙酸盐雾试验100h达到10级。</w:t>
      </w:r>
    </w:p>
    <w:p w14:paraId="798EA184">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（12）封边条：</w:t>
      </w:r>
      <w:r>
        <w:rPr>
          <w:rFonts w:hint="eastAsia" w:asciiTheme="minorEastAsia" w:hAnsiTheme="minorEastAsia" w:eastAsiaTheme="minorEastAsia" w:cstheme="minorEastAsia"/>
          <w:sz w:val="24"/>
          <w:highlight w:val="none"/>
        </w:rPr>
        <w:t>符合QB/T 4463-2013标准；其中甲醛释放量≤0.05mg/L，耐冷热循坏性、耐老化性均合格，耐开裂性达到1级，邻苯二甲酸酯（DBP、BBP、DEHP、DNOP、DINP、DIDP）的总量（%）≤0.05%。</w:t>
      </w:r>
    </w:p>
    <w:p w14:paraId="456EBFAB">
      <w:pPr>
        <w:snapToGrid w:val="0"/>
        <w:spacing w:line="360" w:lineRule="auto"/>
        <w:ind w:firstLine="482" w:firstLineChars="200"/>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3.检测报告要求：</w:t>
      </w:r>
    </w:p>
    <w:p w14:paraId="34A2E015">
      <w:pPr>
        <w:snapToGrid w:val="0"/>
        <w:spacing w:line="360" w:lineRule="auto"/>
        <w:ind w:firstLine="480"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（1）检测机构要求：国家认可的检测机构出具的具有“CMA”标识的抽样检测报告；</w:t>
      </w:r>
    </w:p>
    <w:p w14:paraId="216BB456">
      <w:pPr>
        <w:snapToGrid w:val="0"/>
        <w:spacing w:line="360" w:lineRule="auto"/>
        <w:ind w:firstLine="480"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（2）检测时间要求：检测报告签发日期应在验收日期前一年内。</w:t>
      </w:r>
    </w:p>
    <w:p w14:paraId="1B39EDFF">
      <w:pPr>
        <w:snapToGrid w:val="0"/>
        <w:spacing w:line="360" w:lineRule="auto"/>
        <w:ind w:firstLine="480" w:firstLineChars="200"/>
        <w:rPr>
          <w:rFonts w:hAnsi="宋体" w:cs="宋体"/>
          <w:sz w:val="24"/>
          <w:highlight w:val="none"/>
        </w:rPr>
      </w:pPr>
      <w:r>
        <w:rPr>
          <w:rFonts w:hint="eastAsia" w:asciiTheme="minorEastAsia" w:hAnsiTheme="minorEastAsia" w:eastAsiaTheme="minorEastAsia" w:cstheme="minorEastAsia"/>
          <w:sz w:val="24"/>
          <w:highlight w:val="none"/>
        </w:rPr>
        <w:t>（3）针对不同叫法的同一原材料，其检测报告均予认可（如名称不一致，需注明需求中对应的原材料名称）。</w:t>
      </w:r>
    </w:p>
    <w:p w14:paraId="2C27E4D1">
      <w:pPr>
        <w:pStyle w:val="5"/>
        <w:rPr>
          <w:highlight w:val="none"/>
        </w:rPr>
      </w:pPr>
      <w:r>
        <w:rPr>
          <w:rFonts w:hint="eastAsia"/>
          <w:highlight w:val="none"/>
        </w:rPr>
        <w:t>（四）售后服务</w:t>
      </w:r>
    </w:p>
    <w:p w14:paraId="5B055419">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1.出现故障等问题后，需</w:t>
      </w:r>
      <w:r>
        <w:rPr>
          <w:rFonts w:hint="eastAsia" w:ascii="宋体" w:hAnsi="宋体" w:cs="宋体"/>
          <w:b/>
          <w:bCs/>
          <w:sz w:val="24"/>
          <w:highlight w:val="none"/>
        </w:rPr>
        <w:t>2</w:t>
      </w:r>
      <w:r>
        <w:rPr>
          <w:rFonts w:hint="eastAsia" w:ascii="宋体" w:hAnsi="宋体" w:cs="宋体"/>
          <w:sz w:val="24"/>
          <w:highlight w:val="none"/>
        </w:rPr>
        <w:t>小时内快速响应问题，收到保修要求后</w:t>
      </w:r>
      <w:r>
        <w:rPr>
          <w:rFonts w:hint="eastAsia" w:ascii="宋体" w:hAnsi="宋体" w:cs="宋体"/>
          <w:b/>
          <w:bCs/>
          <w:sz w:val="24"/>
          <w:highlight w:val="none"/>
        </w:rPr>
        <w:t>48</w:t>
      </w:r>
      <w:r>
        <w:rPr>
          <w:rFonts w:hint="eastAsia" w:ascii="宋体" w:hAnsi="宋体" w:cs="宋体"/>
          <w:sz w:val="24"/>
          <w:highlight w:val="none"/>
        </w:rPr>
        <w:t>小时内到场维护，如有特殊情况不能到场，需征求用户同意；</w:t>
      </w:r>
    </w:p>
    <w:p w14:paraId="4FEF6A0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2.质保期后要求：质保期后，维修时只收取成本费，不得收取其他费用；</w:t>
      </w:r>
    </w:p>
    <w:p w14:paraId="7AE6A56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3.投标人须有能力提供完善的售后服务（包括技术人员、响应时间及备品、备件方面等）； </w:t>
      </w:r>
    </w:p>
    <w:p w14:paraId="24F765B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4.投标人提供的设备、服务质量，必须符合招标文件及其投标文件规定的要求，如有不符，造成的损失由投标人承担；</w:t>
      </w:r>
    </w:p>
    <w:p w14:paraId="40C4DE6C">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5.投标人所提供的设备在制造、安装和调试时必须完全满足国家标准以及其他相关标准的要求。并确保现场施工安全，负一切安全责任。</w:t>
      </w:r>
    </w:p>
    <w:p w14:paraId="03023A24">
      <w:pPr>
        <w:pStyle w:val="5"/>
        <w:rPr>
          <w:highlight w:val="none"/>
        </w:rPr>
      </w:pPr>
      <w:r>
        <w:rPr>
          <w:rFonts w:hint="eastAsia"/>
          <w:highlight w:val="none"/>
        </w:rPr>
        <w:t>（五）履约保证金</w:t>
      </w:r>
    </w:p>
    <w:p w14:paraId="0C766C4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合同签订后一周内，中标人向采购人提交合同金额1%的履约保证金（提交方式：支票、汇票、本票或者金融机构、担保机构出具的保函等非现金形式），履约保证金在履约完毕后无质量问题和维护问题，于15个工作日内退还（不计息）。</w:t>
      </w:r>
    </w:p>
    <w:p w14:paraId="198F5FD8">
      <w:pPr>
        <w:pStyle w:val="5"/>
        <w:rPr>
          <w:highlight w:val="none"/>
        </w:rPr>
      </w:pPr>
      <w:r>
        <w:rPr>
          <w:rFonts w:hint="eastAsia"/>
          <w:highlight w:val="none"/>
        </w:rPr>
        <w:t>（六）付款方式</w:t>
      </w:r>
    </w:p>
    <w:p w14:paraId="16480458">
      <w:pPr>
        <w:snapToGrid w:val="0"/>
        <w:spacing w:line="360" w:lineRule="auto"/>
        <w:ind w:firstLine="480"/>
        <w:rPr>
          <w:rFonts w:ascii="宋体" w:hAnsi="宋体" w:cs="宋体"/>
          <w:sz w:val="24"/>
          <w:highlight w:val="none"/>
          <w:lang w:val="zh-CN"/>
        </w:rPr>
      </w:pPr>
      <w:r>
        <w:rPr>
          <w:rFonts w:hint="eastAsia" w:ascii="宋体" w:hAnsi="宋体" w:cs="宋体"/>
          <w:sz w:val="24"/>
          <w:highlight w:val="none"/>
          <w:lang w:val="zh-CN"/>
        </w:rPr>
        <w:t>1.合同生效、具备支付条件后</w:t>
      </w:r>
      <w:r>
        <w:rPr>
          <w:rFonts w:hint="eastAsia" w:ascii="宋体" w:hAnsi="宋体" w:cs="宋体"/>
          <w:sz w:val="24"/>
          <w:highlight w:val="none"/>
        </w:rPr>
        <w:t>7</w:t>
      </w:r>
      <w:r>
        <w:rPr>
          <w:rFonts w:hint="eastAsia" w:ascii="宋体" w:hAnsi="宋体" w:cs="宋体"/>
          <w:sz w:val="24"/>
          <w:highlight w:val="none"/>
          <w:lang w:val="zh-CN"/>
        </w:rPr>
        <w:t>个工作日内，</w:t>
      </w:r>
      <w:r>
        <w:rPr>
          <w:rFonts w:hint="eastAsia" w:ascii="宋体" w:hAnsi="宋体" w:cs="宋体"/>
          <w:sz w:val="24"/>
          <w:highlight w:val="none"/>
        </w:rPr>
        <w:t>采购人</w:t>
      </w:r>
      <w:r>
        <w:rPr>
          <w:rFonts w:hint="eastAsia" w:ascii="宋体" w:hAnsi="宋体" w:cs="宋体"/>
          <w:sz w:val="24"/>
          <w:highlight w:val="none"/>
          <w:lang w:val="zh-CN"/>
        </w:rPr>
        <w:t>凭</w:t>
      </w:r>
      <w:r>
        <w:rPr>
          <w:rFonts w:hint="eastAsia" w:ascii="宋体" w:hAnsi="宋体" w:cs="宋体"/>
          <w:sz w:val="24"/>
          <w:highlight w:val="none"/>
        </w:rPr>
        <w:t>中标人</w:t>
      </w:r>
      <w:r>
        <w:rPr>
          <w:rFonts w:hint="eastAsia" w:ascii="宋体" w:hAnsi="宋体" w:cs="宋体"/>
          <w:sz w:val="24"/>
          <w:highlight w:val="none"/>
          <w:lang w:val="zh-CN"/>
        </w:rPr>
        <w:t>开具的预付款发票</w:t>
      </w:r>
      <w:r>
        <w:rPr>
          <w:rFonts w:hint="eastAsia" w:ascii="宋体" w:hAnsi="宋体" w:cs="宋体"/>
          <w:sz w:val="24"/>
          <w:highlight w:val="none"/>
        </w:rPr>
        <w:t>及中标人</w:t>
      </w:r>
      <w:r>
        <w:rPr>
          <w:rFonts w:hint="eastAsia" w:ascii="宋体" w:hAnsi="宋体" w:cs="宋体"/>
          <w:sz w:val="24"/>
          <w:highlight w:val="none"/>
          <w:lang w:val="zh-CN"/>
        </w:rPr>
        <w:t>提交</w:t>
      </w:r>
      <w:r>
        <w:rPr>
          <w:rFonts w:hint="eastAsia" w:ascii="宋体" w:hAnsi="宋体" w:cs="宋体"/>
          <w:sz w:val="24"/>
          <w:highlight w:val="none"/>
        </w:rPr>
        <w:t>的</w:t>
      </w:r>
      <w:r>
        <w:rPr>
          <w:rFonts w:hint="eastAsia" w:ascii="宋体" w:hAnsi="宋体" w:cs="宋体"/>
          <w:sz w:val="24"/>
          <w:highlight w:val="none"/>
          <w:lang w:val="zh-CN"/>
        </w:rPr>
        <w:t>银行、保险公司等金融机构出具的预付款保函或其他担保措施支付</w:t>
      </w:r>
      <w:r>
        <w:rPr>
          <w:rFonts w:hint="eastAsia" w:ascii="宋体" w:hAnsi="宋体" w:cs="宋体"/>
          <w:b/>
          <w:sz w:val="24"/>
          <w:highlight w:val="none"/>
          <w:lang w:val="zh-CN"/>
        </w:rPr>
        <w:t>40%预付款</w:t>
      </w:r>
      <w:r>
        <w:rPr>
          <w:rFonts w:hint="eastAsia" w:ascii="宋体" w:hAnsi="宋体" w:cs="宋体"/>
          <w:sz w:val="24"/>
          <w:highlight w:val="none"/>
          <w:lang w:val="zh-CN"/>
        </w:rPr>
        <w:t>给</w:t>
      </w:r>
      <w:r>
        <w:rPr>
          <w:rFonts w:hint="eastAsia" w:ascii="宋体" w:hAnsi="宋体" w:cs="宋体"/>
          <w:sz w:val="24"/>
          <w:highlight w:val="none"/>
        </w:rPr>
        <w:t>中标人</w:t>
      </w:r>
      <w:r>
        <w:rPr>
          <w:rFonts w:hint="eastAsia" w:ascii="宋体" w:hAnsi="宋体" w:cs="宋体"/>
          <w:sz w:val="24"/>
          <w:highlight w:val="none"/>
          <w:lang w:val="zh-CN"/>
        </w:rPr>
        <w:t>，若</w:t>
      </w:r>
      <w:r>
        <w:rPr>
          <w:rFonts w:hint="eastAsia" w:ascii="宋体" w:hAnsi="宋体" w:cs="宋体"/>
          <w:sz w:val="24"/>
          <w:highlight w:val="none"/>
        </w:rPr>
        <w:t>中标人</w:t>
      </w:r>
      <w:r>
        <w:rPr>
          <w:rFonts w:hint="eastAsia" w:ascii="宋体" w:hAnsi="宋体" w:cs="宋体"/>
          <w:sz w:val="24"/>
          <w:highlight w:val="none"/>
          <w:lang w:val="zh-CN"/>
        </w:rPr>
        <w:t>无需预付款的可选择在验收合格后一次性支付；预付款的支付进程不得影响合同的履行；</w:t>
      </w:r>
    </w:p>
    <w:p w14:paraId="274FF315">
      <w:pPr>
        <w:snapToGrid w:val="0"/>
        <w:spacing w:line="360" w:lineRule="auto"/>
        <w:ind w:firstLine="480"/>
        <w:rPr>
          <w:rFonts w:ascii="宋体" w:hAnsi="宋体" w:cs="宋体"/>
          <w:sz w:val="24"/>
          <w:highlight w:val="none"/>
          <w:lang w:val="zh-CN"/>
        </w:rPr>
      </w:pPr>
      <w:r>
        <w:rPr>
          <w:rFonts w:hint="eastAsia" w:ascii="宋体" w:hAnsi="宋体" w:cs="宋体"/>
          <w:sz w:val="24"/>
          <w:highlight w:val="none"/>
          <w:lang w:val="zh-CN"/>
        </w:rPr>
        <w:t>2.</w:t>
      </w:r>
      <w:r>
        <w:rPr>
          <w:rFonts w:hint="eastAsia" w:ascii="宋体" w:hAnsi="宋体" w:cs="宋体"/>
          <w:sz w:val="24"/>
          <w:highlight w:val="none"/>
        </w:rPr>
        <w:t>中标人</w:t>
      </w:r>
      <w:r>
        <w:rPr>
          <w:rFonts w:hint="eastAsia" w:ascii="宋体" w:hAnsi="宋体" w:cs="宋体"/>
          <w:sz w:val="24"/>
          <w:highlight w:val="none"/>
          <w:lang w:val="zh-CN"/>
        </w:rPr>
        <w:t>按照</w:t>
      </w:r>
      <w:r>
        <w:rPr>
          <w:rFonts w:hint="eastAsia" w:ascii="宋体" w:hAnsi="宋体" w:cs="宋体"/>
          <w:sz w:val="24"/>
          <w:highlight w:val="none"/>
        </w:rPr>
        <w:t>采购人</w:t>
      </w:r>
      <w:r>
        <w:rPr>
          <w:rFonts w:hint="eastAsia" w:ascii="宋体" w:hAnsi="宋体" w:cs="宋体"/>
          <w:sz w:val="24"/>
          <w:highlight w:val="none"/>
          <w:lang w:val="zh-CN"/>
        </w:rPr>
        <w:t>要求将货物送至各个使用点；经</w:t>
      </w:r>
      <w:r>
        <w:rPr>
          <w:rFonts w:hint="eastAsia" w:ascii="宋体" w:hAnsi="宋体" w:cs="宋体"/>
          <w:sz w:val="24"/>
          <w:highlight w:val="none"/>
        </w:rPr>
        <w:t>采购人</w:t>
      </w:r>
      <w:r>
        <w:rPr>
          <w:rFonts w:hint="eastAsia" w:ascii="宋体" w:hAnsi="宋体" w:cs="宋体"/>
          <w:sz w:val="24"/>
          <w:highlight w:val="none"/>
          <w:lang w:val="zh-CN"/>
        </w:rPr>
        <w:t>组织验收，送货时间、地点、产品规格、型号、数量、质量及参数要求完全符合合同约定；</w:t>
      </w:r>
    </w:p>
    <w:p w14:paraId="1079181D">
      <w:pPr>
        <w:snapToGrid w:val="0"/>
        <w:spacing w:line="360" w:lineRule="auto"/>
        <w:ind w:firstLine="480"/>
        <w:rPr>
          <w:rFonts w:ascii="宋体" w:hAnsi="宋体" w:cs="宋体"/>
          <w:sz w:val="24"/>
          <w:highlight w:val="none"/>
          <w:lang w:val="zh-CN"/>
        </w:rPr>
      </w:pPr>
      <w:r>
        <w:rPr>
          <w:rFonts w:hint="eastAsia" w:ascii="宋体" w:hAnsi="宋体" w:cs="宋体"/>
          <w:sz w:val="24"/>
          <w:highlight w:val="none"/>
          <w:lang w:val="zh-CN"/>
        </w:rPr>
        <w:t>3.</w:t>
      </w:r>
      <w:r>
        <w:rPr>
          <w:rFonts w:hint="eastAsia" w:ascii="宋体" w:hAnsi="宋体" w:cs="宋体"/>
          <w:sz w:val="24"/>
          <w:highlight w:val="none"/>
        </w:rPr>
        <w:t>中标人</w:t>
      </w:r>
      <w:r>
        <w:rPr>
          <w:rFonts w:hint="eastAsia" w:ascii="宋体" w:hAnsi="宋体" w:cs="宋体"/>
          <w:sz w:val="24"/>
          <w:highlight w:val="none"/>
          <w:lang w:val="zh-CN"/>
        </w:rPr>
        <w:t>向</w:t>
      </w:r>
      <w:r>
        <w:rPr>
          <w:rFonts w:hint="eastAsia" w:ascii="宋体" w:hAnsi="宋体" w:cs="宋体"/>
          <w:sz w:val="24"/>
          <w:highlight w:val="none"/>
        </w:rPr>
        <w:t>采购人</w:t>
      </w:r>
      <w:r>
        <w:rPr>
          <w:rFonts w:hint="eastAsia" w:ascii="宋体" w:hAnsi="宋体" w:cs="宋体"/>
          <w:sz w:val="24"/>
          <w:highlight w:val="none"/>
          <w:lang w:val="zh-CN"/>
        </w:rPr>
        <w:t>开具符合法律、法规规范及行业要求的真实、有效的增值税专用发票；</w:t>
      </w:r>
    </w:p>
    <w:p w14:paraId="6490026E">
      <w:pPr>
        <w:snapToGrid w:val="0"/>
        <w:spacing w:line="360" w:lineRule="auto"/>
        <w:ind w:firstLine="480"/>
        <w:rPr>
          <w:rFonts w:ascii="宋体" w:hAnsi="宋体" w:cs="宋体"/>
          <w:sz w:val="24"/>
          <w:highlight w:val="none"/>
          <w:lang w:val="zh-CN"/>
        </w:rPr>
      </w:pPr>
      <w:r>
        <w:rPr>
          <w:rFonts w:hint="eastAsia" w:ascii="宋体" w:hAnsi="宋体" w:cs="宋体"/>
          <w:sz w:val="24"/>
          <w:highlight w:val="none"/>
          <w:lang w:val="zh-CN"/>
        </w:rPr>
        <w:t>4.</w:t>
      </w:r>
      <w:r>
        <w:rPr>
          <w:rFonts w:hint="eastAsia" w:ascii="宋体" w:hAnsi="宋体" w:cs="宋体"/>
          <w:sz w:val="24"/>
          <w:highlight w:val="none"/>
        </w:rPr>
        <w:t>采购人</w:t>
      </w:r>
      <w:r>
        <w:rPr>
          <w:rFonts w:hint="eastAsia" w:ascii="宋体" w:hAnsi="宋体" w:cs="宋体"/>
          <w:sz w:val="24"/>
          <w:highlight w:val="none"/>
          <w:lang w:val="zh-CN"/>
        </w:rPr>
        <w:t>凭</w:t>
      </w:r>
      <w:r>
        <w:rPr>
          <w:rFonts w:hint="eastAsia" w:ascii="宋体" w:hAnsi="宋体" w:cs="宋体"/>
          <w:sz w:val="24"/>
          <w:highlight w:val="none"/>
        </w:rPr>
        <w:t>中标人</w:t>
      </w:r>
      <w:r>
        <w:rPr>
          <w:rFonts w:hint="eastAsia" w:ascii="宋体" w:hAnsi="宋体" w:cs="宋体"/>
          <w:sz w:val="24"/>
          <w:highlight w:val="none"/>
          <w:lang w:val="zh-CN"/>
        </w:rPr>
        <w:t>的供货发票，校内验收单、入库单等支付凭证办理相关支付手续，</w:t>
      </w:r>
      <w:r>
        <w:rPr>
          <w:rFonts w:hint="eastAsia" w:ascii="宋体" w:hAnsi="宋体" w:cs="宋体"/>
          <w:sz w:val="24"/>
          <w:highlight w:val="none"/>
        </w:rPr>
        <w:t>满足合同约定的支付条件后7</w:t>
      </w:r>
      <w:r>
        <w:rPr>
          <w:rFonts w:hint="eastAsia" w:ascii="宋体" w:hAnsi="宋体" w:cs="宋体"/>
          <w:sz w:val="24"/>
          <w:highlight w:val="none"/>
          <w:lang w:val="zh-CN"/>
        </w:rPr>
        <w:t>个工作日</w:t>
      </w:r>
      <w:r>
        <w:rPr>
          <w:rFonts w:hint="eastAsia" w:ascii="宋体" w:hAnsi="宋体" w:cs="宋体"/>
          <w:b/>
          <w:bCs/>
          <w:sz w:val="24"/>
          <w:highlight w:val="none"/>
          <w:lang w:val="zh-CN"/>
        </w:rPr>
        <w:t>向</w:t>
      </w:r>
      <w:r>
        <w:rPr>
          <w:rFonts w:hint="eastAsia" w:ascii="宋体" w:hAnsi="宋体" w:cs="宋体"/>
          <w:b/>
          <w:bCs/>
          <w:sz w:val="24"/>
          <w:highlight w:val="none"/>
        </w:rPr>
        <w:t>中标人</w:t>
      </w:r>
      <w:r>
        <w:rPr>
          <w:rFonts w:hint="eastAsia" w:ascii="宋体" w:hAnsi="宋体" w:cs="宋体"/>
          <w:b/>
          <w:bCs/>
          <w:sz w:val="24"/>
          <w:highlight w:val="none"/>
          <w:lang w:val="zh-CN"/>
        </w:rPr>
        <w:t>付清</w:t>
      </w:r>
      <w:r>
        <w:rPr>
          <w:rFonts w:hint="eastAsia" w:ascii="宋体" w:hAnsi="宋体" w:cs="宋体"/>
          <w:b/>
          <w:bCs/>
          <w:sz w:val="24"/>
          <w:highlight w:val="none"/>
        </w:rPr>
        <w:t>剩余货</w:t>
      </w:r>
      <w:r>
        <w:rPr>
          <w:rFonts w:hint="eastAsia" w:ascii="宋体" w:hAnsi="宋体" w:cs="宋体"/>
          <w:b/>
          <w:bCs/>
          <w:sz w:val="24"/>
          <w:highlight w:val="none"/>
          <w:lang w:val="zh-CN"/>
        </w:rPr>
        <w:t>款。</w:t>
      </w:r>
    </w:p>
    <w:p w14:paraId="17B6ECA4">
      <w:pPr>
        <w:pStyle w:val="4"/>
        <w:rPr>
          <w:highlight w:val="none"/>
          <w:lang w:val="en-US"/>
        </w:rPr>
      </w:pPr>
      <w:bookmarkStart w:id="42" w:name="_Toc4429"/>
      <w:r>
        <w:rPr>
          <w:rFonts w:hint="eastAsia"/>
          <w:highlight w:val="none"/>
          <w:lang w:val="en-US"/>
        </w:rPr>
        <w:t>五、本章未尽之处见合同主要条款中的相关要求。</w:t>
      </w:r>
      <w:bookmarkEnd w:id="42"/>
    </w:p>
    <w:p w14:paraId="5A1C092C">
      <w:pPr>
        <w:snapToGrid w:val="0"/>
        <w:ind w:firstLine="482" w:firstLineChars="200"/>
        <w:rPr>
          <w:rFonts w:ascii="宋体" w:hAnsi="宋体" w:cs="宋体"/>
          <w:b/>
          <w:bCs/>
          <w:sz w:val="24"/>
          <w:highlight w:val="none"/>
        </w:rPr>
      </w:pPr>
    </w:p>
    <w:p w14:paraId="7D32FCD7">
      <w:pPr>
        <w:pStyle w:val="5"/>
        <w:rPr>
          <w:highlight w:val="none"/>
        </w:rPr>
        <w:sectPr>
          <w:pgSz w:w="11906" w:h="16838"/>
          <w:pgMar w:top="1440" w:right="1080" w:bottom="1440" w:left="1080" w:header="851" w:footer="851" w:gutter="0"/>
          <w:cols w:space="720" w:num="1"/>
          <w:docGrid w:linePitch="312" w:charSpace="0"/>
        </w:sectPr>
      </w:pPr>
    </w:p>
    <w:p w14:paraId="7A9A48AA">
      <w:pPr>
        <w:pStyle w:val="3"/>
        <w:rPr>
          <w:rFonts w:ascii="宋体" w:hAnsi="宋体" w:cs="宋体"/>
          <w:szCs w:val="36"/>
          <w:highlight w:val="none"/>
        </w:rPr>
      </w:pPr>
      <w:bookmarkStart w:id="43" w:name="_Toc184313246"/>
      <w:bookmarkEnd w:id="43"/>
      <w:bookmarkStart w:id="44" w:name="_Toc184314429"/>
      <w:bookmarkEnd w:id="44"/>
      <w:bookmarkStart w:id="45" w:name="_Toc184314412"/>
      <w:bookmarkEnd w:id="45"/>
      <w:bookmarkStart w:id="46" w:name="_Toc184310322"/>
      <w:bookmarkEnd w:id="46"/>
      <w:bookmarkStart w:id="47" w:name="_Toc184313269"/>
      <w:bookmarkEnd w:id="47"/>
      <w:bookmarkStart w:id="48" w:name="_Toc184312112"/>
      <w:bookmarkEnd w:id="48"/>
      <w:bookmarkStart w:id="49" w:name="_Toc184310281"/>
      <w:bookmarkEnd w:id="49"/>
      <w:bookmarkStart w:id="50" w:name="_Toc184314434"/>
      <w:bookmarkEnd w:id="50"/>
      <w:bookmarkStart w:id="51" w:name="_Toc184314463"/>
      <w:bookmarkEnd w:id="51"/>
      <w:bookmarkStart w:id="52" w:name="_Toc184313258"/>
      <w:bookmarkEnd w:id="52"/>
      <w:bookmarkStart w:id="53" w:name="_Toc184313282"/>
      <w:bookmarkEnd w:id="53"/>
      <w:bookmarkStart w:id="54" w:name="_Toc184313303"/>
      <w:bookmarkEnd w:id="54"/>
      <w:bookmarkStart w:id="55" w:name="_Toc184310290"/>
      <w:bookmarkEnd w:id="55"/>
      <w:bookmarkStart w:id="56" w:name="_Toc184312110"/>
      <w:bookmarkEnd w:id="56"/>
      <w:bookmarkStart w:id="57" w:name="_Toc184312096"/>
      <w:bookmarkEnd w:id="57"/>
      <w:bookmarkStart w:id="58" w:name="_Toc184312105"/>
      <w:bookmarkEnd w:id="58"/>
      <w:bookmarkStart w:id="59" w:name="_Toc184313262"/>
      <w:bookmarkEnd w:id="59"/>
      <w:bookmarkStart w:id="60" w:name="_Toc184310296"/>
      <w:bookmarkEnd w:id="60"/>
      <w:bookmarkStart w:id="61" w:name="_Toc184310309"/>
      <w:bookmarkEnd w:id="61"/>
      <w:bookmarkStart w:id="62" w:name="_Toc184310340"/>
      <w:bookmarkEnd w:id="62"/>
      <w:bookmarkStart w:id="63" w:name="_Toc184312124"/>
      <w:bookmarkEnd w:id="63"/>
      <w:bookmarkStart w:id="64" w:name="_Toc184308036"/>
      <w:bookmarkEnd w:id="64"/>
      <w:bookmarkStart w:id="65" w:name="_Toc184312128"/>
      <w:bookmarkEnd w:id="65"/>
      <w:bookmarkStart w:id="66" w:name="_Toc184310339"/>
      <w:bookmarkEnd w:id="66"/>
      <w:bookmarkStart w:id="67" w:name="_Toc184314442"/>
      <w:bookmarkEnd w:id="67"/>
      <w:bookmarkStart w:id="68" w:name="_Toc184310278"/>
      <w:bookmarkEnd w:id="68"/>
      <w:bookmarkStart w:id="69" w:name="_Toc184314471"/>
      <w:bookmarkEnd w:id="69"/>
      <w:bookmarkStart w:id="70" w:name="_Toc184314470"/>
      <w:bookmarkEnd w:id="70"/>
      <w:bookmarkStart w:id="71" w:name="_Toc184310314"/>
      <w:bookmarkEnd w:id="71"/>
      <w:bookmarkStart w:id="72" w:name="_Toc184310325"/>
      <w:bookmarkEnd w:id="72"/>
      <w:bookmarkStart w:id="73" w:name="_Toc184314415"/>
      <w:bookmarkEnd w:id="73"/>
      <w:bookmarkStart w:id="74" w:name="_Toc184310336"/>
      <w:bookmarkEnd w:id="74"/>
      <w:bookmarkStart w:id="75" w:name="_Toc184313239"/>
      <w:bookmarkEnd w:id="75"/>
      <w:bookmarkStart w:id="76" w:name="_Toc184308044"/>
      <w:bookmarkEnd w:id="76"/>
      <w:bookmarkStart w:id="77" w:name="_Toc184308039"/>
      <w:bookmarkEnd w:id="77"/>
      <w:bookmarkStart w:id="78" w:name="_Toc184308049"/>
      <w:bookmarkEnd w:id="78"/>
      <w:bookmarkStart w:id="79" w:name="_Toc184308098"/>
      <w:bookmarkEnd w:id="79"/>
      <w:bookmarkStart w:id="80" w:name="_Toc184313299"/>
      <w:bookmarkEnd w:id="80"/>
      <w:bookmarkStart w:id="81" w:name="_Toc184308043"/>
      <w:bookmarkEnd w:id="81"/>
      <w:bookmarkStart w:id="82" w:name="_Toc184310293"/>
      <w:bookmarkEnd w:id="82"/>
      <w:bookmarkStart w:id="83" w:name="_Toc184312087"/>
      <w:bookmarkEnd w:id="83"/>
      <w:bookmarkStart w:id="84" w:name="_Toc184313283"/>
      <w:bookmarkEnd w:id="84"/>
      <w:bookmarkStart w:id="85" w:name="_Toc184313260"/>
      <w:bookmarkEnd w:id="85"/>
      <w:bookmarkStart w:id="86" w:name="_Toc184314478"/>
      <w:bookmarkEnd w:id="86"/>
      <w:bookmarkStart w:id="87" w:name="_Toc184310305"/>
      <w:bookmarkEnd w:id="87"/>
      <w:bookmarkStart w:id="88" w:name="_Toc184314475"/>
      <w:bookmarkEnd w:id="88"/>
      <w:bookmarkStart w:id="89" w:name="_Toc184310288"/>
      <w:bookmarkEnd w:id="89"/>
      <w:bookmarkStart w:id="90" w:name="_Toc184308066"/>
      <w:bookmarkEnd w:id="90"/>
      <w:bookmarkStart w:id="91" w:name="_Toc184312091"/>
      <w:bookmarkEnd w:id="91"/>
      <w:bookmarkStart w:id="92" w:name="_Toc184310332"/>
      <w:bookmarkEnd w:id="92"/>
      <w:bookmarkStart w:id="93" w:name="_Toc184312092"/>
      <w:bookmarkEnd w:id="93"/>
      <w:bookmarkStart w:id="94" w:name="_Toc184314449"/>
      <w:bookmarkEnd w:id="94"/>
      <w:bookmarkStart w:id="95" w:name="_Toc184310320"/>
      <w:bookmarkEnd w:id="95"/>
      <w:bookmarkStart w:id="96" w:name="_Toc184312121"/>
      <w:bookmarkEnd w:id="96"/>
      <w:bookmarkStart w:id="97" w:name="_Toc184310323"/>
      <w:bookmarkEnd w:id="97"/>
      <w:bookmarkStart w:id="98" w:name="_Toc184313270"/>
      <w:bookmarkEnd w:id="98"/>
      <w:bookmarkStart w:id="99" w:name="_Toc184313273"/>
      <w:bookmarkEnd w:id="99"/>
      <w:bookmarkStart w:id="100" w:name="_Toc184314480"/>
      <w:bookmarkEnd w:id="100"/>
      <w:bookmarkStart w:id="101" w:name="_Toc184310275"/>
      <w:bookmarkEnd w:id="101"/>
      <w:bookmarkStart w:id="102" w:name="_Toc184312133"/>
      <w:bookmarkEnd w:id="102"/>
      <w:bookmarkStart w:id="103" w:name="_Toc184313241"/>
      <w:bookmarkEnd w:id="103"/>
      <w:bookmarkStart w:id="104" w:name="_Toc184308060"/>
      <w:bookmarkEnd w:id="104"/>
      <w:bookmarkStart w:id="105" w:name="_Toc184313243"/>
      <w:bookmarkEnd w:id="105"/>
      <w:bookmarkStart w:id="106" w:name="_Toc184313286"/>
      <w:bookmarkEnd w:id="106"/>
      <w:bookmarkStart w:id="107" w:name="_Toc184313300"/>
      <w:bookmarkEnd w:id="107"/>
      <w:bookmarkStart w:id="108" w:name="_Toc184312111"/>
      <w:bookmarkEnd w:id="108"/>
      <w:bookmarkStart w:id="109" w:name="_Toc184313275"/>
      <w:bookmarkEnd w:id="109"/>
      <w:bookmarkStart w:id="110" w:name="_Toc184308091"/>
      <w:bookmarkEnd w:id="110"/>
      <w:bookmarkStart w:id="111" w:name="_Toc184310343"/>
      <w:bookmarkEnd w:id="111"/>
      <w:bookmarkStart w:id="112" w:name="_Toc184308084"/>
      <w:bookmarkEnd w:id="112"/>
      <w:bookmarkStart w:id="113" w:name="_Toc184312084"/>
      <w:bookmarkEnd w:id="113"/>
      <w:bookmarkStart w:id="114" w:name="_Toc184308056"/>
      <w:bookmarkEnd w:id="114"/>
      <w:bookmarkStart w:id="115" w:name="_Toc184310291"/>
      <w:bookmarkEnd w:id="115"/>
      <w:bookmarkStart w:id="116" w:name="_Toc184310285"/>
      <w:bookmarkEnd w:id="116"/>
      <w:bookmarkStart w:id="117" w:name="_Toc184313288"/>
      <w:bookmarkEnd w:id="117"/>
      <w:bookmarkStart w:id="118" w:name="_Toc184312067"/>
      <w:bookmarkEnd w:id="118"/>
      <w:bookmarkStart w:id="119" w:name="_Toc184308092"/>
      <w:bookmarkEnd w:id="119"/>
      <w:bookmarkStart w:id="120" w:name="_Toc184310298"/>
      <w:bookmarkEnd w:id="120"/>
      <w:bookmarkStart w:id="121" w:name="_Toc184312073"/>
      <w:bookmarkEnd w:id="121"/>
      <w:bookmarkStart w:id="122" w:name="_Toc184312102"/>
      <w:bookmarkEnd w:id="122"/>
      <w:bookmarkStart w:id="123" w:name="_Toc184308067"/>
      <w:bookmarkEnd w:id="123"/>
      <w:bookmarkStart w:id="124" w:name="_Toc184312139"/>
      <w:bookmarkEnd w:id="124"/>
      <w:bookmarkStart w:id="125" w:name="_Toc184313281"/>
      <w:bookmarkEnd w:id="125"/>
      <w:bookmarkStart w:id="126" w:name="_Toc184313256"/>
      <w:bookmarkEnd w:id="126"/>
      <w:bookmarkStart w:id="127" w:name="_Toc184313296"/>
      <w:bookmarkEnd w:id="127"/>
      <w:bookmarkStart w:id="128" w:name="_Toc184314468"/>
      <w:bookmarkEnd w:id="128"/>
      <w:bookmarkStart w:id="129" w:name="_Toc184308082"/>
      <w:bookmarkEnd w:id="129"/>
      <w:bookmarkStart w:id="130" w:name="_Toc184308099"/>
      <w:bookmarkEnd w:id="130"/>
      <w:bookmarkStart w:id="131" w:name="_Toc184314459"/>
      <w:bookmarkEnd w:id="131"/>
      <w:bookmarkStart w:id="132" w:name="_Toc184310342"/>
      <w:bookmarkEnd w:id="132"/>
      <w:bookmarkStart w:id="133" w:name="_Toc184312109"/>
      <w:bookmarkEnd w:id="133"/>
      <w:bookmarkStart w:id="134" w:name="_Toc184312119"/>
      <w:bookmarkEnd w:id="134"/>
      <w:bookmarkStart w:id="135" w:name="_Toc184310306"/>
      <w:bookmarkEnd w:id="135"/>
      <w:bookmarkStart w:id="136" w:name="_Toc184314413"/>
      <w:bookmarkEnd w:id="136"/>
      <w:bookmarkStart w:id="137" w:name="_Toc184314437"/>
      <w:bookmarkEnd w:id="137"/>
      <w:bookmarkStart w:id="138" w:name="_Toc184313284"/>
      <w:bookmarkEnd w:id="138"/>
      <w:bookmarkStart w:id="139" w:name="_Toc184314441"/>
      <w:bookmarkEnd w:id="139"/>
      <w:bookmarkStart w:id="140" w:name="_Toc184314456"/>
      <w:bookmarkEnd w:id="140"/>
      <w:bookmarkStart w:id="141" w:name="_Toc184312130"/>
      <w:bookmarkEnd w:id="141"/>
      <w:bookmarkStart w:id="142" w:name="_Toc184313252"/>
      <w:bookmarkEnd w:id="142"/>
      <w:bookmarkStart w:id="143" w:name="_Toc184312103"/>
      <w:bookmarkEnd w:id="143"/>
      <w:bookmarkStart w:id="144" w:name="_Toc184313287"/>
      <w:bookmarkEnd w:id="144"/>
      <w:bookmarkStart w:id="145" w:name="_Toc184312118"/>
      <w:bookmarkEnd w:id="145"/>
      <w:bookmarkStart w:id="146" w:name="_Toc184314417"/>
      <w:bookmarkEnd w:id="146"/>
      <w:bookmarkStart w:id="147" w:name="_Toc184314460"/>
      <w:bookmarkEnd w:id="147"/>
      <w:bookmarkStart w:id="148" w:name="_Toc184314477"/>
      <w:bookmarkEnd w:id="148"/>
      <w:bookmarkStart w:id="149" w:name="_Toc184310302"/>
      <w:bookmarkEnd w:id="149"/>
      <w:bookmarkStart w:id="150" w:name="_Toc184314440"/>
      <w:bookmarkEnd w:id="150"/>
      <w:bookmarkStart w:id="151" w:name="_Toc184312099"/>
      <w:bookmarkEnd w:id="151"/>
      <w:bookmarkStart w:id="152" w:name="_Toc184313298"/>
      <w:bookmarkEnd w:id="152"/>
      <w:bookmarkStart w:id="153" w:name="_Toc184313301"/>
      <w:bookmarkEnd w:id="153"/>
      <w:bookmarkStart w:id="154" w:name="_Toc184314464"/>
      <w:bookmarkEnd w:id="154"/>
      <w:bookmarkStart w:id="155" w:name="_Toc184314473"/>
      <w:bookmarkEnd w:id="155"/>
      <w:bookmarkStart w:id="156" w:name="_Toc184310337"/>
      <w:bookmarkEnd w:id="156"/>
      <w:bookmarkStart w:id="157" w:name="_Toc184313271"/>
      <w:bookmarkEnd w:id="157"/>
      <w:bookmarkStart w:id="158" w:name="_Toc184308046"/>
      <w:bookmarkEnd w:id="158"/>
      <w:bookmarkStart w:id="159" w:name="_Toc184314472"/>
      <w:bookmarkEnd w:id="159"/>
      <w:bookmarkStart w:id="160" w:name="_Toc184308094"/>
      <w:bookmarkEnd w:id="160"/>
      <w:bookmarkStart w:id="161" w:name="_Toc184313238"/>
      <w:bookmarkEnd w:id="161"/>
      <w:bookmarkStart w:id="162" w:name="_Toc184308053"/>
      <w:bookmarkEnd w:id="162"/>
      <w:bookmarkStart w:id="163" w:name="_Toc184314450"/>
      <w:bookmarkEnd w:id="163"/>
      <w:bookmarkStart w:id="164" w:name="_Toc184312129"/>
      <w:bookmarkEnd w:id="164"/>
      <w:bookmarkStart w:id="165" w:name="_Toc184313278"/>
      <w:bookmarkEnd w:id="165"/>
      <w:bookmarkStart w:id="166" w:name="_Toc184308062"/>
      <w:bookmarkEnd w:id="166"/>
      <w:bookmarkStart w:id="167" w:name="_Toc184310308"/>
      <w:bookmarkEnd w:id="167"/>
      <w:bookmarkStart w:id="168" w:name="_Toc184313254"/>
      <w:bookmarkEnd w:id="168"/>
      <w:bookmarkStart w:id="169" w:name="_Toc184308100"/>
      <w:bookmarkEnd w:id="169"/>
      <w:bookmarkStart w:id="170" w:name="_Toc184313267"/>
      <w:bookmarkEnd w:id="170"/>
      <w:bookmarkStart w:id="171" w:name="_Toc184308108"/>
      <w:bookmarkEnd w:id="171"/>
      <w:bookmarkStart w:id="172" w:name="_Toc184314411"/>
      <w:bookmarkEnd w:id="172"/>
      <w:bookmarkStart w:id="173" w:name="_Toc184312080"/>
      <w:bookmarkEnd w:id="173"/>
      <w:bookmarkStart w:id="174" w:name="_Toc184313304"/>
      <w:bookmarkEnd w:id="174"/>
      <w:bookmarkStart w:id="175" w:name="_Toc184313293"/>
      <w:bookmarkEnd w:id="175"/>
      <w:bookmarkStart w:id="176" w:name="_Toc184310299"/>
      <w:bookmarkEnd w:id="176"/>
      <w:bookmarkStart w:id="177" w:name="_Toc184313297"/>
      <w:bookmarkEnd w:id="177"/>
      <w:bookmarkStart w:id="178" w:name="_Toc184314414"/>
      <w:bookmarkEnd w:id="178"/>
      <w:bookmarkStart w:id="179" w:name="_Toc184312070"/>
      <w:bookmarkEnd w:id="179"/>
      <w:bookmarkStart w:id="180" w:name="_Toc184314469"/>
      <w:bookmarkEnd w:id="180"/>
      <w:bookmarkStart w:id="181" w:name="_Toc184314427"/>
      <w:bookmarkEnd w:id="181"/>
      <w:bookmarkStart w:id="182" w:name="_Toc184308059"/>
      <w:bookmarkEnd w:id="182"/>
      <w:bookmarkStart w:id="183" w:name="_Toc184313264"/>
      <w:bookmarkEnd w:id="183"/>
      <w:bookmarkStart w:id="184" w:name="_Toc184312083"/>
      <w:bookmarkEnd w:id="184"/>
      <w:bookmarkStart w:id="185" w:name="_Toc184310312"/>
      <w:bookmarkEnd w:id="185"/>
      <w:bookmarkStart w:id="186" w:name="_Toc184313306"/>
      <w:bookmarkEnd w:id="186"/>
      <w:bookmarkStart w:id="187" w:name="_Toc184314461"/>
      <w:bookmarkEnd w:id="187"/>
      <w:bookmarkStart w:id="188" w:name="_Toc184314448"/>
      <w:bookmarkEnd w:id="188"/>
      <w:bookmarkStart w:id="189" w:name="_Toc184308041"/>
      <w:bookmarkEnd w:id="189"/>
      <w:bookmarkStart w:id="190" w:name="_Toc184314465"/>
      <w:bookmarkEnd w:id="190"/>
      <w:bookmarkStart w:id="191" w:name="_Toc184313242"/>
      <w:bookmarkEnd w:id="191"/>
      <w:bookmarkStart w:id="192" w:name="_Toc184310282"/>
      <w:bookmarkEnd w:id="192"/>
      <w:bookmarkStart w:id="193" w:name="_Toc184308065"/>
      <w:bookmarkEnd w:id="193"/>
      <w:bookmarkStart w:id="194" w:name="_Toc184310338"/>
      <w:bookmarkEnd w:id="194"/>
      <w:bookmarkStart w:id="195" w:name="_Toc184310330"/>
      <w:bookmarkEnd w:id="195"/>
      <w:bookmarkStart w:id="196" w:name="_Toc184310326"/>
      <w:bookmarkEnd w:id="196"/>
      <w:bookmarkStart w:id="197" w:name="_Toc184313276"/>
      <w:bookmarkEnd w:id="197"/>
      <w:bookmarkStart w:id="198" w:name="_Toc184312104"/>
      <w:bookmarkEnd w:id="198"/>
      <w:bookmarkStart w:id="199" w:name="_Toc184310301"/>
      <w:bookmarkEnd w:id="199"/>
      <w:bookmarkStart w:id="200" w:name="_Toc184313308"/>
      <w:bookmarkEnd w:id="200"/>
      <w:bookmarkStart w:id="201" w:name="_Toc184314420"/>
      <w:bookmarkEnd w:id="201"/>
      <w:bookmarkStart w:id="202" w:name="_Toc184308085"/>
      <w:bookmarkEnd w:id="202"/>
      <w:bookmarkStart w:id="203" w:name="_Toc184312069"/>
      <w:bookmarkEnd w:id="203"/>
      <w:bookmarkStart w:id="204" w:name="_Toc184314431"/>
      <w:bookmarkEnd w:id="204"/>
      <w:bookmarkStart w:id="205" w:name="_Toc184310284"/>
      <w:bookmarkEnd w:id="205"/>
      <w:bookmarkStart w:id="206" w:name="_Toc184310315"/>
      <w:bookmarkEnd w:id="206"/>
      <w:bookmarkStart w:id="207" w:name="_Toc184308078"/>
      <w:bookmarkEnd w:id="207"/>
      <w:bookmarkStart w:id="208" w:name="_Toc184310311"/>
      <w:bookmarkEnd w:id="208"/>
      <w:bookmarkStart w:id="209" w:name="_Toc184314451"/>
      <w:bookmarkEnd w:id="209"/>
      <w:bookmarkStart w:id="210" w:name="_Toc184312081"/>
      <w:bookmarkEnd w:id="210"/>
      <w:bookmarkStart w:id="211" w:name="_Toc184308040"/>
      <w:bookmarkEnd w:id="211"/>
      <w:bookmarkStart w:id="212" w:name="_Toc184310276"/>
      <w:bookmarkEnd w:id="212"/>
      <w:bookmarkStart w:id="213" w:name="_Toc184313263"/>
      <w:bookmarkEnd w:id="213"/>
      <w:bookmarkStart w:id="214" w:name="_Toc184312132"/>
      <w:bookmarkEnd w:id="214"/>
      <w:bookmarkStart w:id="215" w:name="_Toc184310304"/>
      <w:bookmarkEnd w:id="215"/>
      <w:bookmarkStart w:id="216" w:name="_Toc184314423"/>
      <w:bookmarkEnd w:id="216"/>
      <w:bookmarkStart w:id="217" w:name="_Toc184313266"/>
      <w:bookmarkEnd w:id="217"/>
      <w:bookmarkStart w:id="218" w:name="_Toc184308107"/>
      <w:bookmarkEnd w:id="218"/>
      <w:bookmarkStart w:id="219" w:name="_Toc184310300"/>
      <w:bookmarkEnd w:id="219"/>
      <w:bookmarkStart w:id="220" w:name="_Toc184314438"/>
      <w:bookmarkEnd w:id="220"/>
      <w:bookmarkStart w:id="221" w:name="_Toc184312113"/>
      <w:bookmarkEnd w:id="221"/>
      <w:bookmarkStart w:id="222" w:name="_Toc184308075"/>
      <w:bookmarkEnd w:id="222"/>
      <w:bookmarkStart w:id="223" w:name="_Toc184308070"/>
      <w:bookmarkEnd w:id="223"/>
      <w:bookmarkStart w:id="224" w:name="_Toc184308051"/>
      <w:bookmarkEnd w:id="224"/>
      <w:bookmarkStart w:id="225" w:name="_Toc184313245"/>
      <w:bookmarkEnd w:id="225"/>
      <w:bookmarkStart w:id="226" w:name="_Toc184312123"/>
      <w:bookmarkEnd w:id="226"/>
      <w:bookmarkStart w:id="227" w:name="_Toc184308106"/>
      <w:bookmarkEnd w:id="227"/>
      <w:bookmarkStart w:id="228" w:name="_Toc184312076"/>
      <w:bookmarkEnd w:id="228"/>
      <w:bookmarkStart w:id="229" w:name="_Toc184312078"/>
      <w:bookmarkEnd w:id="229"/>
      <w:bookmarkStart w:id="230" w:name="_Toc184312077"/>
      <w:bookmarkEnd w:id="230"/>
      <w:bookmarkStart w:id="231" w:name="_Toc184313268"/>
      <w:bookmarkEnd w:id="231"/>
      <w:bookmarkStart w:id="232" w:name="_Toc184313285"/>
      <w:bookmarkEnd w:id="232"/>
      <w:bookmarkStart w:id="233" w:name="_Toc184310297"/>
      <w:bookmarkEnd w:id="233"/>
      <w:bookmarkStart w:id="234" w:name="_Toc184310313"/>
      <w:bookmarkEnd w:id="234"/>
      <w:bookmarkStart w:id="235" w:name="_Toc184312085"/>
      <w:bookmarkEnd w:id="235"/>
      <w:bookmarkStart w:id="236" w:name="_Toc184308087"/>
      <w:bookmarkEnd w:id="236"/>
      <w:bookmarkStart w:id="237" w:name="_Toc184310292"/>
      <w:bookmarkEnd w:id="237"/>
      <w:bookmarkStart w:id="238" w:name="_Toc184314458"/>
      <w:bookmarkEnd w:id="238"/>
      <w:bookmarkStart w:id="239" w:name="_Toc184310283"/>
      <w:bookmarkEnd w:id="239"/>
      <w:bookmarkStart w:id="240" w:name="_Toc184312089"/>
      <w:bookmarkEnd w:id="240"/>
      <w:bookmarkStart w:id="241" w:name="_Toc184308090"/>
      <w:bookmarkEnd w:id="241"/>
      <w:bookmarkStart w:id="242" w:name="_Toc184310344"/>
      <w:bookmarkEnd w:id="242"/>
      <w:bookmarkStart w:id="243" w:name="_Toc184308104"/>
      <w:bookmarkEnd w:id="243"/>
      <w:bookmarkStart w:id="244" w:name="_Toc184310280"/>
      <w:bookmarkEnd w:id="244"/>
      <w:bookmarkStart w:id="245" w:name="_Toc184314436"/>
      <w:bookmarkEnd w:id="245"/>
      <w:bookmarkStart w:id="246" w:name="_Toc184313279"/>
      <w:bookmarkEnd w:id="246"/>
      <w:bookmarkStart w:id="247" w:name="_Toc184312134"/>
      <w:bookmarkEnd w:id="247"/>
      <w:bookmarkStart w:id="248" w:name="_Toc184310273"/>
      <w:bookmarkEnd w:id="248"/>
      <w:bookmarkStart w:id="249" w:name="_Toc184313249"/>
      <w:bookmarkEnd w:id="249"/>
      <w:bookmarkStart w:id="250" w:name="_Toc184308048"/>
      <w:bookmarkEnd w:id="250"/>
      <w:bookmarkStart w:id="251" w:name="_Toc184313257"/>
      <w:bookmarkEnd w:id="251"/>
      <w:bookmarkStart w:id="252" w:name="_Toc184313289"/>
      <w:bookmarkEnd w:id="252"/>
      <w:bookmarkStart w:id="253" w:name="_Toc184308038"/>
      <w:bookmarkEnd w:id="253"/>
      <w:bookmarkStart w:id="254" w:name="_Toc184308096"/>
      <w:bookmarkEnd w:id="254"/>
      <w:bookmarkStart w:id="255" w:name="_Toc184310307"/>
      <w:bookmarkEnd w:id="255"/>
      <w:bookmarkStart w:id="256" w:name="_Toc184314416"/>
      <w:bookmarkEnd w:id="256"/>
      <w:bookmarkStart w:id="257" w:name="_Toc184314457"/>
      <w:bookmarkEnd w:id="257"/>
      <w:bookmarkStart w:id="258" w:name="_Toc184312075"/>
      <w:bookmarkEnd w:id="258"/>
      <w:bookmarkStart w:id="259" w:name="_Toc184310324"/>
      <w:bookmarkEnd w:id="259"/>
      <w:bookmarkStart w:id="260" w:name="_Toc184312117"/>
      <w:bookmarkEnd w:id="260"/>
      <w:bookmarkStart w:id="261" w:name="_Toc184308057"/>
      <w:bookmarkEnd w:id="261"/>
      <w:bookmarkStart w:id="262" w:name="_Toc184312107"/>
      <w:bookmarkEnd w:id="262"/>
      <w:bookmarkStart w:id="263" w:name="_Toc184308050"/>
      <w:bookmarkEnd w:id="263"/>
      <w:bookmarkStart w:id="264" w:name="_Toc184312072"/>
      <w:bookmarkEnd w:id="264"/>
      <w:bookmarkStart w:id="265" w:name="_Toc184314454"/>
      <w:bookmarkEnd w:id="265"/>
      <w:bookmarkStart w:id="266" w:name="_Toc184314446"/>
      <w:bookmarkEnd w:id="266"/>
      <w:bookmarkStart w:id="267" w:name="_Toc184312137"/>
      <w:bookmarkEnd w:id="267"/>
      <w:bookmarkStart w:id="268" w:name="_Toc184312094"/>
      <w:bookmarkEnd w:id="268"/>
      <w:bookmarkStart w:id="269" w:name="_Toc184313292"/>
      <w:bookmarkEnd w:id="269"/>
      <w:bookmarkStart w:id="270" w:name="_Toc184308105"/>
      <w:bookmarkEnd w:id="270"/>
      <w:bookmarkStart w:id="271" w:name="_Toc184313295"/>
      <w:bookmarkEnd w:id="271"/>
      <w:bookmarkStart w:id="272" w:name="_Toc184314432"/>
      <w:bookmarkEnd w:id="272"/>
      <w:bookmarkStart w:id="273" w:name="_Toc184308089"/>
      <w:bookmarkEnd w:id="273"/>
      <w:bookmarkStart w:id="274" w:name="_Toc184314419"/>
      <w:bookmarkEnd w:id="274"/>
      <w:bookmarkStart w:id="275" w:name="_Toc184308080"/>
      <w:bookmarkEnd w:id="275"/>
      <w:bookmarkStart w:id="276" w:name="_Toc184312086"/>
      <w:bookmarkEnd w:id="276"/>
      <w:bookmarkStart w:id="277" w:name="_Toc184313261"/>
      <w:bookmarkEnd w:id="277"/>
      <w:bookmarkStart w:id="278" w:name="_Toc184312097"/>
      <w:bookmarkEnd w:id="278"/>
      <w:bookmarkStart w:id="279" w:name="_Toc184310333"/>
      <w:bookmarkEnd w:id="279"/>
      <w:bookmarkStart w:id="280" w:name="_Toc184312114"/>
      <w:bookmarkEnd w:id="280"/>
      <w:bookmarkStart w:id="281" w:name="_Toc184312090"/>
      <w:bookmarkEnd w:id="281"/>
      <w:bookmarkStart w:id="282" w:name="_Toc184313251"/>
      <w:bookmarkEnd w:id="282"/>
      <w:bookmarkStart w:id="283" w:name="_Toc184312079"/>
      <w:bookmarkEnd w:id="283"/>
      <w:bookmarkStart w:id="284" w:name="_Toc184310303"/>
      <w:bookmarkEnd w:id="284"/>
      <w:bookmarkStart w:id="285" w:name="_Toc184314439"/>
      <w:bookmarkEnd w:id="285"/>
      <w:bookmarkStart w:id="286" w:name="_Toc184308072"/>
      <w:bookmarkEnd w:id="286"/>
      <w:bookmarkStart w:id="287" w:name="_Toc184314418"/>
      <w:bookmarkEnd w:id="287"/>
      <w:bookmarkStart w:id="288" w:name="_Toc184313274"/>
      <w:bookmarkEnd w:id="288"/>
      <w:bookmarkStart w:id="289" w:name="_Toc184312108"/>
      <w:bookmarkEnd w:id="289"/>
      <w:bookmarkStart w:id="290" w:name="_Toc184308101"/>
      <w:bookmarkEnd w:id="290"/>
      <w:bookmarkStart w:id="291" w:name="_Toc184308061"/>
      <w:bookmarkEnd w:id="291"/>
      <w:bookmarkStart w:id="292" w:name="_Toc184312122"/>
      <w:bookmarkEnd w:id="292"/>
      <w:bookmarkStart w:id="293" w:name="_Toc184314435"/>
      <w:bookmarkEnd w:id="293"/>
      <w:bookmarkStart w:id="294" w:name="_Toc184313290"/>
      <w:bookmarkEnd w:id="294"/>
      <w:bookmarkStart w:id="295" w:name="_Toc184312100"/>
      <w:bookmarkEnd w:id="295"/>
      <w:bookmarkStart w:id="296" w:name="_Toc184310319"/>
      <w:bookmarkEnd w:id="296"/>
      <w:bookmarkStart w:id="297" w:name="_Toc184310334"/>
      <w:bookmarkEnd w:id="297"/>
      <w:bookmarkStart w:id="298" w:name="_Toc184314482"/>
      <w:bookmarkEnd w:id="298"/>
      <w:bookmarkStart w:id="299" w:name="_Toc184308052"/>
      <w:bookmarkEnd w:id="299"/>
      <w:bookmarkStart w:id="300" w:name="_Toc184312120"/>
      <w:bookmarkEnd w:id="300"/>
      <w:bookmarkStart w:id="301" w:name="_Toc184310327"/>
      <w:bookmarkEnd w:id="301"/>
      <w:bookmarkStart w:id="302" w:name="_Toc184310321"/>
      <w:bookmarkEnd w:id="302"/>
      <w:bookmarkStart w:id="303" w:name="_Toc184313294"/>
      <w:bookmarkEnd w:id="303"/>
      <w:bookmarkStart w:id="304" w:name="_Toc184314466"/>
      <w:bookmarkEnd w:id="304"/>
      <w:bookmarkStart w:id="305" w:name="_Toc184312068"/>
      <w:bookmarkEnd w:id="305"/>
      <w:bookmarkStart w:id="306" w:name="_Toc184312095"/>
      <w:bookmarkEnd w:id="306"/>
      <w:bookmarkStart w:id="307" w:name="_Toc184310310"/>
      <w:bookmarkEnd w:id="307"/>
      <w:bookmarkStart w:id="308" w:name="_Toc184314452"/>
      <w:bookmarkEnd w:id="308"/>
      <w:bookmarkStart w:id="309" w:name="_Toc184308076"/>
      <w:bookmarkEnd w:id="309"/>
      <w:bookmarkStart w:id="310" w:name="_Toc184314462"/>
      <w:bookmarkEnd w:id="310"/>
      <w:bookmarkStart w:id="311" w:name="_Toc184314444"/>
      <w:bookmarkEnd w:id="311"/>
      <w:bookmarkStart w:id="312" w:name="_Toc184308093"/>
      <w:bookmarkEnd w:id="312"/>
      <w:bookmarkStart w:id="313" w:name="_Toc184312106"/>
      <w:bookmarkEnd w:id="313"/>
      <w:bookmarkStart w:id="314" w:name="_Toc184313305"/>
      <w:bookmarkEnd w:id="314"/>
      <w:bookmarkStart w:id="315" w:name="_Toc184308077"/>
      <w:bookmarkEnd w:id="315"/>
      <w:bookmarkStart w:id="316" w:name="_Toc184310295"/>
      <w:bookmarkEnd w:id="316"/>
      <w:bookmarkStart w:id="317" w:name="_Toc184312116"/>
      <w:bookmarkEnd w:id="317"/>
      <w:bookmarkStart w:id="318" w:name="_Toc184313309"/>
      <w:bookmarkEnd w:id="318"/>
      <w:bookmarkStart w:id="319" w:name="_Toc184314474"/>
      <w:bookmarkEnd w:id="319"/>
      <w:bookmarkStart w:id="320" w:name="_Toc184308088"/>
      <w:bookmarkEnd w:id="320"/>
      <w:bookmarkStart w:id="321" w:name="_Toc184313307"/>
      <w:bookmarkEnd w:id="321"/>
      <w:bookmarkStart w:id="322" w:name="_Toc184314479"/>
      <w:bookmarkEnd w:id="322"/>
      <w:bookmarkStart w:id="323" w:name="_Toc184314426"/>
      <w:bookmarkEnd w:id="323"/>
      <w:bookmarkStart w:id="324" w:name="_Toc184308045"/>
      <w:bookmarkEnd w:id="324"/>
      <w:bookmarkStart w:id="325" w:name="_Toc184308055"/>
      <w:bookmarkEnd w:id="325"/>
      <w:bookmarkStart w:id="326" w:name="_Toc184308086"/>
      <w:bookmarkEnd w:id="326"/>
      <w:bookmarkStart w:id="327" w:name="_Toc184308064"/>
      <w:bookmarkEnd w:id="327"/>
      <w:bookmarkStart w:id="328" w:name="_Toc184308037"/>
      <w:bookmarkEnd w:id="328"/>
      <w:bookmarkStart w:id="329" w:name="_Toc184312138"/>
      <w:bookmarkEnd w:id="329"/>
      <w:bookmarkStart w:id="330" w:name="_Toc184314428"/>
      <w:bookmarkEnd w:id="330"/>
      <w:bookmarkStart w:id="331" w:name="_Toc184310318"/>
      <w:bookmarkEnd w:id="331"/>
      <w:bookmarkStart w:id="332" w:name="_Toc184308081"/>
      <w:bookmarkEnd w:id="332"/>
      <w:bookmarkStart w:id="333" w:name="_Toc184310289"/>
      <w:bookmarkEnd w:id="333"/>
      <w:bookmarkStart w:id="334" w:name="_Toc184313247"/>
      <w:bookmarkEnd w:id="334"/>
      <w:bookmarkStart w:id="335" w:name="_Toc184312082"/>
      <w:bookmarkEnd w:id="335"/>
      <w:bookmarkStart w:id="336" w:name="_Toc184313244"/>
      <w:bookmarkEnd w:id="336"/>
      <w:bookmarkStart w:id="337" w:name="_Toc184312126"/>
      <w:bookmarkEnd w:id="337"/>
      <w:bookmarkStart w:id="338" w:name="_Toc184310274"/>
      <w:bookmarkEnd w:id="338"/>
      <w:bookmarkStart w:id="339" w:name="_Toc184310287"/>
      <w:bookmarkEnd w:id="339"/>
      <w:bookmarkStart w:id="340" w:name="_Toc184314455"/>
      <w:bookmarkEnd w:id="340"/>
      <w:bookmarkStart w:id="341" w:name="_Toc184312135"/>
      <w:bookmarkEnd w:id="341"/>
      <w:bookmarkStart w:id="342" w:name="_Toc184310335"/>
      <w:bookmarkEnd w:id="342"/>
      <w:bookmarkStart w:id="343" w:name="_Toc184314481"/>
      <w:bookmarkEnd w:id="343"/>
      <w:bookmarkStart w:id="344" w:name="_Toc184310272"/>
      <w:bookmarkEnd w:id="344"/>
      <w:bookmarkStart w:id="345" w:name="_Toc184310277"/>
      <w:bookmarkEnd w:id="345"/>
      <w:bookmarkStart w:id="346" w:name="_Toc184312101"/>
      <w:bookmarkEnd w:id="346"/>
      <w:bookmarkStart w:id="347" w:name="_Toc184314422"/>
      <w:bookmarkEnd w:id="347"/>
      <w:bookmarkStart w:id="348" w:name="_Toc184313265"/>
      <w:bookmarkEnd w:id="348"/>
      <w:bookmarkStart w:id="349" w:name="_Toc184314443"/>
      <w:bookmarkEnd w:id="349"/>
      <w:bookmarkStart w:id="350" w:name="_Toc184313310"/>
      <w:bookmarkEnd w:id="350"/>
      <w:bookmarkStart w:id="351" w:name="_Toc184312071"/>
      <w:bookmarkEnd w:id="351"/>
      <w:bookmarkStart w:id="352" w:name="_Toc184308095"/>
      <w:bookmarkEnd w:id="352"/>
      <w:bookmarkStart w:id="353" w:name="_Toc184312093"/>
      <w:bookmarkEnd w:id="353"/>
      <w:bookmarkStart w:id="354" w:name="_Toc184310279"/>
      <w:bookmarkEnd w:id="354"/>
      <w:bookmarkStart w:id="355" w:name="_Toc184313291"/>
      <w:bookmarkEnd w:id="355"/>
      <w:bookmarkStart w:id="356" w:name="_Toc184308042"/>
      <w:bookmarkEnd w:id="356"/>
      <w:bookmarkStart w:id="357" w:name="_Toc184310286"/>
      <w:bookmarkEnd w:id="357"/>
      <w:bookmarkStart w:id="358" w:name="_Toc184314467"/>
      <w:bookmarkEnd w:id="358"/>
      <w:bookmarkStart w:id="359" w:name="_Toc184314430"/>
      <w:bookmarkEnd w:id="359"/>
      <w:bookmarkStart w:id="360" w:name="_Toc184308063"/>
      <w:bookmarkEnd w:id="360"/>
      <w:bookmarkStart w:id="361" w:name="_Toc184313277"/>
      <w:bookmarkEnd w:id="361"/>
      <w:bookmarkStart w:id="362" w:name="_Toc184313302"/>
      <w:bookmarkEnd w:id="362"/>
      <w:bookmarkStart w:id="363" w:name="_Toc184312074"/>
      <w:bookmarkEnd w:id="363"/>
      <w:bookmarkStart w:id="364" w:name="_Toc184313259"/>
      <w:bookmarkEnd w:id="364"/>
      <w:bookmarkStart w:id="365" w:name="_Toc184314425"/>
      <w:bookmarkEnd w:id="365"/>
      <w:bookmarkStart w:id="366" w:name="_Toc184308102"/>
      <w:bookmarkEnd w:id="366"/>
      <w:bookmarkStart w:id="367" w:name="_Toc184312136"/>
      <w:bookmarkEnd w:id="367"/>
      <w:bookmarkStart w:id="368" w:name="_Toc184313272"/>
      <w:bookmarkEnd w:id="368"/>
      <w:bookmarkStart w:id="369" w:name="_Toc184310316"/>
      <w:bookmarkEnd w:id="369"/>
      <w:bookmarkStart w:id="370" w:name="_Toc184314476"/>
      <w:bookmarkEnd w:id="370"/>
      <w:bookmarkStart w:id="371" w:name="_Toc184310294"/>
      <w:bookmarkEnd w:id="371"/>
      <w:bookmarkStart w:id="372" w:name="_Toc184310317"/>
      <w:bookmarkEnd w:id="372"/>
      <w:bookmarkStart w:id="373" w:name="_Toc184308097"/>
      <w:bookmarkEnd w:id="373"/>
      <w:bookmarkStart w:id="374" w:name="_Toc184312125"/>
      <w:bookmarkEnd w:id="374"/>
      <w:bookmarkStart w:id="375" w:name="_Toc184314421"/>
      <w:bookmarkEnd w:id="375"/>
      <w:bookmarkStart w:id="376" w:name="_Toc184310341"/>
      <w:bookmarkEnd w:id="376"/>
      <w:bookmarkStart w:id="377" w:name="_Toc184310329"/>
      <w:bookmarkEnd w:id="377"/>
      <w:bookmarkStart w:id="378" w:name="_Toc184308103"/>
      <w:bookmarkEnd w:id="378"/>
      <w:bookmarkStart w:id="379" w:name="_Toc184308054"/>
      <w:bookmarkEnd w:id="379"/>
      <w:bookmarkStart w:id="380" w:name="_Toc184313255"/>
      <w:bookmarkEnd w:id="380"/>
      <w:bookmarkStart w:id="381" w:name="_Toc184308073"/>
      <w:bookmarkEnd w:id="381"/>
      <w:bookmarkStart w:id="382" w:name="_Toc184310328"/>
      <w:bookmarkEnd w:id="382"/>
      <w:bookmarkStart w:id="383" w:name="_Toc184314453"/>
      <w:bookmarkEnd w:id="383"/>
      <w:bookmarkStart w:id="384" w:name="_Toc184308079"/>
      <w:bookmarkEnd w:id="384"/>
      <w:bookmarkStart w:id="385" w:name="_Toc184308071"/>
      <w:bookmarkEnd w:id="385"/>
      <w:bookmarkStart w:id="386" w:name="_Toc184308069"/>
      <w:bookmarkEnd w:id="386"/>
      <w:bookmarkStart w:id="387" w:name="_Toc184308068"/>
      <w:bookmarkEnd w:id="387"/>
      <w:bookmarkStart w:id="388" w:name="_Toc184308058"/>
      <w:bookmarkEnd w:id="388"/>
      <w:bookmarkStart w:id="389" w:name="_Toc184312131"/>
      <w:bookmarkEnd w:id="389"/>
      <w:bookmarkStart w:id="390" w:name="_Toc184314410"/>
      <w:bookmarkEnd w:id="390"/>
      <w:bookmarkStart w:id="391" w:name="_Toc184313253"/>
      <w:bookmarkEnd w:id="391"/>
      <w:bookmarkStart w:id="392" w:name="_Toc184308074"/>
      <w:bookmarkEnd w:id="392"/>
      <w:bookmarkStart w:id="393" w:name="_Toc184312098"/>
      <w:bookmarkEnd w:id="393"/>
      <w:bookmarkStart w:id="394" w:name="_Toc184312088"/>
      <w:bookmarkEnd w:id="394"/>
      <w:bookmarkStart w:id="395" w:name="_Toc184308083"/>
      <w:bookmarkEnd w:id="395"/>
      <w:bookmarkStart w:id="396" w:name="_Toc184314424"/>
      <w:bookmarkEnd w:id="396"/>
      <w:bookmarkStart w:id="397" w:name="_Toc184312115"/>
      <w:bookmarkEnd w:id="397"/>
      <w:bookmarkStart w:id="398" w:name="_Toc184314447"/>
      <w:bookmarkEnd w:id="398"/>
      <w:bookmarkStart w:id="399" w:name="_Toc184313280"/>
      <w:bookmarkEnd w:id="399"/>
      <w:bookmarkStart w:id="400" w:name="_Toc184313240"/>
      <w:bookmarkEnd w:id="400"/>
      <w:bookmarkStart w:id="401" w:name="_Toc184314433"/>
      <w:bookmarkEnd w:id="401"/>
      <w:bookmarkStart w:id="402" w:name="_Toc184314445"/>
      <w:bookmarkEnd w:id="402"/>
      <w:bookmarkStart w:id="403" w:name="_Toc184310331"/>
      <w:bookmarkEnd w:id="403"/>
      <w:bookmarkStart w:id="404" w:name="_Toc184313248"/>
      <w:bookmarkEnd w:id="404"/>
      <w:bookmarkStart w:id="405" w:name="_Toc184308047"/>
      <w:bookmarkEnd w:id="405"/>
      <w:bookmarkStart w:id="406" w:name="_Toc184312127"/>
      <w:bookmarkEnd w:id="406"/>
      <w:bookmarkStart w:id="407" w:name="_Toc184313250"/>
      <w:bookmarkEnd w:id="407"/>
      <w:bookmarkStart w:id="408" w:name="_Toc3291"/>
      <w:r>
        <w:rPr>
          <w:rFonts w:hint="eastAsia" w:ascii="宋体" w:hAnsi="宋体" w:cs="宋体"/>
          <w:szCs w:val="36"/>
          <w:highlight w:val="none"/>
        </w:rPr>
        <w:t>第四部分 评标办法</w:t>
      </w:r>
      <w:bookmarkEnd w:id="408"/>
    </w:p>
    <w:p w14:paraId="0D039AE2">
      <w:pPr>
        <w:pStyle w:val="4"/>
        <w:rPr>
          <w:highlight w:val="none"/>
        </w:rPr>
      </w:pPr>
      <w:bookmarkStart w:id="409" w:name="_Toc20512"/>
      <w:r>
        <w:rPr>
          <w:rFonts w:hint="eastAsia"/>
          <w:highlight w:val="none"/>
        </w:rPr>
        <w:t>一、评标方法</w:t>
      </w:r>
      <w:bookmarkEnd w:id="409"/>
    </w:p>
    <w:p w14:paraId="6C72C9F3">
      <w:pPr>
        <w:adjustRightInd/>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1.本项目采用综合评分法。</w:t>
      </w:r>
      <w:r>
        <w:rPr>
          <w:rFonts w:hint="eastAsia" w:ascii="宋体" w:hAnsi="宋体" w:cs="宋体"/>
          <w:kern w:val="0"/>
          <w:sz w:val="24"/>
          <w:highlight w:val="none"/>
        </w:rPr>
        <w:t>综合评分法，是指投标文件满足招标文件全部实质性要求，且按照评审因素的量化指标评审得分最高的投标人为中标候选人的评标方法。</w:t>
      </w:r>
    </w:p>
    <w:p w14:paraId="572386AC">
      <w:pPr>
        <w:pStyle w:val="4"/>
        <w:rPr>
          <w:highlight w:val="none"/>
          <w:lang w:val="en-US"/>
        </w:rPr>
      </w:pPr>
      <w:bookmarkStart w:id="410" w:name="_Toc9975"/>
      <w:r>
        <w:rPr>
          <w:rFonts w:hint="eastAsia"/>
          <w:highlight w:val="none"/>
          <w:lang w:val="en-US"/>
        </w:rPr>
        <w:t>二、评审标准</w:t>
      </w:r>
      <w:bookmarkEnd w:id="410"/>
    </w:p>
    <w:p w14:paraId="714E531F">
      <w:pPr>
        <w:snapToGrid w:val="0"/>
        <w:spacing w:line="360" w:lineRule="auto"/>
        <w:ind w:firstLine="482" w:firstLineChars="200"/>
        <w:rPr>
          <w:rFonts w:ascii="宋体" w:hAnsi="宋体"/>
          <w:b/>
          <w:sz w:val="24"/>
          <w:highlight w:val="none"/>
        </w:rPr>
      </w:pPr>
      <w:r>
        <w:rPr>
          <w:rFonts w:hint="eastAsia" w:ascii="宋体" w:hAnsi="宋体"/>
          <w:b/>
          <w:bCs/>
          <w:sz w:val="24"/>
          <w:highlight w:val="none"/>
        </w:rPr>
        <w:t>（一）商务技术部分</w:t>
      </w:r>
      <w:r>
        <w:rPr>
          <w:rFonts w:hint="eastAsia" w:ascii="宋体" w:hAnsi="宋体"/>
          <w:b/>
          <w:sz w:val="24"/>
          <w:highlight w:val="none"/>
        </w:rPr>
        <w:t>（70分）</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370"/>
        <w:gridCol w:w="690"/>
        <w:gridCol w:w="6200"/>
        <w:gridCol w:w="666"/>
      </w:tblGrid>
      <w:tr w14:paraId="10F3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dxa"/>
            <w:vAlign w:val="center"/>
          </w:tcPr>
          <w:p w14:paraId="710B4E87">
            <w:pPr>
              <w:snapToGrid w:val="0"/>
              <w:spacing w:line="360" w:lineRule="auto"/>
              <w:jc w:val="center"/>
              <w:rPr>
                <w:rFonts w:ascii="宋体" w:hAnsi="宋体" w:cs="宋体"/>
                <w:b/>
                <w:bCs/>
                <w:sz w:val="22"/>
                <w:szCs w:val="22"/>
                <w:highlight w:val="none"/>
              </w:rPr>
            </w:pPr>
            <w:r>
              <w:rPr>
                <w:rFonts w:hint="eastAsia" w:ascii="宋体" w:hAnsi="宋体" w:cs="宋体"/>
                <w:b/>
                <w:bCs/>
                <w:sz w:val="22"/>
                <w:szCs w:val="22"/>
                <w:highlight w:val="none"/>
              </w:rPr>
              <w:t>序号</w:t>
            </w:r>
          </w:p>
        </w:tc>
        <w:tc>
          <w:tcPr>
            <w:tcW w:w="1370" w:type="dxa"/>
            <w:vAlign w:val="center"/>
          </w:tcPr>
          <w:p w14:paraId="4528FAFE">
            <w:pPr>
              <w:snapToGrid w:val="0"/>
              <w:spacing w:line="360" w:lineRule="auto"/>
              <w:jc w:val="center"/>
              <w:rPr>
                <w:rFonts w:ascii="宋体" w:hAnsi="宋体" w:cs="宋体"/>
                <w:b/>
                <w:bCs/>
                <w:sz w:val="22"/>
                <w:szCs w:val="22"/>
                <w:highlight w:val="none"/>
              </w:rPr>
            </w:pPr>
            <w:r>
              <w:rPr>
                <w:rFonts w:hint="eastAsia" w:ascii="宋体" w:hAnsi="宋体" w:cs="宋体"/>
                <w:b/>
                <w:bCs/>
                <w:sz w:val="22"/>
                <w:szCs w:val="22"/>
                <w:highlight w:val="none"/>
              </w:rPr>
              <w:t>评审因素</w:t>
            </w:r>
          </w:p>
        </w:tc>
        <w:tc>
          <w:tcPr>
            <w:tcW w:w="690" w:type="dxa"/>
            <w:vAlign w:val="center"/>
          </w:tcPr>
          <w:p w14:paraId="533D81EF">
            <w:pPr>
              <w:snapToGrid w:val="0"/>
              <w:spacing w:line="360" w:lineRule="auto"/>
              <w:jc w:val="center"/>
              <w:rPr>
                <w:rFonts w:ascii="宋体" w:hAnsi="宋体" w:cs="宋体"/>
                <w:b/>
                <w:bCs/>
                <w:sz w:val="22"/>
                <w:szCs w:val="22"/>
                <w:highlight w:val="none"/>
              </w:rPr>
            </w:pPr>
            <w:r>
              <w:rPr>
                <w:rFonts w:hint="eastAsia" w:ascii="宋体" w:hAnsi="宋体" w:cs="宋体"/>
                <w:b/>
                <w:bCs/>
                <w:sz w:val="22"/>
                <w:szCs w:val="22"/>
                <w:highlight w:val="none"/>
              </w:rPr>
              <w:t>分值</w:t>
            </w:r>
          </w:p>
        </w:tc>
        <w:tc>
          <w:tcPr>
            <w:tcW w:w="6200" w:type="dxa"/>
            <w:vAlign w:val="center"/>
          </w:tcPr>
          <w:p w14:paraId="71410011">
            <w:pPr>
              <w:snapToGrid w:val="0"/>
              <w:spacing w:line="360" w:lineRule="auto"/>
              <w:jc w:val="center"/>
              <w:rPr>
                <w:rFonts w:ascii="宋体" w:hAnsi="宋体" w:cs="宋体"/>
                <w:b/>
                <w:bCs/>
                <w:sz w:val="22"/>
                <w:szCs w:val="22"/>
                <w:highlight w:val="none"/>
              </w:rPr>
            </w:pPr>
            <w:r>
              <w:rPr>
                <w:rFonts w:hint="eastAsia" w:ascii="宋体" w:hAnsi="宋体" w:cs="宋体"/>
                <w:b/>
                <w:bCs/>
                <w:sz w:val="22"/>
                <w:szCs w:val="22"/>
                <w:highlight w:val="none"/>
              </w:rPr>
              <w:t>评分细则</w:t>
            </w:r>
          </w:p>
        </w:tc>
        <w:tc>
          <w:tcPr>
            <w:tcW w:w="666" w:type="dxa"/>
            <w:vAlign w:val="center"/>
          </w:tcPr>
          <w:p w14:paraId="04B0EDCC">
            <w:pPr>
              <w:snapToGrid w:val="0"/>
              <w:spacing w:line="360" w:lineRule="auto"/>
              <w:jc w:val="center"/>
              <w:rPr>
                <w:rFonts w:ascii="宋体" w:hAnsi="宋体" w:cs="宋体"/>
                <w:b/>
                <w:bCs/>
                <w:sz w:val="22"/>
                <w:szCs w:val="22"/>
                <w:highlight w:val="none"/>
              </w:rPr>
            </w:pPr>
            <w:r>
              <w:rPr>
                <w:rFonts w:hint="eastAsia" w:ascii="宋体" w:hAnsi="宋体" w:cs="宋体"/>
                <w:b/>
                <w:bCs/>
                <w:sz w:val="22"/>
                <w:szCs w:val="22"/>
                <w:highlight w:val="none"/>
              </w:rPr>
              <w:t>备注</w:t>
            </w:r>
          </w:p>
        </w:tc>
      </w:tr>
      <w:tr w14:paraId="5EFD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shd w:val="clear" w:color="auto" w:fill="auto"/>
            <w:vAlign w:val="center"/>
          </w:tcPr>
          <w:p w14:paraId="7EFD5808">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1</w:t>
            </w:r>
          </w:p>
        </w:tc>
        <w:tc>
          <w:tcPr>
            <w:tcW w:w="1370" w:type="dxa"/>
            <w:shd w:val="clear" w:color="auto" w:fill="auto"/>
            <w:vAlign w:val="center"/>
          </w:tcPr>
          <w:p w14:paraId="0DE83DE2">
            <w:pPr>
              <w:snapToGrid w:val="0"/>
              <w:spacing w:line="360" w:lineRule="auto"/>
              <w:jc w:val="center"/>
              <w:rPr>
                <w:rFonts w:ascii="宋体" w:hAnsi="宋体" w:cs="宋体"/>
                <w:kern w:val="0"/>
                <w:sz w:val="22"/>
                <w:szCs w:val="22"/>
                <w:highlight w:val="none"/>
              </w:rPr>
            </w:pPr>
            <w:bookmarkStart w:id="411" w:name="OLE_LINK15"/>
            <w:r>
              <w:rPr>
                <w:rFonts w:hint="eastAsia" w:ascii="宋体" w:hAnsi="宋体" w:cs="宋体"/>
                <w:kern w:val="0"/>
                <w:sz w:val="22"/>
                <w:szCs w:val="22"/>
                <w:highlight w:val="none"/>
              </w:rPr>
              <w:t>产品认证情况</w:t>
            </w:r>
            <w:bookmarkEnd w:id="411"/>
          </w:p>
        </w:tc>
        <w:tc>
          <w:tcPr>
            <w:tcW w:w="690" w:type="dxa"/>
            <w:shd w:val="clear" w:color="auto" w:fill="auto"/>
            <w:vAlign w:val="center"/>
          </w:tcPr>
          <w:p w14:paraId="18E76F33">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6</w:t>
            </w:r>
          </w:p>
        </w:tc>
        <w:tc>
          <w:tcPr>
            <w:tcW w:w="6200" w:type="dxa"/>
            <w:shd w:val="clear" w:color="auto" w:fill="auto"/>
            <w:vAlign w:val="center"/>
          </w:tcPr>
          <w:p w14:paraId="465801C6">
            <w:pPr>
              <w:widowControl/>
              <w:snapToGrid w:val="0"/>
              <w:spacing w:line="360" w:lineRule="auto"/>
              <w:rPr>
                <w:rFonts w:ascii="宋体" w:hAnsi="宋体" w:cs="宋体"/>
                <w:kern w:val="0"/>
                <w:sz w:val="22"/>
                <w:szCs w:val="22"/>
                <w:highlight w:val="none"/>
              </w:rPr>
            </w:pPr>
            <w:r>
              <w:rPr>
                <w:rStyle w:val="78"/>
                <w:rFonts w:hint="eastAsia" w:ascii="宋体" w:hAnsi="宋体" w:cs="宋体"/>
                <w:color w:val="auto"/>
                <w:sz w:val="22"/>
                <w:szCs w:val="22"/>
                <w:highlight w:val="none"/>
              </w:rPr>
              <w:t>（1）</w:t>
            </w:r>
            <w:r>
              <w:rPr>
                <w:rStyle w:val="78"/>
                <w:rFonts w:hint="eastAsia" w:ascii="宋体" w:hAnsi="宋体" w:eastAsia="宋体" w:cs="宋体"/>
                <w:color w:val="auto"/>
                <w:sz w:val="22"/>
                <w:szCs w:val="22"/>
                <w:highlight w:val="none"/>
              </w:rPr>
              <w:t>中国环境标志产品认证证书（十环证书）:内容需含</w:t>
            </w:r>
            <w:r>
              <w:rPr>
                <w:rFonts w:hint="eastAsia" w:ascii="宋体" w:hAnsi="宋体" w:cs="宋体"/>
                <w:kern w:val="0"/>
                <w:sz w:val="22"/>
                <w:szCs w:val="22"/>
                <w:highlight w:val="none"/>
              </w:rPr>
              <w:t>人造板类家具、金属或钢木家具、软体家具等三类，每提供 1 类计 1分，最高不超过 3分。</w:t>
            </w:r>
          </w:p>
          <w:p w14:paraId="0B244C78">
            <w:pPr>
              <w:snapToGrid w:val="0"/>
              <w:spacing w:line="360" w:lineRule="auto"/>
              <w:rPr>
                <w:rFonts w:ascii="宋体" w:hAnsi="宋体" w:cs="宋体"/>
                <w:kern w:val="0"/>
                <w:sz w:val="22"/>
                <w:szCs w:val="22"/>
                <w:highlight w:val="none"/>
              </w:rPr>
            </w:pPr>
            <w:r>
              <w:rPr>
                <w:rStyle w:val="78"/>
                <w:rFonts w:hint="eastAsia" w:ascii="宋体" w:hAnsi="宋体" w:cs="宋体"/>
                <w:color w:val="auto"/>
                <w:sz w:val="22"/>
                <w:szCs w:val="22"/>
                <w:highlight w:val="none"/>
              </w:rPr>
              <w:t>（2）</w:t>
            </w:r>
            <w:r>
              <w:rPr>
                <w:rStyle w:val="78"/>
                <w:rFonts w:hint="eastAsia" w:ascii="宋体" w:hAnsi="宋体" w:eastAsia="宋体" w:cs="宋体"/>
                <w:color w:val="auto"/>
                <w:sz w:val="22"/>
                <w:szCs w:val="22"/>
                <w:highlight w:val="none"/>
              </w:rPr>
              <w:t>家具产品有毒有害物质限量认证证书</w:t>
            </w:r>
            <w:r>
              <w:rPr>
                <w:rFonts w:hint="eastAsia" w:ascii="宋体" w:hAnsi="宋体" w:cs="宋体"/>
                <w:kern w:val="0"/>
                <w:sz w:val="22"/>
                <w:szCs w:val="22"/>
                <w:highlight w:val="none"/>
              </w:rPr>
              <w:t>:内容需含</w:t>
            </w:r>
            <w:r>
              <w:rPr>
                <w:rStyle w:val="78"/>
                <w:rFonts w:hint="eastAsia" w:ascii="宋体" w:hAnsi="宋体" w:eastAsia="宋体" w:cs="宋体"/>
                <w:color w:val="auto"/>
                <w:sz w:val="22"/>
                <w:szCs w:val="22"/>
                <w:highlight w:val="none"/>
              </w:rPr>
              <w:t>金属家具-桌类、木家具-桌类、木家具-柜类等</w:t>
            </w:r>
            <w:r>
              <w:rPr>
                <w:rFonts w:hint="eastAsia" w:ascii="宋体" w:hAnsi="宋体" w:cs="宋体"/>
                <w:kern w:val="0"/>
                <w:sz w:val="22"/>
                <w:szCs w:val="22"/>
                <w:highlight w:val="none"/>
              </w:rPr>
              <w:t>三类,每提供 1 类计 1分，最高不超过 3分。</w:t>
            </w:r>
          </w:p>
          <w:p w14:paraId="1354C6B4">
            <w:pPr>
              <w:widowControl/>
              <w:snapToGrid w:val="0"/>
              <w:spacing w:line="360" w:lineRule="auto"/>
              <w:rPr>
                <w:rFonts w:ascii="宋体" w:hAnsi="宋体" w:cs="宋体"/>
                <w:kern w:val="0"/>
                <w:sz w:val="22"/>
                <w:szCs w:val="22"/>
                <w:highlight w:val="none"/>
              </w:rPr>
            </w:pPr>
            <w:r>
              <w:rPr>
                <w:rFonts w:hint="eastAsia" w:ascii="宋体" w:hAnsi="宋体" w:cs="宋体"/>
                <w:kern w:val="0"/>
                <w:sz w:val="22"/>
                <w:szCs w:val="22"/>
                <w:highlight w:val="none"/>
              </w:rPr>
              <w:t>证书须在有效期内，且生产者（或生产企业）名称应与投标产品生产厂商一致。</w:t>
            </w:r>
          </w:p>
        </w:tc>
        <w:tc>
          <w:tcPr>
            <w:tcW w:w="666" w:type="dxa"/>
            <w:shd w:val="clear" w:color="auto" w:fill="auto"/>
            <w:vAlign w:val="center"/>
          </w:tcPr>
          <w:p w14:paraId="3EF58BC4">
            <w:pPr>
              <w:snapToGrid w:val="0"/>
              <w:spacing w:line="360" w:lineRule="auto"/>
              <w:jc w:val="center"/>
              <w:rPr>
                <w:rFonts w:ascii="宋体" w:hAnsi="宋体" w:cs="宋体"/>
                <w:kern w:val="0"/>
                <w:sz w:val="22"/>
                <w:szCs w:val="22"/>
                <w:highlight w:val="none"/>
              </w:rPr>
            </w:pPr>
            <w:r>
              <w:rPr>
                <w:rFonts w:hint="eastAsia" w:ascii="宋体" w:hAnsi="宋体" w:cs="宋体"/>
                <w:spacing w:val="-6"/>
                <w:sz w:val="22"/>
                <w:szCs w:val="22"/>
                <w:highlight w:val="none"/>
              </w:rPr>
              <w:t>客观分</w:t>
            </w:r>
          </w:p>
        </w:tc>
      </w:tr>
      <w:tr w14:paraId="79ED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shd w:val="clear" w:color="auto" w:fill="auto"/>
            <w:vAlign w:val="center"/>
          </w:tcPr>
          <w:p w14:paraId="6052B98E">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2</w:t>
            </w:r>
          </w:p>
        </w:tc>
        <w:tc>
          <w:tcPr>
            <w:tcW w:w="1370" w:type="dxa"/>
            <w:shd w:val="clear" w:color="auto" w:fill="auto"/>
            <w:vAlign w:val="center"/>
          </w:tcPr>
          <w:p w14:paraId="0F6F2A70">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体系认证证书</w:t>
            </w:r>
          </w:p>
        </w:tc>
        <w:tc>
          <w:tcPr>
            <w:tcW w:w="690" w:type="dxa"/>
            <w:shd w:val="clear" w:color="auto" w:fill="auto"/>
            <w:vAlign w:val="center"/>
          </w:tcPr>
          <w:p w14:paraId="732EBC38">
            <w:pPr>
              <w:snapToGrid w:val="0"/>
              <w:spacing w:line="360" w:lineRule="auto"/>
              <w:jc w:val="center"/>
              <w:rPr>
                <w:rFonts w:asciiTheme="minorEastAsia" w:hAnsiTheme="minorEastAsia" w:eastAsiaTheme="minorEastAsia" w:cstheme="minorEastAsia"/>
                <w:kern w:val="0"/>
                <w:sz w:val="22"/>
                <w:szCs w:val="22"/>
                <w:highlight w:val="none"/>
              </w:rPr>
            </w:pPr>
            <w:r>
              <w:rPr>
                <w:rFonts w:hint="eastAsia" w:asciiTheme="minorEastAsia" w:hAnsiTheme="minorEastAsia" w:eastAsiaTheme="minorEastAsia" w:cstheme="minorEastAsia"/>
                <w:kern w:val="0"/>
                <w:sz w:val="22"/>
                <w:szCs w:val="22"/>
                <w:highlight w:val="none"/>
              </w:rPr>
              <w:t>2</w:t>
            </w:r>
          </w:p>
        </w:tc>
        <w:tc>
          <w:tcPr>
            <w:tcW w:w="6200" w:type="dxa"/>
            <w:shd w:val="clear" w:color="auto" w:fill="auto"/>
            <w:vAlign w:val="center"/>
          </w:tcPr>
          <w:p w14:paraId="3C65E5C2">
            <w:pPr>
              <w:widowControl/>
              <w:snapToGrid w:val="0"/>
              <w:spacing w:line="360" w:lineRule="auto"/>
              <w:rPr>
                <w:rStyle w:val="78"/>
                <w:rFonts w:asciiTheme="minorEastAsia" w:hAnsiTheme="minorEastAsia" w:eastAsiaTheme="minorEastAsia" w:cstheme="minorEastAsia"/>
                <w:color w:val="auto"/>
                <w:sz w:val="22"/>
                <w:szCs w:val="22"/>
                <w:highlight w:val="none"/>
              </w:rPr>
            </w:pPr>
            <w:r>
              <w:rPr>
                <w:rStyle w:val="78"/>
                <w:rFonts w:hint="eastAsia" w:asciiTheme="minorEastAsia" w:hAnsiTheme="minorEastAsia" w:eastAsiaTheme="minorEastAsia" w:cstheme="minorEastAsia"/>
                <w:color w:val="auto"/>
                <w:sz w:val="22"/>
                <w:szCs w:val="22"/>
                <w:highlight w:val="none"/>
              </w:rPr>
              <w:t>投标人或生产厂家具备有效期内的ISO9001质量管理体系认证证书、ISO14001环境管理体系认证证书，</w:t>
            </w:r>
            <w:r>
              <w:rPr>
                <w:rStyle w:val="78"/>
                <w:rFonts w:asciiTheme="minorEastAsia" w:hAnsiTheme="minorEastAsia" w:eastAsiaTheme="minorEastAsia" w:cstheme="minorEastAsia"/>
                <w:color w:val="auto"/>
                <w:sz w:val="22"/>
                <w:szCs w:val="22"/>
                <w:highlight w:val="none"/>
              </w:rPr>
              <w:t xml:space="preserve">每提供 1 类计 </w:t>
            </w:r>
            <w:r>
              <w:rPr>
                <w:rStyle w:val="78"/>
                <w:rFonts w:hint="eastAsia" w:asciiTheme="minorEastAsia" w:hAnsiTheme="minorEastAsia" w:eastAsiaTheme="minorEastAsia" w:cstheme="minorEastAsia"/>
                <w:color w:val="auto"/>
                <w:sz w:val="22"/>
                <w:szCs w:val="22"/>
                <w:highlight w:val="none"/>
              </w:rPr>
              <w:t>1</w:t>
            </w:r>
            <w:r>
              <w:rPr>
                <w:rStyle w:val="78"/>
                <w:rFonts w:asciiTheme="minorEastAsia" w:hAnsiTheme="minorEastAsia" w:eastAsiaTheme="minorEastAsia" w:cstheme="minorEastAsia"/>
                <w:color w:val="auto"/>
                <w:sz w:val="22"/>
                <w:szCs w:val="22"/>
                <w:highlight w:val="none"/>
              </w:rPr>
              <w:t>分，最高不超过</w:t>
            </w:r>
            <w:r>
              <w:rPr>
                <w:rStyle w:val="78"/>
                <w:rFonts w:hint="eastAsia" w:asciiTheme="minorEastAsia" w:hAnsiTheme="minorEastAsia" w:eastAsiaTheme="minorEastAsia" w:cstheme="minorEastAsia"/>
                <w:color w:val="auto"/>
                <w:sz w:val="22"/>
                <w:szCs w:val="22"/>
                <w:highlight w:val="none"/>
              </w:rPr>
              <w:t>2</w:t>
            </w:r>
            <w:r>
              <w:rPr>
                <w:rStyle w:val="78"/>
                <w:rFonts w:asciiTheme="minorEastAsia" w:hAnsiTheme="minorEastAsia" w:eastAsiaTheme="minorEastAsia" w:cstheme="minorEastAsia"/>
                <w:color w:val="auto"/>
                <w:sz w:val="22"/>
                <w:szCs w:val="22"/>
                <w:highlight w:val="none"/>
              </w:rPr>
              <w:t>分。</w:t>
            </w:r>
          </w:p>
          <w:p w14:paraId="4981AA30">
            <w:pPr>
              <w:snapToGrid w:val="0"/>
              <w:spacing w:line="360" w:lineRule="auto"/>
              <w:rPr>
                <w:rFonts w:asciiTheme="minorEastAsia" w:hAnsiTheme="minorEastAsia" w:eastAsiaTheme="minorEastAsia" w:cstheme="minorEastAsia"/>
                <w:sz w:val="22"/>
                <w:szCs w:val="22"/>
                <w:highlight w:val="none"/>
              </w:rPr>
            </w:pPr>
            <w:r>
              <w:rPr>
                <w:rStyle w:val="78"/>
                <w:rFonts w:asciiTheme="minorEastAsia" w:hAnsiTheme="minorEastAsia" w:eastAsiaTheme="minorEastAsia" w:cstheme="minorEastAsia"/>
                <w:color w:val="auto"/>
                <w:sz w:val="22"/>
                <w:szCs w:val="22"/>
                <w:highlight w:val="none"/>
              </w:rPr>
              <w:t xml:space="preserve">注：提供证书扫描件及全国认证认可信息公共服务平台的网页查询截图并加盖投标人公章，否则不得分。 </w:t>
            </w:r>
          </w:p>
        </w:tc>
        <w:tc>
          <w:tcPr>
            <w:tcW w:w="666" w:type="dxa"/>
            <w:shd w:val="clear" w:color="auto" w:fill="auto"/>
            <w:vAlign w:val="center"/>
          </w:tcPr>
          <w:p w14:paraId="7A88462C">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客观分</w:t>
            </w:r>
          </w:p>
        </w:tc>
      </w:tr>
      <w:tr w14:paraId="6DD4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2" w:type="dxa"/>
            <w:vAlign w:val="center"/>
          </w:tcPr>
          <w:p w14:paraId="567DD31E">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1370" w:type="dxa"/>
            <w:vAlign w:val="center"/>
          </w:tcPr>
          <w:p w14:paraId="38EA3EB0">
            <w:pPr>
              <w:snapToGrid w:val="0"/>
              <w:spacing w:line="360" w:lineRule="auto"/>
              <w:jc w:val="center"/>
              <w:rPr>
                <w:rFonts w:ascii="宋体" w:hAnsi="宋体" w:cs="宋体"/>
                <w:sz w:val="22"/>
                <w:szCs w:val="22"/>
                <w:highlight w:val="none"/>
              </w:rPr>
            </w:pPr>
            <w:bookmarkStart w:id="412" w:name="OLE_LINK17"/>
            <w:r>
              <w:rPr>
                <w:rFonts w:hint="eastAsia" w:ascii="宋体" w:hAnsi="宋体" w:cs="宋体"/>
                <w:sz w:val="22"/>
                <w:szCs w:val="22"/>
                <w:highlight w:val="none"/>
              </w:rPr>
              <w:t>历史业绩</w:t>
            </w:r>
            <w:bookmarkEnd w:id="412"/>
          </w:p>
        </w:tc>
        <w:tc>
          <w:tcPr>
            <w:tcW w:w="690" w:type="dxa"/>
            <w:vAlign w:val="center"/>
          </w:tcPr>
          <w:p w14:paraId="2B99EF3D">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6200" w:type="dxa"/>
            <w:vAlign w:val="center"/>
          </w:tcPr>
          <w:p w14:paraId="62D26A5A">
            <w:pPr>
              <w:widowControl/>
              <w:snapToGrid w:val="0"/>
              <w:spacing w:line="360" w:lineRule="auto"/>
              <w:jc w:val="left"/>
              <w:rPr>
                <w:rFonts w:ascii="宋体" w:hAnsi="宋体" w:cs="宋体"/>
                <w:kern w:val="0"/>
                <w:sz w:val="22"/>
                <w:szCs w:val="22"/>
                <w:highlight w:val="none"/>
              </w:rPr>
            </w:pPr>
            <w:r>
              <w:rPr>
                <w:rFonts w:hint="eastAsia" w:ascii="宋体" w:hAnsi="宋体" w:cs="宋体"/>
                <w:kern w:val="0"/>
                <w:sz w:val="22"/>
                <w:szCs w:val="22"/>
                <w:highlight w:val="none"/>
              </w:rPr>
              <w:t>自 2022 年 1 月 1 日起，投标人在国内完成与本项目同类产品的案例，每提供 1 项计 1 分，最高不超过 3 分（以合同签订时间为准）。</w:t>
            </w:r>
          </w:p>
          <w:p w14:paraId="6E85516A">
            <w:pPr>
              <w:widowControl/>
              <w:snapToGrid w:val="0"/>
              <w:spacing w:line="360" w:lineRule="auto"/>
              <w:jc w:val="left"/>
              <w:rPr>
                <w:rFonts w:ascii="宋体" w:hAnsi="宋体" w:cs="宋体"/>
                <w:sz w:val="22"/>
                <w:szCs w:val="22"/>
                <w:highlight w:val="none"/>
              </w:rPr>
            </w:pPr>
            <w:r>
              <w:rPr>
                <w:rFonts w:hint="eastAsia" w:ascii="宋体" w:hAnsi="宋体" w:cs="宋体"/>
                <w:kern w:val="0"/>
                <w:sz w:val="22"/>
                <w:szCs w:val="22"/>
                <w:highlight w:val="none"/>
              </w:rPr>
              <w:t>备注：每项业绩须提供完整的合同和验收报告扫描件，并加盖投标人公章，否则不得分。</w:t>
            </w:r>
          </w:p>
        </w:tc>
        <w:tc>
          <w:tcPr>
            <w:tcW w:w="666" w:type="dxa"/>
            <w:vAlign w:val="center"/>
          </w:tcPr>
          <w:p w14:paraId="0EBD776D">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客观分</w:t>
            </w:r>
          </w:p>
        </w:tc>
      </w:tr>
      <w:tr w14:paraId="1F82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14:paraId="41C5A418">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4</w:t>
            </w:r>
          </w:p>
        </w:tc>
        <w:tc>
          <w:tcPr>
            <w:tcW w:w="1370" w:type="dxa"/>
            <w:vAlign w:val="center"/>
          </w:tcPr>
          <w:p w14:paraId="5B013067">
            <w:pPr>
              <w:snapToGrid w:val="0"/>
              <w:spacing w:line="360" w:lineRule="auto"/>
              <w:jc w:val="center"/>
              <w:rPr>
                <w:rFonts w:ascii="宋体" w:hAnsi="宋体" w:cs="宋体"/>
                <w:kern w:val="0"/>
                <w:sz w:val="22"/>
                <w:szCs w:val="22"/>
                <w:highlight w:val="none"/>
              </w:rPr>
            </w:pPr>
            <w:bookmarkStart w:id="413" w:name="OLE_LINK18"/>
            <w:r>
              <w:rPr>
                <w:rFonts w:hint="eastAsia" w:ascii="宋体" w:hAnsi="宋体" w:cs="宋体"/>
                <w:sz w:val="22"/>
                <w:szCs w:val="22"/>
                <w:highlight w:val="none"/>
              </w:rPr>
              <w:t>技术参数响应程度</w:t>
            </w:r>
            <w:bookmarkEnd w:id="413"/>
          </w:p>
        </w:tc>
        <w:tc>
          <w:tcPr>
            <w:tcW w:w="690" w:type="dxa"/>
            <w:vAlign w:val="center"/>
          </w:tcPr>
          <w:p w14:paraId="7057A191">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6</w:t>
            </w:r>
          </w:p>
        </w:tc>
        <w:tc>
          <w:tcPr>
            <w:tcW w:w="6200" w:type="dxa"/>
            <w:vAlign w:val="center"/>
          </w:tcPr>
          <w:p w14:paraId="24479C7D">
            <w:pPr>
              <w:widowControl/>
              <w:snapToGrid w:val="0"/>
              <w:spacing w:line="360" w:lineRule="auto"/>
              <w:jc w:val="left"/>
              <w:rPr>
                <w:rFonts w:ascii="宋体" w:hAnsi="宋体" w:cs="宋体"/>
                <w:sz w:val="22"/>
                <w:szCs w:val="22"/>
                <w:highlight w:val="none"/>
              </w:rPr>
            </w:pPr>
            <w:r>
              <w:rPr>
                <w:rFonts w:hint="eastAsia" w:ascii="宋体" w:hAnsi="宋体" w:cs="宋体"/>
                <w:kern w:val="0"/>
                <w:sz w:val="22"/>
                <w:szCs w:val="22"/>
                <w:highlight w:val="none"/>
              </w:rPr>
              <w:t>投标文件完全满足招标文件中所有明确技术条款要求的，计满分6分；每有有1 项参数不满足或明显偏离要求的，扣1分，扣完为止。评分以招标文件列明的技术参数为准，并以技术响应表和相关佐证材料为依据进行评审。</w:t>
            </w:r>
          </w:p>
        </w:tc>
        <w:tc>
          <w:tcPr>
            <w:tcW w:w="666" w:type="dxa"/>
            <w:vAlign w:val="center"/>
          </w:tcPr>
          <w:p w14:paraId="09B8238A">
            <w:pPr>
              <w:snapToGrid w:val="0"/>
              <w:spacing w:line="360" w:lineRule="auto"/>
              <w:jc w:val="center"/>
              <w:rPr>
                <w:rFonts w:ascii="宋体" w:hAnsi="宋体" w:cs="宋体"/>
                <w:kern w:val="0"/>
                <w:sz w:val="22"/>
                <w:szCs w:val="22"/>
                <w:highlight w:val="none"/>
              </w:rPr>
            </w:pPr>
            <w:r>
              <w:rPr>
                <w:rFonts w:hint="eastAsia" w:ascii="宋体" w:hAnsi="宋体" w:cs="宋体"/>
                <w:spacing w:val="-6"/>
                <w:sz w:val="22"/>
                <w:szCs w:val="22"/>
                <w:highlight w:val="none"/>
              </w:rPr>
              <w:t>客观分</w:t>
            </w:r>
          </w:p>
        </w:tc>
      </w:tr>
      <w:tr w14:paraId="4E08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2" w:type="dxa"/>
            <w:vAlign w:val="center"/>
          </w:tcPr>
          <w:p w14:paraId="09E998DB">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1370" w:type="dxa"/>
            <w:vAlign w:val="center"/>
          </w:tcPr>
          <w:p w14:paraId="1F7C5641">
            <w:pPr>
              <w:snapToGrid w:val="0"/>
              <w:spacing w:line="360" w:lineRule="auto"/>
              <w:jc w:val="center"/>
              <w:rPr>
                <w:rFonts w:ascii="宋体" w:hAnsi="宋体" w:cs="宋体"/>
                <w:kern w:val="0"/>
                <w:sz w:val="22"/>
                <w:szCs w:val="22"/>
                <w:highlight w:val="none"/>
              </w:rPr>
            </w:pPr>
            <w:r>
              <w:rPr>
                <w:rFonts w:hint="eastAsia" w:ascii="宋体" w:hAnsi="宋体" w:cs="宋体"/>
                <w:sz w:val="22"/>
                <w:szCs w:val="22"/>
                <w:highlight w:val="none"/>
              </w:rPr>
              <w:t>主要原材料检测报告</w:t>
            </w:r>
          </w:p>
        </w:tc>
        <w:tc>
          <w:tcPr>
            <w:tcW w:w="690" w:type="dxa"/>
            <w:vAlign w:val="center"/>
          </w:tcPr>
          <w:p w14:paraId="5D553ED0">
            <w:pPr>
              <w:snapToGrid w:val="0"/>
              <w:spacing w:line="360" w:lineRule="auto"/>
              <w:jc w:val="center"/>
              <w:rPr>
                <w:rFonts w:ascii="宋体" w:hAnsi="宋体" w:cs="宋体"/>
                <w:kern w:val="0"/>
                <w:sz w:val="22"/>
                <w:szCs w:val="22"/>
                <w:highlight w:val="none"/>
              </w:rPr>
            </w:pPr>
            <w:r>
              <w:rPr>
                <w:rFonts w:hint="eastAsia" w:ascii="宋体" w:hAnsi="宋体" w:cs="宋体"/>
                <w:kern w:val="0"/>
                <w:sz w:val="22"/>
                <w:szCs w:val="22"/>
                <w:highlight w:val="none"/>
              </w:rPr>
              <w:t>5</w:t>
            </w:r>
          </w:p>
        </w:tc>
        <w:tc>
          <w:tcPr>
            <w:tcW w:w="6200" w:type="dxa"/>
            <w:vAlign w:val="center"/>
          </w:tcPr>
          <w:p w14:paraId="6C0B80D9">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投标人</w:t>
            </w:r>
            <w:r>
              <w:rPr>
                <w:rFonts w:hint="eastAsia" w:ascii="宋体" w:hAnsi="宋体" w:cs="宋体"/>
                <w:bCs/>
                <w:sz w:val="22"/>
                <w:szCs w:val="22"/>
                <w:highlight w:val="none"/>
              </w:rPr>
              <w:t>或生产厂家</w:t>
            </w:r>
            <w:r>
              <w:rPr>
                <w:rFonts w:hint="eastAsia" w:ascii="宋体" w:hAnsi="宋体" w:cs="宋体"/>
                <w:sz w:val="22"/>
                <w:szCs w:val="22"/>
                <w:highlight w:val="none"/>
              </w:rPr>
              <w:t>提供具备CMA资质的第三方检测机构出具的原材料检测报告，包含刨花板、布绒、胶黏剂、泡棉、水性面漆、封边条；上述报告每提供一份得1分，最高得5分。</w:t>
            </w:r>
          </w:p>
          <w:p w14:paraId="0AD23386">
            <w:pPr>
              <w:snapToGrid w:val="0"/>
              <w:spacing w:line="360" w:lineRule="auto"/>
              <w:jc w:val="left"/>
              <w:rPr>
                <w:sz w:val="22"/>
                <w:szCs w:val="22"/>
                <w:highlight w:val="none"/>
              </w:rPr>
            </w:pPr>
            <w:r>
              <w:rPr>
                <w:rFonts w:hint="eastAsia" w:ascii="宋体" w:hAnsi="宋体" w:cs="宋体"/>
                <w:sz w:val="22"/>
                <w:szCs w:val="22"/>
                <w:highlight w:val="none"/>
              </w:rPr>
              <w:t>注：提供检测报告扫描件并加盖投标人公章，否则不得分。</w:t>
            </w:r>
          </w:p>
        </w:tc>
        <w:tc>
          <w:tcPr>
            <w:tcW w:w="666" w:type="dxa"/>
            <w:vAlign w:val="center"/>
          </w:tcPr>
          <w:p w14:paraId="62A45DAF">
            <w:pPr>
              <w:snapToGrid w:val="0"/>
              <w:spacing w:line="360" w:lineRule="auto"/>
              <w:jc w:val="center"/>
              <w:rPr>
                <w:rFonts w:ascii="宋体" w:hAnsi="宋体" w:cs="宋体"/>
                <w:kern w:val="0"/>
                <w:sz w:val="22"/>
                <w:szCs w:val="22"/>
                <w:highlight w:val="none"/>
              </w:rPr>
            </w:pPr>
            <w:r>
              <w:rPr>
                <w:rFonts w:hint="eastAsia" w:ascii="宋体" w:hAnsi="宋体" w:cs="宋体"/>
                <w:spacing w:val="-6"/>
                <w:sz w:val="22"/>
                <w:szCs w:val="22"/>
                <w:highlight w:val="none"/>
              </w:rPr>
              <w:t>客观分</w:t>
            </w:r>
          </w:p>
        </w:tc>
      </w:tr>
      <w:tr w14:paraId="0365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92" w:type="dxa"/>
            <w:vAlign w:val="center"/>
          </w:tcPr>
          <w:p w14:paraId="2EE3A3DF">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6</w:t>
            </w:r>
          </w:p>
        </w:tc>
        <w:tc>
          <w:tcPr>
            <w:tcW w:w="1370" w:type="dxa"/>
            <w:vAlign w:val="center"/>
          </w:tcPr>
          <w:p w14:paraId="317E5578">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成品检测报告</w:t>
            </w:r>
          </w:p>
        </w:tc>
        <w:tc>
          <w:tcPr>
            <w:tcW w:w="690" w:type="dxa"/>
            <w:vAlign w:val="center"/>
          </w:tcPr>
          <w:p w14:paraId="5EB71CE7">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6200" w:type="dxa"/>
            <w:vAlign w:val="center"/>
          </w:tcPr>
          <w:p w14:paraId="79724F1E">
            <w:pPr>
              <w:widowControl/>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投标人应提供以下三类产品的检测报告：</w:t>
            </w:r>
            <w:r>
              <w:rPr>
                <w:rStyle w:val="78"/>
                <w:rFonts w:hint="eastAsia" w:ascii="宋体" w:hAnsi="宋体" w:cs="宋体"/>
                <w:color w:val="auto"/>
                <w:sz w:val="22"/>
                <w:szCs w:val="22"/>
                <w:highlight w:val="none"/>
              </w:rPr>
              <w:t>（</w:t>
            </w:r>
            <w:r>
              <w:rPr>
                <w:rFonts w:hint="eastAsia" w:ascii="宋体" w:hAnsi="宋体" w:cs="宋体"/>
                <w:sz w:val="22"/>
                <w:szCs w:val="22"/>
                <w:highlight w:val="none"/>
              </w:rPr>
              <w:t>1）带灯阅览桌；</w:t>
            </w:r>
            <w:r>
              <w:rPr>
                <w:rStyle w:val="78"/>
                <w:rFonts w:hint="eastAsia" w:ascii="宋体" w:hAnsi="宋体" w:cs="宋体"/>
                <w:color w:val="auto"/>
                <w:sz w:val="22"/>
                <w:szCs w:val="22"/>
                <w:highlight w:val="none"/>
              </w:rPr>
              <w:t>（</w:t>
            </w:r>
            <w:r>
              <w:rPr>
                <w:rFonts w:hint="eastAsia" w:ascii="宋体" w:hAnsi="宋体" w:cs="宋体"/>
                <w:sz w:val="22"/>
                <w:szCs w:val="22"/>
                <w:highlight w:val="none"/>
              </w:rPr>
              <w:t>2）阅览椅；（3）功能座椅。每提供 1 项产品的有效检测报告，计 1分，最高得 3 分。检测报告须由具备 CMA 资质的第三方检测机构出具，且签发日期应在开标截止日前两年内。送检单位可为投标人或投标产品生产厂家。</w:t>
            </w:r>
          </w:p>
        </w:tc>
        <w:tc>
          <w:tcPr>
            <w:tcW w:w="666" w:type="dxa"/>
            <w:vAlign w:val="center"/>
          </w:tcPr>
          <w:p w14:paraId="2AD16F43">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客观分</w:t>
            </w:r>
          </w:p>
        </w:tc>
      </w:tr>
      <w:tr w14:paraId="2F0E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46D0EF9A">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7</w:t>
            </w:r>
          </w:p>
        </w:tc>
        <w:tc>
          <w:tcPr>
            <w:tcW w:w="1370" w:type="dxa"/>
            <w:vAlign w:val="center"/>
          </w:tcPr>
          <w:p w14:paraId="0B0834AC">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环保举措</w:t>
            </w:r>
          </w:p>
        </w:tc>
        <w:tc>
          <w:tcPr>
            <w:tcW w:w="690" w:type="dxa"/>
            <w:vAlign w:val="center"/>
          </w:tcPr>
          <w:p w14:paraId="6249EAAD">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6200" w:type="dxa"/>
            <w:vAlign w:val="center"/>
          </w:tcPr>
          <w:p w14:paraId="263BD642">
            <w:pPr>
              <w:snapToGrid w:val="0"/>
              <w:spacing w:line="360" w:lineRule="auto"/>
              <w:jc w:val="left"/>
              <w:rPr>
                <w:rFonts w:ascii="宋体" w:hAnsi="宋体" w:cs="宋体"/>
                <w:sz w:val="22"/>
                <w:szCs w:val="22"/>
                <w:highlight w:val="none"/>
              </w:rPr>
            </w:pPr>
            <w:r>
              <w:rPr>
                <w:rStyle w:val="78"/>
                <w:rFonts w:hint="eastAsia" w:ascii="宋体" w:hAnsi="宋体" w:cs="宋体"/>
                <w:color w:val="auto"/>
                <w:sz w:val="22"/>
                <w:szCs w:val="22"/>
                <w:highlight w:val="none"/>
              </w:rPr>
              <w:t>（</w:t>
            </w:r>
            <w:r>
              <w:rPr>
                <w:rFonts w:hint="eastAsia" w:ascii="宋体" w:hAnsi="宋体" w:cs="宋体"/>
                <w:sz w:val="22"/>
                <w:szCs w:val="22"/>
                <w:highlight w:val="none"/>
              </w:rPr>
              <w:t>1）针对大气污染、水污染及其他环境污染治理，环保措施应具备科学性、针对性和实效性。（评分范围：0，0.5，1，1.5，2）</w:t>
            </w:r>
          </w:p>
          <w:p w14:paraId="29CA005F">
            <w:pPr>
              <w:snapToGrid w:val="0"/>
              <w:spacing w:line="360" w:lineRule="auto"/>
              <w:jc w:val="left"/>
              <w:rPr>
                <w:rFonts w:ascii="宋体" w:hAnsi="宋体" w:cs="宋体"/>
                <w:bCs/>
                <w:sz w:val="22"/>
                <w:szCs w:val="22"/>
                <w:highlight w:val="none"/>
              </w:rPr>
            </w:pPr>
            <w:r>
              <w:rPr>
                <w:rFonts w:hint="eastAsia" w:ascii="宋体" w:hAnsi="宋体" w:cs="宋体"/>
                <w:sz w:val="22"/>
                <w:szCs w:val="22"/>
                <w:highlight w:val="none"/>
              </w:rPr>
              <w:t>（2）提供交付后室内环境质量保障服务，可提供环保处理方案、协议等证明材料作为佐证。 （评分范围：0，0.5，1）</w:t>
            </w:r>
          </w:p>
        </w:tc>
        <w:tc>
          <w:tcPr>
            <w:tcW w:w="666" w:type="dxa"/>
            <w:vAlign w:val="center"/>
          </w:tcPr>
          <w:p w14:paraId="6E0E9983">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444B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77A11263">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8</w:t>
            </w:r>
          </w:p>
        </w:tc>
        <w:tc>
          <w:tcPr>
            <w:tcW w:w="1370" w:type="dxa"/>
            <w:vAlign w:val="center"/>
          </w:tcPr>
          <w:p w14:paraId="5BC2FA85">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产品设计</w:t>
            </w:r>
          </w:p>
        </w:tc>
        <w:tc>
          <w:tcPr>
            <w:tcW w:w="690" w:type="dxa"/>
            <w:vAlign w:val="center"/>
          </w:tcPr>
          <w:p w14:paraId="05707A84">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6</w:t>
            </w:r>
          </w:p>
        </w:tc>
        <w:tc>
          <w:tcPr>
            <w:tcW w:w="6200" w:type="dxa"/>
            <w:vAlign w:val="center"/>
          </w:tcPr>
          <w:p w14:paraId="73250935">
            <w:pPr>
              <w:snapToGrid w:val="0"/>
              <w:spacing w:line="360" w:lineRule="auto"/>
              <w:rPr>
                <w:rFonts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提供指定产品的三视图、实景图、材质与功能介绍。从款式适配性、颜色搭配、深化设计的合理性等方面进行综合评分。每款1分，共6分。深化设计的产品如下（共计 6 款）：</w:t>
            </w:r>
          </w:p>
          <w:p w14:paraId="206159DE">
            <w:pPr>
              <w:snapToGrid w:val="0"/>
              <w:spacing w:line="360" w:lineRule="auto"/>
              <w:rPr>
                <w:rFonts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（1）序号1 视听椅；（评分范围：0，0.5，1）</w:t>
            </w:r>
          </w:p>
          <w:p w14:paraId="2E690DA5">
            <w:pPr>
              <w:snapToGrid w:val="0"/>
              <w:spacing w:line="360" w:lineRule="auto"/>
              <w:rPr>
                <w:rFonts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（2）序号31  多功能高桌；（评分范围：0，0.5，1）</w:t>
            </w:r>
          </w:p>
          <w:p w14:paraId="3CEF3847">
            <w:pPr>
              <w:snapToGrid w:val="0"/>
              <w:spacing w:line="360" w:lineRule="auto"/>
              <w:rPr>
                <w:rFonts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（3）序号33  高脚阅览椅；（评分范围：0，0.5，1）</w:t>
            </w:r>
          </w:p>
          <w:p w14:paraId="2DDB9D11">
            <w:pPr>
              <w:snapToGrid w:val="0"/>
              <w:spacing w:line="360" w:lineRule="auto"/>
              <w:rPr>
                <w:rFonts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（4）序号35  多功能储物推车+双面可书写白板；（评分范围：0，0.5，1）</w:t>
            </w:r>
          </w:p>
          <w:p w14:paraId="0AA554C3">
            <w:pPr>
              <w:snapToGrid w:val="0"/>
              <w:spacing w:line="360" w:lineRule="auto"/>
              <w:rPr>
                <w:rFonts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（5）序号47  12人阅览桌。（评分范围：0，0.5，1）</w:t>
            </w:r>
          </w:p>
          <w:p w14:paraId="3E8F625F">
            <w:pPr>
              <w:pStyle w:val="82"/>
              <w:adjustRightInd w:val="0"/>
              <w:snapToGrid w:val="0"/>
              <w:spacing w:line="360" w:lineRule="auto"/>
              <w:rPr>
                <w:highlight w:val="none"/>
              </w:rPr>
            </w:pPr>
            <w:r>
              <w:rPr>
                <w:rFonts w:hint="eastAsia" w:asciiTheme="minorEastAsia" w:hAnsiTheme="minorEastAsia" w:eastAsiaTheme="minorEastAsia" w:cstheme="minorEastAsia"/>
                <w:highlight w:val="none"/>
              </w:rPr>
              <w:t>（6）序号28  满墙书柜。（评分范围：0，0.5，1）</w:t>
            </w:r>
          </w:p>
        </w:tc>
        <w:tc>
          <w:tcPr>
            <w:tcW w:w="666" w:type="dxa"/>
            <w:vAlign w:val="center"/>
          </w:tcPr>
          <w:p w14:paraId="7B75948A">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2F9C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604FEB90">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9</w:t>
            </w:r>
          </w:p>
        </w:tc>
        <w:tc>
          <w:tcPr>
            <w:tcW w:w="1370" w:type="dxa"/>
            <w:vAlign w:val="center"/>
          </w:tcPr>
          <w:p w14:paraId="7095F2F2">
            <w:pPr>
              <w:snapToGrid w:val="0"/>
              <w:spacing w:line="360" w:lineRule="auto"/>
              <w:jc w:val="center"/>
              <w:rPr>
                <w:rFonts w:ascii="宋体" w:hAnsi="宋体" w:cs="宋体"/>
                <w:sz w:val="22"/>
                <w:szCs w:val="22"/>
                <w:highlight w:val="none"/>
              </w:rPr>
            </w:pPr>
            <w:r>
              <w:rPr>
                <w:rFonts w:ascii="宋体" w:hAnsi="宋体" w:cs="宋体"/>
                <w:sz w:val="22"/>
                <w:szCs w:val="22"/>
                <w:highlight w:val="none"/>
              </w:rPr>
              <w:t>空间设计</w:t>
            </w:r>
          </w:p>
        </w:tc>
        <w:tc>
          <w:tcPr>
            <w:tcW w:w="690" w:type="dxa"/>
            <w:vAlign w:val="center"/>
          </w:tcPr>
          <w:p w14:paraId="4C6E7907">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6</w:t>
            </w:r>
          </w:p>
        </w:tc>
        <w:tc>
          <w:tcPr>
            <w:tcW w:w="6200" w:type="dxa"/>
            <w:vAlign w:val="center"/>
          </w:tcPr>
          <w:p w14:paraId="437659B5">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提供完整家具摆放布局图、效果图、色彩搭配方案与整体风格描述，同时须包含不少于6个功能区域的效果图，整体评估空间设计合理性与图书馆匹配程度。（每个区域效果图评分范围：0，0.5，1）</w:t>
            </w:r>
          </w:p>
        </w:tc>
        <w:tc>
          <w:tcPr>
            <w:tcW w:w="666" w:type="dxa"/>
            <w:vAlign w:val="center"/>
          </w:tcPr>
          <w:p w14:paraId="18AA0B84">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1388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5E1C7649">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10</w:t>
            </w:r>
          </w:p>
        </w:tc>
        <w:tc>
          <w:tcPr>
            <w:tcW w:w="1370" w:type="dxa"/>
            <w:vAlign w:val="center"/>
          </w:tcPr>
          <w:p w14:paraId="26BEAB3E">
            <w:pPr>
              <w:snapToGrid w:val="0"/>
              <w:spacing w:line="360" w:lineRule="auto"/>
              <w:jc w:val="center"/>
              <w:rPr>
                <w:rFonts w:ascii="宋体" w:hAnsi="宋体" w:cs="宋体"/>
                <w:sz w:val="22"/>
                <w:szCs w:val="22"/>
                <w:highlight w:val="none"/>
              </w:rPr>
            </w:pPr>
            <w:r>
              <w:rPr>
                <w:rFonts w:ascii="宋体" w:hAnsi="宋体" w:cs="宋体"/>
                <w:sz w:val="22"/>
                <w:szCs w:val="22"/>
                <w:highlight w:val="none"/>
              </w:rPr>
              <w:t>生产组织与管理能力</w:t>
            </w:r>
          </w:p>
        </w:tc>
        <w:tc>
          <w:tcPr>
            <w:tcW w:w="690" w:type="dxa"/>
            <w:vAlign w:val="center"/>
          </w:tcPr>
          <w:p w14:paraId="235F1A8A">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2</w:t>
            </w:r>
          </w:p>
        </w:tc>
        <w:tc>
          <w:tcPr>
            <w:tcW w:w="6200" w:type="dxa"/>
            <w:vAlign w:val="center"/>
          </w:tcPr>
          <w:p w14:paraId="28BAD27E">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综合评价投标人或其参与本项目的品牌生产厂商在组织管理与生产进度控制方面的能力，具体包括：</w:t>
            </w:r>
          </w:p>
          <w:p w14:paraId="0A9FE0A5">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（1）是否具备完善的组织架构、人员配置合理、岗位分工明确；（评分范围：0，0.5，1）</w:t>
            </w:r>
          </w:p>
          <w:p w14:paraId="1ACD61BC">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（2）是否具备科学的生产计划机制、进度控制流程、订单执行能力。（评分范围：0，0.5，1）</w:t>
            </w:r>
          </w:p>
        </w:tc>
        <w:tc>
          <w:tcPr>
            <w:tcW w:w="666" w:type="dxa"/>
            <w:vAlign w:val="center"/>
          </w:tcPr>
          <w:p w14:paraId="4D24A579">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53EB1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4E9F6E96">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11</w:t>
            </w:r>
          </w:p>
        </w:tc>
        <w:tc>
          <w:tcPr>
            <w:tcW w:w="1370" w:type="dxa"/>
            <w:vAlign w:val="center"/>
          </w:tcPr>
          <w:p w14:paraId="0CF34238">
            <w:pPr>
              <w:snapToGrid w:val="0"/>
              <w:spacing w:line="360" w:lineRule="auto"/>
              <w:jc w:val="center"/>
              <w:rPr>
                <w:rFonts w:ascii="宋体" w:hAnsi="宋体" w:cs="宋体"/>
                <w:sz w:val="22"/>
                <w:szCs w:val="22"/>
                <w:highlight w:val="none"/>
              </w:rPr>
            </w:pPr>
            <w:r>
              <w:rPr>
                <w:rFonts w:ascii="宋体" w:hAnsi="宋体" w:cs="宋体"/>
                <w:sz w:val="22"/>
                <w:szCs w:val="22"/>
                <w:highlight w:val="none"/>
              </w:rPr>
              <w:t>生产工艺与质量控制</w:t>
            </w:r>
          </w:p>
        </w:tc>
        <w:tc>
          <w:tcPr>
            <w:tcW w:w="690" w:type="dxa"/>
            <w:vAlign w:val="center"/>
          </w:tcPr>
          <w:p w14:paraId="71E36369">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6200" w:type="dxa"/>
            <w:vAlign w:val="center"/>
          </w:tcPr>
          <w:p w14:paraId="05648574">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评价投标人或其品牌厂商的生产工艺水平及质量控制体系的健全性，主要包括：</w:t>
            </w:r>
          </w:p>
          <w:p w14:paraId="3676AA80">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（1）是否采用先进工艺流程、标准化作业流程；（评分范围：0，0.5，1，1.5）</w:t>
            </w:r>
          </w:p>
          <w:p w14:paraId="268E5AFA">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（2）是否建立质量管控环节（如自检、互检、出厂检验），有完整质量追溯体系。（评分范围：0，0.5，1，1.5）</w:t>
            </w:r>
          </w:p>
        </w:tc>
        <w:tc>
          <w:tcPr>
            <w:tcW w:w="666" w:type="dxa"/>
            <w:vAlign w:val="center"/>
          </w:tcPr>
          <w:p w14:paraId="33EC0B3B">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1BFD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778A8316">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12</w:t>
            </w:r>
          </w:p>
        </w:tc>
        <w:tc>
          <w:tcPr>
            <w:tcW w:w="1370" w:type="dxa"/>
            <w:vAlign w:val="center"/>
          </w:tcPr>
          <w:p w14:paraId="42D39B81">
            <w:pPr>
              <w:snapToGrid w:val="0"/>
              <w:spacing w:line="360" w:lineRule="auto"/>
              <w:jc w:val="center"/>
              <w:rPr>
                <w:rFonts w:ascii="宋体" w:hAnsi="宋体" w:cs="宋体"/>
                <w:sz w:val="22"/>
                <w:szCs w:val="22"/>
                <w:highlight w:val="none"/>
              </w:rPr>
            </w:pPr>
            <w:r>
              <w:rPr>
                <w:rFonts w:ascii="宋体" w:hAnsi="宋体" w:cs="宋体"/>
                <w:sz w:val="22"/>
                <w:szCs w:val="22"/>
                <w:highlight w:val="none"/>
              </w:rPr>
              <w:t>专业生产设备配备情况</w:t>
            </w:r>
          </w:p>
        </w:tc>
        <w:tc>
          <w:tcPr>
            <w:tcW w:w="690" w:type="dxa"/>
            <w:vAlign w:val="center"/>
          </w:tcPr>
          <w:p w14:paraId="647AC66F">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6200" w:type="dxa"/>
            <w:vAlign w:val="center"/>
          </w:tcPr>
          <w:p w14:paraId="11EAF746">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根据投标人或其品牌厂商提供的专业生产设备配备情况进行量化评分。每类设备计 0.5 分，最多得 3 分，共计 6 类设备封顶。设备范围示例（包括但不限于）：</w:t>
            </w:r>
          </w:p>
          <w:p w14:paraId="51E85017">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开料锯机、封边机、排钻床、冷压机、热压机、涂装设备、加工中心、切割设备、弯管机、焊接设备等。提供设备购置发票或租赁合同复印件作为评分依据，设备所有权或租赁方必须为投标人或项目关联厂商。</w:t>
            </w:r>
          </w:p>
        </w:tc>
        <w:tc>
          <w:tcPr>
            <w:tcW w:w="666" w:type="dxa"/>
            <w:vAlign w:val="center"/>
          </w:tcPr>
          <w:p w14:paraId="49F0DCB7">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客观分</w:t>
            </w:r>
          </w:p>
        </w:tc>
      </w:tr>
      <w:tr w14:paraId="546C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380D8263">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13</w:t>
            </w:r>
          </w:p>
        </w:tc>
        <w:tc>
          <w:tcPr>
            <w:tcW w:w="1370" w:type="dxa"/>
            <w:vAlign w:val="center"/>
          </w:tcPr>
          <w:p w14:paraId="7CF4A9EB">
            <w:pPr>
              <w:snapToGrid w:val="0"/>
              <w:spacing w:line="360" w:lineRule="auto"/>
              <w:jc w:val="center"/>
              <w:rPr>
                <w:rFonts w:ascii="宋体" w:hAnsi="宋体" w:cs="宋体"/>
                <w:sz w:val="22"/>
                <w:szCs w:val="22"/>
                <w:highlight w:val="none"/>
              </w:rPr>
            </w:pPr>
            <w:r>
              <w:rPr>
                <w:rFonts w:ascii="宋体" w:hAnsi="宋体" w:cs="宋体"/>
                <w:sz w:val="22"/>
                <w:szCs w:val="22"/>
                <w:highlight w:val="none"/>
              </w:rPr>
              <w:t>安装方案</w:t>
            </w:r>
          </w:p>
        </w:tc>
        <w:tc>
          <w:tcPr>
            <w:tcW w:w="690" w:type="dxa"/>
            <w:vAlign w:val="center"/>
          </w:tcPr>
          <w:p w14:paraId="4E4144D6">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2</w:t>
            </w:r>
          </w:p>
        </w:tc>
        <w:tc>
          <w:tcPr>
            <w:tcW w:w="6200" w:type="dxa"/>
            <w:vAlign w:val="center"/>
          </w:tcPr>
          <w:p w14:paraId="7E9CC953">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本项目家具安装涉及电源面板接入、强弱电分离等操作内容。评分依据如下：</w:t>
            </w:r>
          </w:p>
          <w:p w14:paraId="4D961DED">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（1）安装人员能力与资质情况，提供安装人员相关证书、工作经验或培训证明，考察施工能力与匹配性。（评分范围：0，0.5，1）</w:t>
            </w:r>
          </w:p>
          <w:p w14:paraId="2C5CAAB7">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2）安装方案的完整性与可实施性，提供本项目整体安装方案，评估其内容是否具备系统性、合理性、可操作性与风险控制措施。可提供安装组织方案、进场计划、节点图、人员配置表等。（评分范围：0，0.5，1）</w:t>
            </w:r>
          </w:p>
        </w:tc>
        <w:tc>
          <w:tcPr>
            <w:tcW w:w="666" w:type="dxa"/>
            <w:vAlign w:val="center"/>
          </w:tcPr>
          <w:p w14:paraId="015758DB">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4646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59AB2FB6">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14</w:t>
            </w:r>
          </w:p>
        </w:tc>
        <w:tc>
          <w:tcPr>
            <w:tcW w:w="1370" w:type="dxa"/>
            <w:vAlign w:val="center"/>
          </w:tcPr>
          <w:p w14:paraId="7906D85F">
            <w:pPr>
              <w:snapToGrid w:val="0"/>
              <w:spacing w:line="360" w:lineRule="auto"/>
              <w:jc w:val="center"/>
              <w:rPr>
                <w:rFonts w:ascii="宋体" w:hAnsi="宋体" w:cs="宋体"/>
                <w:sz w:val="22"/>
                <w:szCs w:val="22"/>
                <w:highlight w:val="none"/>
              </w:rPr>
            </w:pPr>
            <w:r>
              <w:rPr>
                <w:rFonts w:ascii="宋体" w:hAnsi="宋体" w:cs="宋体"/>
                <w:sz w:val="22"/>
                <w:szCs w:val="22"/>
                <w:highlight w:val="none"/>
              </w:rPr>
              <w:t>保质期年限</w:t>
            </w:r>
          </w:p>
        </w:tc>
        <w:tc>
          <w:tcPr>
            <w:tcW w:w="690" w:type="dxa"/>
            <w:vAlign w:val="center"/>
          </w:tcPr>
          <w:p w14:paraId="442CAEF7">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3</w:t>
            </w:r>
          </w:p>
        </w:tc>
        <w:tc>
          <w:tcPr>
            <w:tcW w:w="6200" w:type="dxa"/>
            <w:vAlign w:val="center"/>
          </w:tcPr>
          <w:p w14:paraId="2234A6E1">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免费质保期≤8年得0分，质保期每增加1年加0.5分，最高加3分。（增加不足1年的不计入得分）</w:t>
            </w:r>
          </w:p>
        </w:tc>
        <w:tc>
          <w:tcPr>
            <w:tcW w:w="666" w:type="dxa"/>
            <w:vAlign w:val="center"/>
          </w:tcPr>
          <w:p w14:paraId="7CB625F5">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客观分</w:t>
            </w:r>
          </w:p>
        </w:tc>
      </w:tr>
      <w:tr w14:paraId="001F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46BFDA9E">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15</w:t>
            </w:r>
          </w:p>
        </w:tc>
        <w:tc>
          <w:tcPr>
            <w:tcW w:w="1370" w:type="dxa"/>
            <w:vAlign w:val="center"/>
          </w:tcPr>
          <w:p w14:paraId="3022E3E1">
            <w:pPr>
              <w:snapToGrid w:val="0"/>
              <w:spacing w:line="360" w:lineRule="auto"/>
              <w:jc w:val="center"/>
              <w:rPr>
                <w:rFonts w:ascii="宋体" w:hAnsi="宋体" w:cs="宋体"/>
                <w:sz w:val="22"/>
                <w:szCs w:val="22"/>
                <w:highlight w:val="none"/>
              </w:rPr>
            </w:pPr>
            <w:r>
              <w:rPr>
                <w:rFonts w:ascii="宋体" w:hAnsi="宋体" w:cs="宋体"/>
                <w:sz w:val="22"/>
                <w:szCs w:val="22"/>
                <w:highlight w:val="none"/>
              </w:rPr>
              <w:t>服务响应能力</w:t>
            </w:r>
          </w:p>
        </w:tc>
        <w:tc>
          <w:tcPr>
            <w:tcW w:w="690" w:type="dxa"/>
            <w:vAlign w:val="center"/>
          </w:tcPr>
          <w:p w14:paraId="43CB0DBF">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2</w:t>
            </w:r>
          </w:p>
        </w:tc>
        <w:tc>
          <w:tcPr>
            <w:tcW w:w="6200" w:type="dxa"/>
            <w:vAlign w:val="center"/>
          </w:tcPr>
          <w:p w14:paraId="234648C6">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根据质保期内售后服务的响应时间是否快速、合理（评分范围：0，0.5，1）、技术支持人员配置是否充足、经验丰富（评分范围：0，0.5，1）。</w:t>
            </w:r>
          </w:p>
          <w:p w14:paraId="2E80141E">
            <w:pPr>
              <w:snapToGrid w:val="0"/>
              <w:spacing w:line="360" w:lineRule="auto"/>
              <w:jc w:val="left"/>
              <w:rPr>
                <w:rFonts w:ascii="宋体" w:hAnsi="宋体" w:cs="宋体"/>
                <w:sz w:val="22"/>
                <w:szCs w:val="22"/>
                <w:highlight w:val="none"/>
              </w:rPr>
            </w:pPr>
            <w:r>
              <w:rPr>
                <w:rFonts w:hint="eastAsia" w:ascii="宋体" w:hAnsi="宋体" w:cs="宋体"/>
                <w:sz w:val="22"/>
                <w:szCs w:val="22"/>
                <w:highlight w:val="none"/>
              </w:rPr>
              <w:t>可提供售后服务方案、服务承诺函、技术支持队伍介绍等材料作为评分依据。</w:t>
            </w:r>
          </w:p>
        </w:tc>
        <w:tc>
          <w:tcPr>
            <w:tcW w:w="666" w:type="dxa"/>
            <w:vAlign w:val="center"/>
          </w:tcPr>
          <w:p w14:paraId="1C97BF38">
            <w:pPr>
              <w:snapToGrid w:val="0"/>
              <w:spacing w:line="360" w:lineRule="auto"/>
              <w:jc w:val="center"/>
              <w:rPr>
                <w:rFonts w:ascii="宋体" w:hAnsi="宋体" w:cs="宋体"/>
                <w:spacing w:val="-6"/>
                <w:sz w:val="22"/>
                <w:szCs w:val="22"/>
                <w:highlight w:val="none"/>
              </w:rPr>
            </w:pPr>
            <w:r>
              <w:rPr>
                <w:rFonts w:hint="eastAsia" w:ascii="宋体" w:hAnsi="宋体" w:cs="宋体"/>
                <w:spacing w:val="-6"/>
                <w:sz w:val="22"/>
                <w:szCs w:val="22"/>
                <w:highlight w:val="none"/>
              </w:rPr>
              <w:t>主观分</w:t>
            </w:r>
          </w:p>
        </w:tc>
      </w:tr>
      <w:tr w14:paraId="2BD5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Merge w:val="restart"/>
            <w:vAlign w:val="center"/>
          </w:tcPr>
          <w:p w14:paraId="110A8CFC">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16</w:t>
            </w:r>
          </w:p>
        </w:tc>
        <w:tc>
          <w:tcPr>
            <w:tcW w:w="1370" w:type="dxa"/>
            <w:vMerge w:val="restart"/>
            <w:vAlign w:val="center"/>
          </w:tcPr>
          <w:p w14:paraId="2FF9951A">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样品-制作工艺及质量</w:t>
            </w:r>
          </w:p>
        </w:tc>
        <w:tc>
          <w:tcPr>
            <w:tcW w:w="690" w:type="dxa"/>
            <w:vAlign w:val="center"/>
          </w:tcPr>
          <w:p w14:paraId="00C5C90C">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2</w:t>
            </w:r>
          </w:p>
        </w:tc>
        <w:tc>
          <w:tcPr>
            <w:tcW w:w="6200" w:type="dxa"/>
            <w:vAlign w:val="center"/>
          </w:tcPr>
          <w:p w14:paraId="5AE6ED33">
            <w:pPr>
              <w:widowControl/>
              <w:snapToGrid w:val="0"/>
              <w:spacing w:line="360" w:lineRule="auto"/>
              <w:jc w:val="left"/>
              <w:textAlignment w:val="center"/>
              <w:rPr>
                <w:rFonts w:ascii="宋体" w:hAnsi="宋体" w:cs="宋体"/>
                <w:sz w:val="22"/>
                <w:szCs w:val="22"/>
                <w:highlight w:val="none"/>
              </w:rPr>
            </w:pPr>
            <w:r>
              <w:rPr>
                <w:rFonts w:hint="eastAsia" w:ascii="宋体" w:hAnsi="宋体" w:cs="宋体"/>
                <w:kern w:val="0"/>
                <w:sz w:val="22"/>
                <w:szCs w:val="22"/>
                <w:highlight w:val="none"/>
                <w:lang w:bidi="ar"/>
              </w:rPr>
              <w:t>制作工艺及质量:</w:t>
            </w:r>
            <w:r>
              <w:rPr>
                <w:rFonts w:hint="eastAsia" w:ascii="宋体" w:hAnsi="宋体" w:cs="宋体"/>
                <w:kern w:val="0"/>
                <w:sz w:val="22"/>
                <w:szCs w:val="22"/>
                <w:highlight w:val="none"/>
                <w:lang w:bidi="ar"/>
              </w:rPr>
              <w:br w:type="textWrapping"/>
            </w:r>
            <w:r>
              <w:rPr>
                <w:rFonts w:hint="eastAsia" w:ascii="宋体" w:hAnsi="宋体" w:cs="宋体"/>
                <w:kern w:val="0"/>
                <w:sz w:val="22"/>
                <w:szCs w:val="22"/>
                <w:highlight w:val="none"/>
                <w:lang w:bidi="ar"/>
              </w:rPr>
              <w:t>（1）结合与稳固性：部件连接紧密，安装牢固无松动。</w:t>
            </w:r>
            <w:r>
              <w:rPr>
                <w:rFonts w:hint="eastAsia" w:ascii="宋体" w:hAnsi="宋体" w:cs="宋体"/>
                <w:sz w:val="22"/>
                <w:szCs w:val="22"/>
                <w:highlight w:val="none"/>
              </w:rPr>
              <w:t>（评分范围：0，0.5，1，1.5，2）</w:t>
            </w:r>
          </w:p>
        </w:tc>
        <w:tc>
          <w:tcPr>
            <w:tcW w:w="666" w:type="dxa"/>
            <w:vAlign w:val="center"/>
          </w:tcPr>
          <w:p w14:paraId="682B6B05">
            <w:pPr>
              <w:widowControl/>
              <w:snapToGrid w:val="0"/>
              <w:spacing w:line="360" w:lineRule="auto"/>
              <w:jc w:val="center"/>
              <w:textAlignment w:val="center"/>
              <w:rPr>
                <w:rFonts w:ascii="宋体" w:hAnsi="宋体" w:cs="宋体"/>
                <w:spacing w:val="-6"/>
                <w:sz w:val="22"/>
                <w:szCs w:val="22"/>
                <w:highlight w:val="none"/>
              </w:rPr>
            </w:pPr>
            <w:r>
              <w:rPr>
                <w:rFonts w:hint="eastAsia" w:ascii="宋体" w:hAnsi="宋体" w:cs="宋体"/>
                <w:kern w:val="0"/>
                <w:sz w:val="22"/>
                <w:szCs w:val="22"/>
                <w:highlight w:val="none"/>
                <w:lang w:bidi="ar"/>
              </w:rPr>
              <w:t>主观分</w:t>
            </w:r>
          </w:p>
        </w:tc>
      </w:tr>
      <w:tr w14:paraId="3653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Merge w:val="continue"/>
            <w:vAlign w:val="center"/>
          </w:tcPr>
          <w:p w14:paraId="3F1045D3">
            <w:pPr>
              <w:snapToGrid w:val="0"/>
              <w:spacing w:line="360" w:lineRule="auto"/>
              <w:jc w:val="center"/>
              <w:rPr>
                <w:rFonts w:ascii="宋体" w:hAnsi="宋体" w:cs="宋体"/>
                <w:sz w:val="22"/>
                <w:szCs w:val="22"/>
                <w:highlight w:val="none"/>
              </w:rPr>
            </w:pPr>
          </w:p>
        </w:tc>
        <w:tc>
          <w:tcPr>
            <w:tcW w:w="1370" w:type="dxa"/>
            <w:vMerge w:val="continue"/>
            <w:vAlign w:val="center"/>
          </w:tcPr>
          <w:p w14:paraId="15590620">
            <w:pPr>
              <w:widowControl/>
              <w:snapToGrid w:val="0"/>
              <w:spacing w:line="360" w:lineRule="auto"/>
              <w:jc w:val="center"/>
              <w:textAlignment w:val="center"/>
              <w:rPr>
                <w:rFonts w:ascii="宋体" w:hAnsi="宋体" w:cs="宋体"/>
                <w:kern w:val="0"/>
                <w:sz w:val="22"/>
                <w:szCs w:val="22"/>
                <w:highlight w:val="none"/>
                <w:lang w:bidi="ar"/>
              </w:rPr>
            </w:pPr>
          </w:p>
        </w:tc>
        <w:tc>
          <w:tcPr>
            <w:tcW w:w="690" w:type="dxa"/>
            <w:vAlign w:val="center"/>
          </w:tcPr>
          <w:p w14:paraId="7B5E50DE">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w:t>
            </w:r>
          </w:p>
        </w:tc>
        <w:tc>
          <w:tcPr>
            <w:tcW w:w="6200" w:type="dxa"/>
            <w:vAlign w:val="center"/>
          </w:tcPr>
          <w:p w14:paraId="3717A625">
            <w:pPr>
              <w:widowControl/>
              <w:snapToGrid w:val="0"/>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（2）贴面与拼缝质量：贴面平整，拼接严密美观。</w:t>
            </w:r>
            <w:r>
              <w:rPr>
                <w:rFonts w:hint="eastAsia" w:ascii="宋体" w:hAnsi="宋体" w:cs="宋体"/>
                <w:sz w:val="22"/>
                <w:szCs w:val="22"/>
                <w:highlight w:val="none"/>
              </w:rPr>
              <w:t>（评分范围：0，0.5，1）</w:t>
            </w:r>
          </w:p>
        </w:tc>
        <w:tc>
          <w:tcPr>
            <w:tcW w:w="666" w:type="dxa"/>
            <w:vAlign w:val="center"/>
          </w:tcPr>
          <w:p w14:paraId="37243C03">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主观分</w:t>
            </w:r>
          </w:p>
        </w:tc>
      </w:tr>
      <w:tr w14:paraId="5D68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Merge w:val="continue"/>
            <w:vAlign w:val="center"/>
          </w:tcPr>
          <w:p w14:paraId="29F38C59">
            <w:pPr>
              <w:snapToGrid w:val="0"/>
              <w:spacing w:line="360" w:lineRule="auto"/>
              <w:jc w:val="center"/>
              <w:rPr>
                <w:rFonts w:ascii="宋体" w:hAnsi="宋体" w:cs="宋体"/>
                <w:sz w:val="22"/>
                <w:szCs w:val="22"/>
                <w:highlight w:val="none"/>
              </w:rPr>
            </w:pPr>
          </w:p>
        </w:tc>
        <w:tc>
          <w:tcPr>
            <w:tcW w:w="1370" w:type="dxa"/>
            <w:vMerge w:val="continue"/>
            <w:vAlign w:val="center"/>
          </w:tcPr>
          <w:p w14:paraId="31720E1E">
            <w:pPr>
              <w:widowControl/>
              <w:snapToGrid w:val="0"/>
              <w:spacing w:line="360" w:lineRule="auto"/>
              <w:jc w:val="center"/>
              <w:textAlignment w:val="center"/>
              <w:rPr>
                <w:rFonts w:ascii="宋体" w:hAnsi="宋体" w:cs="宋体"/>
                <w:kern w:val="0"/>
                <w:sz w:val="22"/>
                <w:szCs w:val="22"/>
                <w:highlight w:val="none"/>
                <w:lang w:bidi="ar"/>
              </w:rPr>
            </w:pPr>
          </w:p>
        </w:tc>
        <w:tc>
          <w:tcPr>
            <w:tcW w:w="690" w:type="dxa"/>
            <w:vAlign w:val="center"/>
          </w:tcPr>
          <w:p w14:paraId="080F6E52">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w:t>
            </w:r>
          </w:p>
        </w:tc>
        <w:tc>
          <w:tcPr>
            <w:tcW w:w="6200" w:type="dxa"/>
            <w:vAlign w:val="center"/>
          </w:tcPr>
          <w:p w14:paraId="1B5EECD0">
            <w:pPr>
              <w:widowControl/>
              <w:snapToGrid w:val="0"/>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（3）材质与五金质量：材料整体质量、环保性能，五金配件坚固耐用。</w:t>
            </w:r>
            <w:r>
              <w:rPr>
                <w:rFonts w:hint="eastAsia" w:ascii="宋体" w:hAnsi="宋体" w:cs="宋体"/>
                <w:sz w:val="22"/>
                <w:szCs w:val="22"/>
                <w:highlight w:val="none"/>
              </w:rPr>
              <w:t>（评分范围：0，0.5，1，1.5，2）</w:t>
            </w:r>
          </w:p>
        </w:tc>
        <w:tc>
          <w:tcPr>
            <w:tcW w:w="666" w:type="dxa"/>
            <w:vAlign w:val="center"/>
          </w:tcPr>
          <w:p w14:paraId="6456239C">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主观分</w:t>
            </w:r>
          </w:p>
        </w:tc>
      </w:tr>
      <w:tr w14:paraId="6A33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Merge w:val="continue"/>
            <w:vAlign w:val="center"/>
          </w:tcPr>
          <w:p w14:paraId="11C467B6">
            <w:pPr>
              <w:snapToGrid w:val="0"/>
              <w:spacing w:line="360" w:lineRule="auto"/>
              <w:jc w:val="center"/>
              <w:rPr>
                <w:rFonts w:ascii="宋体" w:hAnsi="宋体" w:cs="宋体"/>
                <w:sz w:val="22"/>
                <w:szCs w:val="22"/>
                <w:highlight w:val="none"/>
              </w:rPr>
            </w:pPr>
          </w:p>
        </w:tc>
        <w:tc>
          <w:tcPr>
            <w:tcW w:w="1370" w:type="dxa"/>
            <w:vMerge w:val="continue"/>
            <w:vAlign w:val="center"/>
          </w:tcPr>
          <w:p w14:paraId="1C16A3D9">
            <w:pPr>
              <w:widowControl/>
              <w:snapToGrid w:val="0"/>
              <w:spacing w:line="360" w:lineRule="auto"/>
              <w:jc w:val="center"/>
              <w:textAlignment w:val="center"/>
              <w:rPr>
                <w:rFonts w:ascii="宋体" w:hAnsi="宋体" w:cs="宋体"/>
                <w:kern w:val="0"/>
                <w:sz w:val="22"/>
                <w:szCs w:val="22"/>
                <w:highlight w:val="none"/>
                <w:lang w:bidi="ar"/>
              </w:rPr>
            </w:pPr>
          </w:p>
        </w:tc>
        <w:tc>
          <w:tcPr>
            <w:tcW w:w="690" w:type="dxa"/>
            <w:vAlign w:val="center"/>
          </w:tcPr>
          <w:p w14:paraId="69F155D1">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w:t>
            </w:r>
          </w:p>
        </w:tc>
        <w:tc>
          <w:tcPr>
            <w:tcW w:w="6200" w:type="dxa"/>
            <w:vAlign w:val="center"/>
          </w:tcPr>
          <w:p w14:paraId="42554EAF">
            <w:pPr>
              <w:widowControl/>
              <w:snapToGrid w:val="0"/>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（4）细节处理：边角、封边等细节处理到位。</w:t>
            </w:r>
            <w:r>
              <w:rPr>
                <w:rFonts w:hint="eastAsia" w:ascii="宋体" w:hAnsi="宋体" w:cs="宋体"/>
                <w:sz w:val="22"/>
                <w:szCs w:val="22"/>
                <w:highlight w:val="none"/>
              </w:rPr>
              <w:t>（评分范围：0，0.5，1）</w:t>
            </w:r>
          </w:p>
        </w:tc>
        <w:tc>
          <w:tcPr>
            <w:tcW w:w="666" w:type="dxa"/>
            <w:vAlign w:val="center"/>
          </w:tcPr>
          <w:p w14:paraId="32C2535D">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主观分</w:t>
            </w:r>
          </w:p>
        </w:tc>
      </w:tr>
      <w:tr w14:paraId="65F3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Merge w:val="continue"/>
            <w:vAlign w:val="center"/>
          </w:tcPr>
          <w:p w14:paraId="6DE1E445">
            <w:pPr>
              <w:snapToGrid w:val="0"/>
              <w:spacing w:line="360" w:lineRule="auto"/>
              <w:jc w:val="center"/>
              <w:rPr>
                <w:rFonts w:ascii="宋体" w:hAnsi="宋体" w:cs="宋体"/>
                <w:sz w:val="22"/>
                <w:szCs w:val="22"/>
                <w:highlight w:val="none"/>
              </w:rPr>
            </w:pPr>
          </w:p>
        </w:tc>
        <w:tc>
          <w:tcPr>
            <w:tcW w:w="1370" w:type="dxa"/>
            <w:vMerge w:val="continue"/>
            <w:vAlign w:val="center"/>
          </w:tcPr>
          <w:p w14:paraId="0BED3DAF">
            <w:pPr>
              <w:widowControl/>
              <w:snapToGrid w:val="0"/>
              <w:spacing w:line="360" w:lineRule="auto"/>
              <w:jc w:val="center"/>
              <w:textAlignment w:val="center"/>
              <w:rPr>
                <w:rFonts w:ascii="宋体" w:hAnsi="宋体" w:cs="宋体"/>
                <w:kern w:val="0"/>
                <w:sz w:val="22"/>
                <w:szCs w:val="22"/>
                <w:highlight w:val="none"/>
                <w:lang w:bidi="ar"/>
              </w:rPr>
            </w:pPr>
          </w:p>
        </w:tc>
        <w:tc>
          <w:tcPr>
            <w:tcW w:w="690" w:type="dxa"/>
            <w:vAlign w:val="center"/>
          </w:tcPr>
          <w:p w14:paraId="20DAC8A9">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1</w:t>
            </w:r>
          </w:p>
        </w:tc>
        <w:tc>
          <w:tcPr>
            <w:tcW w:w="6200" w:type="dxa"/>
            <w:vAlign w:val="center"/>
          </w:tcPr>
          <w:p w14:paraId="7254E33D">
            <w:pPr>
              <w:widowControl/>
              <w:snapToGrid w:val="0"/>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（5）加工工艺：整体制作精细，工艺水平高。</w:t>
            </w:r>
            <w:r>
              <w:rPr>
                <w:rFonts w:hint="eastAsia" w:ascii="宋体" w:hAnsi="宋体" w:cs="宋体"/>
                <w:sz w:val="22"/>
                <w:szCs w:val="22"/>
                <w:highlight w:val="none"/>
              </w:rPr>
              <w:t>（评分范围：0，0.5，1）</w:t>
            </w:r>
          </w:p>
        </w:tc>
        <w:tc>
          <w:tcPr>
            <w:tcW w:w="666" w:type="dxa"/>
            <w:vAlign w:val="center"/>
          </w:tcPr>
          <w:p w14:paraId="24B8E5D4">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主观分</w:t>
            </w:r>
          </w:p>
        </w:tc>
      </w:tr>
      <w:tr w14:paraId="6091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Merge w:val="continue"/>
            <w:vAlign w:val="center"/>
          </w:tcPr>
          <w:p w14:paraId="6ADEBEAE">
            <w:pPr>
              <w:snapToGrid w:val="0"/>
              <w:spacing w:line="360" w:lineRule="auto"/>
              <w:jc w:val="center"/>
              <w:rPr>
                <w:rFonts w:ascii="宋体" w:hAnsi="宋体" w:cs="宋体"/>
                <w:sz w:val="22"/>
                <w:szCs w:val="22"/>
                <w:highlight w:val="none"/>
              </w:rPr>
            </w:pPr>
          </w:p>
        </w:tc>
        <w:tc>
          <w:tcPr>
            <w:tcW w:w="1370" w:type="dxa"/>
            <w:vMerge w:val="continue"/>
            <w:vAlign w:val="center"/>
          </w:tcPr>
          <w:p w14:paraId="62924288">
            <w:pPr>
              <w:widowControl/>
              <w:snapToGrid w:val="0"/>
              <w:spacing w:line="360" w:lineRule="auto"/>
              <w:jc w:val="center"/>
              <w:textAlignment w:val="center"/>
              <w:rPr>
                <w:rFonts w:ascii="宋体" w:hAnsi="宋体" w:cs="宋体"/>
                <w:kern w:val="0"/>
                <w:sz w:val="22"/>
                <w:szCs w:val="22"/>
                <w:highlight w:val="none"/>
                <w:lang w:bidi="ar"/>
              </w:rPr>
            </w:pPr>
          </w:p>
        </w:tc>
        <w:tc>
          <w:tcPr>
            <w:tcW w:w="690" w:type="dxa"/>
            <w:vAlign w:val="center"/>
          </w:tcPr>
          <w:p w14:paraId="762A30BE">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2</w:t>
            </w:r>
          </w:p>
        </w:tc>
        <w:tc>
          <w:tcPr>
            <w:tcW w:w="6200" w:type="dxa"/>
            <w:vAlign w:val="center"/>
          </w:tcPr>
          <w:p w14:paraId="157C2E40">
            <w:pPr>
              <w:widowControl/>
              <w:snapToGrid w:val="0"/>
              <w:spacing w:line="360" w:lineRule="auto"/>
              <w:jc w:val="left"/>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（6）尺寸:</w:t>
            </w:r>
            <w:r>
              <w:rPr>
                <w:rFonts w:hint="eastAsia" w:ascii="宋体" w:hAnsi="宋体"/>
                <w:kern w:val="0"/>
                <w:sz w:val="22"/>
                <w:szCs w:val="22"/>
                <w:highlight w:val="none"/>
              </w:rPr>
              <w:t>根据投标供应商提供样品的尺寸规格、形状的整体效果，是否符合招标文件技术参数和样品工艺图的要求,每偏离一个参数扣0.5分，扣完为止。样品尺寸偏差控制在±5mm以内</w:t>
            </w:r>
            <w:r>
              <w:rPr>
                <w:rFonts w:hint="eastAsia" w:ascii="宋体" w:hAnsi="宋体" w:cs="宋体"/>
                <w:kern w:val="0"/>
                <w:sz w:val="22"/>
                <w:szCs w:val="22"/>
                <w:highlight w:val="none"/>
                <w:lang w:bidi="ar"/>
              </w:rPr>
              <w:t>。</w:t>
            </w:r>
            <w:r>
              <w:rPr>
                <w:rFonts w:hint="eastAsia" w:ascii="宋体" w:hAnsi="宋体" w:cs="宋体"/>
                <w:sz w:val="22"/>
                <w:szCs w:val="22"/>
                <w:highlight w:val="none"/>
              </w:rPr>
              <w:t>（评分范围：0，0.5，1，1.5，2）</w:t>
            </w:r>
          </w:p>
        </w:tc>
        <w:tc>
          <w:tcPr>
            <w:tcW w:w="666" w:type="dxa"/>
            <w:vAlign w:val="center"/>
          </w:tcPr>
          <w:p w14:paraId="7EDB7FB4">
            <w:pPr>
              <w:widowControl/>
              <w:snapToGrid w:val="0"/>
              <w:spacing w:line="360" w:lineRule="auto"/>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客观分</w:t>
            </w:r>
          </w:p>
        </w:tc>
      </w:tr>
      <w:tr w14:paraId="0E68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134C5BEA">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17</w:t>
            </w:r>
          </w:p>
        </w:tc>
        <w:tc>
          <w:tcPr>
            <w:tcW w:w="1370" w:type="dxa"/>
            <w:vAlign w:val="center"/>
          </w:tcPr>
          <w:p w14:paraId="2F44ED10">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样品-涂饰工艺及质量</w:t>
            </w:r>
          </w:p>
        </w:tc>
        <w:tc>
          <w:tcPr>
            <w:tcW w:w="690" w:type="dxa"/>
            <w:vAlign w:val="center"/>
          </w:tcPr>
          <w:p w14:paraId="5D45240E">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2</w:t>
            </w:r>
          </w:p>
        </w:tc>
        <w:tc>
          <w:tcPr>
            <w:tcW w:w="6200" w:type="dxa"/>
            <w:vAlign w:val="center"/>
          </w:tcPr>
          <w:p w14:paraId="030400DF">
            <w:pPr>
              <w:widowControl/>
              <w:snapToGrid w:val="0"/>
              <w:spacing w:line="360" w:lineRule="auto"/>
              <w:jc w:val="left"/>
              <w:textAlignment w:val="center"/>
              <w:rPr>
                <w:rFonts w:ascii="宋体" w:hAnsi="宋体" w:cs="宋体"/>
                <w:sz w:val="22"/>
                <w:szCs w:val="22"/>
                <w:highlight w:val="none"/>
              </w:rPr>
            </w:pPr>
            <w:r>
              <w:rPr>
                <w:rFonts w:hint="eastAsia" w:ascii="宋体" w:hAnsi="宋体" w:cs="宋体"/>
                <w:kern w:val="0"/>
                <w:sz w:val="22"/>
                <w:szCs w:val="22"/>
                <w:highlight w:val="none"/>
                <w:lang w:bidi="ar"/>
              </w:rPr>
              <w:t>涂饰工艺及质量:包括但不仅限于色泽，正视面(包括面板)平整光滑、清晰程度，其他部位表面手感，皱皮、发粘和漏漆程度，表面平整度光泽度。</w:t>
            </w:r>
            <w:r>
              <w:rPr>
                <w:rFonts w:hint="eastAsia" w:ascii="宋体" w:hAnsi="宋体" w:cs="宋体"/>
                <w:sz w:val="22"/>
                <w:szCs w:val="22"/>
                <w:highlight w:val="none"/>
              </w:rPr>
              <w:t>（评分范围：0，0.5，1，1.5，2）</w:t>
            </w:r>
          </w:p>
        </w:tc>
        <w:tc>
          <w:tcPr>
            <w:tcW w:w="666" w:type="dxa"/>
            <w:vAlign w:val="center"/>
          </w:tcPr>
          <w:p w14:paraId="2B1D24DB">
            <w:pPr>
              <w:widowControl/>
              <w:snapToGrid w:val="0"/>
              <w:spacing w:line="360" w:lineRule="auto"/>
              <w:jc w:val="center"/>
              <w:textAlignment w:val="center"/>
              <w:rPr>
                <w:rFonts w:ascii="宋体" w:hAnsi="宋体" w:cs="宋体"/>
                <w:spacing w:val="-6"/>
                <w:sz w:val="22"/>
                <w:szCs w:val="22"/>
                <w:highlight w:val="none"/>
              </w:rPr>
            </w:pPr>
            <w:r>
              <w:rPr>
                <w:rFonts w:hint="eastAsia" w:ascii="宋体" w:hAnsi="宋体" w:cs="宋体"/>
                <w:kern w:val="0"/>
                <w:sz w:val="22"/>
                <w:szCs w:val="22"/>
                <w:highlight w:val="none"/>
                <w:lang w:bidi="ar"/>
              </w:rPr>
              <w:t>主观分</w:t>
            </w:r>
          </w:p>
        </w:tc>
      </w:tr>
      <w:tr w14:paraId="33E5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669B8B3C">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18</w:t>
            </w:r>
          </w:p>
        </w:tc>
        <w:tc>
          <w:tcPr>
            <w:tcW w:w="1370" w:type="dxa"/>
            <w:vAlign w:val="center"/>
          </w:tcPr>
          <w:p w14:paraId="1975639A">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样品-外观整体效果</w:t>
            </w:r>
          </w:p>
        </w:tc>
        <w:tc>
          <w:tcPr>
            <w:tcW w:w="690" w:type="dxa"/>
            <w:vAlign w:val="center"/>
          </w:tcPr>
          <w:p w14:paraId="3D3BE485">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2</w:t>
            </w:r>
          </w:p>
        </w:tc>
        <w:tc>
          <w:tcPr>
            <w:tcW w:w="6200" w:type="dxa"/>
            <w:vAlign w:val="center"/>
          </w:tcPr>
          <w:p w14:paraId="2D67FA7C">
            <w:pPr>
              <w:widowControl/>
              <w:snapToGrid w:val="0"/>
              <w:spacing w:line="360" w:lineRule="auto"/>
              <w:jc w:val="left"/>
              <w:textAlignment w:val="center"/>
              <w:rPr>
                <w:rFonts w:ascii="宋体" w:hAnsi="宋体" w:cs="宋体"/>
                <w:sz w:val="22"/>
                <w:szCs w:val="22"/>
                <w:highlight w:val="none"/>
              </w:rPr>
            </w:pPr>
            <w:r>
              <w:rPr>
                <w:rFonts w:hint="eastAsia" w:ascii="宋体" w:hAnsi="宋体" w:cs="宋体"/>
                <w:kern w:val="0"/>
                <w:sz w:val="22"/>
                <w:szCs w:val="22"/>
                <w:highlight w:val="none"/>
                <w:lang w:bidi="ar"/>
              </w:rPr>
              <w:t>外观整体效果、美观性。</w:t>
            </w:r>
            <w:r>
              <w:rPr>
                <w:rFonts w:hint="eastAsia" w:ascii="宋体" w:hAnsi="宋体" w:cs="宋体"/>
                <w:sz w:val="22"/>
                <w:szCs w:val="22"/>
                <w:highlight w:val="none"/>
              </w:rPr>
              <w:t>（评分范围：0，0.5，1，1.5，2）</w:t>
            </w:r>
          </w:p>
        </w:tc>
        <w:tc>
          <w:tcPr>
            <w:tcW w:w="666" w:type="dxa"/>
            <w:vAlign w:val="center"/>
          </w:tcPr>
          <w:p w14:paraId="1EE7A5A5">
            <w:pPr>
              <w:widowControl/>
              <w:snapToGrid w:val="0"/>
              <w:spacing w:line="360" w:lineRule="auto"/>
              <w:jc w:val="center"/>
              <w:textAlignment w:val="center"/>
              <w:rPr>
                <w:rFonts w:ascii="宋体" w:hAnsi="宋体" w:cs="宋体"/>
                <w:spacing w:val="-6"/>
                <w:sz w:val="22"/>
                <w:szCs w:val="22"/>
                <w:highlight w:val="none"/>
              </w:rPr>
            </w:pPr>
            <w:r>
              <w:rPr>
                <w:rFonts w:hint="eastAsia" w:ascii="宋体" w:hAnsi="宋体" w:cs="宋体"/>
                <w:kern w:val="0"/>
                <w:sz w:val="22"/>
                <w:szCs w:val="22"/>
                <w:highlight w:val="none"/>
                <w:lang w:bidi="ar"/>
              </w:rPr>
              <w:t>主观分</w:t>
            </w:r>
          </w:p>
        </w:tc>
      </w:tr>
      <w:tr w14:paraId="2AAE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2" w:type="dxa"/>
            <w:vAlign w:val="center"/>
          </w:tcPr>
          <w:p w14:paraId="656409E2">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19</w:t>
            </w:r>
          </w:p>
        </w:tc>
        <w:tc>
          <w:tcPr>
            <w:tcW w:w="1370" w:type="dxa"/>
            <w:vAlign w:val="center"/>
          </w:tcPr>
          <w:p w14:paraId="56BD1FA6">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样品-结构设计合理性</w:t>
            </w:r>
          </w:p>
        </w:tc>
        <w:tc>
          <w:tcPr>
            <w:tcW w:w="690" w:type="dxa"/>
            <w:vAlign w:val="center"/>
          </w:tcPr>
          <w:p w14:paraId="738C18CB">
            <w:pPr>
              <w:widowControl/>
              <w:snapToGrid w:val="0"/>
              <w:spacing w:line="360" w:lineRule="auto"/>
              <w:jc w:val="center"/>
              <w:textAlignment w:val="center"/>
              <w:rPr>
                <w:rFonts w:ascii="宋体" w:hAnsi="宋体" w:cs="宋体"/>
                <w:sz w:val="22"/>
                <w:szCs w:val="22"/>
                <w:highlight w:val="none"/>
              </w:rPr>
            </w:pPr>
            <w:r>
              <w:rPr>
                <w:rFonts w:hint="eastAsia" w:ascii="宋体" w:hAnsi="宋体" w:cs="宋体"/>
                <w:kern w:val="0"/>
                <w:sz w:val="22"/>
                <w:szCs w:val="22"/>
                <w:highlight w:val="none"/>
                <w:lang w:bidi="ar"/>
              </w:rPr>
              <w:t>2</w:t>
            </w:r>
          </w:p>
        </w:tc>
        <w:tc>
          <w:tcPr>
            <w:tcW w:w="6200" w:type="dxa"/>
            <w:vAlign w:val="center"/>
          </w:tcPr>
          <w:p w14:paraId="27643BD4">
            <w:pPr>
              <w:widowControl/>
              <w:snapToGrid w:val="0"/>
              <w:spacing w:line="360" w:lineRule="auto"/>
              <w:jc w:val="left"/>
              <w:textAlignment w:val="center"/>
              <w:rPr>
                <w:rFonts w:ascii="宋体" w:hAnsi="宋体" w:cs="宋体"/>
                <w:sz w:val="22"/>
                <w:szCs w:val="22"/>
                <w:highlight w:val="none"/>
              </w:rPr>
            </w:pPr>
            <w:r>
              <w:rPr>
                <w:rFonts w:hint="eastAsia" w:ascii="宋体" w:hAnsi="宋体" w:cs="宋体"/>
                <w:kern w:val="0"/>
                <w:sz w:val="22"/>
                <w:szCs w:val="22"/>
                <w:highlight w:val="none"/>
                <w:lang w:bidi="ar"/>
              </w:rPr>
              <w:t>结构设计合理性、舒适性。</w:t>
            </w:r>
            <w:r>
              <w:rPr>
                <w:rFonts w:hint="eastAsia" w:ascii="宋体" w:hAnsi="宋体" w:cs="宋体"/>
                <w:sz w:val="22"/>
                <w:szCs w:val="22"/>
                <w:highlight w:val="none"/>
              </w:rPr>
              <w:t>（评分范围：0，0.5，1，1.5，2）</w:t>
            </w:r>
          </w:p>
        </w:tc>
        <w:tc>
          <w:tcPr>
            <w:tcW w:w="666" w:type="dxa"/>
            <w:vAlign w:val="center"/>
          </w:tcPr>
          <w:p w14:paraId="20555EB9">
            <w:pPr>
              <w:widowControl/>
              <w:snapToGrid w:val="0"/>
              <w:spacing w:line="360" w:lineRule="auto"/>
              <w:jc w:val="center"/>
              <w:textAlignment w:val="center"/>
              <w:rPr>
                <w:rFonts w:ascii="宋体" w:hAnsi="宋体" w:cs="宋体"/>
                <w:spacing w:val="-6"/>
                <w:sz w:val="22"/>
                <w:szCs w:val="22"/>
                <w:highlight w:val="none"/>
              </w:rPr>
            </w:pPr>
            <w:r>
              <w:rPr>
                <w:rFonts w:hint="eastAsia" w:ascii="宋体" w:hAnsi="宋体" w:cs="宋体"/>
                <w:kern w:val="0"/>
                <w:sz w:val="22"/>
                <w:szCs w:val="22"/>
                <w:highlight w:val="none"/>
                <w:lang w:bidi="ar"/>
              </w:rPr>
              <w:t>主观分</w:t>
            </w:r>
          </w:p>
        </w:tc>
      </w:tr>
    </w:tbl>
    <w:p w14:paraId="78624A85">
      <w:pPr>
        <w:snapToGrid w:val="0"/>
        <w:spacing w:line="360" w:lineRule="auto"/>
        <w:ind w:firstLine="482" w:firstLineChars="200"/>
        <w:rPr>
          <w:rFonts w:ascii="宋体" w:hAnsi="宋体"/>
          <w:b/>
          <w:bCs/>
          <w:sz w:val="24"/>
          <w:highlight w:val="none"/>
        </w:rPr>
      </w:pPr>
      <w:r>
        <w:rPr>
          <w:rFonts w:hint="eastAsia" w:ascii="宋体" w:hAnsi="宋体"/>
          <w:b/>
          <w:bCs/>
          <w:sz w:val="24"/>
          <w:highlight w:val="none"/>
        </w:rPr>
        <w:t>（二）价格部分（30分）</w:t>
      </w:r>
    </w:p>
    <w:p w14:paraId="0C782887">
      <w:pPr>
        <w:pStyle w:val="2"/>
        <w:spacing w:line="360" w:lineRule="auto"/>
        <w:rPr>
          <w:bCs/>
          <w:highlight w:val="none"/>
        </w:rPr>
      </w:pPr>
      <w:r>
        <w:rPr>
          <w:rFonts w:hint="eastAsia"/>
          <w:bCs/>
          <w:highlight w:val="none"/>
        </w:rPr>
        <w:t>价格分采用低价优先法计算，即满足采购文件要求且报价最低的报价为评审基准价，其价格分为满分。其他投标人的价格分按照下列公式计算：</w:t>
      </w:r>
    </w:p>
    <w:p w14:paraId="422AFF4B">
      <w:pPr>
        <w:pStyle w:val="2"/>
        <w:spacing w:line="360" w:lineRule="auto"/>
        <w:rPr>
          <w:bCs/>
          <w:highlight w:val="none"/>
        </w:rPr>
      </w:pPr>
      <w:r>
        <w:rPr>
          <w:rFonts w:hint="eastAsia"/>
          <w:bCs/>
          <w:highlight w:val="none"/>
        </w:rPr>
        <w:t>价格分=（评审基准价/报价）×30%×100</w:t>
      </w:r>
    </w:p>
    <w:p w14:paraId="193F59EF">
      <w:pPr>
        <w:pStyle w:val="2"/>
        <w:spacing w:line="360" w:lineRule="auto"/>
        <w:rPr>
          <w:bCs/>
          <w:highlight w:val="none"/>
        </w:rPr>
      </w:pPr>
      <w:r>
        <w:rPr>
          <w:rFonts w:hint="eastAsia"/>
          <w:bCs/>
          <w:highlight w:val="none"/>
        </w:rPr>
        <w:t>如评标委员会认为投标人的报价明显低于其他通过符合性审查投标人的报价，有可能影响产品质量或者不能诚信履约的，可要求其在评标现场合理的时间内提供书面说明，必要时提交相关证明材料；投标人不能证明其报价合理性的，评标委员会可将其作为无效投标处理。</w:t>
      </w:r>
    </w:p>
    <w:p w14:paraId="081875EB">
      <w:pPr>
        <w:pStyle w:val="2"/>
        <w:spacing w:line="360" w:lineRule="auto"/>
        <w:rPr>
          <w:bCs/>
          <w:highlight w:val="none"/>
        </w:rPr>
      </w:pPr>
      <w:r>
        <w:rPr>
          <w:rFonts w:hint="eastAsia"/>
          <w:bCs/>
          <w:highlight w:val="none"/>
        </w:rPr>
        <w:t>评标过程中，不得去掉报价中的最高报价和最低报价。</w:t>
      </w:r>
    </w:p>
    <w:p w14:paraId="4B78976B">
      <w:pPr>
        <w:pStyle w:val="2"/>
        <w:spacing w:line="360" w:lineRule="auto"/>
        <w:rPr>
          <w:bCs/>
          <w:highlight w:val="none"/>
        </w:rPr>
      </w:pPr>
      <w:r>
        <w:rPr>
          <w:rFonts w:hint="eastAsia"/>
          <w:bCs/>
          <w:highlight w:val="none"/>
        </w:rPr>
        <w:t>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p w14:paraId="437A5ACC">
      <w:pPr>
        <w:ind w:firstLine="411" w:firstLineChars="196"/>
        <w:rPr>
          <w:rFonts w:ascii="宋体" w:hAnsi="宋体" w:cs="宋体"/>
          <w:highlight w:val="none"/>
        </w:rPr>
      </w:pPr>
    </w:p>
    <w:p w14:paraId="4A06BB15">
      <w:pPr>
        <w:pStyle w:val="4"/>
        <w:rPr>
          <w:highlight w:val="none"/>
        </w:rPr>
      </w:pPr>
      <w:bookmarkStart w:id="414" w:name="_Toc14639"/>
      <w:r>
        <w:rPr>
          <w:rFonts w:hint="eastAsia"/>
          <w:highlight w:val="none"/>
        </w:rPr>
        <w:t>三、评标程序</w:t>
      </w:r>
      <w:bookmarkEnd w:id="414"/>
    </w:p>
    <w:p w14:paraId="697F873B">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3.1 符合性审查。</w:t>
      </w:r>
      <w:r>
        <w:rPr>
          <w:rFonts w:hint="eastAsia" w:ascii="宋体" w:hAnsi="宋体" w:cs="宋体"/>
          <w:kern w:val="0"/>
          <w:sz w:val="24"/>
          <w:highlight w:val="none"/>
        </w:rPr>
        <w:t>评标委员会应当对符合资格的投标人的投标文件进行符合性审查，以确定其是否满足招标文件的实质性要求。不满足招标文件的实质性要求的，投标无效。</w:t>
      </w:r>
    </w:p>
    <w:p w14:paraId="33FCC990">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3.2 比较与评价。</w:t>
      </w:r>
      <w:r>
        <w:rPr>
          <w:rFonts w:hint="eastAsia" w:ascii="宋体" w:hAnsi="宋体" w:cs="宋体"/>
          <w:kern w:val="0"/>
          <w:sz w:val="24"/>
          <w:highlight w:val="none"/>
        </w:rPr>
        <w:t>评标委员会应当按照招标文件中规定的评标方法和标准，对符合性审查合格的投标文件进行商务和技术评估，综合比较与评价。</w:t>
      </w:r>
    </w:p>
    <w:p w14:paraId="2051A924">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3.3 汇总商务技术得分。</w:t>
      </w:r>
      <w:r>
        <w:rPr>
          <w:rFonts w:hint="eastAsia" w:ascii="宋体" w:hAnsi="宋体" w:cs="宋体"/>
          <w:kern w:val="0"/>
          <w:sz w:val="24"/>
          <w:highlight w:val="none"/>
        </w:rPr>
        <w:t>评标委员会各成员应当独立对每个投标人的商务和技术文件进行评价，并汇总商务技术得分情况。</w:t>
      </w:r>
    </w:p>
    <w:p w14:paraId="5AB68A06">
      <w:pPr>
        <w:spacing w:line="360" w:lineRule="auto"/>
        <w:ind w:firstLine="482" w:firstLineChars="200"/>
        <w:rPr>
          <w:rFonts w:ascii="宋体" w:hAnsi="宋体" w:cs="宋体"/>
          <w:b/>
          <w:kern w:val="0"/>
          <w:sz w:val="24"/>
          <w:highlight w:val="none"/>
        </w:rPr>
      </w:pPr>
      <w:r>
        <w:rPr>
          <w:rFonts w:hint="eastAsia" w:ascii="宋体" w:hAnsi="宋体" w:cs="宋体"/>
          <w:b/>
          <w:kern w:val="0"/>
          <w:sz w:val="24"/>
          <w:highlight w:val="none"/>
        </w:rPr>
        <w:t>3.4 报价评审。</w:t>
      </w:r>
    </w:p>
    <w:p w14:paraId="512367D9">
      <w:pPr>
        <w:pStyle w:val="134"/>
        <w:spacing w:before="0"/>
        <w:ind w:firstLine="480"/>
        <w:rPr>
          <w:rFonts w:ascii="宋体" w:hAnsi="宋体" w:cs="宋体"/>
          <w:kern w:val="0"/>
          <w:highlight w:val="none"/>
        </w:rPr>
      </w:pPr>
      <w:r>
        <w:rPr>
          <w:rFonts w:hint="eastAsia" w:ascii="宋体" w:hAnsi="宋体" w:cs="宋体"/>
          <w:kern w:val="0"/>
          <w:highlight w:val="none"/>
        </w:rPr>
        <w:t>3.4.1 投标文件报价出现前后不一致的，按照下列规定修正：</w:t>
      </w:r>
    </w:p>
    <w:p w14:paraId="71910AA4">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3.4.1.1 投标文件中开标一览表(报价表)内容与投标文件中相应内容不一致的，以开标一览表(报价表)为准;</w:t>
      </w:r>
    </w:p>
    <w:p w14:paraId="2292DAFC">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3.4.1.2 大写金额和小写金额不一致的，以大写金额为准;</w:t>
      </w:r>
    </w:p>
    <w:p w14:paraId="7B571601">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3.4.1.3 单价金额小数点或者百分比有明显错位的，以开标一览表的总价为准，并修改单价;</w:t>
      </w:r>
    </w:p>
    <w:p w14:paraId="7D91D055">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3.4.1.4 总价金额与按单价汇总金额不一致的，以单价金额计算结果为准。</w:t>
      </w:r>
    </w:p>
    <w:p w14:paraId="4BF8AA54">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3.4.1.5 同时出现两种以上不一致的，按照3.4.1规定的顺序修正。修正后的报价按照财政部第87号令 《政府采购货物和服务招标投标管理办法》第五十一条第二款的规定经投标人确认后产生约束力。</w:t>
      </w:r>
    </w:p>
    <w:p w14:paraId="40612717">
      <w:pPr>
        <w:snapToGrid w:val="0"/>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3.4.2 投标文件出现不是唯一的、有选择性投标报价的，投标无效。</w:t>
      </w:r>
    </w:p>
    <w:p w14:paraId="0139D1E7">
      <w:pPr>
        <w:snapToGrid w:val="0"/>
        <w:spacing w:line="360" w:lineRule="auto"/>
        <w:ind w:firstLine="480" w:firstLineChars="200"/>
        <w:jc w:val="left"/>
        <w:rPr>
          <w:rFonts w:ascii="宋体" w:hAnsi="宋体" w:cs="宋体"/>
          <w:kern w:val="0"/>
          <w:sz w:val="24"/>
          <w:highlight w:val="none"/>
        </w:rPr>
      </w:pPr>
      <w:r>
        <w:rPr>
          <w:rFonts w:hint="eastAsia" w:ascii="宋体" w:hAnsi="宋体" w:cs="宋体"/>
          <w:kern w:val="0"/>
          <w:sz w:val="24"/>
          <w:highlight w:val="none"/>
        </w:rPr>
        <w:t>3.4.3 投标报价超过招标文件中规定的预算金额或者最高限价的，投标无效。</w:t>
      </w:r>
    </w:p>
    <w:p w14:paraId="092B9FBA">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3.4.4 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923B154">
      <w:pPr>
        <w:pStyle w:val="134"/>
        <w:spacing w:before="0"/>
        <w:ind w:firstLine="480"/>
        <w:rPr>
          <w:rFonts w:ascii="宋体" w:hAnsi="宋体" w:cs="宋体"/>
          <w:kern w:val="0"/>
          <w:szCs w:val="24"/>
          <w:highlight w:val="none"/>
        </w:rPr>
      </w:pPr>
      <w:r>
        <w:rPr>
          <w:rFonts w:hint="eastAsia" w:ascii="宋体" w:hAnsi="宋体" w:cs="宋体"/>
          <w:kern w:val="0"/>
          <w:szCs w:val="24"/>
          <w:highlight w:val="none"/>
        </w:rPr>
        <w:t>3.4.5 对于未预留份额专门面向中小企业的政府采购货物项目，以及预留份额政府采购货物项目中的非预留部分标项，对小型和微型企业的投标报价给予10%-</w:t>
      </w:r>
      <w:r>
        <w:rPr>
          <w:rFonts w:ascii="宋体" w:hAnsi="宋体" w:cs="宋体"/>
          <w:kern w:val="0"/>
          <w:szCs w:val="24"/>
          <w:highlight w:val="none"/>
        </w:rPr>
        <w:t>20</w:t>
      </w:r>
      <w:r>
        <w:rPr>
          <w:rFonts w:hint="eastAsia" w:ascii="宋体" w:hAnsi="宋体" w:cs="宋体"/>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highlight w:val="none"/>
        </w:rPr>
        <w:t>6</w:t>
      </w:r>
      <w:r>
        <w:rPr>
          <w:rFonts w:hint="eastAsia" w:ascii="宋体" w:hAnsi="宋体" w:cs="宋体"/>
          <w:kern w:val="0"/>
          <w:szCs w:val="24"/>
          <w:highlight w:val="none"/>
        </w:rPr>
        <w:t>%的扣除，用扣除后的价格参加评审。组成联合体或者接受分包的小微企业与联合体内其他企业、分包企业之间存在直接控股、管理关系的，不享受价格扣除优惠政策。</w:t>
      </w:r>
    </w:p>
    <w:p w14:paraId="5EAB539C">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3.5 排序与推荐。</w:t>
      </w:r>
      <w:r>
        <w:rPr>
          <w:rFonts w:hint="eastAsia" w:ascii="宋体" w:hAnsi="宋体" w:cs="宋体"/>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9429A2E">
      <w:pPr>
        <w:spacing w:line="360" w:lineRule="auto"/>
        <w:ind w:firstLine="480" w:firstLineChars="200"/>
        <w:rPr>
          <w:rFonts w:ascii="宋体" w:hAnsi="宋体" w:cs="宋体"/>
          <w:b/>
          <w:kern w:val="0"/>
          <w:sz w:val="24"/>
          <w:highlight w:val="none"/>
        </w:rPr>
      </w:pPr>
      <w:r>
        <w:rPr>
          <w:rFonts w:hint="eastAsia" w:ascii="宋体" w:hAnsi="宋体" w:cs="宋体"/>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3F011CC">
      <w:pPr>
        <w:spacing w:line="360" w:lineRule="auto"/>
        <w:ind w:firstLine="482" w:firstLineChars="200"/>
        <w:rPr>
          <w:rFonts w:ascii="宋体" w:hAnsi="宋体" w:cs="宋体"/>
          <w:kern w:val="0"/>
          <w:sz w:val="24"/>
          <w:highlight w:val="none"/>
        </w:rPr>
      </w:pPr>
      <w:r>
        <w:rPr>
          <w:rFonts w:hint="eastAsia" w:ascii="宋体" w:hAnsi="宋体" w:cs="宋体"/>
          <w:b/>
          <w:kern w:val="0"/>
          <w:sz w:val="24"/>
          <w:highlight w:val="none"/>
        </w:rPr>
        <w:t>3.6 编写评标报告。</w:t>
      </w:r>
      <w:r>
        <w:rPr>
          <w:rFonts w:hint="eastAsia" w:ascii="宋体" w:hAnsi="宋体" w:cs="宋体"/>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C62D226">
      <w:pPr>
        <w:widowControl/>
        <w:adjustRightInd/>
        <w:spacing w:after="225" w:line="315" w:lineRule="atLeast"/>
        <w:jc w:val="left"/>
        <w:rPr>
          <w:rFonts w:ascii="宋体" w:hAnsi="宋体" w:cs="宋体"/>
          <w:b/>
          <w:sz w:val="32"/>
          <w:highlight w:val="none"/>
        </w:rPr>
      </w:pPr>
      <w:r>
        <w:rPr>
          <w:rFonts w:hint="eastAsia" w:ascii="宋体" w:hAnsi="宋体" w:cs="宋体"/>
          <w:b/>
          <w:sz w:val="32"/>
          <w:highlight w:val="none"/>
        </w:rPr>
        <w:t>四、评标中的其他事项</w:t>
      </w:r>
    </w:p>
    <w:p w14:paraId="64D124F3">
      <w:pPr>
        <w:pStyle w:val="134"/>
        <w:spacing w:before="0"/>
        <w:ind w:firstLine="472" w:firstLineChars="196"/>
        <w:rPr>
          <w:rFonts w:ascii="宋体" w:hAnsi="宋体" w:cs="宋体"/>
          <w:kern w:val="0"/>
          <w:szCs w:val="24"/>
          <w:highlight w:val="none"/>
        </w:rPr>
      </w:pPr>
      <w:r>
        <w:rPr>
          <w:rFonts w:hint="eastAsia" w:ascii="宋体" w:hAnsi="宋体" w:cs="宋体"/>
          <w:b/>
          <w:kern w:val="0"/>
          <w:szCs w:val="24"/>
          <w:highlight w:val="none"/>
        </w:rPr>
        <w:t>4.1 投标人澄清、说明或者补正。</w:t>
      </w:r>
      <w:r>
        <w:rPr>
          <w:rFonts w:hint="eastAsia" w:ascii="宋体" w:hAnsi="宋体" w:cs="宋体"/>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ACB571A">
      <w:pPr>
        <w:pStyle w:val="2"/>
        <w:spacing w:line="360" w:lineRule="auto"/>
        <w:ind w:left="954" w:leftChars="226" w:hanging="479" w:firstLineChars="0"/>
        <w:rPr>
          <w:rFonts w:cs="宋体"/>
          <w:szCs w:val="21"/>
          <w:highlight w:val="none"/>
        </w:rPr>
      </w:pPr>
      <w:r>
        <w:rPr>
          <w:rFonts w:hint="eastAsia" w:cs="宋体"/>
          <w:b/>
          <w:kern w:val="0"/>
          <w:highlight w:val="none"/>
        </w:rPr>
        <w:t>4.2 投标无效。</w:t>
      </w:r>
      <w:r>
        <w:rPr>
          <w:rFonts w:hint="eastAsia" w:cs="宋体"/>
          <w:szCs w:val="21"/>
          <w:highlight w:val="none"/>
        </w:rPr>
        <w:t>有下列情形之一的，投标无效：</w:t>
      </w:r>
    </w:p>
    <w:p w14:paraId="733BF0DF">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 投标人不具备招标文件中规定的资格要求的（投标人未提供有效的资格文件的，视为投标人不具备招标文件中规定的资格要求）；</w:t>
      </w:r>
    </w:p>
    <w:p w14:paraId="2831A109">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4.2.2 投标文件未按照招标文件要求签署、盖章的；</w:t>
      </w:r>
    </w:p>
    <w:p w14:paraId="78BFD799">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4.2.3 采购人拟采购的产品属于政府强制采购的节能产品品目清单范围的，投标人相应的投标产品未获得国家确定的认证机构出具的、处于有效期之内的节能产品认证证书的；</w:t>
      </w:r>
    </w:p>
    <w:p w14:paraId="709CDED1">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4.2.4 投标文件含有采购人不能接受的附加条件的；</w:t>
      </w:r>
    </w:p>
    <w:p w14:paraId="7E55F094">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4.2.5 投标文件中承诺的投标有效期少于招标文件中载明的投标有效期的；</w:t>
      </w:r>
    </w:p>
    <w:p w14:paraId="05748EB6">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4.2.6 投标文件出现不是唯一的、有选择性投标报价的;</w:t>
      </w:r>
    </w:p>
    <w:p w14:paraId="54BC9515">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4.2.7 投标报价超过招标文件中规定的预算金额或者最高限价的;</w:t>
      </w:r>
    </w:p>
    <w:p w14:paraId="79739FF3">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4.2.8 报价明显低于其他通过符合性审查投标人的报价，有可能影响产品质量或者不能诚信履约的，未能按要求提供书面说明或者提交相关证明材料，不能证明其报价合理性的;</w:t>
      </w:r>
    </w:p>
    <w:p w14:paraId="29E2571D">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4.2.9 投标人对根据修正原则修正后的报价不确认的；</w:t>
      </w:r>
    </w:p>
    <w:p w14:paraId="435E6AEE">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4.2.10 投标人提供虚假材料投标的；</w:t>
      </w:r>
    </w:p>
    <w:p w14:paraId="2BBC0955">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4.2.11 投标人有恶意串通、妨碍其他投标人的竞争行为、损害采购人或者其他投标人的合法权益情形的。除政府采购法律法规规章规定的属于恶意串通、视为串通投标情形外，在不影响公平竞争的前提下，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4562F6AB">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4.2.12 投标人仅提交备份投标文件，未在电子交易平台传输递交投标文件的，投标无效；</w:t>
      </w:r>
    </w:p>
    <w:p w14:paraId="4DF573A3">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4.2.13 投标文件不满足招标文件的其它实质性要求的；</w:t>
      </w:r>
    </w:p>
    <w:p w14:paraId="5F21D957">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rPr>
        <w:t>4.2.14 法律、法规、规章（适用本市的）及省级以上规范性文件（适用本市的）规定的其他无效情形。</w:t>
      </w:r>
    </w:p>
    <w:p w14:paraId="233C5943">
      <w:pPr>
        <w:pStyle w:val="2"/>
        <w:snapToGrid w:val="0"/>
        <w:spacing w:line="360" w:lineRule="auto"/>
        <w:ind w:firstLine="472" w:firstLineChars="196"/>
        <w:rPr>
          <w:rFonts w:cs="宋体"/>
          <w:highlight w:val="none"/>
        </w:rPr>
      </w:pPr>
      <w:r>
        <w:rPr>
          <w:rFonts w:hint="eastAsia" w:cs="宋体"/>
          <w:b/>
          <w:highlight w:val="none"/>
        </w:rPr>
        <w:t>5.废标。</w:t>
      </w:r>
      <w:r>
        <w:rPr>
          <w:rFonts w:hint="eastAsia" w:cs="宋体"/>
          <w:highlight w:val="none"/>
        </w:rPr>
        <w:t>根据《中华人民共和国政府采购法》第三十六条之规定，在采购中，出现下列情形之一的，应予废标：</w:t>
      </w:r>
    </w:p>
    <w:p w14:paraId="6339133B">
      <w:pPr>
        <w:pStyle w:val="2"/>
        <w:snapToGrid w:val="0"/>
        <w:spacing w:line="360" w:lineRule="auto"/>
        <w:rPr>
          <w:rFonts w:cs="宋体"/>
          <w:highlight w:val="none"/>
        </w:rPr>
      </w:pPr>
      <w:r>
        <w:rPr>
          <w:rFonts w:hint="eastAsia" w:cs="宋体"/>
          <w:highlight w:val="none"/>
        </w:rPr>
        <w:t>5.1 符合专业条件的供应商或者对招标文件作实质响应的供应商不足3家的；</w:t>
      </w:r>
    </w:p>
    <w:p w14:paraId="1C9B7723">
      <w:pPr>
        <w:pStyle w:val="2"/>
        <w:snapToGrid w:val="0"/>
        <w:spacing w:line="360" w:lineRule="auto"/>
        <w:rPr>
          <w:rFonts w:cs="宋体"/>
          <w:highlight w:val="none"/>
        </w:rPr>
      </w:pPr>
      <w:r>
        <w:rPr>
          <w:rFonts w:hint="eastAsia" w:cs="宋体"/>
          <w:highlight w:val="none"/>
        </w:rPr>
        <w:t>5.2 出现影响采购公正的违法、违规行为的；</w:t>
      </w:r>
    </w:p>
    <w:p w14:paraId="48C4DA35">
      <w:pPr>
        <w:pStyle w:val="2"/>
        <w:snapToGrid w:val="0"/>
        <w:spacing w:line="360" w:lineRule="auto"/>
        <w:rPr>
          <w:rFonts w:cs="宋体"/>
          <w:highlight w:val="none"/>
        </w:rPr>
      </w:pPr>
      <w:r>
        <w:rPr>
          <w:rFonts w:hint="eastAsia" w:cs="宋体"/>
          <w:highlight w:val="none"/>
        </w:rPr>
        <w:t>5.3 投标人的报价均超过了采购预算，采购人不能支付的；</w:t>
      </w:r>
    </w:p>
    <w:p w14:paraId="3AC99836">
      <w:pPr>
        <w:pStyle w:val="2"/>
        <w:snapToGrid w:val="0"/>
        <w:spacing w:line="360" w:lineRule="auto"/>
        <w:rPr>
          <w:rFonts w:cs="宋体"/>
          <w:highlight w:val="none"/>
        </w:rPr>
      </w:pPr>
      <w:r>
        <w:rPr>
          <w:rFonts w:hint="eastAsia" w:cs="宋体"/>
          <w:highlight w:val="none"/>
        </w:rPr>
        <w:t>5.4 因重大变故，采购任务取消的。</w:t>
      </w:r>
    </w:p>
    <w:p w14:paraId="6C7FB5BD">
      <w:pPr>
        <w:pStyle w:val="2"/>
        <w:snapToGrid w:val="0"/>
        <w:spacing w:line="360" w:lineRule="auto"/>
        <w:rPr>
          <w:rFonts w:cs="宋体"/>
          <w:highlight w:val="none"/>
        </w:rPr>
      </w:pPr>
      <w:r>
        <w:rPr>
          <w:rFonts w:hint="eastAsia" w:cs="宋体"/>
          <w:highlight w:val="none"/>
        </w:rPr>
        <w:t>废标后，采购代理机构应当将废标理由通知所有投标人。</w:t>
      </w:r>
    </w:p>
    <w:p w14:paraId="12786D5C">
      <w:pPr>
        <w:pStyle w:val="2"/>
        <w:snapToGrid w:val="0"/>
        <w:spacing w:line="360" w:lineRule="auto"/>
        <w:ind w:firstLine="472" w:firstLineChars="196"/>
        <w:rPr>
          <w:rFonts w:cs="宋体"/>
          <w:b/>
          <w:highlight w:val="none"/>
        </w:rPr>
      </w:pPr>
      <w:r>
        <w:rPr>
          <w:rFonts w:hint="eastAsia" w:cs="宋体"/>
          <w:b/>
          <w:highlight w:val="none"/>
        </w:rPr>
        <w:t>6.修改招标文件，重新组织采购活动。</w:t>
      </w:r>
      <w:r>
        <w:rPr>
          <w:rFonts w:hint="eastAsia" w:cs="宋体"/>
          <w:bCs/>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D6B0B20">
      <w:pPr>
        <w:pStyle w:val="2"/>
        <w:snapToGrid w:val="0"/>
        <w:spacing w:line="360" w:lineRule="auto"/>
        <w:ind w:firstLine="482"/>
        <w:rPr>
          <w:rFonts w:cs="宋体"/>
          <w:highlight w:val="none"/>
        </w:rPr>
      </w:pPr>
      <w:r>
        <w:rPr>
          <w:rFonts w:hint="eastAsia" w:cs="宋体"/>
          <w:b/>
          <w:kern w:val="0"/>
          <w:highlight w:val="none"/>
        </w:rPr>
        <w:t>7.重新开展采购。</w:t>
      </w:r>
      <w:r>
        <w:rPr>
          <w:rFonts w:hint="eastAsia" w:cs="宋体"/>
          <w:highlight w:val="none"/>
        </w:rPr>
        <w:t>有政府采购法第七十一条、第七十二条规定的违法行为之一，影响或者可能影响中标结果的，依照下列规定处理：</w:t>
      </w:r>
    </w:p>
    <w:p w14:paraId="0B7DDC3F">
      <w:pPr>
        <w:pStyle w:val="2"/>
        <w:snapToGrid w:val="0"/>
        <w:spacing w:line="360" w:lineRule="auto"/>
        <w:rPr>
          <w:rFonts w:cs="宋体"/>
          <w:highlight w:val="none"/>
        </w:rPr>
      </w:pPr>
      <w:r>
        <w:rPr>
          <w:rFonts w:hint="eastAsia" w:cs="宋体"/>
          <w:highlight w:val="none"/>
        </w:rPr>
        <w:t>7.1 未确定中标供应商的，终止本次政府采购活动，重新开展政府采购活动。</w:t>
      </w:r>
    </w:p>
    <w:p w14:paraId="78C2A890">
      <w:pPr>
        <w:pStyle w:val="2"/>
        <w:snapToGrid w:val="0"/>
        <w:spacing w:line="360" w:lineRule="auto"/>
        <w:rPr>
          <w:rFonts w:cs="宋体"/>
          <w:highlight w:val="none"/>
        </w:rPr>
      </w:pPr>
      <w:r>
        <w:rPr>
          <w:rFonts w:hint="eastAsia" w:cs="宋体"/>
          <w:highlight w:val="none"/>
        </w:rPr>
        <w:t>7.2 已确定中标供应商但尚未签订政府采购合同的，中标结果无效，从合格的中标候选人中另行确定中标供应商；没有合格的中标候选人的，重新开展政府采购活动。</w:t>
      </w:r>
    </w:p>
    <w:p w14:paraId="36673F3E">
      <w:pPr>
        <w:pStyle w:val="2"/>
        <w:snapToGrid w:val="0"/>
        <w:spacing w:line="360" w:lineRule="auto"/>
        <w:rPr>
          <w:rFonts w:cs="宋体"/>
          <w:highlight w:val="none"/>
        </w:rPr>
      </w:pPr>
      <w:r>
        <w:rPr>
          <w:rFonts w:hint="eastAsia" w:cs="宋体"/>
          <w:highlight w:val="none"/>
        </w:rPr>
        <w:t>7.3 政府采购合同已签订但尚未履行的，撤销合同，从合格的中标候选人中另行确定中标供应商；没有合格的中标候选人的，重新开展政府采购活动。</w:t>
      </w:r>
    </w:p>
    <w:p w14:paraId="474520A6">
      <w:pPr>
        <w:pStyle w:val="2"/>
        <w:snapToGrid w:val="0"/>
        <w:spacing w:line="360" w:lineRule="auto"/>
        <w:rPr>
          <w:rFonts w:cs="宋体"/>
          <w:highlight w:val="none"/>
        </w:rPr>
      </w:pPr>
      <w:r>
        <w:rPr>
          <w:rFonts w:hint="eastAsia" w:cs="宋体"/>
          <w:highlight w:val="none"/>
        </w:rPr>
        <w:t>7.4 政府采购合同已经履行，给采购人、供应商造成损失的，由责任人承担赔偿责任。</w:t>
      </w:r>
    </w:p>
    <w:bookmarkEnd w:id="39"/>
    <w:p w14:paraId="1A37C69D">
      <w:pPr>
        <w:pStyle w:val="2"/>
        <w:snapToGrid w:val="0"/>
        <w:spacing w:line="360" w:lineRule="auto"/>
        <w:rPr>
          <w:rFonts w:cs="宋体"/>
          <w:highlight w:val="none"/>
        </w:rPr>
        <w:sectPr>
          <w:footerReference r:id="rId8" w:type="default"/>
          <w:pgSz w:w="11907" w:h="16840"/>
          <w:pgMar w:top="1440" w:right="1080" w:bottom="1440" w:left="1080" w:header="851" w:footer="851" w:gutter="0"/>
          <w:cols w:space="720" w:num="1"/>
        </w:sectPr>
      </w:pPr>
      <w:r>
        <w:rPr>
          <w:rFonts w:hint="eastAsia" w:cs="宋体"/>
          <w:highlight w:val="none"/>
        </w:rPr>
        <w:t>7.5 政府采购当事人有其他违反政府采购法或者政府采购法实施条例等法律法规规定的行为，经改正后仍然影响或者可能影响中标结果或者依法被认定为中标无效的，依照7.1-7.4规定处理。</w:t>
      </w:r>
    </w:p>
    <w:p w14:paraId="5E9E199E">
      <w:pPr>
        <w:pStyle w:val="3"/>
        <w:rPr>
          <w:highlight w:val="none"/>
        </w:rPr>
      </w:pPr>
      <w:bookmarkStart w:id="415" w:name="_Toc5183"/>
      <w:bookmarkStart w:id="416" w:name="_Toc86217003"/>
      <w:bookmarkStart w:id="417" w:name="第五部分"/>
      <w:r>
        <w:rPr>
          <w:rFonts w:hint="eastAsia"/>
          <w:highlight w:val="none"/>
        </w:rPr>
        <w:t>第五部分 拟签订的合同文本</w:t>
      </w:r>
      <w:bookmarkEnd w:id="415"/>
    </w:p>
    <w:p w14:paraId="7239B87E">
      <w:pPr>
        <w:spacing w:line="360" w:lineRule="auto"/>
        <w:ind w:firstLine="480"/>
        <w:rPr>
          <w:rFonts w:ascii="宋体" w:hAnsi="宋体" w:cs="宋体"/>
          <w:sz w:val="24"/>
          <w:highlight w:val="none"/>
        </w:rPr>
      </w:pPr>
      <w:r>
        <w:rPr>
          <w:rFonts w:hint="eastAsia" w:ascii="宋体" w:hAnsi="宋体" w:cs="宋体"/>
          <w:sz w:val="24"/>
          <w:highlight w:val="none"/>
        </w:rPr>
        <w:t>本章所述《合同格式及合同条款》为指引性文件。在合同签订时，采购人有权合理修改本合同条款。若采购人和中标人双方同意，合同格式也可以按照其他形式。合同条款的基本内容应与本章所述《合同格式及合同条款》要求的内容相一致，同时招标文件及其答疑、补充、修改；中标人的投标文件正本；投标人在评标答疑时的书面澄清或说明；中标通知书等文件是构成合同不可分割的部分。</w:t>
      </w:r>
    </w:p>
    <w:p w14:paraId="677F336C">
      <w:pPr>
        <w:snapToGrid w:val="0"/>
        <w:jc w:val="center"/>
        <w:rPr>
          <w:rFonts w:cs="宋体"/>
          <w:b/>
          <w:bCs/>
          <w:spacing w:val="20"/>
          <w:highlight w:val="none"/>
        </w:rPr>
      </w:pPr>
      <w:r>
        <w:rPr>
          <w:rFonts w:hint="eastAsia" w:cs="宋体"/>
          <w:b/>
          <w:bCs/>
          <w:spacing w:val="20"/>
          <w:sz w:val="30"/>
          <w:szCs w:val="30"/>
          <w:highlight w:val="none"/>
        </w:rPr>
        <w:t>采 购 合 同</w:t>
      </w:r>
    </w:p>
    <w:p w14:paraId="0BD2784C">
      <w:pPr>
        <w:pStyle w:val="83"/>
        <w:snapToGrid w:val="0"/>
        <w:spacing w:line="360" w:lineRule="auto"/>
        <w:ind w:firstLine="480" w:firstLineChars="200"/>
        <w:rPr>
          <w:rFonts w:ascii="宋体" w:hAnsi="宋体" w:eastAsia="宋体" w:cs="宋体"/>
          <w:color w:val="auto"/>
          <w:kern w:val="2"/>
          <w:highlight w:val="none"/>
        </w:rPr>
      </w:pPr>
      <w:r>
        <w:rPr>
          <w:rFonts w:hint="eastAsia" w:ascii="宋体" w:hAnsi="宋体" w:eastAsia="宋体" w:cs="宋体"/>
          <w:color w:val="auto"/>
          <w:kern w:val="2"/>
          <w:highlight w:val="none"/>
        </w:rPr>
        <w:t>项目名称：</w:t>
      </w:r>
    </w:p>
    <w:p w14:paraId="753463BD">
      <w:pPr>
        <w:pStyle w:val="968"/>
        <w:adjustRightInd w:val="0"/>
        <w:snapToGrid w:val="0"/>
        <w:spacing w:line="360" w:lineRule="auto"/>
        <w:ind w:left="0" w:firstLine="480" w:firstLineChars="200"/>
        <w:rPr>
          <w:rFonts w:ascii="宋体" w:hAnsi="宋体" w:cs="宋体"/>
          <w:kern w:val="2"/>
          <w:sz w:val="24"/>
          <w:szCs w:val="24"/>
          <w:highlight w:val="none"/>
        </w:rPr>
      </w:pPr>
      <w:r>
        <w:rPr>
          <w:rFonts w:hint="eastAsia" w:ascii="宋体" w:hAnsi="宋体" w:cs="宋体"/>
          <w:kern w:val="2"/>
          <w:sz w:val="24"/>
          <w:szCs w:val="24"/>
          <w:highlight w:val="none"/>
        </w:rPr>
        <w:t>项目编号：</w:t>
      </w:r>
    </w:p>
    <w:tbl>
      <w:tblPr>
        <w:tblStyle w:val="64"/>
        <w:tblW w:w="9828" w:type="dxa"/>
        <w:tblInd w:w="0" w:type="dxa"/>
        <w:tblLayout w:type="fixed"/>
        <w:tblCellMar>
          <w:top w:w="0" w:type="dxa"/>
          <w:left w:w="108" w:type="dxa"/>
          <w:bottom w:w="0" w:type="dxa"/>
          <w:right w:w="108" w:type="dxa"/>
        </w:tblCellMar>
      </w:tblPr>
      <w:tblGrid>
        <w:gridCol w:w="5571"/>
        <w:gridCol w:w="4257"/>
      </w:tblGrid>
      <w:tr w14:paraId="40342C7B">
        <w:tc>
          <w:tcPr>
            <w:tcW w:w="5571" w:type="dxa"/>
          </w:tcPr>
          <w:p w14:paraId="189604B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甲方（需方）：</w:t>
            </w:r>
          </w:p>
        </w:tc>
        <w:tc>
          <w:tcPr>
            <w:tcW w:w="4257" w:type="dxa"/>
          </w:tcPr>
          <w:p w14:paraId="30EDB328">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合同编号：XXXXX</w:t>
            </w:r>
          </w:p>
        </w:tc>
      </w:tr>
      <w:tr w14:paraId="1C705136">
        <w:tblPrEx>
          <w:tblCellMar>
            <w:top w:w="0" w:type="dxa"/>
            <w:left w:w="108" w:type="dxa"/>
            <w:bottom w:w="0" w:type="dxa"/>
            <w:right w:w="108" w:type="dxa"/>
          </w:tblCellMar>
        </w:tblPrEx>
        <w:tc>
          <w:tcPr>
            <w:tcW w:w="5571" w:type="dxa"/>
          </w:tcPr>
          <w:p w14:paraId="22DD113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乙方（供方）： </w:t>
            </w:r>
          </w:p>
        </w:tc>
        <w:tc>
          <w:tcPr>
            <w:tcW w:w="4257" w:type="dxa"/>
          </w:tcPr>
          <w:p w14:paraId="0858B8F6">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合同签约地：</w:t>
            </w:r>
          </w:p>
        </w:tc>
      </w:tr>
      <w:tr w14:paraId="097EAAA9">
        <w:tblPrEx>
          <w:tblCellMar>
            <w:top w:w="0" w:type="dxa"/>
            <w:left w:w="108" w:type="dxa"/>
            <w:bottom w:w="0" w:type="dxa"/>
            <w:right w:w="108" w:type="dxa"/>
          </w:tblCellMar>
        </w:tblPrEx>
        <w:tc>
          <w:tcPr>
            <w:tcW w:w="5571" w:type="dxa"/>
          </w:tcPr>
          <w:p w14:paraId="5A8C1E0D">
            <w:pPr>
              <w:wordWrap w:val="0"/>
              <w:snapToGrid w:val="0"/>
              <w:spacing w:line="360" w:lineRule="auto"/>
              <w:ind w:firstLine="480" w:firstLineChars="200"/>
              <w:jc w:val="center"/>
              <w:rPr>
                <w:rFonts w:ascii="宋体" w:hAnsi="宋体" w:cs="宋体"/>
                <w:sz w:val="24"/>
                <w:highlight w:val="none"/>
              </w:rPr>
            </w:pPr>
            <w:r>
              <w:rPr>
                <w:rFonts w:hint="eastAsia" w:ascii="宋体" w:hAnsi="宋体" w:cs="宋体"/>
                <w:sz w:val="24"/>
                <w:highlight w:val="none"/>
              </w:rPr>
              <w:t xml:space="preserve">鉴证方：                             </w:t>
            </w:r>
          </w:p>
        </w:tc>
        <w:tc>
          <w:tcPr>
            <w:tcW w:w="4257" w:type="dxa"/>
          </w:tcPr>
          <w:p w14:paraId="22E049E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签约日期：  </w:t>
            </w:r>
          </w:p>
        </w:tc>
      </w:tr>
    </w:tbl>
    <w:p w14:paraId="08F64164">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（采购人名称）委托（代理机构名称）对XXX项目进行公开招标，依据采购项目（项目编号：    ）的采购结果，确定（中标人名称）为该项目的中标单位，甲、乙双方经协商一致达成以下合同条款：</w:t>
      </w:r>
    </w:p>
    <w:p w14:paraId="2D881AC3">
      <w:pPr>
        <w:pStyle w:val="32"/>
        <w:snapToGrid w:val="0"/>
        <w:spacing w:line="360" w:lineRule="auto"/>
        <w:ind w:firstLine="482" w:firstLineChars="200"/>
        <w:rPr>
          <w:rFonts w:hAnsi="宋体" w:cs="宋体"/>
          <w:sz w:val="24"/>
          <w:szCs w:val="24"/>
          <w:highlight w:val="none"/>
        </w:rPr>
      </w:pPr>
      <w:r>
        <w:rPr>
          <w:rFonts w:hint="eastAsia" w:hAnsi="宋体" w:cs="宋体"/>
          <w:b/>
          <w:sz w:val="24"/>
          <w:szCs w:val="24"/>
          <w:highlight w:val="none"/>
        </w:rPr>
        <w:t xml:space="preserve">第一条：货物清单及合同价格 </w:t>
      </w:r>
      <w:r>
        <w:rPr>
          <w:rFonts w:hint="eastAsia" w:hAnsi="宋体" w:cs="宋体"/>
          <w:sz w:val="24"/>
          <w:szCs w:val="24"/>
          <w:highlight w:val="none"/>
        </w:rPr>
        <w:t xml:space="preserve">                        金额单位：元人民币</w:t>
      </w:r>
    </w:p>
    <w:tbl>
      <w:tblPr>
        <w:tblStyle w:val="6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960"/>
        <w:gridCol w:w="890"/>
        <w:gridCol w:w="2236"/>
        <w:gridCol w:w="1268"/>
        <w:gridCol w:w="1268"/>
        <w:gridCol w:w="1268"/>
        <w:gridCol w:w="1277"/>
      </w:tblGrid>
      <w:tr w14:paraId="2E02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396" w:type="pct"/>
            <w:vAlign w:val="center"/>
          </w:tcPr>
          <w:p w14:paraId="48A9B866">
            <w:pPr>
              <w:snapToGrid w:val="0"/>
              <w:spacing w:line="360" w:lineRule="auto"/>
              <w:rPr>
                <w:rFonts w:ascii="宋体" w:hAnsi="宋体" w:cs="宋体"/>
                <w:sz w:val="24"/>
                <w:highlight w:val="none"/>
              </w:rPr>
            </w:pPr>
            <w:r>
              <w:rPr>
                <w:rFonts w:hint="eastAsia" w:ascii="宋体" w:hAnsi="宋体" w:cs="宋体"/>
                <w:sz w:val="24"/>
                <w:highlight w:val="none"/>
              </w:rPr>
              <w:t>序号</w:t>
            </w:r>
          </w:p>
        </w:tc>
        <w:tc>
          <w:tcPr>
            <w:tcW w:w="482" w:type="pct"/>
            <w:vAlign w:val="center"/>
          </w:tcPr>
          <w:p w14:paraId="055F86CB">
            <w:pPr>
              <w:snapToGrid w:val="0"/>
              <w:spacing w:line="360" w:lineRule="auto"/>
              <w:jc w:val="center"/>
              <w:rPr>
                <w:rFonts w:ascii="宋体" w:hAnsi="宋体" w:cs="宋体"/>
                <w:sz w:val="24"/>
                <w:highlight w:val="none"/>
              </w:rPr>
            </w:pPr>
            <w:r>
              <w:rPr>
                <w:rFonts w:hint="eastAsia" w:ascii="宋体" w:hAnsi="宋体" w:cs="宋体"/>
                <w:sz w:val="24"/>
                <w:highlight w:val="none"/>
              </w:rPr>
              <w:t>货物</w:t>
            </w:r>
          </w:p>
          <w:p w14:paraId="3B4CFFFC">
            <w:pPr>
              <w:snapToGrid w:val="0"/>
              <w:spacing w:line="360" w:lineRule="auto"/>
              <w:jc w:val="center"/>
              <w:rPr>
                <w:rFonts w:ascii="宋体" w:hAnsi="宋体" w:cs="宋体"/>
                <w:sz w:val="24"/>
                <w:highlight w:val="none"/>
              </w:rPr>
            </w:pPr>
            <w:r>
              <w:rPr>
                <w:rFonts w:hint="eastAsia" w:ascii="宋体" w:hAnsi="宋体" w:cs="宋体"/>
                <w:sz w:val="24"/>
                <w:highlight w:val="none"/>
              </w:rPr>
              <w:t>名称</w:t>
            </w:r>
          </w:p>
        </w:tc>
        <w:tc>
          <w:tcPr>
            <w:tcW w:w="447" w:type="pct"/>
            <w:vAlign w:val="center"/>
          </w:tcPr>
          <w:p w14:paraId="199768EF">
            <w:pPr>
              <w:snapToGrid w:val="0"/>
              <w:spacing w:line="360" w:lineRule="auto"/>
              <w:jc w:val="center"/>
              <w:rPr>
                <w:rFonts w:ascii="宋体" w:hAnsi="宋体" w:cs="宋体"/>
                <w:sz w:val="24"/>
                <w:highlight w:val="none"/>
              </w:rPr>
            </w:pPr>
            <w:r>
              <w:rPr>
                <w:rFonts w:hint="eastAsia" w:ascii="宋体" w:hAnsi="宋体" w:cs="宋体"/>
                <w:sz w:val="24"/>
                <w:highlight w:val="none"/>
              </w:rPr>
              <w:t>品牌</w:t>
            </w:r>
          </w:p>
        </w:tc>
        <w:tc>
          <w:tcPr>
            <w:tcW w:w="1123" w:type="pct"/>
            <w:vAlign w:val="center"/>
          </w:tcPr>
          <w:p w14:paraId="54AB82D0">
            <w:pPr>
              <w:snapToGrid w:val="0"/>
              <w:spacing w:line="360" w:lineRule="auto"/>
              <w:jc w:val="center"/>
              <w:rPr>
                <w:rFonts w:ascii="宋体" w:hAnsi="宋体" w:cs="宋体"/>
                <w:sz w:val="24"/>
                <w:highlight w:val="none"/>
              </w:rPr>
            </w:pPr>
            <w:r>
              <w:rPr>
                <w:rFonts w:hint="eastAsia" w:ascii="宋体" w:hAnsi="宋体" w:cs="宋体"/>
                <w:sz w:val="24"/>
                <w:highlight w:val="none"/>
              </w:rPr>
              <w:t>规格型号</w:t>
            </w:r>
          </w:p>
        </w:tc>
        <w:tc>
          <w:tcPr>
            <w:tcW w:w="637" w:type="pct"/>
            <w:vAlign w:val="center"/>
          </w:tcPr>
          <w:p w14:paraId="27854A40">
            <w:pPr>
              <w:snapToGrid w:val="0"/>
              <w:spacing w:line="360" w:lineRule="auto"/>
              <w:jc w:val="center"/>
              <w:rPr>
                <w:rFonts w:ascii="宋体" w:hAnsi="宋体" w:cs="宋体"/>
                <w:sz w:val="24"/>
                <w:highlight w:val="none"/>
              </w:rPr>
            </w:pPr>
            <w:r>
              <w:rPr>
                <w:rFonts w:hint="eastAsia" w:ascii="宋体" w:hAnsi="宋体" w:cs="宋体"/>
                <w:sz w:val="24"/>
                <w:highlight w:val="none"/>
              </w:rPr>
              <w:t>数量</w:t>
            </w:r>
          </w:p>
        </w:tc>
        <w:tc>
          <w:tcPr>
            <w:tcW w:w="637" w:type="pct"/>
            <w:vAlign w:val="center"/>
          </w:tcPr>
          <w:p w14:paraId="2A3AB6F1">
            <w:pPr>
              <w:snapToGrid w:val="0"/>
              <w:spacing w:line="360" w:lineRule="auto"/>
              <w:jc w:val="center"/>
              <w:rPr>
                <w:rFonts w:ascii="宋体" w:hAnsi="宋体" w:cs="宋体"/>
                <w:sz w:val="24"/>
                <w:highlight w:val="none"/>
              </w:rPr>
            </w:pPr>
            <w:r>
              <w:rPr>
                <w:rFonts w:hint="eastAsia" w:ascii="宋体" w:hAnsi="宋体" w:cs="宋体"/>
                <w:sz w:val="24"/>
                <w:highlight w:val="none"/>
              </w:rPr>
              <w:t>单位</w:t>
            </w:r>
          </w:p>
        </w:tc>
        <w:tc>
          <w:tcPr>
            <w:tcW w:w="637" w:type="pct"/>
            <w:vAlign w:val="center"/>
          </w:tcPr>
          <w:p w14:paraId="6C9607B2">
            <w:pPr>
              <w:snapToGrid w:val="0"/>
              <w:spacing w:line="360" w:lineRule="auto"/>
              <w:jc w:val="center"/>
              <w:rPr>
                <w:rFonts w:ascii="宋体" w:hAnsi="宋体" w:cs="宋体"/>
                <w:sz w:val="24"/>
                <w:highlight w:val="none"/>
              </w:rPr>
            </w:pPr>
            <w:r>
              <w:rPr>
                <w:rFonts w:hint="eastAsia" w:ascii="宋体" w:hAnsi="宋体" w:cs="宋体"/>
                <w:sz w:val="24"/>
                <w:highlight w:val="none"/>
              </w:rPr>
              <w:t>单价</w:t>
            </w:r>
          </w:p>
        </w:tc>
        <w:tc>
          <w:tcPr>
            <w:tcW w:w="637" w:type="pct"/>
            <w:vAlign w:val="center"/>
          </w:tcPr>
          <w:p w14:paraId="0F235F46">
            <w:pPr>
              <w:snapToGrid w:val="0"/>
              <w:spacing w:line="360" w:lineRule="auto"/>
              <w:jc w:val="center"/>
              <w:rPr>
                <w:rFonts w:ascii="宋体" w:hAnsi="宋体" w:cs="宋体"/>
                <w:sz w:val="24"/>
                <w:highlight w:val="none"/>
              </w:rPr>
            </w:pPr>
            <w:r>
              <w:rPr>
                <w:rFonts w:hint="eastAsia" w:ascii="宋体" w:hAnsi="宋体" w:cs="宋体"/>
                <w:sz w:val="24"/>
                <w:highlight w:val="none"/>
              </w:rPr>
              <w:t>总价</w:t>
            </w:r>
          </w:p>
        </w:tc>
      </w:tr>
      <w:tr w14:paraId="638A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exact"/>
          <w:jc w:val="center"/>
        </w:trPr>
        <w:tc>
          <w:tcPr>
            <w:tcW w:w="396" w:type="pct"/>
            <w:vAlign w:val="center"/>
          </w:tcPr>
          <w:p w14:paraId="5C400259">
            <w:pPr>
              <w:snapToGrid w:val="0"/>
              <w:spacing w:line="360" w:lineRule="auto"/>
              <w:jc w:val="center"/>
              <w:rPr>
                <w:rFonts w:ascii="宋体" w:hAnsi="宋体" w:cs="宋体"/>
                <w:spacing w:val="20"/>
                <w:sz w:val="24"/>
                <w:highlight w:val="none"/>
              </w:rPr>
            </w:pPr>
            <w:r>
              <w:rPr>
                <w:rFonts w:hint="eastAsia" w:ascii="宋体" w:hAnsi="宋体" w:cs="宋体"/>
                <w:spacing w:val="20"/>
                <w:sz w:val="24"/>
                <w:highlight w:val="none"/>
              </w:rPr>
              <w:t>1</w:t>
            </w:r>
          </w:p>
        </w:tc>
        <w:tc>
          <w:tcPr>
            <w:tcW w:w="482" w:type="pct"/>
            <w:vAlign w:val="center"/>
          </w:tcPr>
          <w:p w14:paraId="629041BE">
            <w:pPr>
              <w:widowControl/>
              <w:snapToGrid w:val="0"/>
              <w:spacing w:line="360" w:lineRule="auto"/>
              <w:jc w:val="center"/>
              <w:rPr>
                <w:rFonts w:ascii="宋体" w:hAnsi="宋体" w:cs="宋体"/>
                <w:kern w:val="0"/>
                <w:sz w:val="24"/>
                <w:highlight w:val="none"/>
              </w:rPr>
            </w:pPr>
          </w:p>
        </w:tc>
        <w:tc>
          <w:tcPr>
            <w:tcW w:w="447" w:type="pct"/>
            <w:vAlign w:val="center"/>
          </w:tcPr>
          <w:p w14:paraId="0802B368">
            <w:pPr>
              <w:widowControl/>
              <w:snapToGrid w:val="0"/>
              <w:spacing w:line="360" w:lineRule="auto"/>
              <w:jc w:val="center"/>
              <w:rPr>
                <w:rFonts w:ascii="宋体" w:hAnsi="宋体" w:cs="宋体"/>
                <w:kern w:val="0"/>
                <w:sz w:val="24"/>
                <w:highlight w:val="none"/>
              </w:rPr>
            </w:pPr>
          </w:p>
        </w:tc>
        <w:tc>
          <w:tcPr>
            <w:tcW w:w="1123" w:type="pct"/>
            <w:vAlign w:val="center"/>
          </w:tcPr>
          <w:p w14:paraId="0CB52D4E">
            <w:pPr>
              <w:widowControl/>
              <w:snapToGrid w:val="0"/>
              <w:spacing w:line="360" w:lineRule="auto"/>
              <w:jc w:val="center"/>
              <w:rPr>
                <w:rFonts w:ascii="宋体" w:hAnsi="宋体" w:cs="宋体"/>
                <w:kern w:val="0"/>
                <w:sz w:val="24"/>
                <w:highlight w:val="none"/>
              </w:rPr>
            </w:pPr>
          </w:p>
        </w:tc>
        <w:tc>
          <w:tcPr>
            <w:tcW w:w="637" w:type="pct"/>
            <w:vAlign w:val="center"/>
          </w:tcPr>
          <w:p w14:paraId="36F817D4">
            <w:pPr>
              <w:widowControl/>
              <w:snapToGrid w:val="0"/>
              <w:spacing w:line="360" w:lineRule="auto"/>
              <w:jc w:val="center"/>
              <w:rPr>
                <w:rFonts w:ascii="宋体" w:hAnsi="宋体" w:cs="宋体"/>
                <w:kern w:val="0"/>
                <w:sz w:val="24"/>
                <w:highlight w:val="none"/>
              </w:rPr>
            </w:pPr>
          </w:p>
        </w:tc>
        <w:tc>
          <w:tcPr>
            <w:tcW w:w="637" w:type="pct"/>
            <w:vAlign w:val="center"/>
          </w:tcPr>
          <w:p w14:paraId="0A7DEA56">
            <w:pPr>
              <w:widowControl/>
              <w:snapToGrid w:val="0"/>
              <w:spacing w:line="360" w:lineRule="auto"/>
              <w:jc w:val="center"/>
              <w:rPr>
                <w:rFonts w:ascii="宋体" w:hAnsi="宋体" w:cs="宋体"/>
                <w:kern w:val="0"/>
                <w:sz w:val="24"/>
                <w:highlight w:val="none"/>
              </w:rPr>
            </w:pPr>
          </w:p>
        </w:tc>
        <w:tc>
          <w:tcPr>
            <w:tcW w:w="637" w:type="pct"/>
            <w:vAlign w:val="center"/>
          </w:tcPr>
          <w:p w14:paraId="4526AB89">
            <w:pPr>
              <w:widowControl/>
              <w:snapToGrid w:val="0"/>
              <w:spacing w:line="360" w:lineRule="auto"/>
              <w:jc w:val="center"/>
              <w:rPr>
                <w:rFonts w:ascii="宋体" w:hAnsi="宋体" w:cs="宋体"/>
                <w:kern w:val="0"/>
                <w:sz w:val="24"/>
                <w:highlight w:val="none"/>
              </w:rPr>
            </w:pPr>
          </w:p>
        </w:tc>
        <w:tc>
          <w:tcPr>
            <w:tcW w:w="637" w:type="pct"/>
            <w:vAlign w:val="center"/>
          </w:tcPr>
          <w:p w14:paraId="7C0D458D">
            <w:pPr>
              <w:widowControl/>
              <w:snapToGrid w:val="0"/>
              <w:spacing w:line="360" w:lineRule="auto"/>
              <w:jc w:val="center"/>
              <w:rPr>
                <w:rFonts w:ascii="宋体" w:hAnsi="宋体" w:cs="宋体"/>
                <w:kern w:val="0"/>
                <w:sz w:val="24"/>
                <w:highlight w:val="none"/>
              </w:rPr>
            </w:pPr>
          </w:p>
        </w:tc>
      </w:tr>
      <w:tr w14:paraId="3882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exact"/>
          <w:jc w:val="center"/>
        </w:trPr>
        <w:tc>
          <w:tcPr>
            <w:tcW w:w="396" w:type="pct"/>
            <w:vAlign w:val="center"/>
          </w:tcPr>
          <w:p w14:paraId="3CB78A88">
            <w:pPr>
              <w:snapToGrid w:val="0"/>
              <w:spacing w:line="360" w:lineRule="auto"/>
              <w:jc w:val="center"/>
              <w:rPr>
                <w:rFonts w:ascii="宋体" w:hAnsi="宋体" w:cs="宋体"/>
                <w:spacing w:val="20"/>
                <w:sz w:val="24"/>
                <w:highlight w:val="none"/>
              </w:rPr>
            </w:pPr>
            <w:r>
              <w:rPr>
                <w:rFonts w:hint="eastAsia" w:ascii="宋体" w:hAnsi="宋体" w:cs="宋体"/>
                <w:spacing w:val="20"/>
                <w:sz w:val="24"/>
                <w:highlight w:val="none"/>
              </w:rPr>
              <w:t>2</w:t>
            </w:r>
          </w:p>
        </w:tc>
        <w:tc>
          <w:tcPr>
            <w:tcW w:w="482" w:type="pct"/>
            <w:vAlign w:val="center"/>
          </w:tcPr>
          <w:p w14:paraId="4CEF2EA1">
            <w:pPr>
              <w:widowControl/>
              <w:snapToGrid w:val="0"/>
              <w:spacing w:line="360" w:lineRule="auto"/>
              <w:jc w:val="center"/>
              <w:rPr>
                <w:rFonts w:ascii="宋体" w:hAnsi="宋体" w:cs="宋体"/>
                <w:kern w:val="0"/>
                <w:sz w:val="24"/>
                <w:highlight w:val="none"/>
              </w:rPr>
            </w:pPr>
          </w:p>
        </w:tc>
        <w:tc>
          <w:tcPr>
            <w:tcW w:w="447" w:type="pct"/>
            <w:vAlign w:val="center"/>
          </w:tcPr>
          <w:p w14:paraId="5FF5D9F2">
            <w:pPr>
              <w:widowControl/>
              <w:snapToGrid w:val="0"/>
              <w:spacing w:line="360" w:lineRule="auto"/>
              <w:jc w:val="center"/>
              <w:rPr>
                <w:rFonts w:ascii="宋体" w:hAnsi="宋体" w:cs="宋体"/>
                <w:kern w:val="0"/>
                <w:sz w:val="24"/>
                <w:highlight w:val="none"/>
              </w:rPr>
            </w:pPr>
          </w:p>
        </w:tc>
        <w:tc>
          <w:tcPr>
            <w:tcW w:w="1123" w:type="pct"/>
            <w:vAlign w:val="center"/>
          </w:tcPr>
          <w:p w14:paraId="20184F50">
            <w:pPr>
              <w:widowControl/>
              <w:snapToGrid w:val="0"/>
              <w:spacing w:line="360" w:lineRule="auto"/>
              <w:jc w:val="center"/>
              <w:rPr>
                <w:rFonts w:ascii="宋体" w:hAnsi="宋体" w:cs="宋体"/>
                <w:kern w:val="0"/>
                <w:sz w:val="24"/>
                <w:highlight w:val="none"/>
              </w:rPr>
            </w:pPr>
          </w:p>
        </w:tc>
        <w:tc>
          <w:tcPr>
            <w:tcW w:w="637" w:type="pct"/>
            <w:vAlign w:val="center"/>
          </w:tcPr>
          <w:p w14:paraId="16F2CB7B">
            <w:pPr>
              <w:widowControl/>
              <w:snapToGrid w:val="0"/>
              <w:spacing w:line="360" w:lineRule="auto"/>
              <w:jc w:val="center"/>
              <w:rPr>
                <w:rFonts w:ascii="宋体" w:hAnsi="宋体" w:cs="宋体"/>
                <w:kern w:val="0"/>
                <w:sz w:val="24"/>
                <w:highlight w:val="none"/>
              </w:rPr>
            </w:pPr>
          </w:p>
        </w:tc>
        <w:tc>
          <w:tcPr>
            <w:tcW w:w="637" w:type="pct"/>
            <w:vAlign w:val="center"/>
          </w:tcPr>
          <w:p w14:paraId="43EE4155">
            <w:pPr>
              <w:widowControl/>
              <w:snapToGrid w:val="0"/>
              <w:spacing w:line="360" w:lineRule="auto"/>
              <w:jc w:val="center"/>
              <w:rPr>
                <w:rFonts w:ascii="宋体" w:hAnsi="宋体" w:cs="宋体"/>
                <w:kern w:val="0"/>
                <w:sz w:val="24"/>
                <w:highlight w:val="none"/>
              </w:rPr>
            </w:pPr>
          </w:p>
        </w:tc>
        <w:tc>
          <w:tcPr>
            <w:tcW w:w="637" w:type="pct"/>
            <w:vAlign w:val="center"/>
          </w:tcPr>
          <w:p w14:paraId="7CD758B9">
            <w:pPr>
              <w:widowControl/>
              <w:snapToGrid w:val="0"/>
              <w:spacing w:line="360" w:lineRule="auto"/>
              <w:jc w:val="center"/>
              <w:rPr>
                <w:rFonts w:ascii="宋体" w:hAnsi="宋体" w:cs="宋体"/>
                <w:kern w:val="0"/>
                <w:sz w:val="24"/>
                <w:highlight w:val="none"/>
              </w:rPr>
            </w:pPr>
          </w:p>
        </w:tc>
        <w:tc>
          <w:tcPr>
            <w:tcW w:w="637" w:type="pct"/>
            <w:vAlign w:val="center"/>
          </w:tcPr>
          <w:p w14:paraId="6A2E162F">
            <w:pPr>
              <w:widowControl/>
              <w:snapToGrid w:val="0"/>
              <w:spacing w:line="360" w:lineRule="auto"/>
              <w:jc w:val="center"/>
              <w:rPr>
                <w:rFonts w:ascii="宋体" w:hAnsi="宋体" w:cs="宋体"/>
                <w:kern w:val="0"/>
                <w:sz w:val="24"/>
                <w:highlight w:val="none"/>
              </w:rPr>
            </w:pPr>
          </w:p>
        </w:tc>
      </w:tr>
      <w:tr w14:paraId="02A2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jc w:val="center"/>
        </w:trPr>
        <w:tc>
          <w:tcPr>
            <w:tcW w:w="396" w:type="pct"/>
            <w:vAlign w:val="center"/>
          </w:tcPr>
          <w:p w14:paraId="53654430">
            <w:pPr>
              <w:snapToGrid w:val="0"/>
              <w:spacing w:line="360" w:lineRule="auto"/>
              <w:jc w:val="center"/>
              <w:rPr>
                <w:rFonts w:ascii="宋体" w:hAnsi="宋体" w:cs="宋体"/>
                <w:spacing w:val="20"/>
                <w:sz w:val="24"/>
                <w:highlight w:val="none"/>
              </w:rPr>
            </w:pPr>
            <w:r>
              <w:rPr>
                <w:rFonts w:hint="eastAsia" w:ascii="宋体" w:hAnsi="宋体" w:cs="宋体"/>
                <w:spacing w:val="20"/>
                <w:sz w:val="24"/>
                <w:highlight w:val="none"/>
              </w:rPr>
              <w:t>3</w:t>
            </w:r>
          </w:p>
        </w:tc>
        <w:tc>
          <w:tcPr>
            <w:tcW w:w="482" w:type="pct"/>
            <w:vAlign w:val="center"/>
          </w:tcPr>
          <w:p w14:paraId="0233E0AA">
            <w:pPr>
              <w:widowControl/>
              <w:snapToGrid w:val="0"/>
              <w:spacing w:line="360" w:lineRule="auto"/>
              <w:jc w:val="center"/>
              <w:rPr>
                <w:rFonts w:ascii="宋体" w:hAnsi="宋体" w:cs="宋体"/>
                <w:kern w:val="0"/>
                <w:sz w:val="24"/>
                <w:highlight w:val="none"/>
              </w:rPr>
            </w:pPr>
          </w:p>
        </w:tc>
        <w:tc>
          <w:tcPr>
            <w:tcW w:w="447" w:type="pct"/>
            <w:vAlign w:val="center"/>
          </w:tcPr>
          <w:p w14:paraId="50C11655">
            <w:pPr>
              <w:widowControl/>
              <w:snapToGrid w:val="0"/>
              <w:spacing w:line="360" w:lineRule="auto"/>
              <w:jc w:val="center"/>
              <w:rPr>
                <w:rFonts w:ascii="宋体" w:hAnsi="宋体" w:cs="宋体"/>
                <w:kern w:val="0"/>
                <w:sz w:val="24"/>
                <w:highlight w:val="none"/>
              </w:rPr>
            </w:pPr>
          </w:p>
        </w:tc>
        <w:tc>
          <w:tcPr>
            <w:tcW w:w="1123" w:type="pct"/>
            <w:vAlign w:val="center"/>
          </w:tcPr>
          <w:p w14:paraId="38C30A91">
            <w:pPr>
              <w:widowControl/>
              <w:snapToGrid w:val="0"/>
              <w:spacing w:line="360" w:lineRule="auto"/>
              <w:jc w:val="center"/>
              <w:rPr>
                <w:rFonts w:ascii="宋体" w:hAnsi="宋体" w:cs="宋体"/>
                <w:kern w:val="0"/>
                <w:sz w:val="24"/>
                <w:highlight w:val="none"/>
              </w:rPr>
            </w:pPr>
          </w:p>
        </w:tc>
        <w:tc>
          <w:tcPr>
            <w:tcW w:w="637" w:type="pct"/>
            <w:vAlign w:val="center"/>
          </w:tcPr>
          <w:p w14:paraId="7DDD2600">
            <w:pPr>
              <w:widowControl/>
              <w:snapToGrid w:val="0"/>
              <w:spacing w:line="360" w:lineRule="auto"/>
              <w:jc w:val="center"/>
              <w:rPr>
                <w:rFonts w:ascii="宋体" w:hAnsi="宋体" w:cs="宋体"/>
                <w:kern w:val="0"/>
                <w:sz w:val="24"/>
                <w:highlight w:val="none"/>
              </w:rPr>
            </w:pPr>
          </w:p>
        </w:tc>
        <w:tc>
          <w:tcPr>
            <w:tcW w:w="637" w:type="pct"/>
            <w:vAlign w:val="center"/>
          </w:tcPr>
          <w:p w14:paraId="2C569600">
            <w:pPr>
              <w:widowControl/>
              <w:snapToGrid w:val="0"/>
              <w:spacing w:line="360" w:lineRule="auto"/>
              <w:jc w:val="center"/>
              <w:rPr>
                <w:rFonts w:ascii="宋体" w:hAnsi="宋体" w:cs="宋体"/>
                <w:kern w:val="0"/>
                <w:sz w:val="24"/>
                <w:highlight w:val="none"/>
              </w:rPr>
            </w:pPr>
          </w:p>
        </w:tc>
        <w:tc>
          <w:tcPr>
            <w:tcW w:w="637" w:type="pct"/>
            <w:vAlign w:val="center"/>
          </w:tcPr>
          <w:p w14:paraId="4D8C6598">
            <w:pPr>
              <w:widowControl/>
              <w:snapToGrid w:val="0"/>
              <w:spacing w:line="360" w:lineRule="auto"/>
              <w:jc w:val="center"/>
              <w:rPr>
                <w:rFonts w:ascii="宋体" w:hAnsi="宋体" w:cs="宋体"/>
                <w:kern w:val="0"/>
                <w:sz w:val="24"/>
                <w:highlight w:val="none"/>
              </w:rPr>
            </w:pPr>
          </w:p>
        </w:tc>
        <w:tc>
          <w:tcPr>
            <w:tcW w:w="637" w:type="pct"/>
            <w:vAlign w:val="center"/>
          </w:tcPr>
          <w:p w14:paraId="0A3BA603">
            <w:pPr>
              <w:widowControl/>
              <w:snapToGrid w:val="0"/>
              <w:spacing w:line="360" w:lineRule="auto"/>
              <w:jc w:val="center"/>
              <w:rPr>
                <w:rFonts w:ascii="宋体" w:hAnsi="宋体" w:cs="宋体"/>
                <w:kern w:val="0"/>
                <w:sz w:val="24"/>
                <w:highlight w:val="none"/>
              </w:rPr>
            </w:pPr>
          </w:p>
        </w:tc>
      </w:tr>
      <w:tr w14:paraId="6CFB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exact"/>
          <w:jc w:val="center"/>
        </w:trPr>
        <w:tc>
          <w:tcPr>
            <w:tcW w:w="5000" w:type="pct"/>
            <w:gridSpan w:val="8"/>
            <w:vAlign w:val="center"/>
          </w:tcPr>
          <w:p w14:paraId="18386D90">
            <w:pPr>
              <w:snapToGrid w:val="0"/>
              <w:spacing w:line="360" w:lineRule="auto"/>
              <w:rPr>
                <w:rFonts w:ascii="宋体" w:hAnsi="宋体" w:cs="宋体"/>
                <w:sz w:val="24"/>
                <w:highlight w:val="none"/>
              </w:rPr>
            </w:pPr>
            <w:r>
              <w:rPr>
                <w:rFonts w:hint="eastAsia" w:ascii="宋体" w:hAnsi="宋体" w:cs="宋体"/>
                <w:sz w:val="24"/>
                <w:highlight w:val="none"/>
              </w:rPr>
              <w:t>合同总价:￥</w:t>
            </w:r>
            <w:r>
              <w:rPr>
                <w:rFonts w:hint="eastAsia" w:ascii="宋体" w:hAnsi="宋体" w:cs="宋体"/>
                <w:sz w:val="24"/>
                <w:highlight w:val="none"/>
                <w:u w:val="single"/>
              </w:rPr>
              <w:t xml:space="preserve">          </w:t>
            </w:r>
            <w:r>
              <w:rPr>
                <w:rFonts w:hint="eastAsia" w:ascii="宋体" w:hAnsi="宋体" w:cs="宋体"/>
                <w:sz w:val="24"/>
                <w:highlight w:val="none"/>
              </w:rPr>
              <w:t>大写：人民币</w:t>
            </w:r>
            <w:r>
              <w:rPr>
                <w:rFonts w:hint="eastAsia" w:ascii="宋体" w:hAnsi="宋体" w:cs="宋体"/>
                <w:sz w:val="24"/>
                <w:highlight w:val="none"/>
                <w:u w:val="single"/>
              </w:rPr>
              <w:t xml:space="preserve">         </w:t>
            </w:r>
            <w:r>
              <w:rPr>
                <w:rFonts w:hint="eastAsia" w:ascii="宋体" w:hAnsi="宋体" w:cs="宋体"/>
                <w:sz w:val="24"/>
                <w:highlight w:val="none"/>
              </w:rPr>
              <w:t>元整</w:t>
            </w:r>
          </w:p>
        </w:tc>
      </w:tr>
    </w:tbl>
    <w:p w14:paraId="592DDD9B">
      <w:pPr>
        <w:pStyle w:val="807"/>
        <w:ind w:firstLine="480" w:firstLineChars="200"/>
        <w:rPr>
          <w:rFonts w:ascii="宋体" w:eastAsia="宋体"/>
          <w:color w:val="auto"/>
          <w:sz w:val="24"/>
          <w:szCs w:val="24"/>
          <w:highlight w:val="none"/>
        </w:rPr>
      </w:pPr>
      <w:r>
        <w:rPr>
          <w:rFonts w:hint="eastAsia" w:ascii="宋体" w:eastAsia="宋体"/>
          <w:color w:val="auto"/>
          <w:sz w:val="24"/>
          <w:szCs w:val="24"/>
          <w:highlight w:val="none"/>
        </w:rPr>
        <w:t>注：以上合同总价包括完成所有产品供货及履行所有规定服务所产生的人工、运抵甲方的运输、安装、调试、报验费、正常使用必备的附件价、材料、培训、税费等涉及此项目的全部费用。</w:t>
      </w:r>
    </w:p>
    <w:p w14:paraId="4229D48E">
      <w:pPr>
        <w:snapToGrid w:val="0"/>
        <w:spacing w:line="360" w:lineRule="auto"/>
        <w:ind w:firstLine="482" w:firstLineChars="200"/>
        <w:rPr>
          <w:rFonts w:ascii="宋体" w:hAnsi="宋体" w:cs="宋体"/>
          <w:b/>
          <w:sz w:val="24"/>
          <w:highlight w:val="none"/>
        </w:rPr>
      </w:pPr>
      <w:r>
        <w:rPr>
          <w:rFonts w:hint="eastAsia" w:ascii="宋体" w:hAnsi="宋体" w:cs="宋体"/>
          <w:b/>
          <w:sz w:val="24"/>
          <w:highlight w:val="none"/>
        </w:rPr>
        <w:t>第二条：质量保证</w:t>
      </w:r>
    </w:p>
    <w:p w14:paraId="71233326">
      <w:pPr>
        <w:pStyle w:val="32"/>
        <w:snapToGrid w:val="0"/>
        <w:spacing w:line="360" w:lineRule="auto"/>
        <w:ind w:firstLine="480" w:firstLineChars="200"/>
        <w:rPr>
          <w:rFonts w:hAnsi="宋体" w:cs="宋体"/>
          <w:sz w:val="24"/>
          <w:szCs w:val="24"/>
          <w:highlight w:val="none"/>
        </w:rPr>
      </w:pPr>
      <w:r>
        <w:rPr>
          <w:rFonts w:hint="eastAsia" w:hAnsi="宋体" w:cs="宋体"/>
          <w:sz w:val="24"/>
          <w:szCs w:val="24"/>
          <w:highlight w:val="none"/>
        </w:rPr>
        <w:t>1.质量功能标准需符合乙方提供的技术资料中所规定的质量标准和双方商定的技术指标。</w:t>
      </w:r>
    </w:p>
    <w:p w14:paraId="08931862">
      <w:pPr>
        <w:pStyle w:val="32"/>
        <w:snapToGrid w:val="0"/>
        <w:spacing w:line="360" w:lineRule="auto"/>
        <w:ind w:firstLine="480" w:firstLineChars="200"/>
        <w:rPr>
          <w:rFonts w:hAnsi="宋体" w:cs="宋体"/>
          <w:sz w:val="24"/>
          <w:szCs w:val="24"/>
          <w:highlight w:val="none"/>
        </w:rPr>
      </w:pPr>
      <w:r>
        <w:rPr>
          <w:rFonts w:hint="eastAsia" w:hAnsi="宋体" w:cs="宋体"/>
          <w:sz w:val="24"/>
          <w:szCs w:val="24"/>
          <w:highlight w:val="none"/>
        </w:rPr>
        <w:t>2.乙方保证本合同中所供应的商品是符合国家法律规定和技术规格、质量标准的出厂原装合格产品。如发生所供商品与合同（型号、指标、性能等）不符，甲方有权拒收或退货，由此产生的一切责任和后果由乙方承担。</w:t>
      </w:r>
    </w:p>
    <w:p w14:paraId="1E820732">
      <w:pPr>
        <w:pStyle w:val="53"/>
        <w:snapToGrid w:val="0"/>
        <w:spacing w:line="360" w:lineRule="auto"/>
        <w:ind w:left="0" w:leftChars="0" w:firstLine="482" w:firstLineChars="200"/>
        <w:rPr>
          <w:rFonts w:ascii="宋体" w:hAnsi="宋体" w:cs="宋体"/>
          <w:b/>
          <w:bCs/>
          <w:sz w:val="24"/>
          <w:highlight w:val="none"/>
        </w:rPr>
      </w:pPr>
      <w:r>
        <w:rPr>
          <w:rFonts w:hint="eastAsia" w:ascii="宋体" w:hAnsi="宋体" w:cs="宋体"/>
          <w:b/>
          <w:bCs/>
          <w:sz w:val="24"/>
          <w:highlight w:val="none"/>
        </w:rPr>
        <w:t>第三条：交货时间、地点</w:t>
      </w:r>
    </w:p>
    <w:p w14:paraId="165B3049">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1.交货时间：</w:t>
      </w:r>
    </w:p>
    <w:p w14:paraId="0B2C9ED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2.交货地点：</w:t>
      </w:r>
    </w:p>
    <w:p w14:paraId="3F5839D4">
      <w:pPr>
        <w:snapToGrid w:val="0"/>
        <w:spacing w:line="360" w:lineRule="auto"/>
        <w:ind w:firstLine="482" w:firstLineChars="200"/>
        <w:rPr>
          <w:rFonts w:ascii="宋体" w:hAnsi="宋体" w:cs="宋体"/>
          <w:b/>
          <w:sz w:val="24"/>
          <w:highlight w:val="none"/>
        </w:rPr>
      </w:pPr>
      <w:r>
        <w:rPr>
          <w:rFonts w:hint="eastAsia" w:ascii="宋体" w:hAnsi="宋体" w:cs="宋体"/>
          <w:b/>
          <w:sz w:val="24"/>
          <w:highlight w:val="none"/>
        </w:rPr>
        <w:t>第四条：质保期及售后服务</w:t>
      </w:r>
    </w:p>
    <w:p w14:paraId="6DAD0C5A">
      <w:pPr>
        <w:snapToGrid w:val="0"/>
        <w:spacing w:line="360" w:lineRule="auto"/>
        <w:ind w:firstLine="480" w:firstLineChars="200"/>
        <w:rPr>
          <w:rFonts w:ascii="宋体" w:hAnsi="宋体" w:cs="宋体"/>
          <w:b/>
          <w:bCs/>
          <w:sz w:val="24"/>
          <w:highlight w:val="none"/>
        </w:rPr>
      </w:pPr>
      <w:r>
        <w:rPr>
          <w:rFonts w:hint="eastAsia" w:ascii="宋体" w:hAnsi="宋体" w:cs="宋体"/>
          <w:sz w:val="24"/>
          <w:highlight w:val="none"/>
        </w:rPr>
        <w:t>1.产品全部验收合格后（以技术验收合格签字为标准），乙方向甲方免费提供</w:t>
      </w:r>
      <w:r>
        <w:rPr>
          <w:rFonts w:hint="eastAsia" w:ascii="宋体" w:hAnsi="宋体" w:cs="宋体"/>
          <w:sz w:val="24"/>
          <w:highlight w:val="none"/>
          <w:u w:val="single"/>
        </w:rPr>
        <w:t xml:space="preserve"> 8 </w:t>
      </w:r>
      <w:r>
        <w:rPr>
          <w:rFonts w:hint="eastAsia" w:ascii="宋体" w:hAnsi="宋体" w:cs="宋体"/>
          <w:sz w:val="24"/>
          <w:highlight w:val="none"/>
        </w:rPr>
        <w:t>年以上质保期</w:t>
      </w:r>
      <w:r>
        <w:rPr>
          <w:rFonts w:hint="eastAsia" w:ascii="宋体" w:hAnsi="宋体" w:cs="宋体"/>
          <w:b/>
          <w:bCs/>
          <w:sz w:val="24"/>
          <w:highlight w:val="none"/>
        </w:rPr>
        <w:t>。</w:t>
      </w:r>
    </w:p>
    <w:p w14:paraId="4250D665">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2.质保期内，如因修理或更换部件（非人为因素出现故障）造成短期停用，则质保期相应顺延。如停用时间累计超过20天，则保期重新计算。 </w:t>
      </w:r>
    </w:p>
    <w:p w14:paraId="0BDEE774">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3.质保期内，甲方无须自行付费，乙方负责修理和替换任何由于所投产品自身的质量问题造成的损坏及故障；</w:t>
      </w:r>
    </w:p>
    <w:p w14:paraId="2A68B9B8">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4.质保期内，须指定一名技术工程师专门负责本项目的售后服务工作；如有更换，须甲方同意； </w:t>
      </w:r>
    </w:p>
    <w:p w14:paraId="573FF195">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5.乙方在质保期内安装（更换）的任何零配件，必须是货物制造商原产的或是经甲方认可的； </w:t>
      </w:r>
    </w:p>
    <w:p w14:paraId="21B486F5">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6.所有的替代零配件必须是全新的，除非最终用户提供书面许可，否则不可使用此范围外的其他（非新的）配件； </w:t>
      </w:r>
    </w:p>
    <w:p w14:paraId="748F76D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7.质保期结束前，须由乙方和甲方进行一次全面检查，任何缺陷必须由乙方负责修理，在修理之后，乙方应将缺陷原因、修理内容、完成修理及恢复正常的时间和日期等报告给甲方，报告一式两份。 </w:t>
      </w:r>
    </w:p>
    <w:p w14:paraId="79E2923C">
      <w:pPr>
        <w:snapToGrid w:val="0"/>
        <w:spacing w:line="360" w:lineRule="auto"/>
        <w:ind w:firstLine="480" w:firstLineChars="200"/>
        <w:rPr>
          <w:highlight w:val="none"/>
        </w:rPr>
      </w:pPr>
      <w:r>
        <w:rPr>
          <w:rFonts w:hint="eastAsia" w:ascii="宋体" w:hAnsi="宋体" w:cs="宋体"/>
          <w:sz w:val="24"/>
          <w:highlight w:val="none"/>
        </w:rPr>
        <w:t>8.质保期内如发现掉漆、脱榫、坐垫凹陷、脱皮等重要质量问题，乙方须无条件更换。供应商必须对本项目所有产品实行终身维修，质保期后的维修酌情收费。</w:t>
      </w:r>
    </w:p>
    <w:p w14:paraId="74E2798A">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9.售后服务：</w:t>
      </w:r>
    </w:p>
    <w:p w14:paraId="28A40E2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（1）出现故障等问题后，需</w:t>
      </w:r>
      <w:r>
        <w:rPr>
          <w:rFonts w:hint="eastAsia" w:ascii="宋体" w:hAnsi="宋体" w:cs="宋体"/>
          <w:b/>
          <w:bCs/>
          <w:color w:val="FF0000"/>
          <w:sz w:val="24"/>
          <w:highlight w:val="none"/>
        </w:rPr>
        <w:t>2</w:t>
      </w:r>
      <w:r>
        <w:rPr>
          <w:rFonts w:hint="eastAsia" w:ascii="宋体" w:hAnsi="宋体" w:cs="宋体"/>
          <w:sz w:val="24"/>
          <w:highlight w:val="none"/>
        </w:rPr>
        <w:t>小时内快速响应问题，收到保修要求后</w:t>
      </w:r>
      <w:r>
        <w:rPr>
          <w:rFonts w:hint="eastAsia" w:ascii="宋体" w:hAnsi="宋体" w:cs="宋体"/>
          <w:b/>
          <w:bCs/>
          <w:color w:val="FF0000"/>
          <w:sz w:val="24"/>
          <w:highlight w:val="none"/>
        </w:rPr>
        <w:t>48</w:t>
      </w:r>
      <w:r>
        <w:rPr>
          <w:rFonts w:hint="eastAsia" w:ascii="宋体" w:hAnsi="宋体" w:cs="宋体"/>
          <w:sz w:val="24"/>
          <w:highlight w:val="none"/>
        </w:rPr>
        <w:t>小时内到场维护，如有特殊情况不能到场，需征求用户同意；</w:t>
      </w:r>
    </w:p>
    <w:p w14:paraId="7F84D58E">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（2）质保期后要求：质保期后，维修时只收取成本费，不得收取其他费用；</w:t>
      </w:r>
    </w:p>
    <w:p w14:paraId="7CC7F35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（3）乙方须有能力提供完善的售后服务（包括技术人员、响应时间及备品、备件方面等）； </w:t>
      </w:r>
    </w:p>
    <w:p w14:paraId="4275B32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（4）乙方提供的设备、服务质量，必须符合招标文件及其投标文件规定的要求，如有不符，造成的损失由乙方承担；</w:t>
      </w:r>
    </w:p>
    <w:p w14:paraId="00D2AAF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（5）乙方所提供的设备在制造、安装和调试时必须完全满足国家标准以及其他相关标准的要求。并确保现场施工安全，负一切安全责任。</w:t>
      </w:r>
    </w:p>
    <w:p w14:paraId="5335A9E6">
      <w:pPr>
        <w:snapToGrid w:val="0"/>
        <w:spacing w:line="360" w:lineRule="auto"/>
        <w:ind w:firstLine="482" w:firstLineChars="200"/>
        <w:rPr>
          <w:rFonts w:ascii="宋体" w:hAnsi="宋体" w:cs="宋体"/>
          <w:b/>
          <w:kern w:val="0"/>
          <w:sz w:val="24"/>
          <w:highlight w:val="none"/>
        </w:rPr>
      </w:pPr>
      <w:r>
        <w:rPr>
          <w:rFonts w:hint="eastAsia" w:ascii="宋体" w:hAnsi="宋体" w:cs="宋体"/>
          <w:b/>
          <w:kern w:val="0"/>
          <w:sz w:val="24"/>
          <w:highlight w:val="none"/>
        </w:rPr>
        <w:t>第五条：安装、调试</w:t>
      </w:r>
    </w:p>
    <w:p w14:paraId="63B60EC7">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1.安装地点：甲方指定地点。</w:t>
      </w:r>
    </w:p>
    <w:p w14:paraId="6F290617">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2.安装完成时间：接到甲方通知后在一周内完成安装和调试，如在规定的时间内由于乙方的原因不能完成安装和调试，乙方应承担由此给甲方造成的损失。</w:t>
      </w:r>
    </w:p>
    <w:p w14:paraId="0DCD8FC6">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3.安装标准：符合我国国家有关技术规范要求和技术标准，所有的软件和硬件必须保证同时安装到位。</w:t>
      </w:r>
    </w:p>
    <w:p w14:paraId="46CB186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4.乙方免费提供合同货物的安装服务，必须仪器制造厂技术人员到现场安装仪器并在甲方的实验室人员在场情况下完成仪器设备性能的证明文件。</w:t>
      </w:r>
    </w:p>
    <w:p w14:paraId="054EDC5E">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5.乙方在投标文件中应提供安装调试计划、对安装场地和环境的要求。</w:t>
      </w:r>
    </w:p>
    <w:p w14:paraId="04B700C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6.交货前5天内，技术人员赴安装现场实地辅助准备工作。</w:t>
      </w:r>
    </w:p>
    <w:p w14:paraId="77A0DD6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7.备品备件及耗材：乙方应提供质保期满后主要零部件报价单、质保期满后维护费、软件升级及其相关服务内容。</w:t>
      </w:r>
    </w:p>
    <w:p w14:paraId="22640BB6">
      <w:pPr>
        <w:snapToGrid w:val="0"/>
        <w:spacing w:line="360" w:lineRule="auto"/>
        <w:ind w:firstLine="482" w:firstLineChars="200"/>
        <w:rPr>
          <w:rFonts w:ascii="宋体" w:hAnsi="宋体" w:cs="宋体"/>
          <w:b/>
          <w:kern w:val="0"/>
          <w:sz w:val="24"/>
          <w:highlight w:val="none"/>
        </w:rPr>
      </w:pPr>
      <w:r>
        <w:rPr>
          <w:rFonts w:hint="eastAsia" w:ascii="宋体" w:hAnsi="宋体" w:cs="宋体"/>
          <w:b/>
          <w:kern w:val="0"/>
          <w:sz w:val="24"/>
          <w:highlight w:val="none"/>
        </w:rPr>
        <w:t>第六条：验收</w:t>
      </w:r>
    </w:p>
    <w:p w14:paraId="4E3BCF7E">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乙方须按国家有关规定及标准完成本次合同货物的供货、运输、检验等。乙方及制造商对合同产品使用的质量、安全性能与检测结果的可靠性负全部责任。甲方对乙方提交的货物依据合同规定的技术规格要求和国家有关质量标准进行现场初步验收，外观、说明书符合合同技术要求的，给予签收，初步验收不合格的不予签收。货到后，乙方根据甲方指定的地点完成货物的安装，安装产生的所有费用由乙方负责。甲方组织第三方验收，验收产生的所有费用由乙方全部承担。</w:t>
      </w:r>
    </w:p>
    <w:p w14:paraId="37644F29">
      <w:pPr>
        <w:snapToGrid w:val="0"/>
        <w:spacing w:line="360" w:lineRule="auto"/>
        <w:ind w:firstLine="480" w:firstLineChars="200"/>
        <w:rPr>
          <w:rFonts w:asciiTheme="minorEastAsia" w:hAnsiTheme="minorEastAsia" w:eastAsiaTheme="minorEastAsia" w:cstheme="minorEastAsia"/>
          <w:sz w:val="24"/>
          <w:highlight w:val="none"/>
        </w:rPr>
      </w:pPr>
      <w:r>
        <w:rPr>
          <w:rFonts w:hint="eastAsia" w:ascii="宋体" w:hAnsi="宋体" w:cs="宋体"/>
          <w:sz w:val="24"/>
          <w:highlight w:val="none"/>
        </w:rPr>
        <w:t>2</w:t>
      </w:r>
      <w:r>
        <w:rPr>
          <w:rFonts w:hint="eastAsia" w:asciiTheme="minorEastAsia" w:hAnsiTheme="minorEastAsia" w:eastAsiaTheme="minorEastAsia" w:cstheme="minorEastAsia"/>
          <w:b/>
          <w:bCs/>
          <w:sz w:val="24"/>
          <w:highlight w:val="none"/>
        </w:rPr>
        <w:t>验收时提供以下原材料的检测报告：</w:t>
      </w:r>
    </w:p>
    <w:p w14:paraId="07569FDC">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（1）刨花板：</w:t>
      </w:r>
      <w:r>
        <w:rPr>
          <w:rFonts w:hint="eastAsia" w:asciiTheme="minorEastAsia" w:hAnsiTheme="minorEastAsia" w:eastAsiaTheme="minorEastAsia" w:cstheme="minorEastAsia"/>
          <w:sz w:val="24"/>
          <w:highlight w:val="none"/>
        </w:rPr>
        <w:t>1）符合GB/T 4897-2015标准，静曲强度≥10Mpa，弹性模量≥2500Mpa，内胶合强度≥0.35Mpa，表面胶合强度≥0.8Mpa，2H吸水厚度膨胀率≤5%,板面握螺钉力≥900N、板边握螺钉力≥600N，板内密度偏差±10%；2）符合GB/T 39600-2021标准，甲醛释放量（ENF级）≤0.025mg/m³。</w:t>
      </w:r>
    </w:p>
    <w:p w14:paraId="3C0388CE">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（2）密度板：</w:t>
      </w:r>
      <w:r>
        <w:rPr>
          <w:rFonts w:hint="eastAsia" w:asciiTheme="minorEastAsia" w:hAnsiTheme="minorEastAsia" w:eastAsiaTheme="minorEastAsia" w:cstheme="minorEastAsia"/>
          <w:sz w:val="24"/>
          <w:highlight w:val="none"/>
        </w:rPr>
        <w:t>1）符合GB/T 11718-2021标准，密度符合0.65~0.80g/m³，板内密度偏差±10%，含水率3.0~13.0%；2）符合GB/T 39600-2021标准，甲醛释放量（ENF级）≤0.025mg/m³。</w:t>
      </w:r>
    </w:p>
    <w:p w14:paraId="40389270">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（3）多层板：</w:t>
      </w:r>
      <w:r>
        <w:rPr>
          <w:rFonts w:hint="eastAsia" w:asciiTheme="minorEastAsia" w:hAnsiTheme="minorEastAsia" w:eastAsiaTheme="minorEastAsia" w:cstheme="minorEastAsia"/>
          <w:sz w:val="24"/>
          <w:highlight w:val="none"/>
        </w:rPr>
        <w:t>1）符合GB/T 9846-2015标准，静曲强度横纹≥20MPa、静曲强度顺纹≥40MPa、弹性模量横纹≥5000MPa、弹性模量顺纹≥5000MPa；2）符合GB/T 35601-2017标准，TVOC≤5ug/m³；3）符合GB/T 39600-2021标准，甲醛释放量（ENF级）≤0.025mg/m³。</w:t>
      </w:r>
    </w:p>
    <w:p w14:paraId="72F56F58">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（4）牛皮：</w:t>
      </w:r>
      <w:r>
        <w:rPr>
          <w:rFonts w:hint="eastAsia" w:asciiTheme="minorEastAsia" w:hAnsiTheme="minorEastAsia" w:eastAsiaTheme="minorEastAsia" w:cstheme="minorEastAsia"/>
          <w:sz w:val="24"/>
          <w:highlight w:val="none"/>
        </w:rPr>
        <w:t>符合GB/T 16799-2018标准；其中摩擦色牢度（干擦、湿擦、碱性汗液）达到5级，耐折牢度（50000次)无裂纹符合， 撕裂力≥20N，禁用偶氮染料含量≤30mg/kg，游离甲醛≤20mg/kg，挥发性有机化合物（VOC）≤10mg/kg，可萃取重金属铅≤5mg/kg，可萃取重金属镉≤5mg/kg。</w:t>
      </w:r>
    </w:p>
    <w:p w14:paraId="6B9226F0">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（5）布绒：</w:t>
      </w:r>
      <w:r>
        <w:rPr>
          <w:rFonts w:hint="eastAsia" w:asciiTheme="minorEastAsia" w:hAnsiTheme="minorEastAsia" w:eastAsiaTheme="minorEastAsia" w:cstheme="minorEastAsia"/>
          <w:sz w:val="24"/>
          <w:highlight w:val="none"/>
        </w:rPr>
        <w:t>1）符合GB/T 7573-2009标准，PH值在6-7之间；2）GB/T 3920-2008标准，耐干摩擦色牢度达到5级；3）符合GB/T 17592-2011标准，可分解致癌芳香胺染料禁用；4）符合GB/T 2912. 1-2009标准，甲醛含量≤20mg/kg。</w:t>
      </w:r>
    </w:p>
    <w:p w14:paraId="491649A0">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（6）胶粘剂：</w:t>
      </w:r>
      <w:r>
        <w:rPr>
          <w:rFonts w:hint="eastAsia" w:asciiTheme="minorEastAsia" w:hAnsiTheme="minorEastAsia" w:eastAsiaTheme="minorEastAsia" w:cstheme="minorEastAsia"/>
          <w:sz w:val="24"/>
          <w:highlight w:val="none"/>
        </w:rPr>
        <w:t>符合GB 18583-2008标准，游离甲醛（水基型胶粘剂）≤0.05g/kg，苯（水基型胶粘剂）≤0.02g/kg，甲苯+二甲苯（水基型胶粘剂）≤0.02g/kg，总挥发性有机物（水基型胶粘剂）≤100g/L。</w:t>
      </w:r>
    </w:p>
    <w:p w14:paraId="05BD9CE8">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（7）泡绵：</w:t>
      </w:r>
      <w:r>
        <w:rPr>
          <w:rFonts w:hint="eastAsia" w:asciiTheme="minorEastAsia" w:hAnsiTheme="minorEastAsia" w:eastAsiaTheme="minorEastAsia" w:cstheme="minorEastAsia"/>
          <w:sz w:val="24"/>
          <w:highlight w:val="none"/>
        </w:rPr>
        <w:t>符合GB/T 10802-2023标准，表观密度偏差±3.0kg/m³，回弹率≥40%，75%压缩永久变形≤6%，65%/25%压陷比≥2，拉伸强度≥100kPa，断裂伸长率≥150%，撕裂强度≥3N/cm，干热老化后拉伸强度≥90kPa，干热老化后拉伸强度变化率≤±30%，湿热老化后拉伸强度≥90kPa，湿热老化后拉伸强度变化率≤±30%，灰分≤2%，甲醛散发≤10mg/kg。</w:t>
      </w:r>
    </w:p>
    <w:p w14:paraId="01A620FA">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（8）实木木皮：</w:t>
      </w:r>
      <w:r>
        <w:rPr>
          <w:rFonts w:hint="eastAsia" w:asciiTheme="minorEastAsia" w:hAnsiTheme="minorEastAsia" w:eastAsiaTheme="minorEastAsia" w:cstheme="minorEastAsia"/>
          <w:sz w:val="24"/>
          <w:highlight w:val="none"/>
        </w:rPr>
        <w:t>1）符合GB/T 3324-2017标准，木制件外观符合要求，2）符合GB 18580-2017标准，甲醛释放量≤0.010mg/m³。</w:t>
      </w:r>
    </w:p>
    <w:p w14:paraId="63038128">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（9）钢板：</w:t>
      </w:r>
      <w:r>
        <w:rPr>
          <w:rFonts w:hint="eastAsia" w:asciiTheme="minorEastAsia" w:hAnsiTheme="minorEastAsia" w:eastAsiaTheme="minorEastAsia" w:cstheme="minorEastAsia"/>
          <w:sz w:val="24"/>
          <w:highlight w:val="none"/>
        </w:rPr>
        <w:t>1）符合GB/T 3325-2017标准；重金属可溶性铅≤5mg/kg、可溶性镉≤5mg/kg、可溶性铬≤5mg/kg、可溶性汞≤5mg/kg；金属喷漆（塑）涂层硬度≥4H，冲击强度、耐腐蚀符合，附着力达到1级；2）符合QB/T 3827-1999、QB/T 3832-1999标准，乙酸盐雾试验100h达到10级。</w:t>
      </w:r>
    </w:p>
    <w:p w14:paraId="3E179D23">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（10）水性面漆：</w:t>
      </w:r>
      <w:r>
        <w:rPr>
          <w:rFonts w:hint="eastAsia" w:asciiTheme="minorEastAsia" w:hAnsiTheme="minorEastAsia" w:eastAsiaTheme="minorEastAsia" w:cstheme="minorEastAsia"/>
          <w:sz w:val="24"/>
          <w:highlight w:val="none"/>
        </w:rPr>
        <w:t>符合GB 18581-2020；其中甲醛含量≤5mg/kg，VOC含量涂料/（g/L）≤2g/L，乙二醇醚及醚酯总和含量≤50mg/kg，苯系物总和含量≤50mg/kg。</w:t>
      </w:r>
    </w:p>
    <w:p w14:paraId="48C28EF2">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（11）铝制型材：</w:t>
      </w:r>
      <w:r>
        <w:rPr>
          <w:rFonts w:hint="eastAsia" w:asciiTheme="minorEastAsia" w:hAnsiTheme="minorEastAsia" w:eastAsiaTheme="minorEastAsia" w:cstheme="minorEastAsia"/>
          <w:sz w:val="24"/>
          <w:highlight w:val="none"/>
        </w:rPr>
        <w:t>1）符合GB/T 3325-2017标准，其中抗盐雾测试18h，直径1.5mm 以下锈点≤20点/dm2，其中直径≥1.0mm 锈点不超过5点；2）符合QB/T 3827-1999、QB/T 3832-1999标准，乙酸盐雾试验100h达到10级。</w:t>
      </w:r>
    </w:p>
    <w:p w14:paraId="7EDE7CCB">
      <w:pPr>
        <w:numPr>
          <w:ilvl w:val="255"/>
          <w:numId w:val="0"/>
        </w:numPr>
        <w:snapToGrid w:val="0"/>
        <w:spacing w:line="360" w:lineRule="auto"/>
        <w:ind w:firstLine="482"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b/>
          <w:bCs/>
          <w:sz w:val="24"/>
          <w:highlight w:val="none"/>
        </w:rPr>
        <w:t>（12）封边条：</w:t>
      </w:r>
      <w:r>
        <w:rPr>
          <w:rFonts w:hint="eastAsia" w:asciiTheme="minorEastAsia" w:hAnsiTheme="minorEastAsia" w:eastAsiaTheme="minorEastAsia" w:cstheme="minorEastAsia"/>
          <w:sz w:val="24"/>
          <w:highlight w:val="none"/>
        </w:rPr>
        <w:t>符合QB/T 4463-2013标准；其中甲醛释放量≤0.05mg/L，耐冷热循坏性、耐老化性均合格，耐开裂性达到1级，邻苯二甲酸酯（DBP、BBP、DEHP、DNOP、DINP、DIDP）的总量（%）≤0.05%。</w:t>
      </w:r>
    </w:p>
    <w:p w14:paraId="04BA106E">
      <w:pPr>
        <w:snapToGrid w:val="0"/>
        <w:spacing w:line="360" w:lineRule="auto"/>
        <w:ind w:firstLine="482" w:firstLineChars="200"/>
        <w:rPr>
          <w:rFonts w:asciiTheme="minorEastAsia" w:hAnsiTheme="minorEastAsia" w:eastAsiaTheme="minorEastAsia" w:cstheme="minorEastAsia"/>
          <w:b/>
          <w:bCs/>
          <w:sz w:val="24"/>
          <w:highlight w:val="none"/>
        </w:rPr>
      </w:pPr>
      <w:r>
        <w:rPr>
          <w:rFonts w:hint="eastAsia" w:asciiTheme="minorEastAsia" w:hAnsiTheme="minorEastAsia" w:eastAsiaTheme="minorEastAsia" w:cstheme="minorEastAsia"/>
          <w:b/>
          <w:bCs/>
          <w:sz w:val="24"/>
          <w:highlight w:val="none"/>
        </w:rPr>
        <w:t>3.检测报告要求：</w:t>
      </w:r>
    </w:p>
    <w:p w14:paraId="5BEDFAB4">
      <w:pPr>
        <w:snapToGrid w:val="0"/>
        <w:spacing w:line="360" w:lineRule="auto"/>
        <w:ind w:firstLine="480"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（1）检测机构要求：国家认可的检测机构出具的具有“CMA”标识的</w:t>
      </w:r>
      <w:r>
        <w:rPr>
          <w:rFonts w:hint="eastAsia" w:asciiTheme="minorEastAsia" w:hAnsiTheme="minorEastAsia" w:eastAsiaTheme="minorEastAsia" w:cstheme="minorEastAsia"/>
          <w:color w:val="0000FF"/>
          <w:sz w:val="24"/>
          <w:highlight w:val="none"/>
        </w:rPr>
        <w:t>抽样</w:t>
      </w:r>
      <w:r>
        <w:rPr>
          <w:rFonts w:hint="eastAsia" w:asciiTheme="minorEastAsia" w:hAnsiTheme="minorEastAsia" w:eastAsiaTheme="minorEastAsia" w:cstheme="minorEastAsia"/>
          <w:sz w:val="24"/>
          <w:highlight w:val="none"/>
        </w:rPr>
        <w:t>检测报告；</w:t>
      </w:r>
    </w:p>
    <w:p w14:paraId="295D2BFA">
      <w:pPr>
        <w:snapToGrid w:val="0"/>
        <w:spacing w:line="360" w:lineRule="auto"/>
        <w:ind w:firstLine="480" w:firstLineChars="200"/>
        <w:rPr>
          <w:rFonts w:asciiTheme="minorEastAsia" w:hAnsiTheme="minorEastAsia" w:eastAsiaTheme="minorEastAsia" w:cstheme="minorEastAsia"/>
          <w:sz w:val="24"/>
          <w:highlight w:val="none"/>
        </w:rPr>
      </w:pPr>
      <w:r>
        <w:rPr>
          <w:rFonts w:hint="eastAsia" w:asciiTheme="minorEastAsia" w:hAnsiTheme="minorEastAsia" w:eastAsiaTheme="minorEastAsia" w:cstheme="minorEastAsia"/>
          <w:sz w:val="24"/>
          <w:highlight w:val="none"/>
        </w:rPr>
        <w:t>（2）检测时间要求：检测报告签发日期应在验收日期前一年内。</w:t>
      </w:r>
    </w:p>
    <w:p w14:paraId="19281C0F">
      <w:pPr>
        <w:snapToGrid w:val="0"/>
        <w:spacing w:line="360" w:lineRule="auto"/>
        <w:ind w:firstLine="480" w:firstLineChars="200"/>
        <w:rPr>
          <w:rFonts w:hAnsi="宋体" w:cs="宋体"/>
          <w:sz w:val="24"/>
          <w:highlight w:val="none"/>
        </w:rPr>
      </w:pPr>
      <w:r>
        <w:rPr>
          <w:rFonts w:hint="eastAsia" w:asciiTheme="minorEastAsia" w:hAnsiTheme="minorEastAsia" w:eastAsiaTheme="minorEastAsia" w:cstheme="minorEastAsia"/>
          <w:sz w:val="24"/>
          <w:highlight w:val="none"/>
        </w:rPr>
        <w:t>（3）针对不同叫法的同一原材料，其检测报告均予认可（如名称不一致，需注明需求中对应的原材料名称）。</w:t>
      </w:r>
    </w:p>
    <w:p w14:paraId="48701896">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4.验收合格的条件：</w:t>
      </w:r>
    </w:p>
    <w:p w14:paraId="4AA91D0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（1）所供货物符合产品标准和合同的要求；</w:t>
      </w:r>
    </w:p>
    <w:p w14:paraId="1B279BE9">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（2）在进行测试和验收过程中发现的问题已被解决并得到甲方的认可；</w:t>
      </w:r>
    </w:p>
    <w:p w14:paraId="3325801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（3）合同中规定的所有货物和材料、原材料检测报告均已交付；</w:t>
      </w:r>
    </w:p>
    <w:p w14:paraId="3E04973C">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（4）所供货物已通过使用单位组织的验收；</w:t>
      </w:r>
    </w:p>
    <w:p w14:paraId="12E3939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（5）所有相关的技术文件及资料均已提交并得到接受。</w:t>
      </w:r>
    </w:p>
    <w:p w14:paraId="0D8BD809">
      <w:pPr>
        <w:widowControl/>
        <w:snapToGrid w:val="0"/>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第七条：履约保证金</w:t>
      </w:r>
    </w:p>
    <w:p w14:paraId="76D8DBBC">
      <w:pPr>
        <w:widowControl/>
        <w:snapToGrid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合同签订后一周内，乙方向甲方提交合同金额1%的履约保证金（提交方式：支票、汇票、本票或者金融机构、担保机构出具的保函等非现金形式），履约保证金在履约完毕后无质量问题和维护问题，于15个工作日内退还（不计息）。</w:t>
      </w:r>
    </w:p>
    <w:p w14:paraId="2814A4B1">
      <w:pPr>
        <w:widowControl/>
        <w:snapToGrid w:val="0"/>
        <w:spacing w:line="360" w:lineRule="auto"/>
        <w:ind w:firstLine="482" w:firstLineChars="200"/>
        <w:jc w:val="left"/>
        <w:rPr>
          <w:rFonts w:ascii="宋体" w:hAnsi="宋体" w:cs="宋体"/>
          <w:b/>
          <w:kern w:val="0"/>
          <w:sz w:val="24"/>
          <w:highlight w:val="none"/>
        </w:rPr>
      </w:pPr>
      <w:r>
        <w:rPr>
          <w:rFonts w:hint="eastAsia" w:ascii="宋体" w:hAnsi="宋体" w:cs="宋体"/>
          <w:b/>
          <w:kern w:val="0"/>
          <w:sz w:val="24"/>
          <w:highlight w:val="none"/>
        </w:rPr>
        <w:t>第八条：结算方式</w:t>
      </w:r>
    </w:p>
    <w:p w14:paraId="7F658ADE">
      <w:pPr>
        <w:snapToGrid w:val="0"/>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1.合同生效、具备支付条件后</w:t>
      </w:r>
      <w:r>
        <w:rPr>
          <w:rFonts w:hint="eastAsia" w:ascii="宋体" w:hAnsi="宋体" w:cs="宋体"/>
          <w:sz w:val="24"/>
          <w:highlight w:val="none"/>
        </w:rPr>
        <w:t>7</w:t>
      </w:r>
      <w:r>
        <w:rPr>
          <w:rFonts w:hint="eastAsia" w:ascii="宋体" w:hAnsi="宋体" w:cs="宋体"/>
          <w:sz w:val="24"/>
          <w:highlight w:val="none"/>
          <w:lang w:val="zh-CN"/>
        </w:rPr>
        <w:t>个工作日内，</w:t>
      </w:r>
      <w:r>
        <w:rPr>
          <w:rFonts w:hint="eastAsia" w:ascii="宋体" w:hAnsi="宋体" w:cs="宋体"/>
          <w:sz w:val="24"/>
          <w:highlight w:val="none"/>
        </w:rPr>
        <w:t>甲方</w:t>
      </w:r>
      <w:r>
        <w:rPr>
          <w:rFonts w:hint="eastAsia" w:ascii="宋体" w:hAnsi="宋体" w:cs="宋体"/>
          <w:sz w:val="24"/>
          <w:highlight w:val="none"/>
          <w:lang w:val="zh-CN"/>
        </w:rPr>
        <w:t>凭</w:t>
      </w:r>
      <w:r>
        <w:rPr>
          <w:rFonts w:hint="eastAsia" w:ascii="宋体" w:hAnsi="宋体" w:cs="宋体"/>
          <w:sz w:val="24"/>
          <w:highlight w:val="none"/>
        </w:rPr>
        <w:t>乙方</w:t>
      </w:r>
      <w:r>
        <w:rPr>
          <w:rFonts w:hint="eastAsia" w:ascii="宋体" w:hAnsi="宋体" w:cs="宋体"/>
          <w:sz w:val="24"/>
          <w:highlight w:val="none"/>
          <w:lang w:val="zh-CN"/>
        </w:rPr>
        <w:t>开具的预付款发票</w:t>
      </w:r>
      <w:r>
        <w:rPr>
          <w:rFonts w:hint="eastAsia" w:ascii="宋体" w:hAnsi="宋体" w:cs="宋体"/>
          <w:sz w:val="24"/>
          <w:highlight w:val="none"/>
        </w:rPr>
        <w:t>及乙方</w:t>
      </w:r>
      <w:r>
        <w:rPr>
          <w:rFonts w:hint="eastAsia" w:ascii="宋体" w:hAnsi="宋体" w:cs="宋体"/>
          <w:sz w:val="24"/>
          <w:highlight w:val="none"/>
          <w:lang w:val="zh-CN"/>
        </w:rPr>
        <w:t>提交</w:t>
      </w:r>
      <w:r>
        <w:rPr>
          <w:rFonts w:hint="eastAsia" w:ascii="宋体" w:hAnsi="宋体" w:cs="宋体"/>
          <w:sz w:val="24"/>
          <w:highlight w:val="none"/>
        </w:rPr>
        <w:t>的</w:t>
      </w:r>
      <w:r>
        <w:rPr>
          <w:rFonts w:hint="eastAsia" w:ascii="宋体" w:hAnsi="宋体" w:cs="宋体"/>
          <w:sz w:val="24"/>
          <w:highlight w:val="none"/>
          <w:lang w:val="zh-CN"/>
        </w:rPr>
        <w:t>银行、保险公司等金融机构出具的预付款保函或其他担保措施支付</w:t>
      </w:r>
      <w:r>
        <w:rPr>
          <w:rFonts w:hint="eastAsia" w:ascii="宋体" w:hAnsi="宋体" w:cs="宋体"/>
          <w:b/>
          <w:sz w:val="24"/>
          <w:highlight w:val="none"/>
          <w:lang w:val="zh-CN"/>
        </w:rPr>
        <w:t>40%预付款</w:t>
      </w:r>
      <w:r>
        <w:rPr>
          <w:rFonts w:hint="eastAsia" w:ascii="宋体" w:hAnsi="宋体" w:cs="宋体"/>
          <w:sz w:val="24"/>
          <w:highlight w:val="none"/>
          <w:lang w:val="zh-CN"/>
        </w:rPr>
        <w:t>给</w:t>
      </w:r>
      <w:r>
        <w:rPr>
          <w:rFonts w:hint="eastAsia" w:ascii="宋体" w:hAnsi="宋体" w:cs="宋体"/>
          <w:sz w:val="24"/>
          <w:highlight w:val="none"/>
        </w:rPr>
        <w:t>乙方</w:t>
      </w:r>
      <w:r>
        <w:rPr>
          <w:rFonts w:hint="eastAsia" w:ascii="宋体" w:hAnsi="宋体" w:cs="宋体"/>
          <w:sz w:val="24"/>
          <w:highlight w:val="none"/>
          <w:lang w:val="zh-CN"/>
        </w:rPr>
        <w:t>，若</w:t>
      </w:r>
      <w:r>
        <w:rPr>
          <w:rFonts w:hint="eastAsia" w:ascii="宋体" w:hAnsi="宋体" w:cs="宋体"/>
          <w:sz w:val="24"/>
          <w:highlight w:val="none"/>
        </w:rPr>
        <w:t>乙方</w:t>
      </w:r>
      <w:r>
        <w:rPr>
          <w:rFonts w:hint="eastAsia" w:ascii="宋体" w:hAnsi="宋体" w:cs="宋体"/>
          <w:sz w:val="24"/>
          <w:highlight w:val="none"/>
          <w:lang w:val="zh-CN"/>
        </w:rPr>
        <w:t>无需预付款的可选择在仪器设备验收合格后一次性支付；预付款的支付进程不得影响合同的履行。</w:t>
      </w:r>
    </w:p>
    <w:p w14:paraId="0AD0CFE1">
      <w:pPr>
        <w:snapToGrid w:val="0"/>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2.</w:t>
      </w:r>
      <w:r>
        <w:rPr>
          <w:rFonts w:hint="eastAsia" w:ascii="宋体" w:hAnsi="宋体" w:cs="宋体"/>
          <w:sz w:val="24"/>
          <w:highlight w:val="none"/>
        </w:rPr>
        <w:t>乙方</w:t>
      </w:r>
      <w:r>
        <w:rPr>
          <w:rFonts w:hint="eastAsia" w:ascii="宋体" w:hAnsi="宋体" w:cs="宋体"/>
          <w:sz w:val="24"/>
          <w:highlight w:val="none"/>
          <w:lang w:val="zh-CN"/>
        </w:rPr>
        <w:t>按照</w:t>
      </w:r>
      <w:r>
        <w:rPr>
          <w:rFonts w:hint="eastAsia" w:ascii="宋体" w:hAnsi="宋体" w:cs="宋体"/>
          <w:sz w:val="24"/>
          <w:highlight w:val="none"/>
        </w:rPr>
        <w:t>甲方</w:t>
      </w:r>
      <w:r>
        <w:rPr>
          <w:rFonts w:hint="eastAsia" w:ascii="宋体" w:hAnsi="宋体" w:cs="宋体"/>
          <w:sz w:val="24"/>
          <w:highlight w:val="none"/>
          <w:lang w:val="zh-CN"/>
        </w:rPr>
        <w:t>要求将货物送至各个使用点；经</w:t>
      </w:r>
      <w:r>
        <w:rPr>
          <w:rFonts w:hint="eastAsia" w:ascii="宋体" w:hAnsi="宋体" w:cs="宋体"/>
          <w:sz w:val="24"/>
          <w:highlight w:val="none"/>
        </w:rPr>
        <w:t>甲方</w:t>
      </w:r>
      <w:r>
        <w:rPr>
          <w:rFonts w:hint="eastAsia" w:ascii="宋体" w:hAnsi="宋体" w:cs="宋体"/>
          <w:sz w:val="24"/>
          <w:highlight w:val="none"/>
          <w:lang w:val="zh-CN"/>
        </w:rPr>
        <w:t>组织验收，送货时间、地点、产品规格、型号、数量、质量及参数要求完全符合合同约定。</w:t>
      </w:r>
    </w:p>
    <w:p w14:paraId="0B6C64EB">
      <w:pPr>
        <w:snapToGrid w:val="0"/>
        <w:spacing w:line="360" w:lineRule="auto"/>
        <w:ind w:firstLine="480" w:firstLineChars="200"/>
        <w:rPr>
          <w:rFonts w:ascii="宋体" w:hAnsi="宋体" w:cs="宋体"/>
          <w:sz w:val="24"/>
          <w:highlight w:val="none"/>
          <w:lang w:val="zh-CN"/>
        </w:rPr>
      </w:pPr>
      <w:r>
        <w:rPr>
          <w:rFonts w:hint="eastAsia" w:ascii="宋体" w:hAnsi="宋体" w:cs="宋体"/>
          <w:sz w:val="24"/>
          <w:highlight w:val="none"/>
          <w:lang w:val="zh-CN"/>
        </w:rPr>
        <w:t>3.</w:t>
      </w:r>
      <w:r>
        <w:rPr>
          <w:rFonts w:hint="eastAsia" w:ascii="宋体" w:hAnsi="宋体" w:cs="宋体"/>
          <w:sz w:val="24"/>
          <w:highlight w:val="none"/>
        </w:rPr>
        <w:t>乙方</w:t>
      </w:r>
      <w:r>
        <w:rPr>
          <w:rFonts w:hint="eastAsia" w:ascii="宋体" w:hAnsi="宋体" w:cs="宋体"/>
          <w:sz w:val="24"/>
          <w:highlight w:val="none"/>
          <w:lang w:val="zh-CN"/>
        </w:rPr>
        <w:t>向</w:t>
      </w:r>
      <w:r>
        <w:rPr>
          <w:rFonts w:hint="eastAsia" w:ascii="宋体" w:hAnsi="宋体" w:cs="宋体"/>
          <w:sz w:val="24"/>
          <w:highlight w:val="none"/>
        </w:rPr>
        <w:t>甲方</w:t>
      </w:r>
      <w:r>
        <w:rPr>
          <w:rFonts w:hint="eastAsia" w:ascii="宋体" w:hAnsi="宋体" w:cs="宋体"/>
          <w:sz w:val="24"/>
          <w:highlight w:val="none"/>
          <w:lang w:val="zh-CN"/>
        </w:rPr>
        <w:t>开具符合法律、法规规范及行业要求的真实、有效的增值税专用发票。</w:t>
      </w:r>
    </w:p>
    <w:p w14:paraId="36F6F047">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val="zh-CN"/>
        </w:rPr>
        <w:t>4.</w:t>
      </w:r>
      <w:r>
        <w:rPr>
          <w:rFonts w:hint="eastAsia" w:ascii="宋体" w:hAnsi="宋体" w:cs="宋体"/>
          <w:sz w:val="24"/>
          <w:highlight w:val="none"/>
        </w:rPr>
        <w:t>甲方</w:t>
      </w:r>
      <w:r>
        <w:rPr>
          <w:rFonts w:hint="eastAsia" w:ascii="宋体" w:hAnsi="宋体" w:cs="宋体"/>
          <w:sz w:val="24"/>
          <w:highlight w:val="none"/>
          <w:lang w:val="zh-CN"/>
        </w:rPr>
        <w:t>凭</w:t>
      </w:r>
      <w:r>
        <w:rPr>
          <w:rFonts w:hint="eastAsia" w:ascii="宋体" w:hAnsi="宋体" w:cs="宋体"/>
          <w:sz w:val="24"/>
          <w:highlight w:val="none"/>
        </w:rPr>
        <w:t>乙方</w:t>
      </w:r>
      <w:r>
        <w:rPr>
          <w:rFonts w:hint="eastAsia" w:ascii="宋体" w:hAnsi="宋体" w:cs="宋体"/>
          <w:sz w:val="24"/>
          <w:highlight w:val="none"/>
          <w:lang w:val="zh-CN"/>
        </w:rPr>
        <w:t>的供货发票，校内验收单、入库单等支付凭证办理相关支付手续，</w:t>
      </w:r>
      <w:r>
        <w:rPr>
          <w:rFonts w:hint="eastAsia" w:ascii="宋体" w:hAnsi="宋体" w:cs="宋体"/>
          <w:sz w:val="24"/>
          <w:highlight w:val="none"/>
        </w:rPr>
        <w:t>满足合同约定的支付条件后7</w:t>
      </w:r>
      <w:r>
        <w:rPr>
          <w:rFonts w:hint="eastAsia" w:ascii="宋体" w:hAnsi="宋体" w:cs="宋体"/>
          <w:sz w:val="24"/>
          <w:highlight w:val="none"/>
          <w:lang w:val="zh-CN"/>
        </w:rPr>
        <w:t>个工作日</w:t>
      </w:r>
      <w:r>
        <w:rPr>
          <w:rFonts w:hint="eastAsia" w:ascii="宋体" w:hAnsi="宋体" w:cs="宋体"/>
          <w:b/>
          <w:bCs/>
          <w:sz w:val="24"/>
          <w:highlight w:val="none"/>
          <w:lang w:val="zh-CN"/>
        </w:rPr>
        <w:t>向</w:t>
      </w:r>
      <w:r>
        <w:rPr>
          <w:rFonts w:hint="eastAsia" w:ascii="宋体" w:hAnsi="宋体" w:cs="宋体"/>
          <w:b/>
          <w:bCs/>
          <w:sz w:val="24"/>
          <w:highlight w:val="none"/>
        </w:rPr>
        <w:t>乙方</w:t>
      </w:r>
      <w:r>
        <w:rPr>
          <w:rFonts w:hint="eastAsia" w:ascii="宋体" w:hAnsi="宋体" w:cs="宋体"/>
          <w:b/>
          <w:bCs/>
          <w:sz w:val="24"/>
          <w:highlight w:val="none"/>
          <w:lang w:val="zh-CN"/>
        </w:rPr>
        <w:t>付清</w:t>
      </w:r>
      <w:r>
        <w:rPr>
          <w:rFonts w:hint="eastAsia" w:ascii="宋体" w:hAnsi="宋体" w:cs="宋体"/>
          <w:b/>
          <w:bCs/>
          <w:sz w:val="24"/>
          <w:highlight w:val="none"/>
        </w:rPr>
        <w:t>剩余货</w:t>
      </w:r>
      <w:r>
        <w:rPr>
          <w:rFonts w:hint="eastAsia" w:ascii="宋体" w:hAnsi="宋体" w:cs="宋体"/>
          <w:b/>
          <w:bCs/>
          <w:sz w:val="24"/>
          <w:highlight w:val="none"/>
          <w:lang w:val="zh-CN"/>
        </w:rPr>
        <w:t>款</w:t>
      </w:r>
      <w:r>
        <w:rPr>
          <w:rFonts w:hint="eastAsia" w:ascii="宋体" w:hAnsi="宋体" w:cs="宋体"/>
          <w:sz w:val="24"/>
          <w:highlight w:val="none"/>
          <w:lang w:val="zh-CN"/>
        </w:rPr>
        <w:t>。</w:t>
      </w:r>
    </w:p>
    <w:p w14:paraId="10E18257">
      <w:pPr>
        <w:snapToGrid w:val="0"/>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第九条：违约责任</w:t>
      </w:r>
    </w:p>
    <w:p w14:paraId="304746B0">
      <w:pPr>
        <w:pStyle w:val="32"/>
        <w:snapToGri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1.乙方具有不按合同要求供货、单方面不履行合同义务等违约行为的，乙方除退还甲方所付全部款项外，还应支付给甲方合同总货款20％的违约赔偿金。</w:t>
      </w:r>
    </w:p>
    <w:p w14:paraId="337458F1">
      <w:pPr>
        <w:pStyle w:val="32"/>
        <w:snapToGri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2.乙方逾期履行合同义务的，应向甲方偿付合同总价万分之五每日的违约金。逾期超5天以上的，逾期部分应向甲方偿付合同总价千分之五每日的违约金。</w:t>
      </w:r>
    </w:p>
    <w:p w14:paraId="772E79A0">
      <w:pPr>
        <w:pStyle w:val="32"/>
        <w:snapToGri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3.货物验收合格交付正常使用之日起一年内，乙方未能全面履行合同约定或有违约行为的，合同尾款暂停支付，且乙方按合同价款的20%支付违约金给甲方。</w:t>
      </w:r>
    </w:p>
    <w:p w14:paraId="56C4BD42">
      <w:pPr>
        <w:pStyle w:val="32"/>
        <w:snapToGrid w:val="0"/>
        <w:spacing w:line="360" w:lineRule="auto"/>
        <w:ind w:firstLine="480" w:firstLineChars="200"/>
        <w:jc w:val="left"/>
        <w:rPr>
          <w:rFonts w:hAnsi="宋体" w:cs="宋体"/>
          <w:sz w:val="24"/>
          <w:szCs w:val="24"/>
          <w:highlight w:val="none"/>
        </w:rPr>
      </w:pPr>
      <w:r>
        <w:rPr>
          <w:rFonts w:hint="eastAsia" w:hAnsi="宋体" w:cs="宋体"/>
          <w:sz w:val="24"/>
          <w:szCs w:val="24"/>
          <w:highlight w:val="none"/>
        </w:rPr>
        <w:t>4.本合同货物须由乙方直接供应，不得转让、转包、分包他人供应；否则，甲方有权解除合同、拒付（或要求退还）合同价款、没收履约保证金，并要求乙方支付合同价款20%的违约金。</w:t>
      </w:r>
    </w:p>
    <w:p w14:paraId="22BC1850">
      <w:pPr>
        <w:pStyle w:val="807"/>
        <w:ind w:firstLine="480" w:firstLineChars="200"/>
        <w:rPr>
          <w:rFonts w:ascii="宋体" w:eastAsia="宋体"/>
          <w:color w:val="auto"/>
          <w:sz w:val="24"/>
          <w:szCs w:val="24"/>
          <w:highlight w:val="none"/>
        </w:rPr>
      </w:pPr>
      <w:r>
        <w:rPr>
          <w:rFonts w:hint="eastAsia" w:ascii="宋体" w:eastAsia="宋体"/>
          <w:color w:val="auto"/>
          <w:sz w:val="24"/>
          <w:szCs w:val="24"/>
          <w:highlight w:val="none"/>
        </w:rPr>
        <w:t>5.乙方所供货物侵犯第三方知识产权的，乙方应承担甲方由此造成的所有损失（包括但不限于侵权赔偿款、诉讼费、律师费、向甲方退还已收全款并按合同价款的20%支付违约金等）。</w:t>
      </w:r>
    </w:p>
    <w:p w14:paraId="4850CE4E">
      <w:pPr>
        <w:pStyle w:val="807"/>
        <w:ind w:firstLine="480" w:firstLineChars="200"/>
        <w:rPr>
          <w:rFonts w:ascii="宋体" w:eastAsia="宋体"/>
          <w:color w:val="auto"/>
          <w:sz w:val="24"/>
          <w:szCs w:val="24"/>
          <w:highlight w:val="none"/>
        </w:rPr>
      </w:pPr>
      <w:r>
        <w:rPr>
          <w:rFonts w:hint="eastAsia" w:ascii="宋体" w:eastAsia="宋体"/>
          <w:color w:val="auto"/>
          <w:sz w:val="24"/>
          <w:szCs w:val="24"/>
          <w:highlight w:val="none"/>
        </w:rPr>
        <w:t>6.乙方所交的货物品种、型号、规格、技术参数、质量不符合合同规定，甲方有权拒收该货物，乙方愿意更换货物但逾期交货的，按乙方逾期交货处理。乙方拒绝更换货物的，甲方可单方面解除合同。</w:t>
      </w:r>
    </w:p>
    <w:p w14:paraId="3D0A3B46">
      <w:pPr>
        <w:snapToGrid w:val="0"/>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第十条：争议的解决</w:t>
      </w:r>
    </w:p>
    <w:p w14:paraId="10CE047D">
      <w:pPr>
        <w:snapToGrid w:val="0"/>
        <w:spacing w:line="360" w:lineRule="auto"/>
        <w:ind w:firstLine="480" w:firstLineChars="200"/>
        <w:rPr>
          <w:rFonts w:ascii="宋体" w:hAnsi="宋体" w:cs="宋体"/>
          <w:b/>
          <w:sz w:val="24"/>
          <w:highlight w:val="none"/>
        </w:rPr>
      </w:pPr>
      <w:r>
        <w:rPr>
          <w:rFonts w:hint="eastAsia" w:ascii="宋体" w:hAnsi="宋体" w:cs="宋体"/>
          <w:sz w:val="24"/>
          <w:highlight w:val="none"/>
        </w:rPr>
        <w:t>本合同纠纷由双方协商解决，协商不成，由甲方所在地人民法院诉讼解决。</w:t>
      </w:r>
    </w:p>
    <w:p w14:paraId="4D7A824E">
      <w:pPr>
        <w:snapToGrid w:val="0"/>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第十一条：合同的生效</w:t>
      </w:r>
    </w:p>
    <w:p w14:paraId="5C1A42EC">
      <w:pPr>
        <w:pStyle w:val="970"/>
        <w:topLinePunct/>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1.本合同经甲方、乙方双方法定代表人或其委托代理人签字并加盖公章后生效。</w:t>
      </w:r>
    </w:p>
    <w:p w14:paraId="1F1F8393">
      <w:pPr>
        <w:pStyle w:val="807"/>
        <w:ind w:firstLine="480" w:firstLineChars="200"/>
        <w:rPr>
          <w:rFonts w:ascii="宋体" w:eastAsia="宋体"/>
          <w:color w:val="auto"/>
          <w:sz w:val="24"/>
          <w:szCs w:val="24"/>
          <w:highlight w:val="none"/>
        </w:rPr>
      </w:pPr>
      <w:r>
        <w:rPr>
          <w:rFonts w:hint="eastAsia" w:ascii="宋体" w:eastAsia="宋体"/>
          <w:color w:val="auto"/>
          <w:sz w:val="24"/>
          <w:szCs w:val="24"/>
          <w:highlight w:val="none"/>
        </w:rPr>
        <w:t>2.本合同一式陆份，甲方执叁份，乙方执贰份，鉴证方执壹份，具有同等法律效力。</w:t>
      </w:r>
    </w:p>
    <w:p w14:paraId="3D045D2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本合同附件及双方的采购文件、投标文件、询标纪要等系本合同的组成部分，与本合同同样具有法律效力。与本合同有冲突的以合同为准。下述所载双方联系人和联系地址，也视为双方收件地址。双方相关来往函件或司法文书寄送到下述地址后，视为函件或文书已经送达。</w:t>
      </w:r>
    </w:p>
    <w:p w14:paraId="1BBCDC70">
      <w:pPr>
        <w:pStyle w:val="807"/>
        <w:ind w:firstLine="480"/>
        <w:rPr>
          <w:rFonts w:eastAsia="宋体"/>
          <w:color w:val="auto"/>
          <w:szCs w:val="24"/>
          <w:highlight w:val="none"/>
        </w:rPr>
      </w:pPr>
    </w:p>
    <w:p w14:paraId="7D0DC81E">
      <w:pPr>
        <w:snapToGrid w:val="0"/>
        <w:spacing w:line="360" w:lineRule="auto"/>
        <w:ind w:firstLine="480"/>
        <w:rPr>
          <w:rFonts w:cs="宋体"/>
          <w:highlight w:val="none"/>
        </w:rPr>
      </w:pPr>
      <w:r>
        <w:rPr>
          <w:rFonts w:hint="eastAsia" w:cs="宋体"/>
          <w:highlight w:val="none"/>
        </w:rPr>
        <w:t>（以下无正文）</w:t>
      </w:r>
    </w:p>
    <w:tbl>
      <w:tblPr>
        <w:tblStyle w:val="6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9"/>
        <w:gridCol w:w="5001"/>
      </w:tblGrid>
      <w:tr w14:paraId="5782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4" w:hRule="exact"/>
          <w:jc w:val="center"/>
        </w:trPr>
        <w:tc>
          <w:tcPr>
            <w:tcW w:w="2489" w:type="pct"/>
            <w:vMerge w:val="restart"/>
            <w:vAlign w:val="center"/>
          </w:tcPr>
          <w:p w14:paraId="705BC958">
            <w:pPr>
              <w:snapToGrid w:val="0"/>
              <w:spacing w:line="360" w:lineRule="auto"/>
              <w:rPr>
                <w:rFonts w:cs="宋体"/>
                <w:highlight w:val="none"/>
              </w:rPr>
            </w:pPr>
            <w:r>
              <w:rPr>
                <w:rFonts w:hint="eastAsia" w:cs="宋体"/>
                <w:highlight w:val="none"/>
              </w:rPr>
              <w:t>甲方（公章）：浙江同济科技职业学院</w:t>
            </w:r>
          </w:p>
          <w:p w14:paraId="4816E8A5">
            <w:pPr>
              <w:snapToGrid w:val="0"/>
              <w:spacing w:line="360" w:lineRule="auto"/>
              <w:rPr>
                <w:rFonts w:cs="宋体"/>
                <w:highlight w:val="none"/>
              </w:rPr>
            </w:pPr>
            <w:r>
              <w:rPr>
                <w:rFonts w:hint="eastAsia" w:cs="宋体"/>
                <w:highlight w:val="none"/>
              </w:rPr>
              <w:t>地址：杭州市萧山高教园区耕文路418号</w:t>
            </w:r>
          </w:p>
          <w:p w14:paraId="22A3AF50">
            <w:pPr>
              <w:snapToGrid w:val="0"/>
              <w:spacing w:line="360" w:lineRule="auto"/>
              <w:rPr>
                <w:rFonts w:cs="宋体"/>
                <w:highlight w:val="none"/>
              </w:rPr>
            </w:pPr>
            <w:r>
              <w:rPr>
                <w:rFonts w:hint="eastAsia" w:cs="宋体"/>
                <w:highlight w:val="none"/>
              </w:rPr>
              <w:t>法定代表人：</w:t>
            </w:r>
          </w:p>
          <w:p w14:paraId="3106A2BC">
            <w:pPr>
              <w:snapToGrid w:val="0"/>
              <w:spacing w:line="360" w:lineRule="auto"/>
              <w:rPr>
                <w:rFonts w:cs="宋体"/>
                <w:highlight w:val="none"/>
              </w:rPr>
            </w:pPr>
            <w:r>
              <w:rPr>
                <w:rFonts w:hint="eastAsia" w:cs="宋体"/>
                <w:highlight w:val="none"/>
              </w:rPr>
              <w:t>或委托代理人（签字）：</w:t>
            </w:r>
          </w:p>
          <w:p w14:paraId="2882A14D">
            <w:pPr>
              <w:snapToGrid w:val="0"/>
              <w:spacing w:line="360" w:lineRule="auto"/>
              <w:rPr>
                <w:rFonts w:cs="宋体"/>
                <w:highlight w:val="none"/>
              </w:rPr>
            </w:pPr>
            <w:r>
              <w:rPr>
                <w:rFonts w:hint="eastAsia" w:cs="宋体"/>
                <w:highlight w:val="none"/>
              </w:rPr>
              <w:t>电话：</w:t>
            </w:r>
          </w:p>
          <w:p w14:paraId="0ADAE0BB">
            <w:pPr>
              <w:snapToGrid w:val="0"/>
              <w:spacing w:line="360" w:lineRule="auto"/>
              <w:rPr>
                <w:rFonts w:cs="宋体"/>
                <w:highlight w:val="none"/>
              </w:rPr>
            </w:pPr>
            <w:r>
              <w:rPr>
                <w:rFonts w:hint="eastAsia" w:cs="宋体"/>
                <w:highlight w:val="none"/>
              </w:rPr>
              <w:t>邮编：</w:t>
            </w:r>
          </w:p>
          <w:p w14:paraId="13247549">
            <w:pPr>
              <w:snapToGrid w:val="0"/>
              <w:spacing w:line="360" w:lineRule="auto"/>
              <w:rPr>
                <w:rFonts w:cs="宋体"/>
                <w:highlight w:val="none"/>
              </w:rPr>
            </w:pPr>
            <w:r>
              <w:rPr>
                <w:rFonts w:hint="eastAsia" w:cs="宋体"/>
                <w:highlight w:val="none"/>
              </w:rPr>
              <w:t xml:space="preserve">开户行： </w:t>
            </w:r>
          </w:p>
          <w:p w14:paraId="5A6DDAF0">
            <w:pPr>
              <w:snapToGrid w:val="0"/>
              <w:spacing w:line="360" w:lineRule="auto"/>
              <w:rPr>
                <w:rFonts w:cs="宋体"/>
                <w:highlight w:val="none"/>
              </w:rPr>
            </w:pPr>
            <w:r>
              <w:rPr>
                <w:rFonts w:hint="eastAsia" w:cs="宋体"/>
                <w:highlight w:val="none"/>
              </w:rPr>
              <w:t>帐户：</w:t>
            </w:r>
          </w:p>
          <w:p w14:paraId="48E62C19">
            <w:pPr>
              <w:snapToGrid w:val="0"/>
              <w:spacing w:line="360" w:lineRule="auto"/>
              <w:rPr>
                <w:rFonts w:cs="宋体"/>
                <w:highlight w:val="none"/>
              </w:rPr>
            </w:pPr>
            <w:r>
              <w:rPr>
                <w:rFonts w:hint="eastAsia" w:cs="宋体"/>
                <w:highlight w:val="none"/>
              </w:rPr>
              <w:t>税号：</w:t>
            </w:r>
          </w:p>
          <w:p w14:paraId="72D73119">
            <w:pPr>
              <w:snapToGrid w:val="0"/>
              <w:spacing w:line="360" w:lineRule="auto"/>
              <w:rPr>
                <w:rFonts w:cs="宋体"/>
                <w:highlight w:val="none"/>
              </w:rPr>
            </w:pPr>
            <w:r>
              <w:rPr>
                <w:rFonts w:hint="eastAsia" w:cs="宋体"/>
                <w:highlight w:val="none"/>
              </w:rPr>
              <w:t>联系人/手机：</w:t>
            </w:r>
          </w:p>
        </w:tc>
        <w:tc>
          <w:tcPr>
            <w:tcW w:w="2510" w:type="pct"/>
            <w:vMerge w:val="restart"/>
            <w:vAlign w:val="center"/>
          </w:tcPr>
          <w:p w14:paraId="639067D4">
            <w:pPr>
              <w:snapToGrid w:val="0"/>
              <w:spacing w:line="360" w:lineRule="auto"/>
              <w:ind w:right="-107" w:rightChars="-51"/>
              <w:rPr>
                <w:rFonts w:cs="宋体"/>
                <w:highlight w:val="none"/>
              </w:rPr>
            </w:pPr>
            <w:r>
              <w:rPr>
                <w:rFonts w:hint="eastAsia" w:cs="宋体"/>
                <w:highlight w:val="none"/>
              </w:rPr>
              <w:t>乙方（公章）：</w:t>
            </w:r>
          </w:p>
          <w:p w14:paraId="7B69F054">
            <w:pPr>
              <w:snapToGrid w:val="0"/>
              <w:spacing w:line="360" w:lineRule="auto"/>
              <w:ind w:right="-107" w:rightChars="-51"/>
              <w:rPr>
                <w:rFonts w:cs="宋体"/>
                <w:highlight w:val="none"/>
              </w:rPr>
            </w:pPr>
            <w:r>
              <w:rPr>
                <w:rFonts w:hint="eastAsia" w:cs="宋体"/>
                <w:highlight w:val="none"/>
              </w:rPr>
              <w:t>地址：</w:t>
            </w:r>
          </w:p>
          <w:p w14:paraId="62981875">
            <w:pPr>
              <w:snapToGrid w:val="0"/>
              <w:spacing w:line="360" w:lineRule="auto"/>
              <w:ind w:right="-107" w:rightChars="-51"/>
              <w:rPr>
                <w:rFonts w:cs="宋体"/>
                <w:highlight w:val="none"/>
              </w:rPr>
            </w:pPr>
            <w:r>
              <w:rPr>
                <w:rFonts w:hint="eastAsia" w:cs="宋体"/>
                <w:highlight w:val="none"/>
              </w:rPr>
              <w:t xml:space="preserve">法定代表人： </w:t>
            </w:r>
          </w:p>
          <w:p w14:paraId="13F6B503">
            <w:pPr>
              <w:snapToGrid w:val="0"/>
              <w:spacing w:line="360" w:lineRule="auto"/>
              <w:ind w:right="-107" w:rightChars="-51"/>
              <w:rPr>
                <w:rFonts w:cs="宋体"/>
                <w:highlight w:val="none"/>
              </w:rPr>
            </w:pPr>
            <w:r>
              <w:rPr>
                <w:rFonts w:hint="eastAsia" w:cs="宋体"/>
                <w:highlight w:val="none"/>
              </w:rPr>
              <w:t>或委托代理人（签字）：</w:t>
            </w:r>
          </w:p>
          <w:p w14:paraId="50AE9D9F">
            <w:pPr>
              <w:snapToGrid w:val="0"/>
              <w:spacing w:line="360" w:lineRule="auto"/>
              <w:ind w:right="-107" w:rightChars="-51"/>
              <w:rPr>
                <w:rFonts w:cs="宋体"/>
                <w:highlight w:val="none"/>
              </w:rPr>
            </w:pPr>
            <w:r>
              <w:rPr>
                <w:rFonts w:hint="eastAsia" w:cs="宋体"/>
                <w:highlight w:val="none"/>
              </w:rPr>
              <w:t>电话：</w:t>
            </w:r>
          </w:p>
          <w:p w14:paraId="6C56ED8A">
            <w:pPr>
              <w:snapToGrid w:val="0"/>
              <w:spacing w:line="360" w:lineRule="auto"/>
              <w:ind w:right="-107" w:rightChars="-51"/>
              <w:rPr>
                <w:rFonts w:cs="宋体"/>
                <w:highlight w:val="none"/>
              </w:rPr>
            </w:pPr>
            <w:r>
              <w:rPr>
                <w:rFonts w:hint="eastAsia" w:cs="宋体"/>
                <w:highlight w:val="none"/>
              </w:rPr>
              <w:t>邮编：</w:t>
            </w:r>
          </w:p>
          <w:p w14:paraId="64E96F23">
            <w:pPr>
              <w:snapToGrid w:val="0"/>
              <w:spacing w:line="360" w:lineRule="auto"/>
              <w:ind w:right="-107" w:rightChars="-51"/>
              <w:rPr>
                <w:rFonts w:cs="宋体"/>
                <w:highlight w:val="none"/>
              </w:rPr>
            </w:pPr>
            <w:r>
              <w:rPr>
                <w:rFonts w:hint="eastAsia" w:cs="宋体"/>
                <w:highlight w:val="none"/>
              </w:rPr>
              <w:t xml:space="preserve">开户行： </w:t>
            </w:r>
          </w:p>
          <w:p w14:paraId="3B2565FB">
            <w:pPr>
              <w:snapToGrid w:val="0"/>
              <w:spacing w:line="360" w:lineRule="auto"/>
              <w:rPr>
                <w:rFonts w:cs="宋体"/>
                <w:highlight w:val="none"/>
              </w:rPr>
            </w:pPr>
            <w:r>
              <w:rPr>
                <w:rFonts w:hint="eastAsia" w:cs="宋体"/>
                <w:highlight w:val="none"/>
              </w:rPr>
              <w:t>帐户：</w:t>
            </w:r>
          </w:p>
          <w:p w14:paraId="4B8C964B">
            <w:pPr>
              <w:snapToGrid w:val="0"/>
              <w:spacing w:line="360" w:lineRule="auto"/>
              <w:rPr>
                <w:rFonts w:cs="宋体"/>
                <w:highlight w:val="none"/>
              </w:rPr>
            </w:pPr>
            <w:r>
              <w:rPr>
                <w:rFonts w:hint="eastAsia" w:cs="宋体"/>
                <w:highlight w:val="none"/>
              </w:rPr>
              <w:t>税号：</w:t>
            </w:r>
          </w:p>
          <w:p w14:paraId="723D2BB5">
            <w:pPr>
              <w:snapToGrid w:val="0"/>
              <w:spacing w:line="360" w:lineRule="auto"/>
              <w:ind w:right="-107" w:rightChars="-51"/>
              <w:rPr>
                <w:rFonts w:cs="宋体"/>
                <w:highlight w:val="none"/>
              </w:rPr>
            </w:pPr>
            <w:r>
              <w:rPr>
                <w:rFonts w:hint="eastAsia" w:cs="宋体"/>
                <w:highlight w:val="none"/>
              </w:rPr>
              <w:t>联系人/手机：</w:t>
            </w:r>
          </w:p>
        </w:tc>
      </w:tr>
      <w:tr w14:paraId="7177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2489" w:type="pct"/>
            <w:vMerge w:val="continue"/>
          </w:tcPr>
          <w:p w14:paraId="6A2E590B">
            <w:pPr>
              <w:snapToGrid w:val="0"/>
              <w:spacing w:line="360" w:lineRule="auto"/>
              <w:rPr>
                <w:rFonts w:cs="宋体"/>
                <w:highlight w:val="none"/>
              </w:rPr>
            </w:pPr>
          </w:p>
        </w:tc>
        <w:tc>
          <w:tcPr>
            <w:tcW w:w="2510" w:type="pct"/>
            <w:vMerge w:val="continue"/>
          </w:tcPr>
          <w:p w14:paraId="7391D662">
            <w:pPr>
              <w:snapToGrid w:val="0"/>
              <w:spacing w:line="360" w:lineRule="auto"/>
              <w:rPr>
                <w:rFonts w:cs="宋体"/>
                <w:highlight w:val="none"/>
              </w:rPr>
            </w:pPr>
          </w:p>
        </w:tc>
      </w:tr>
    </w:tbl>
    <w:p w14:paraId="688D26E8">
      <w:pPr>
        <w:snapToGrid w:val="0"/>
        <w:spacing w:line="360" w:lineRule="auto"/>
        <w:ind w:firstLine="420"/>
        <w:rPr>
          <w:szCs w:val="21"/>
          <w:highlight w:val="none"/>
        </w:rPr>
      </w:pPr>
    </w:p>
    <w:p w14:paraId="6EC933FE">
      <w:pPr>
        <w:snapToGrid w:val="0"/>
        <w:spacing w:line="360" w:lineRule="auto"/>
        <w:ind w:firstLine="420"/>
        <w:rPr>
          <w:szCs w:val="21"/>
          <w:highlight w:val="none"/>
        </w:rPr>
      </w:pPr>
      <w:r>
        <w:rPr>
          <w:rFonts w:hint="eastAsia"/>
          <w:szCs w:val="21"/>
          <w:highlight w:val="none"/>
        </w:rPr>
        <w:t>附件：</w:t>
      </w:r>
    </w:p>
    <w:p w14:paraId="19B3F7B2">
      <w:pPr>
        <w:snapToGrid w:val="0"/>
        <w:spacing w:line="360" w:lineRule="auto"/>
        <w:ind w:firstLine="422"/>
        <w:rPr>
          <w:b/>
          <w:szCs w:val="21"/>
          <w:highlight w:val="none"/>
        </w:rPr>
      </w:pPr>
      <w:bookmarkStart w:id="418" w:name="_Toc27825"/>
      <w:bookmarkEnd w:id="418"/>
      <w:r>
        <w:rPr>
          <w:rFonts w:hint="eastAsia"/>
          <w:b/>
          <w:szCs w:val="21"/>
          <w:highlight w:val="none"/>
        </w:rPr>
        <w:t>1.配置清单</w:t>
      </w:r>
    </w:p>
    <w:p w14:paraId="18963663">
      <w:pPr>
        <w:snapToGrid w:val="0"/>
        <w:spacing w:line="360" w:lineRule="auto"/>
        <w:ind w:firstLine="422"/>
        <w:rPr>
          <w:b/>
          <w:szCs w:val="21"/>
          <w:highlight w:val="none"/>
        </w:rPr>
      </w:pPr>
      <w:bookmarkStart w:id="419" w:name="_Toc16974"/>
      <w:bookmarkEnd w:id="419"/>
      <w:r>
        <w:rPr>
          <w:rFonts w:hint="eastAsia"/>
          <w:b/>
          <w:szCs w:val="21"/>
          <w:highlight w:val="none"/>
        </w:rPr>
        <w:t>2.服务承诺（注意：使用人、用户、采购人等统一使用甲方，供货商、中标人等统一使用乙方，该提醒不用出现在合同中）</w:t>
      </w:r>
    </w:p>
    <w:p w14:paraId="705D7C86">
      <w:pPr>
        <w:rPr>
          <w:b/>
          <w:szCs w:val="21"/>
          <w:highlight w:val="none"/>
        </w:rPr>
      </w:pPr>
      <w:r>
        <w:rPr>
          <w:rFonts w:hint="eastAsia"/>
          <w:b/>
          <w:szCs w:val="21"/>
          <w:highlight w:val="none"/>
        </w:rPr>
        <w:br w:type="page"/>
      </w:r>
    </w:p>
    <w:bookmarkEnd w:id="416"/>
    <w:bookmarkEnd w:id="417"/>
    <w:p w14:paraId="116CCC2E">
      <w:pPr>
        <w:pStyle w:val="3"/>
        <w:rPr>
          <w:highlight w:val="none"/>
        </w:rPr>
      </w:pPr>
      <w:bookmarkStart w:id="420" w:name="_Toc3090"/>
      <w:r>
        <w:rPr>
          <w:rFonts w:hint="eastAsia"/>
          <w:highlight w:val="none"/>
        </w:rPr>
        <w:t>第六部分 应提交的有关格式范例</w:t>
      </w:r>
      <w:bookmarkEnd w:id="420"/>
    </w:p>
    <w:p w14:paraId="5D3CA20B">
      <w:pPr>
        <w:rPr>
          <w:highlight w:val="none"/>
        </w:rPr>
      </w:pPr>
    </w:p>
    <w:p w14:paraId="7FFC982E">
      <w:pPr>
        <w:pStyle w:val="63"/>
        <w:ind w:firstLine="420"/>
        <w:rPr>
          <w:highlight w:val="none"/>
        </w:rPr>
      </w:pPr>
    </w:p>
    <w:p w14:paraId="269FB7DD">
      <w:pPr>
        <w:pStyle w:val="4"/>
        <w:rPr>
          <w:highlight w:val="none"/>
        </w:rPr>
      </w:pPr>
      <w:bookmarkStart w:id="421" w:name="_Toc3841"/>
      <w:r>
        <w:rPr>
          <w:rFonts w:hint="eastAsia"/>
          <w:highlight w:val="none"/>
        </w:rPr>
        <w:t>资格文件部分</w:t>
      </w:r>
      <w:bookmarkEnd w:id="421"/>
    </w:p>
    <w:p w14:paraId="5442BC47">
      <w:pPr>
        <w:rPr>
          <w:highlight w:val="none"/>
        </w:rPr>
      </w:pPr>
    </w:p>
    <w:p w14:paraId="2BD36203">
      <w:pPr>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目录</w:t>
      </w:r>
    </w:p>
    <w:p w14:paraId="3C4A3A03">
      <w:pPr>
        <w:rPr>
          <w:highlight w:val="none"/>
        </w:rPr>
      </w:pPr>
    </w:p>
    <w:p w14:paraId="1E26E86F">
      <w:pPr>
        <w:snapToGrid w:val="0"/>
        <w:spacing w:line="360" w:lineRule="auto"/>
        <w:rPr>
          <w:rFonts w:ascii="宋体" w:hAnsi="宋体" w:cs="宋体"/>
          <w:sz w:val="24"/>
          <w:highlight w:val="none"/>
        </w:rPr>
      </w:pPr>
      <w:r>
        <w:rPr>
          <w:rFonts w:hint="eastAsia" w:ascii="宋体" w:hAnsi="宋体" w:cs="宋体"/>
          <w:sz w:val="24"/>
          <w:highlight w:val="none"/>
        </w:rPr>
        <w:t>（1）符合参加政府采购活动应当具备的一般条件的承诺函……………………（页码）</w:t>
      </w:r>
    </w:p>
    <w:p w14:paraId="72A2130E">
      <w:pPr>
        <w:snapToGrid w:val="0"/>
        <w:spacing w:line="360" w:lineRule="auto"/>
        <w:rPr>
          <w:rFonts w:ascii="宋体" w:hAnsi="宋体" w:cs="宋体"/>
          <w:sz w:val="24"/>
          <w:highlight w:val="none"/>
        </w:rPr>
      </w:pPr>
      <w:r>
        <w:rPr>
          <w:rFonts w:hint="eastAsia" w:ascii="宋体" w:hAnsi="宋体" w:cs="宋体"/>
          <w:kern w:val="28"/>
          <w:sz w:val="24"/>
          <w:szCs w:val="20"/>
          <w:highlight w:val="none"/>
        </w:rPr>
        <w:t>（2）联合协议</w:t>
      </w:r>
      <w:r>
        <w:rPr>
          <w:rFonts w:hint="eastAsia" w:ascii="宋体" w:hAnsi="宋体" w:cs="宋体"/>
          <w:sz w:val="24"/>
          <w:highlight w:val="none"/>
        </w:rPr>
        <w:t>………………………………………………………………………（页码）</w:t>
      </w:r>
    </w:p>
    <w:p w14:paraId="5814A0C8">
      <w:pPr>
        <w:snapToGrid w:val="0"/>
        <w:spacing w:line="360"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）落实政府采购政策需满足的资格要求………………………………………（页码）</w:t>
      </w:r>
    </w:p>
    <w:p w14:paraId="29643286">
      <w:pPr>
        <w:snapToGrid w:val="0"/>
        <w:spacing w:line="360" w:lineRule="auto"/>
        <w:rPr>
          <w:rFonts w:ascii="宋体" w:hAnsi="宋体" w:cs="宋体"/>
          <w:sz w:val="24"/>
          <w:highlight w:val="none"/>
        </w:rPr>
      </w:pPr>
      <w:r>
        <w:rPr>
          <w:rFonts w:hint="eastAsia" w:ascii="宋体" w:hAnsi="宋体" w:cs="宋体"/>
          <w:sz w:val="24"/>
          <w:highlight w:val="none"/>
        </w:rPr>
        <w:t>（</w:t>
      </w:r>
      <w:r>
        <w:rPr>
          <w:rFonts w:ascii="宋体" w:hAnsi="宋体" w:cs="宋体"/>
          <w:sz w:val="24"/>
          <w:highlight w:val="none"/>
        </w:rPr>
        <w:t>4</w:t>
      </w:r>
      <w:r>
        <w:rPr>
          <w:rFonts w:hint="eastAsia" w:ascii="宋体" w:hAnsi="宋体" w:cs="宋体"/>
          <w:sz w:val="24"/>
          <w:highlight w:val="none"/>
        </w:rPr>
        <w:t>）本项目的特定资格要求………………………………………………………（页码）</w:t>
      </w:r>
    </w:p>
    <w:p w14:paraId="75862AB0">
      <w:pPr>
        <w:snapToGrid w:val="0"/>
        <w:spacing w:line="360" w:lineRule="auto"/>
        <w:ind w:firstLine="480" w:firstLineChars="200"/>
        <w:rPr>
          <w:rFonts w:ascii="宋体" w:hAnsi="宋体" w:cs="宋体"/>
          <w:sz w:val="24"/>
          <w:highlight w:val="none"/>
        </w:rPr>
      </w:pPr>
    </w:p>
    <w:p w14:paraId="2D405280">
      <w:pPr>
        <w:spacing w:line="360" w:lineRule="auto"/>
        <w:ind w:firstLine="480" w:firstLineChars="200"/>
        <w:rPr>
          <w:rFonts w:ascii="宋体" w:hAnsi="宋体" w:cs="宋体"/>
          <w:sz w:val="24"/>
          <w:highlight w:val="none"/>
        </w:rPr>
      </w:pPr>
    </w:p>
    <w:p w14:paraId="181334EE">
      <w:pPr>
        <w:snapToGrid w:val="0"/>
        <w:spacing w:line="360" w:lineRule="auto"/>
        <w:ind w:right="480"/>
        <w:jc w:val="center"/>
        <w:rPr>
          <w:rFonts w:ascii="宋体" w:hAnsi="宋体" w:cs="宋体"/>
          <w:kern w:val="0"/>
          <w:sz w:val="24"/>
          <w:highlight w:val="none"/>
        </w:rPr>
      </w:pPr>
      <w:r>
        <w:rPr>
          <w:rFonts w:hint="eastAsia" w:ascii="宋体" w:hAnsi="宋体" w:cs="宋体"/>
          <w:kern w:val="0"/>
          <w:sz w:val="24"/>
          <w:highlight w:val="none"/>
        </w:rPr>
        <w:br w:type="page"/>
      </w:r>
    </w:p>
    <w:p w14:paraId="6FD3024F">
      <w:pPr>
        <w:snapToGrid w:val="0"/>
        <w:spacing w:line="360" w:lineRule="auto"/>
        <w:ind w:right="480"/>
        <w:jc w:val="center"/>
        <w:rPr>
          <w:rFonts w:ascii="宋体" w:hAnsi="宋体" w:cs="宋体"/>
          <w:kern w:val="0"/>
          <w:sz w:val="24"/>
          <w:highlight w:val="none"/>
        </w:rPr>
      </w:pPr>
    </w:p>
    <w:p w14:paraId="67F16C2B">
      <w:pPr>
        <w:snapToGrid w:val="0"/>
        <w:spacing w:line="360" w:lineRule="auto"/>
        <w:ind w:right="480"/>
        <w:jc w:val="center"/>
        <w:rPr>
          <w:rFonts w:ascii="宋体" w:hAnsi="宋体" w:cs="宋体"/>
          <w:b/>
          <w:kern w:val="0"/>
          <w:sz w:val="32"/>
          <w:szCs w:val="32"/>
          <w:highlight w:val="none"/>
        </w:rPr>
      </w:pPr>
      <w:r>
        <w:rPr>
          <w:rFonts w:hint="eastAsia" w:ascii="宋体" w:hAnsi="宋体" w:cs="宋体"/>
          <w:b/>
          <w:kern w:val="0"/>
          <w:sz w:val="32"/>
          <w:szCs w:val="32"/>
          <w:highlight w:val="none"/>
        </w:rPr>
        <w:t xml:space="preserve">  一、 符合参加政府采购活动应当具备的一般条件的承诺函</w:t>
      </w:r>
    </w:p>
    <w:p w14:paraId="264EC773">
      <w:pPr>
        <w:snapToGrid w:val="0"/>
        <w:spacing w:line="360" w:lineRule="auto"/>
        <w:rPr>
          <w:rFonts w:ascii="宋体" w:hAnsi="宋体" w:cs="宋体"/>
          <w:sz w:val="24"/>
          <w:highlight w:val="none"/>
        </w:rPr>
      </w:pPr>
      <w:r>
        <w:rPr>
          <w:rFonts w:hint="eastAsia" w:ascii="宋体" w:hAnsi="宋体" w:cs="宋体"/>
          <w:sz w:val="24"/>
          <w:highlight w:val="none"/>
        </w:rPr>
        <w:t>浙江同济科技职业学院、浙江致信招标代理有限公司：</w:t>
      </w:r>
    </w:p>
    <w:p w14:paraId="34D8861A">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我方参与浙江同济科技职业学院图书馆家具【招标编号：ZXZB-TJ-2025010G】政府采购活动，郑重承诺：</w:t>
      </w:r>
    </w:p>
    <w:p w14:paraId="61F0288A">
      <w:pPr>
        <w:snapToGrid w:val="0"/>
        <w:spacing w:line="360" w:lineRule="auto"/>
        <w:ind w:firstLine="360" w:firstLineChars="150"/>
        <w:rPr>
          <w:rFonts w:ascii="宋体" w:hAnsi="宋体" w:cs="宋体"/>
          <w:sz w:val="24"/>
          <w:highlight w:val="none"/>
        </w:rPr>
      </w:pPr>
      <w:r>
        <w:rPr>
          <w:rFonts w:hint="eastAsia" w:ascii="宋体" w:hAnsi="宋体" w:cs="宋体"/>
          <w:sz w:val="24"/>
          <w:highlight w:val="none"/>
        </w:rPr>
        <w:t>（一）具备《中华人民共和国政府采购法》第二十二条第一款规定的条件：</w:t>
      </w:r>
    </w:p>
    <w:p w14:paraId="00AD0E3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1、具有独立承担民事责任的能力；</w:t>
      </w:r>
    </w:p>
    <w:p w14:paraId="27C8BE20">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2、具有良好的商业信誉和健全的财务会计制度； </w:t>
      </w:r>
    </w:p>
    <w:p w14:paraId="2C79933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3、具有履行合同所必需的设备和专业技术能力；</w:t>
      </w:r>
    </w:p>
    <w:p w14:paraId="54F0A8B4">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4、有依法缴纳税收和社会保障资金的良好记录；</w:t>
      </w:r>
    </w:p>
    <w:p w14:paraId="2C1E0AB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14:paraId="777455C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6、具有法律、行政法规规定的其他条件。</w:t>
      </w:r>
    </w:p>
    <w:p w14:paraId="2767AC0C">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（二）未被信用中国（www.creditchina.gov.cn)、中国政府采购网（www.ccgp.gov.cn）列入失信被执行人、重大税收违法案件当事人名单、政府采购严重违法失信行为记录名单。</w:t>
      </w:r>
    </w:p>
    <w:p w14:paraId="505F1A37">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（三）不存在以下情况：</w:t>
      </w:r>
    </w:p>
    <w:p w14:paraId="166EC10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1、单位负责人为同一人或者存在直接控股、管理关系的不同供应商参加同一合同项下的政府采购活动的；</w:t>
      </w:r>
    </w:p>
    <w:p w14:paraId="0522284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2、为采购项目提供整体设计、规范编制或者项目管理、监理、检测等服务后再参加该采购项目的其他采购活动的。</w:t>
      </w:r>
    </w:p>
    <w:p w14:paraId="1D4CE30D">
      <w:pPr>
        <w:snapToGrid w:val="0"/>
        <w:spacing w:line="360" w:lineRule="auto"/>
        <w:ind w:firstLine="5520" w:firstLineChars="2300"/>
        <w:rPr>
          <w:rFonts w:ascii="宋体" w:hAnsi="宋体" w:cs="宋体"/>
          <w:kern w:val="0"/>
          <w:sz w:val="24"/>
          <w:highlight w:val="none"/>
          <w:lang w:val="zh-CN"/>
        </w:rPr>
      </w:pPr>
    </w:p>
    <w:p w14:paraId="6883B563">
      <w:pPr>
        <w:snapToGrid w:val="0"/>
        <w:spacing w:line="360" w:lineRule="auto"/>
        <w:ind w:firstLine="5520" w:firstLineChars="2300"/>
        <w:rPr>
          <w:rFonts w:ascii="宋体" w:hAnsi="宋体" w:cs="宋体"/>
          <w:kern w:val="0"/>
          <w:sz w:val="24"/>
          <w:highlight w:val="none"/>
        </w:rPr>
      </w:pPr>
      <w:r>
        <w:rPr>
          <w:rFonts w:hint="eastAsia" w:ascii="宋体" w:hAnsi="宋体" w:cs="宋体"/>
          <w:kern w:val="0"/>
          <w:sz w:val="24"/>
          <w:highlight w:val="none"/>
          <w:lang w:val="zh-CN"/>
        </w:rPr>
        <w:t>投标人名称(电子签名)：</w:t>
      </w:r>
    </w:p>
    <w:p w14:paraId="02E6C2E6">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 xml:space="preserve">                        </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14:paraId="7CA7433A">
      <w:pPr>
        <w:snapToGrid w:val="0"/>
        <w:spacing w:line="360" w:lineRule="auto"/>
        <w:ind w:right="480"/>
        <w:jc w:val="center"/>
        <w:rPr>
          <w:rFonts w:ascii="宋体" w:hAnsi="宋体" w:cs="宋体"/>
          <w:b/>
          <w:kern w:val="0"/>
          <w:sz w:val="32"/>
          <w:szCs w:val="32"/>
          <w:highlight w:val="none"/>
        </w:rPr>
      </w:pPr>
    </w:p>
    <w:p w14:paraId="2B6F3B09">
      <w:pPr>
        <w:snapToGrid w:val="0"/>
        <w:spacing w:line="360" w:lineRule="auto"/>
        <w:ind w:right="480"/>
        <w:jc w:val="center"/>
        <w:rPr>
          <w:rFonts w:ascii="宋体" w:hAnsi="宋体" w:cs="宋体"/>
          <w:b/>
          <w:kern w:val="0"/>
          <w:sz w:val="32"/>
          <w:szCs w:val="32"/>
          <w:highlight w:val="none"/>
        </w:rPr>
      </w:pPr>
    </w:p>
    <w:p w14:paraId="02007B05">
      <w:pPr>
        <w:snapToGrid w:val="0"/>
        <w:spacing w:line="360" w:lineRule="auto"/>
        <w:ind w:right="480"/>
        <w:jc w:val="center"/>
        <w:rPr>
          <w:rFonts w:ascii="宋体" w:hAnsi="宋体" w:cs="宋体"/>
          <w:b/>
          <w:kern w:val="0"/>
          <w:sz w:val="32"/>
          <w:szCs w:val="32"/>
          <w:highlight w:val="none"/>
        </w:rPr>
      </w:pPr>
    </w:p>
    <w:p w14:paraId="342278D8">
      <w:pPr>
        <w:rPr>
          <w:rFonts w:ascii="宋体" w:hAnsi="宋体" w:cs="宋体"/>
          <w:highlight w:val="none"/>
        </w:rPr>
      </w:pPr>
    </w:p>
    <w:p w14:paraId="7E2EA7CD">
      <w:pPr>
        <w:snapToGrid w:val="0"/>
        <w:spacing w:line="360" w:lineRule="auto"/>
        <w:ind w:right="480"/>
        <w:jc w:val="center"/>
        <w:rPr>
          <w:rFonts w:ascii="宋体" w:hAnsi="宋体" w:cs="宋体"/>
          <w:b/>
          <w:kern w:val="0"/>
          <w:sz w:val="32"/>
          <w:szCs w:val="32"/>
          <w:highlight w:val="none"/>
        </w:rPr>
      </w:pPr>
    </w:p>
    <w:p w14:paraId="1B4AD8A6">
      <w:pPr>
        <w:snapToGrid w:val="0"/>
        <w:spacing w:line="360" w:lineRule="auto"/>
        <w:ind w:right="480"/>
        <w:jc w:val="center"/>
        <w:rPr>
          <w:rFonts w:ascii="宋体" w:hAnsi="宋体" w:cs="宋体"/>
          <w:b/>
          <w:kern w:val="0"/>
          <w:sz w:val="32"/>
          <w:szCs w:val="32"/>
          <w:highlight w:val="none"/>
        </w:rPr>
      </w:pPr>
    </w:p>
    <w:p w14:paraId="7FE13719">
      <w:pPr>
        <w:widowControl/>
        <w:spacing w:line="360" w:lineRule="auto"/>
        <w:ind w:firstLine="643" w:firstLineChars="200"/>
        <w:jc w:val="center"/>
        <w:rPr>
          <w:rFonts w:ascii="宋体" w:hAnsi="宋体" w:cs="宋体"/>
          <w:b/>
          <w:kern w:val="0"/>
          <w:sz w:val="32"/>
          <w:szCs w:val="32"/>
          <w:highlight w:val="none"/>
        </w:rPr>
      </w:pPr>
    </w:p>
    <w:p w14:paraId="3F5B34C3">
      <w:pPr>
        <w:widowControl/>
        <w:spacing w:line="360" w:lineRule="auto"/>
        <w:ind w:firstLine="643" w:firstLineChars="200"/>
        <w:jc w:val="center"/>
        <w:rPr>
          <w:rFonts w:ascii="宋体" w:hAnsi="宋体" w:cs="宋体"/>
          <w:b/>
          <w:kern w:val="0"/>
          <w:sz w:val="32"/>
          <w:szCs w:val="32"/>
          <w:highlight w:val="none"/>
        </w:rPr>
      </w:pPr>
      <w:r>
        <w:rPr>
          <w:rFonts w:hint="eastAsia" w:ascii="宋体" w:hAnsi="宋体" w:cs="宋体"/>
          <w:b/>
          <w:kern w:val="0"/>
          <w:sz w:val="32"/>
          <w:szCs w:val="32"/>
          <w:highlight w:val="none"/>
        </w:rPr>
        <w:t>二、联合协议（如果有）</w:t>
      </w:r>
    </w:p>
    <w:p w14:paraId="72BD20DE">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[以联合体形式投标的，提供联合协议（附件5）；本项目不接受联合体投标或者投标人不以联合体形式投标的，则不需要提供]</w:t>
      </w:r>
    </w:p>
    <w:p w14:paraId="4872CE47">
      <w:pPr>
        <w:snapToGrid w:val="0"/>
        <w:spacing w:line="360" w:lineRule="auto"/>
        <w:ind w:right="480"/>
        <w:jc w:val="center"/>
        <w:rPr>
          <w:rFonts w:ascii="宋体" w:hAnsi="宋体" w:cs="宋体"/>
          <w:b/>
          <w:kern w:val="0"/>
          <w:sz w:val="32"/>
          <w:szCs w:val="32"/>
          <w:highlight w:val="none"/>
        </w:rPr>
      </w:pPr>
    </w:p>
    <w:p w14:paraId="63801749">
      <w:pPr>
        <w:snapToGrid w:val="0"/>
        <w:spacing w:line="360" w:lineRule="auto"/>
        <w:ind w:right="480"/>
        <w:jc w:val="center"/>
        <w:rPr>
          <w:rFonts w:ascii="宋体" w:hAnsi="宋体" w:cs="宋体"/>
          <w:b/>
          <w:kern w:val="0"/>
          <w:sz w:val="32"/>
          <w:szCs w:val="32"/>
          <w:highlight w:val="none"/>
        </w:rPr>
      </w:pPr>
    </w:p>
    <w:p w14:paraId="09B04C86">
      <w:pPr>
        <w:snapToGrid w:val="0"/>
        <w:spacing w:line="360" w:lineRule="auto"/>
        <w:ind w:right="480"/>
        <w:jc w:val="center"/>
        <w:rPr>
          <w:rFonts w:ascii="宋体" w:hAnsi="宋体" w:cs="宋体"/>
          <w:b/>
          <w:kern w:val="0"/>
          <w:sz w:val="32"/>
          <w:szCs w:val="32"/>
          <w:highlight w:val="none"/>
        </w:rPr>
      </w:pPr>
      <w:r>
        <w:rPr>
          <w:rFonts w:hint="eastAsia" w:ascii="宋体" w:hAnsi="宋体" w:cs="宋体"/>
          <w:b/>
          <w:kern w:val="0"/>
          <w:sz w:val="32"/>
          <w:szCs w:val="32"/>
          <w:highlight w:val="none"/>
        </w:rPr>
        <w:t>三、落实政府采购政策需满足的资格要求</w:t>
      </w:r>
    </w:p>
    <w:p w14:paraId="05F6E3E9">
      <w:pPr>
        <w:spacing w:line="360" w:lineRule="auto"/>
        <w:rPr>
          <w:rFonts w:ascii="宋体" w:hAnsi="宋体" w:cs="宋体"/>
          <w:sz w:val="24"/>
          <w:highlight w:val="none"/>
        </w:rPr>
      </w:pPr>
      <w:r>
        <w:rPr>
          <w:rFonts w:hint="eastAsia" w:ascii="宋体" w:hAnsi="宋体" w:cs="宋体"/>
          <w:sz w:val="24"/>
          <w:highlight w:val="none"/>
        </w:rPr>
        <w:t>（根据招标公告落实政府采购政策需满足的资格要求选择提供相应的材料；未要求的，无需提供）</w:t>
      </w:r>
    </w:p>
    <w:p w14:paraId="41D6FC2B">
      <w:pPr>
        <w:snapToGrid w:val="0"/>
        <w:spacing w:before="50" w:after="50" w:line="360" w:lineRule="auto"/>
        <w:ind w:firstLine="472" w:firstLineChars="196"/>
        <w:jc w:val="left"/>
        <w:rPr>
          <w:rFonts w:ascii="宋体" w:hAnsi="宋体" w:cs="宋体"/>
          <w:sz w:val="24"/>
          <w:highlight w:val="none"/>
        </w:rPr>
      </w:pPr>
      <w:r>
        <w:rPr>
          <w:rFonts w:hint="eastAsia" w:ascii="宋体" w:hAnsi="宋体" w:cs="宋体"/>
          <w:b/>
          <w:sz w:val="24"/>
          <w:highlight w:val="none"/>
        </w:rPr>
        <w:t>A</w:t>
      </w:r>
      <w:r>
        <w:rPr>
          <w:rFonts w:hint="eastAsia" w:ascii="宋体" w:hAnsi="宋体" w:cs="宋体"/>
          <w:sz w:val="24"/>
          <w:highlight w:val="none"/>
        </w:rPr>
        <w:t>.专门面向中小企业，货物全部由符合政策要求的中小企业（或小微企业）制造的，提供相应的中小企业声明函（附件</w:t>
      </w:r>
      <w:r>
        <w:rPr>
          <w:rFonts w:ascii="宋体" w:hAnsi="宋体" w:cs="宋体"/>
          <w:sz w:val="24"/>
          <w:highlight w:val="none"/>
        </w:rPr>
        <w:t>7</w:t>
      </w:r>
      <w:r>
        <w:rPr>
          <w:rFonts w:hint="eastAsia" w:ascii="宋体" w:hAnsi="宋体" w:cs="宋体"/>
          <w:sz w:val="24"/>
          <w:highlight w:val="none"/>
        </w:rPr>
        <w:t xml:space="preserve">）。 </w:t>
      </w:r>
    </w:p>
    <w:p w14:paraId="337D935C">
      <w:pPr>
        <w:widowControl/>
        <w:spacing w:line="360" w:lineRule="auto"/>
        <w:ind w:firstLine="480"/>
        <w:jc w:val="left"/>
        <w:rPr>
          <w:rFonts w:ascii="宋体" w:hAnsi="宋体" w:cs="宋体"/>
          <w:sz w:val="24"/>
          <w:highlight w:val="none"/>
        </w:rPr>
      </w:pPr>
    </w:p>
    <w:p w14:paraId="35E17289">
      <w:pPr>
        <w:widowControl/>
        <w:spacing w:line="360" w:lineRule="auto"/>
        <w:ind w:firstLine="472" w:firstLineChars="196"/>
        <w:jc w:val="left"/>
        <w:rPr>
          <w:rFonts w:ascii="宋体" w:hAnsi="宋体" w:cs="宋体"/>
          <w:sz w:val="24"/>
          <w:highlight w:val="none"/>
        </w:rPr>
      </w:pPr>
      <w:r>
        <w:rPr>
          <w:rFonts w:hint="eastAsia" w:ascii="宋体" w:hAnsi="宋体" w:cs="宋体"/>
          <w:b/>
          <w:sz w:val="24"/>
          <w:highlight w:val="none"/>
        </w:rPr>
        <w:t>B.</w:t>
      </w:r>
      <w:r>
        <w:rPr>
          <w:rFonts w:hint="eastAsia" w:ascii="宋体" w:hAnsi="宋体" w:cs="宋体"/>
          <w:sz w:val="24"/>
          <w:highlight w:val="none"/>
        </w:rPr>
        <w:t>要求以联合体形式参加的，提供联合协议（附件</w:t>
      </w:r>
      <w:r>
        <w:rPr>
          <w:rFonts w:ascii="宋体" w:hAnsi="宋体" w:cs="宋体"/>
          <w:sz w:val="24"/>
          <w:highlight w:val="none"/>
        </w:rPr>
        <w:t>5</w:t>
      </w:r>
      <w:r>
        <w:rPr>
          <w:rFonts w:hint="eastAsia" w:ascii="宋体" w:hAnsi="宋体" w:cs="宋体"/>
          <w:sz w:val="24"/>
          <w:highlight w:val="none"/>
        </w:rPr>
        <w:t>）和中小企业声明函（附件</w:t>
      </w:r>
      <w:r>
        <w:rPr>
          <w:rFonts w:ascii="宋体" w:hAnsi="宋体" w:cs="宋体"/>
          <w:sz w:val="24"/>
          <w:highlight w:val="none"/>
        </w:rPr>
        <w:t>7</w:t>
      </w:r>
      <w:r>
        <w:rPr>
          <w:rFonts w:hint="eastAsia" w:ascii="宋体" w:hAnsi="宋体" w:cs="宋体"/>
          <w:sz w:val="24"/>
          <w:highlight w:val="none"/>
        </w:rPr>
        <w:t>），联合协议中中小企业合同金额应当达到招标公告载明的比例；如果供应商本身提供所有标的均由中小企业制造的，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视同符合了资格条件，无需再与其他中小企业组成联合体参加政府采购活动，无需提供联合协议。</w:t>
      </w:r>
    </w:p>
    <w:p w14:paraId="677CAA91">
      <w:pPr>
        <w:snapToGrid w:val="0"/>
        <w:spacing w:before="50" w:after="50" w:line="360" w:lineRule="auto"/>
        <w:jc w:val="center"/>
        <w:rPr>
          <w:rFonts w:ascii="宋体" w:hAnsi="宋体" w:cs="宋体"/>
          <w:sz w:val="24"/>
          <w:highlight w:val="none"/>
        </w:rPr>
      </w:pPr>
      <w:r>
        <w:rPr>
          <w:rFonts w:hint="eastAsia" w:ascii="宋体" w:hAnsi="宋体" w:cs="宋体"/>
          <w:b/>
          <w:sz w:val="24"/>
          <w:highlight w:val="none"/>
        </w:rPr>
        <w:t xml:space="preserve">    </w:t>
      </w:r>
    </w:p>
    <w:p w14:paraId="47841AF4">
      <w:pPr>
        <w:spacing w:line="360" w:lineRule="auto"/>
        <w:ind w:firstLine="482" w:firstLineChars="200"/>
        <w:rPr>
          <w:rFonts w:ascii="宋体" w:hAnsi="宋体" w:cs="宋体"/>
          <w:sz w:val="24"/>
          <w:highlight w:val="none"/>
        </w:rPr>
      </w:pPr>
      <w:r>
        <w:rPr>
          <w:rFonts w:hint="eastAsia" w:ascii="宋体" w:hAnsi="宋体" w:cs="宋体"/>
          <w:b/>
          <w:sz w:val="24"/>
          <w:highlight w:val="none"/>
        </w:rPr>
        <w:t>C、</w:t>
      </w:r>
      <w:r>
        <w:rPr>
          <w:rFonts w:hint="eastAsia" w:ascii="宋体" w:hAnsi="宋体" w:cs="宋体"/>
          <w:sz w:val="24"/>
          <w:highlight w:val="none"/>
        </w:rPr>
        <w:t>要求合同分包的，提供分包意向协议（附件6）和中小企业声明函（附件</w:t>
      </w:r>
      <w:r>
        <w:rPr>
          <w:rFonts w:ascii="宋体" w:hAnsi="宋体" w:cs="宋体"/>
          <w:sz w:val="24"/>
          <w:highlight w:val="none"/>
        </w:rPr>
        <w:t>7</w:t>
      </w:r>
      <w:r>
        <w:rPr>
          <w:rFonts w:hint="eastAsia" w:ascii="宋体" w:hAnsi="宋体" w:cs="宋体"/>
          <w:sz w:val="24"/>
          <w:highlight w:val="none"/>
        </w:rPr>
        <w:t>），分包意向协议中中小企业合同金额应当达到招标公告载明的比例；如果供应商本身提供所有标的均由中小企业制造的，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视同符合了资格条件，无需再向中小企业分包，无需提供分包意向协议。</w:t>
      </w:r>
    </w:p>
    <w:p w14:paraId="67199530">
      <w:pPr>
        <w:widowControl/>
        <w:spacing w:line="360" w:lineRule="auto"/>
        <w:ind w:left="150"/>
        <w:jc w:val="center"/>
        <w:rPr>
          <w:rFonts w:ascii="宋体" w:hAnsi="宋体" w:cs="宋体"/>
          <w:b/>
          <w:kern w:val="0"/>
          <w:sz w:val="32"/>
          <w:szCs w:val="32"/>
          <w:highlight w:val="none"/>
        </w:rPr>
      </w:pPr>
    </w:p>
    <w:p w14:paraId="70D9FA34">
      <w:pPr>
        <w:widowControl/>
        <w:spacing w:line="360" w:lineRule="auto"/>
        <w:ind w:left="150"/>
        <w:jc w:val="center"/>
        <w:rPr>
          <w:rFonts w:ascii="宋体" w:hAnsi="宋体" w:cs="宋体"/>
          <w:b/>
          <w:kern w:val="0"/>
          <w:sz w:val="32"/>
          <w:szCs w:val="32"/>
          <w:highlight w:val="none"/>
        </w:rPr>
      </w:pPr>
      <w:r>
        <w:rPr>
          <w:rFonts w:hint="eastAsia" w:ascii="宋体" w:hAnsi="宋体" w:cs="宋体"/>
          <w:b/>
          <w:kern w:val="0"/>
          <w:sz w:val="32"/>
          <w:szCs w:val="32"/>
          <w:highlight w:val="none"/>
        </w:rPr>
        <w:t>四、本项目的特定资格要求</w:t>
      </w:r>
    </w:p>
    <w:p w14:paraId="5CBE37F4">
      <w:pPr>
        <w:spacing w:line="360" w:lineRule="auto"/>
        <w:jc w:val="center"/>
        <w:rPr>
          <w:rFonts w:ascii="宋体" w:hAnsi="宋体" w:cs="宋体"/>
          <w:sz w:val="24"/>
          <w:highlight w:val="none"/>
        </w:rPr>
      </w:pPr>
      <w:r>
        <w:rPr>
          <w:rFonts w:hint="eastAsia" w:ascii="宋体" w:hAnsi="宋体" w:cs="宋体"/>
          <w:sz w:val="24"/>
          <w:highlight w:val="none"/>
        </w:rPr>
        <w:t>（根据招标公告本项目的特定资格要求提供相应的材料；未要求的，无需提供）</w:t>
      </w:r>
    </w:p>
    <w:p w14:paraId="0B60443E">
      <w:pPr>
        <w:rPr>
          <w:rFonts w:ascii="宋体" w:hAnsi="宋体" w:cs="宋体"/>
          <w:highlight w:val="none"/>
        </w:rPr>
      </w:pPr>
    </w:p>
    <w:p w14:paraId="6F9262D2">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6248C3F1">
      <w:pPr>
        <w:pStyle w:val="4"/>
        <w:rPr>
          <w:highlight w:val="none"/>
        </w:rPr>
      </w:pPr>
      <w:bookmarkStart w:id="422" w:name="_Toc30381"/>
      <w:r>
        <w:rPr>
          <w:rFonts w:hint="eastAsia"/>
          <w:highlight w:val="none"/>
        </w:rPr>
        <w:t>商务技术文件部分</w:t>
      </w:r>
      <w:bookmarkEnd w:id="422"/>
    </w:p>
    <w:p w14:paraId="5454EBB0">
      <w:pPr>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目录</w:t>
      </w:r>
    </w:p>
    <w:p w14:paraId="56AF79E7">
      <w:pPr>
        <w:snapToGrid w:val="0"/>
        <w:spacing w:line="360" w:lineRule="auto"/>
        <w:ind w:left="479" w:leftChars="228"/>
        <w:rPr>
          <w:rFonts w:ascii="宋体" w:hAnsi="宋体" w:cs="宋体"/>
          <w:sz w:val="24"/>
          <w:highlight w:val="none"/>
        </w:rPr>
      </w:pPr>
      <w:r>
        <w:rPr>
          <w:rFonts w:hint="eastAsia" w:ascii="宋体" w:hAnsi="宋体" w:cs="宋体"/>
          <w:sz w:val="24"/>
          <w:highlight w:val="none"/>
        </w:rPr>
        <w:t>（1）投标函……………………………………………………………………………（页码）</w:t>
      </w:r>
    </w:p>
    <w:p w14:paraId="453D1C73">
      <w:pPr>
        <w:snapToGrid w:val="0"/>
        <w:spacing w:line="360" w:lineRule="auto"/>
        <w:ind w:left="479" w:leftChars="228"/>
        <w:rPr>
          <w:rFonts w:ascii="宋体" w:hAnsi="宋体" w:cs="宋体"/>
          <w:sz w:val="24"/>
          <w:highlight w:val="none"/>
        </w:rPr>
      </w:pPr>
      <w:r>
        <w:rPr>
          <w:rFonts w:hint="eastAsia" w:ascii="宋体" w:hAnsi="宋体" w:cs="宋体"/>
          <w:sz w:val="24"/>
          <w:highlight w:val="none"/>
        </w:rPr>
        <w:t>（2）授权委托书或法定代表人（单位负责人、自然人本人）身份证明…………（页码）</w:t>
      </w:r>
    </w:p>
    <w:p w14:paraId="44A090F4">
      <w:pPr>
        <w:snapToGrid w:val="0"/>
        <w:spacing w:line="360" w:lineRule="auto"/>
        <w:ind w:left="479" w:leftChars="228"/>
        <w:rPr>
          <w:rFonts w:ascii="宋体" w:hAnsi="宋体" w:cs="宋体"/>
          <w:sz w:val="24"/>
          <w:highlight w:val="none"/>
        </w:rPr>
      </w:pPr>
      <w:r>
        <w:rPr>
          <w:rFonts w:hint="eastAsia" w:ascii="宋体" w:hAnsi="宋体" w:cs="宋体"/>
          <w:sz w:val="24"/>
          <w:highlight w:val="none"/>
        </w:rPr>
        <w:t>（3）分包意向协议……………………………………………………………………（页码）</w:t>
      </w:r>
    </w:p>
    <w:p w14:paraId="5050AC1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（4）符合性审查资料…………………………………………………………………（页码）</w:t>
      </w:r>
    </w:p>
    <w:p w14:paraId="6237A33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（5）评标标准相应的商务技术资料…………………………………………………（页码</w:t>
      </w:r>
    </w:p>
    <w:p w14:paraId="7ED5C9C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（6）投标标的清单……………………………………………………………………（页码）</w:t>
      </w:r>
    </w:p>
    <w:p w14:paraId="7013343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（7）商务技术偏离表…………………………………………………………………（页码）</w:t>
      </w:r>
    </w:p>
    <w:p w14:paraId="3FF661D1">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lang w:val="zh-CN"/>
        </w:rPr>
        <w:t>（</w:t>
      </w:r>
      <w:r>
        <w:rPr>
          <w:rFonts w:hint="eastAsia" w:ascii="宋体" w:hAnsi="宋体" w:cs="宋体"/>
          <w:sz w:val="24"/>
          <w:highlight w:val="none"/>
        </w:rPr>
        <w:t>8</w:t>
      </w:r>
      <w:r>
        <w:rPr>
          <w:rFonts w:hint="eastAsia" w:ascii="宋体" w:hAnsi="宋体" w:cs="宋体"/>
          <w:sz w:val="24"/>
          <w:highlight w:val="none"/>
          <w:lang w:val="zh-CN"/>
        </w:rPr>
        <w:t>）政府采购供应商廉洁自律承诺书</w:t>
      </w:r>
      <w:r>
        <w:rPr>
          <w:rFonts w:hint="eastAsia" w:ascii="宋体" w:hAnsi="宋体" w:cs="宋体"/>
          <w:sz w:val="24"/>
          <w:highlight w:val="none"/>
        </w:rPr>
        <w:t>………………………………………………（页码）</w:t>
      </w:r>
    </w:p>
    <w:p w14:paraId="2B3F3CF5">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（9）投标人股权信息表………………………………………………………………（页码）</w:t>
      </w:r>
    </w:p>
    <w:p w14:paraId="0CBFDF8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（10）缴纳采购代理服务费承诺书 …………………………………………………（页码）</w:t>
      </w:r>
    </w:p>
    <w:p w14:paraId="4869B748">
      <w:pPr>
        <w:snapToGrid w:val="0"/>
        <w:spacing w:line="360" w:lineRule="auto"/>
        <w:ind w:firstLine="480" w:firstLineChars="200"/>
        <w:rPr>
          <w:rFonts w:ascii="宋体" w:hAnsi="宋体" w:cs="宋体"/>
          <w:sz w:val="24"/>
          <w:highlight w:val="none"/>
          <w:lang w:val="zh-CN"/>
        </w:rPr>
      </w:pPr>
    </w:p>
    <w:p w14:paraId="1A83A2C4">
      <w:pPr>
        <w:snapToGrid w:val="0"/>
        <w:spacing w:line="360" w:lineRule="auto"/>
        <w:jc w:val="center"/>
        <w:rPr>
          <w:rFonts w:ascii="宋体" w:hAnsi="宋体" w:cs="宋体"/>
          <w:b/>
          <w:kern w:val="0"/>
          <w:sz w:val="32"/>
          <w:szCs w:val="32"/>
          <w:highlight w:val="none"/>
          <w:lang w:val="zh-CN"/>
        </w:rPr>
      </w:pPr>
    </w:p>
    <w:p w14:paraId="66D12ECF">
      <w:pPr>
        <w:snapToGrid w:val="0"/>
        <w:spacing w:line="360" w:lineRule="auto"/>
        <w:jc w:val="center"/>
        <w:rPr>
          <w:rFonts w:ascii="宋体" w:hAnsi="宋体" w:cs="宋体"/>
          <w:b/>
          <w:kern w:val="0"/>
          <w:sz w:val="32"/>
          <w:szCs w:val="32"/>
          <w:highlight w:val="none"/>
          <w:lang w:val="zh-CN"/>
        </w:rPr>
      </w:pPr>
    </w:p>
    <w:p w14:paraId="68ED6AFD">
      <w:pPr>
        <w:snapToGrid w:val="0"/>
        <w:spacing w:line="360" w:lineRule="auto"/>
        <w:jc w:val="center"/>
        <w:rPr>
          <w:rFonts w:ascii="宋体" w:hAnsi="宋体" w:cs="宋体"/>
          <w:b/>
          <w:kern w:val="0"/>
          <w:sz w:val="32"/>
          <w:szCs w:val="32"/>
          <w:highlight w:val="none"/>
          <w:lang w:val="zh-CN"/>
        </w:rPr>
      </w:pPr>
    </w:p>
    <w:p w14:paraId="420CD319">
      <w:pPr>
        <w:rPr>
          <w:highlight w:val="none"/>
          <w:lang w:val="zh-CN"/>
        </w:rPr>
      </w:pPr>
    </w:p>
    <w:p w14:paraId="74EBF451">
      <w:pPr>
        <w:rPr>
          <w:highlight w:val="none"/>
        </w:rPr>
      </w:pPr>
    </w:p>
    <w:p w14:paraId="0265133A">
      <w:pPr>
        <w:rPr>
          <w:highlight w:val="none"/>
        </w:rPr>
      </w:pPr>
    </w:p>
    <w:p w14:paraId="4032F162">
      <w:pPr>
        <w:rPr>
          <w:highlight w:val="none"/>
        </w:rPr>
      </w:pPr>
    </w:p>
    <w:p w14:paraId="0266214E">
      <w:pPr>
        <w:rPr>
          <w:highlight w:val="none"/>
        </w:rPr>
      </w:pPr>
    </w:p>
    <w:p w14:paraId="67C0DF0C">
      <w:pPr>
        <w:rPr>
          <w:highlight w:val="none"/>
        </w:rPr>
      </w:pPr>
    </w:p>
    <w:p w14:paraId="3E70D5DD">
      <w:pPr>
        <w:rPr>
          <w:highlight w:val="none"/>
        </w:rPr>
      </w:pPr>
    </w:p>
    <w:p w14:paraId="6ECC031F">
      <w:pPr>
        <w:rPr>
          <w:highlight w:val="none"/>
        </w:rPr>
      </w:pPr>
    </w:p>
    <w:p w14:paraId="58563327">
      <w:pPr>
        <w:rPr>
          <w:highlight w:val="none"/>
        </w:rPr>
      </w:pPr>
    </w:p>
    <w:p w14:paraId="099EEC53">
      <w:pPr>
        <w:rPr>
          <w:highlight w:val="none"/>
        </w:rPr>
      </w:pPr>
    </w:p>
    <w:p w14:paraId="49C53C75">
      <w:pPr>
        <w:rPr>
          <w:highlight w:val="none"/>
        </w:rPr>
      </w:pPr>
    </w:p>
    <w:p w14:paraId="56483800">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4187DB58">
      <w:pPr>
        <w:snapToGrid w:val="0"/>
        <w:spacing w:line="360" w:lineRule="auto"/>
        <w:ind w:firstLine="3855" w:firstLineChars="1200"/>
        <w:rPr>
          <w:rFonts w:ascii="宋体" w:hAnsi="宋体" w:cs="宋体"/>
          <w:b/>
          <w:sz w:val="32"/>
          <w:szCs w:val="32"/>
          <w:highlight w:val="none"/>
        </w:rPr>
      </w:pPr>
      <w:r>
        <w:rPr>
          <w:rFonts w:hint="eastAsia" w:ascii="宋体" w:hAnsi="宋体" w:cs="宋体"/>
          <w:b/>
          <w:kern w:val="0"/>
          <w:sz w:val="32"/>
          <w:szCs w:val="32"/>
          <w:highlight w:val="none"/>
        </w:rPr>
        <w:t>一、投标</w:t>
      </w:r>
      <w:r>
        <w:rPr>
          <w:rFonts w:hint="eastAsia" w:ascii="宋体" w:hAnsi="宋体" w:cs="宋体"/>
          <w:b/>
          <w:sz w:val="32"/>
          <w:szCs w:val="32"/>
          <w:highlight w:val="none"/>
        </w:rPr>
        <w:t>函</w:t>
      </w:r>
    </w:p>
    <w:p w14:paraId="50B011B5">
      <w:pPr>
        <w:snapToGrid w:val="0"/>
        <w:spacing w:line="360" w:lineRule="auto"/>
        <w:rPr>
          <w:rFonts w:ascii="宋体" w:hAnsi="宋体" w:cs="宋体"/>
          <w:sz w:val="24"/>
          <w:highlight w:val="none"/>
        </w:rPr>
      </w:pPr>
      <w:r>
        <w:rPr>
          <w:rFonts w:hint="eastAsia" w:ascii="宋体" w:hAnsi="宋体" w:cs="宋体"/>
          <w:sz w:val="24"/>
          <w:highlight w:val="none"/>
        </w:rPr>
        <w:t>浙江同济科技职业学院、浙江致信招标代理有限公司：</w:t>
      </w:r>
    </w:p>
    <w:p w14:paraId="1AEAAC1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我方参加你方组织的浙江同济科技职业学院图书馆家具【招标编号：ZXZB-TJ-2025010G】招标的有关活动，并对此项目进行投标。为此：</w:t>
      </w:r>
    </w:p>
    <w:p w14:paraId="239A9D1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1、我方承诺投标有效期从提交投标文件的截止之日起</w:t>
      </w:r>
      <w:r>
        <w:rPr>
          <w:rFonts w:hint="eastAsia" w:ascii="宋体" w:hAnsi="宋体" w:cs="宋体"/>
          <w:sz w:val="24"/>
          <w:highlight w:val="none"/>
          <w:u w:val="single"/>
        </w:rPr>
        <w:t xml:space="preserve">     </w:t>
      </w:r>
      <w:r>
        <w:rPr>
          <w:rFonts w:hint="eastAsia" w:ascii="宋体" w:hAnsi="宋体" w:cs="宋体"/>
          <w:sz w:val="24"/>
          <w:highlight w:val="none"/>
        </w:rPr>
        <w:t>天（不少于90天）</w:t>
      </w:r>
      <w:r>
        <w:rPr>
          <w:rFonts w:hint="eastAsia" w:ascii="宋体" w:hAnsi="宋体" w:cs="宋体"/>
          <w:highlight w:val="none"/>
        </w:rPr>
        <w:t>，</w:t>
      </w:r>
      <w:r>
        <w:rPr>
          <w:rFonts w:hint="eastAsia" w:ascii="宋体" w:hAnsi="宋体" w:cs="宋体"/>
          <w:sz w:val="24"/>
          <w:highlight w:val="none"/>
        </w:rPr>
        <w:t>本投标文件在投标有效期满之前均具有约束力。</w:t>
      </w:r>
    </w:p>
    <w:p w14:paraId="4EE9DA9E">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2、我方的投标文件包括以下内容：</w:t>
      </w:r>
    </w:p>
    <w:p w14:paraId="5AEF123C">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2.1资格文件：</w:t>
      </w:r>
    </w:p>
    <w:p w14:paraId="46E6E5BD">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2.1.1承诺函；</w:t>
      </w:r>
    </w:p>
    <w:p w14:paraId="6F5F314D">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2.1.2</w:t>
      </w:r>
      <w:r>
        <w:rPr>
          <w:rFonts w:hint="eastAsia" w:ascii="宋体" w:hAnsi="宋体" w:cs="宋体"/>
          <w:kern w:val="28"/>
          <w:sz w:val="24"/>
          <w:szCs w:val="20"/>
          <w:highlight w:val="none"/>
        </w:rPr>
        <w:t>联合协议（如果有)；</w:t>
      </w:r>
    </w:p>
    <w:p w14:paraId="3CA80D35">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.1.3</w:t>
      </w:r>
      <w:r>
        <w:rPr>
          <w:rFonts w:hint="eastAsia" w:ascii="宋体" w:hAnsi="宋体" w:cs="宋体"/>
          <w:sz w:val="24"/>
          <w:highlight w:val="none"/>
        </w:rPr>
        <w:t>落实政府采购政策需满足的资格要求</w:t>
      </w:r>
      <w:r>
        <w:rPr>
          <w:rFonts w:hint="eastAsia" w:ascii="宋体" w:hAnsi="宋体" w:cs="宋体"/>
          <w:kern w:val="28"/>
          <w:sz w:val="24"/>
          <w:szCs w:val="20"/>
          <w:highlight w:val="none"/>
        </w:rPr>
        <w:t>（如果有）</w:t>
      </w:r>
      <w:r>
        <w:rPr>
          <w:rFonts w:hint="eastAsia" w:ascii="宋体" w:hAnsi="宋体" w:cs="宋体"/>
          <w:sz w:val="24"/>
          <w:highlight w:val="none"/>
        </w:rPr>
        <w:t>；</w:t>
      </w:r>
    </w:p>
    <w:p w14:paraId="7CD6CC05">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2.1.</w:t>
      </w:r>
      <w:r>
        <w:rPr>
          <w:rFonts w:ascii="宋体" w:hAnsi="宋体" w:cs="宋体"/>
          <w:sz w:val="24"/>
          <w:highlight w:val="none"/>
        </w:rPr>
        <w:t>4</w:t>
      </w:r>
      <w:r>
        <w:rPr>
          <w:rFonts w:hint="eastAsia" w:ascii="宋体" w:hAnsi="宋体" w:cs="宋体"/>
          <w:sz w:val="24"/>
          <w:highlight w:val="none"/>
        </w:rPr>
        <w:t>本项目的特定资格要求</w:t>
      </w:r>
      <w:r>
        <w:rPr>
          <w:rFonts w:hint="eastAsia" w:ascii="宋体" w:hAnsi="宋体" w:cs="宋体"/>
          <w:kern w:val="28"/>
          <w:sz w:val="24"/>
          <w:szCs w:val="20"/>
          <w:highlight w:val="none"/>
        </w:rPr>
        <w:t>（如果有）</w:t>
      </w:r>
      <w:r>
        <w:rPr>
          <w:rFonts w:hint="eastAsia" w:ascii="宋体" w:hAnsi="宋体" w:cs="宋体"/>
          <w:sz w:val="24"/>
          <w:highlight w:val="none"/>
        </w:rPr>
        <w:t>。</w:t>
      </w:r>
    </w:p>
    <w:p w14:paraId="4CF0EC2F">
      <w:pPr>
        <w:snapToGrid w:val="0"/>
        <w:spacing w:line="360" w:lineRule="auto"/>
        <w:ind w:left="210" w:leftChars="100" w:firstLine="480" w:firstLineChars="2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 xml:space="preserve"> </w:t>
      </w:r>
      <w:r>
        <w:rPr>
          <w:rFonts w:hint="eastAsia" w:ascii="宋体" w:hAnsi="宋体" w:cs="宋体"/>
          <w:sz w:val="24"/>
          <w:highlight w:val="none"/>
        </w:rPr>
        <w:t>商务技术</w:t>
      </w:r>
      <w:r>
        <w:rPr>
          <w:rFonts w:hint="eastAsia" w:ascii="宋体" w:hAnsi="宋体" w:cs="宋体"/>
          <w:sz w:val="24"/>
          <w:highlight w:val="none"/>
          <w:lang w:val="zh-CN"/>
        </w:rPr>
        <w:t>文件：</w:t>
      </w:r>
    </w:p>
    <w:p w14:paraId="59A7B748">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2.2.1投标函；</w:t>
      </w:r>
      <w:r>
        <w:rPr>
          <w:rFonts w:hint="eastAsia" w:ascii="宋体" w:hAnsi="宋体" w:cs="宋体"/>
          <w:sz w:val="24"/>
          <w:highlight w:val="none"/>
          <w:lang w:val="zh-CN"/>
        </w:rPr>
        <w:t xml:space="preserve"> </w:t>
      </w:r>
    </w:p>
    <w:p w14:paraId="1456CA7C">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2.2.2授权委托书或法定代表人（单位负责人）身份证明；</w:t>
      </w:r>
    </w:p>
    <w:p w14:paraId="42C4D7C1">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3</w:t>
      </w:r>
      <w:r>
        <w:rPr>
          <w:rFonts w:hint="eastAsia" w:ascii="宋体" w:hAnsi="宋体" w:cs="宋体"/>
          <w:sz w:val="24"/>
          <w:highlight w:val="none"/>
        </w:rPr>
        <w:t>分包意向协议</w:t>
      </w:r>
      <w:r>
        <w:rPr>
          <w:rFonts w:hint="eastAsia" w:ascii="宋体" w:hAnsi="宋体" w:cs="宋体"/>
          <w:kern w:val="28"/>
          <w:sz w:val="24"/>
          <w:szCs w:val="20"/>
          <w:highlight w:val="none"/>
        </w:rPr>
        <w:t>（如果有）</w:t>
      </w:r>
      <w:r>
        <w:rPr>
          <w:rFonts w:hint="eastAsia" w:ascii="宋体" w:hAnsi="宋体" w:cs="宋体"/>
          <w:sz w:val="24"/>
          <w:highlight w:val="none"/>
        </w:rPr>
        <w:t>；</w:t>
      </w:r>
    </w:p>
    <w:p w14:paraId="1E57B512">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4</w:t>
      </w:r>
      <w:r>
        <w:rPr>
          <w:rFonts w:hint="eastAsia" w:ascii="宋体" w:hAnsi="宋体" w:cs="宋体"/>
          <w:sz w:val="24"/>
          <w:highlight w:val="none"/>
        </w:rPr>
        <w:t>符合性审查资料；</w:t>
      </w:r>
    </w:p>
    <w:p w14:paraId="3578D2D5">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5</w:t>
      </w:r>
      <w:r>
        <w:rPr>
          <w:rFonts w:hint="eastAsia" w:ascii="宋体" w:hAnsi="宋体" w:cs="宋体"/>
          <w:sz w:val="24"/>
          <w:highlight w:val="none"/>
        </w:rPr>
        <w:t>评标标准相应的商务技术资料；</w:t>
      </w:r>
    </w:p>
    <w:p w14:paraId="3B017307">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6</w:t>
      </w:r>
      <w:r>
        <w:rPr>
          <w:rFonts w:hint="eastAsia" w:ascii="宋体" w:hAnsi="宋体" w:cs="宋体"/>
          <w:sz w:val="24"/>
          <w:highlight w:val="none"/>
        </w:rPr>
        <w:t>投标标的清单；</w:t>
      </w:r>
    </w:p>
    <w:p w14:paraId="2AC59939">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2.2.</w:t>
      </w:r>
      <w:r>
        <w:rPr>
          <w:rFonts w:ascii="宋体" w:hAnsi="宋体" w:cs="宋体"/>
          <w:sz w:val="24"/>
          <w:highlight w:val="none"/>
        </w:rPr>
        <w:t>7</w:t>
      </w:r>
      <w:r>
        <w:rPr>
          <w:rFonts w:hint="eastAsia" w:ascii="宋体" w:hAnsi="宋体" w:cs="宋体"/>
          <w:sz w:val="24"/>
          <w:highlight w:val="none"/>
        </w:rPr>
        <w:t>商务技术偏离表；</w:t>
      </w:r>
    </w:p>
    <w:p w14:paraId="3073F2AA">
      <w:pPr>
        <w:snapToGrid w:val="0"/>
        <w:spacing w:line="360" w:lineRule="auto"/>
        <w:ind w:firstLine="960" w:firstLineChars="400"/>
        <w:rPr>
          <w:rFonts w:ascii="宋体" w:hAnsi="宋体" w:cs="宋体"/>
          <w:sz w:val="24"/>
          <w:highlight w:val="none"/>
          <w:lang w:val="zh-CN"/>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2</w:t>
      </w:r>
      <w:r>
        <w:rPr>
          <w:rFonts w:hint="eastAsia" w:ascii="宋体" w:hAnsi="宋体" w:cs="宋体"/>
          <w:sz w:val="24"/>
          <w:highlight w:val="none"/>
          <w:lang w:val="zh-CN"/>
        </w:rPr>
        <w:t>.</w:t>
      </w:r>
      <w:r>
        <w:rPr>
          <w:rFonts w:ascii="宋体" w:hAnsi="宋体" w:cs="宋体"/>
          <w:sz w:val="24"/>
          <w:highlight w:val="none"/>
        </w:rPr>
        <w:t>8</w:t>
      </w:r>
      <w:r>
        <w:rPr>
          <w:rFonts w:hint="eastAsia" w:ascii="宋体" w:hAnsi="宋体" w:cs="宋体"/>
          <w:sz w:val="24"/>
          <w:highlight w:val="none"/>
          <w:lang w:val="zh-CN"/>
        </w:rPr>
        <w:t>政府采购供应商廉洁自律承诺书；</w:t>
      </w:r>
    </w:p>
    <w:p w14:paraId="25570784">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2.2.9投标人股权信息表；</w:t>
      </w:r>
    </w:p>
    <w:p w14:paraId="3FF739B8">
      <w:pPr>
        <w:snapToGrid w:val="0"/>
        <w:spacing w:line="360" w:lineRule="auto"/>
        <w:ind w:firstLine="960" w:firstLineChars="400"/>
        <w:rPr>
          <w:rFonts w:ascii="宋体" w:hAnsi="宋体" w:cs="宋体"/>
          <w:sz w:val="24"/>
          <w:highlight w:val="none"/>
        </w:rPr>
      </w:pPr>
      <w:r>
        <w:rPr>
          <w:rFonts w:hint="eastAsia" w:ascii="宋体" w:hAnsi="宋体" w:cs="宋体"/>
          <w:sz w:val="24"/>
          <w:highlight w:val="none"/>
        </w:rPr>
        <w:t>2.2.10缴纳代理服务费承诺书。</w:t>
      </w:r>
    </w:p>
    <w:p w14:paraId="765F1147">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zh-CN"/>
        </w:rPr>
        <w:t>.</w:t>
      </w:r>
      <w:r>
        <w:rPr>
          <w:rFonts w:hint="eastAsia" w:ascii="宋体" w:hAnsi="宋体" w:cs="宋体"/>
          <w:sz w:val="24"/>
          <w:highlight w:val="none"/>
        </w:rPr>
        <w:t>3报价文件</w:t>
      </w:r>
    </w:p>
    <w:p w14:paraId="180731B8">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2.3.1开标一览表（报价表）；</w:t>
      </w:r>
    </w:p>
    <w:p w14:paraId="4FCA239A">
      <w:pPr>
        <w:snapToGrid w:val="0"/>
        <w:spacing w:line="360" w:lineRule="auto"/>
        <w:ind w:left="420" w:leftChars="200" w:firstLine="480" w:firstLineChars="200"/>
        <w:rPr>
          <w:rFonts w:ascii="宋体" w:hAnsi="宋体" w:cs="宋体"/>
          <w:sz w:val="24"/>
          <w:highlight w:val="none"/>
        </w:rPr>
      </w:pPr>
      <w:r>
        <w:rPr>
          <w:rFonts w:hint="eastAsia" w:ascii="宋体" w:hAnsi="宋体" w:cs="宋体"/>
          <w:sz w:val="24"/>
          <w:highlight w:val="none"/>
        </w:rPr>
        <w:t>2.3.2中小企业声明函（如果有）。</w:t>
      </w:r>
    </w:p>
    <w:p w14:paraId="1A1C7EE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3、我方承诺除商务技术偏离表列出的偏离外，我方响应招标文件的全部要求。</w:t>
      </w:r>
    </w:p>
    <w:p w14:paraId="63256E5D">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4、如我方中标，我方承诺：</w:t>
      </w:r>
    </w:p>
    <w:p w14:paraId="666BEAFD">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4.1在收到中标通知书后，在中标通知书规定的期限内与你方签订合同； </w:t>
      </w:r>
    </w:p>
    <w:p w14:paraId="23D912D6">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4.2在签订合同时不向你方提出附加条件； </w:t>
      </w:r>
    </w:p>
    <w:p w14:paraId="1531BA99">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4.3按照招标文件要求提交履约保证金； </w:t>
      </w:r>
    </w:p>
    <w:p w14:paraId="41807602">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 xml:space="preserve">4.4在合同约定的期限内完成合同规定的全部义务。 </w:t>
      </w:r>
    </w:p>
    <w:p w14:paraId="5486B9A8">
      <w:pPr>
        <w:snapToGrid w:val="0"/>
        <w:spacing w:line="360" w:lineRule="auto"/>
        <w:ind w:left="210" w:leftChars="100" w:firstLine="480" w:firstLineChars="200"/>
        <w:rPr>
          <w:rFonts w:ascii="宋体" w:hAnsi="宋体" w:cs="宋体"/>
          <w:sz w:val="24"/>
          <w:highlight w:val="none"/>
        </w:rPr>
      </w:pPr>
      <w:r>
        <w:rPr>
          <w:rFonts w:hint="eastAsia" w:ascii="宋体" w:hAnsi="宋体" w:cs="宋体"/>
          <w:sz w:val="24"/>
          <w:highlight w:val="none"/>
        </w:rPr>
        <w:t>5、其他补充说明:</w:t>
      </w:r>
      <w:r>
        <w:rPr>
          <w:rFonts w:hint="eastAsia" w:ascii="宋体" w:hAnsi="宋体" w:cs="宋体"/>
          <w:sz w:val="24"/>
          <w:highlight w:val="none"/>
          <w:u w:val="single"/>
        </w:rPr>
        <w:t xml:space="preserve">                                        </w:t>
      </w:r>
      <w:r>
        <w:rPr>
          <w:rFonts w:hint="eastAsia" w:ascii="宋体" w:hAnsi="宋体" w:cs="宋体"/>
          <w:sz w:val="24"/>
          <w:highlight w:val="none"/>
        </w:rPr>
        <w:t>。</w:t>
      </w:r>
    </w:p>
    <w:p w14:paraId="10377823">
      <w:pPr>
        <w:spacing w:line="360"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14:paraId="0DA88C69">
      <w:pPr>
        <w:spacing w:line="360" w:lineRule="auto"/>
        <w:jc w:val="center"/>
        <w:rPr>
          <w:rFonts w:ascii="宋体" w:hAnsi="宋体" w:cs="宋体"/>
          <w:sz w:val="24"/>
          <w:highlight w:val="none"/>
        </w:rPr>
      </w:pPr>
      <w:r>
        <w:rPr>
          <w:rFonts w:hint="eastAsia" w:ascii="宋体" w:hAnsi="宋体" w:cs="宋体"/>
          <w:sz w:val="24"/>
          <w:highlight w:val="none"/>
        </w:rPr>
        <w:t xml:space="preserve">     日期：  年   月   日</w:t>
      </w:r>
    </w:p>
    <w:p w14:paraId="678BDC49">
      <w:pPr>
        <w:snapToGrid w:val="0"/>
        <w:spacing w:line="360" w:lineRule="auto"/>
        <w:ind w:left="420" w:leftChars="200" w:firstLine="4200" w:firstLineChars="1750"/>
        <w:rPr>
          <w:rFonts w:ascii="宋体" w:hAnsi="宋体" w:cs="宋体"/>
          <w:kern w:val="0"/>
          <w:sz w:val="24"/>
          <w:highlight w:val="none"/>
          <w:u w:val="single"/>
        </w:rPr>
      </w:pPr>
    </w:p>
    <w:p w14:paraId="27D39EDD">
      <w:pPr>
        <w:spacing w:line="360" w:lineRule="auto"/>
        <w:ind w:right="420"/>
        <w:rPr>
          <w:rFonts w:ascii="宋体" w:hAnsi="宋体" w:cs="宋体"/>
          <w:sz w:val="24"/>
          <w:highlight w:val="none"/>
        </w:rPr>
        <w:sectPr>
          <w:headerReference r:id="rId10" w:type="first"/>
          <w:footerReference r:id="rId12" w:type="first"/>
          <w:headerReference r:id="rId9" w:type="default"/>
          <w:footerReference r:id="rId11" w:type="default"/>
          <w:pgSz w:w="11906" w:h="16838"/>
          <w:pgMar w:top="1440" w:right="1080" w:bottom="1440" w:left="1080" w:header="851" w:footer="992" w:gutter="0"/>
          <w:cols w:space="720" w:num="1"/>
          <w:titlePg/>
          <w:docGrid w:linePitch="312" w:charSpace="0"/>
        </w:sectPr>
      </w:pPr>
      <w:r>
        <w:rPr>
          <w:rFonts w:hint="eastAsia" w:ascii="宋体" w:hAnsi="宋体" w:cs="宋体"/>
          <w:sz w:val="24"/>
          <w:highlight w:val="none"/>
        </w:rPr>
        <w:t>注：按本格式和要求提供。</w:t>
      </w:r>
    </w:p>
    <w:p w14:paraId="28F0C82A">
      <w:pPr>
        <w:jc w:val="center"/>
        <w:rPr>
          <w:rFonts w:ascii="宋体" w:hAnsi="宋体" w:cs="宋体"/>
          <w:b/>
          <w:kern w:val="0"/>
          <w:sz w:val="32"/>
          <w:szCs w:val="32"/>
          <w:highlight w:val="none"/>
          <w:lang w:val="zh-CN"/>
        </w:rPr>
      </w:pPr>
      <w:r>
        <w:rPr>
          <w:rFonts w:hint="eastAsia" w:ascii="宋体" w:hAnsi="宋体" w:cs="宋体"/>
          <w:b/>
          <w:kern w:val="0"/>
          <w:sz w:val="32"/>
          <w:szCs w:val="32"/>
          <w:highlight w:val="none"/>
          <w:lang w:val="zh-CN"/>
        </w:rPr>
        <w:t>二、授权委托书或法定代表人（单位负责人、自然人本人）身份证明</w:t>
      </w:r>
    </w:p>
    <w:p w14:paraId="6FC80E48">
      <w:pPr>
        <w:snapToGrid w:val="0"/>
        <w:spacing w:line="360" w:lineRule="auto"/>
        <w:rPr>
          <w:rFonts w:ascii="宋体" w:hAnsi="宋体" w:cs="宋体"/>
          <w:sz w:val="24"/>
          <w:highlight w:val="none"/>
        </w:rPr>
      </w:pPr>
      <w:r>
        <w:rPr>
          <w:rFonts w:hint="eastAsia" w:ascii="宋体" w:hAnsi="宋体" w:cs="宋体"/>
          <w:sz w:val="24"/>
          <w:highlight w:val="none"/>
        </w:rPr>
        <w:t xml:space="preserve">                                </w:t>
      </w:r>
    </w:p>
    <w:p w14:paraId="24CDFE50">
      <w:pPr>
        <w:snapToGrid w:val="0"/>
        <w:spacing w:line="360" w:lineRule="auto"/>
        <w:ind w:firstLine="2872" w:firstLineChars="894"/>
        <w:rPr>
          <w:rFonts w:ascii="宋体" w:hAnsi="宋体" w:cs="宋体"/>
          <w:highlight w:val="none"/>
        </w:rPr>
      </w:pPr>
      <w:r>
        <w:rPr>
          <w:rFonts w:hint="eastAsia" w:ascii="宋体" w:hAnsi="宋体" w:cs="宋体"/>
          <w:b/>
          <w:kern w:val="0"/>
          <w:sz w:val="32"/>
          <w:szCs w:val="32"/>
          <w:highlight w:val="none"/>
          <w:lang w:val="zh-CN"/>
        </w:rPr>
        <w:t>授权委托书（适用于非联合体投标）</w:t>
      </w:r>
      <w:r>
        <w:rPr>
          <w:rFonts w:hint="eastAsia" w:ascii="宋体" w:hAnsi="宋体" w:cs="宋体"/>
          <w:highlight w:val="none"/>
        </w:rPr>
        <w:t xml:space="preserve">                               </w:t>
      </w:r>
    </w:p>
    <w:p w14:paraId="5E5D3FBC">
      <w:pPr>
        <w:snapToGrid w:val="0"/>
        <w:spacing w:line="360" w:lineRule="auto"/>
        <w:rPr>
          <w:rFonts w:ascii="宋体" w:hAnsi="宋体" w:cs="宋体"/>
          <w:kern w:val="0"/>
          <w:sz w:val="24"/>
          <w:highlight w:val="none"/>
        </w:rPr>
      </w:pPr>
      <w:r>
        <w:rPr>
          <w:rFonts w:hint="eastAsia" w:ascii="宋体" w:hAnsi="宋体" w:cs="宋体"/>
          <w:sz w:val="24"/>
          <w:highlight w:val="none"/>
        </w:rPr>
        <w:t>浙江同济科技职业学院、浙江致信招标代理有限公司</w:t>
      </w:r>
      <w:r>
        <w:rPr>
          <w:rFonts w:hint="eastAsia" w:ascii="宋体" w:hAnsi="宋体" w:cs="宋体"/>
          <w:kern w:val="0"/>
          <w:sz w:val="24"/>
          <w:highlight w:val="none"/>
          <w:lang w:val="zh-CN"/>
        </w:rPr>
        <w:t>：</w:t>
      </w:r>
    </w:p>
    <w:p w14:paraId="3AAD8EC9">
      <w:pPr>
        <w:snapToGrid w:val="0"/>
        <w:spacing w:line="360" w:lineRule="auto"/>
        <w:ind w:firstLine="576"/>
        <w:rPr>
          <w:rFonts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（姓名）为我方代理人（身份证号码：</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，手机：</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），以我方名义处理</w:t>
      </w:r>
      <w:r>
        <w:rPr>
          <w:rFonts w:hint="eastAsia" w:ascii="宋体" w:hAnsi="宋体" w:cs="宋体"/>
          <w:sz w:val="24"/>
          <w:highlight w:val="none"/>
        </w:rPr>
        <w:t>浙江同济科技职业学院图书馆家具【招标编号：ZXZB-TJ-2025010G】</w:t>
      </w:r>
      <w:r>
        <w:rPr>
          <w:rFonts w:hint="eastAsia" w:ascii="宋体" w:hAnsi="宋体" w:cs="宋体"/>
          <w:kern w:val="0"/>
          <w:sz w:val="24"/>
          <w:highlight w:val="none"/>
          <w:lang w:val="zh-CN"/>
        </w:rPr>
        <w:t>政府采购投标的一切事项，其法律后果由我方承担。</w:t>
      </w:r>
    </w:p>
    <w:p w14:paraId="13AF3A7C">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日起至</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日止。</w:t>
      </w:r>
    </w:p>
    <w:p w14:paraId="066AADED">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特此告知。</w:t>
      </w:r>
    </w:p>
    <w:p w14:paraId="350F2AAC">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 xml:space="preserve">                                                 投标人名称(电子签名)：</w:t>
      </w:r>
    </w:p>
    <w:p w14:paraId="1758790D">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签发日期：  年  月   日</w:t>
      </w:r>
    </w:p>
    <w:p w14:paraId="69D97C4E">
      <w:pPr>
        <w:snapToGrid w:val="0"/>
        <w:spacing w:line="360" w:lineRule="auto"/>
        <w:rPr>
          <w:rFonts w:ascii="宋体" w:hAnsi="宋体" w:cs="宋体"/>
          <w:sz w:val="24"/>
          <w:highlight w:val="none"/>
        </w:rPr>
      </w:pPr>
    </w:p>
    <w:p w14:paraId="010509C2">
      <w:pPr>
        <w:snapToGrid w:val="0"/>
        <w:spacing w:line="360" w:lineRule="auto"/>
        <w:rPr>
          <w:rFonts w:ascii="宋体" w:hAnsi="宋体" w:cs="宋体"/>
          <w:sz w:val="24"/>
          <w:highlight w:val="none"/>
        </w:rPr>
      </w:pPr>
    </w:p>
    <w:p w14:paraId="58DBFFDB">
      <w:pPr>
        <w:snapToGrid w:val="0"/>
        <w:spacing w:line="360" w:lineRule="auto"/>
        <w:rPr>
          <w:rFonts w:ascii="宋体" w:hAnsi="宋体" w:cs="宋体"/>
          <w:sz w:val="24"/>
          <w:highlight w:val="none"/>
        </w:rPr>
      </w:pPr>
    </w:p>
    <w:p w14:paraId="11692FFB">
      <w:pPr>
        <w:jc w:val="center"/>
        <w:rPr>
          <w:rFonts w:ascii="宋体" w:hAnsi="宋体" w:cs="宋体"/>
          <w:b/>
          <w:kern w:val="0"/>
          <w:sz w:val="32"/>
          <w:szCs w:val="32"/>
          <w:highlight w:val="none"/>
        </w:rPr>
      </w:pPr>
      <w:r>
        <w:rPr>
          <w:rFonts w:hint="eastAsia" w:ascii="宋体" w:hAnsi="宋体" w:cs="宋体"/>
          <w:b/>
          <w:kern w:val="0"/>
          <w:sz w:val="32"/>
          <w:szCs w:val="32"/>
          <w:highlight w:val="none"/>
          <w:lang w:val="zh-CN"/>
        </w:rPr>
        <w:t xml:space="preserve">      </w:t>
      </w:r>
      <w:r>
        <w:rPr>
          <w:rFonts w:hint="eastAsia" w:ascii="宋体" w:hAnsi="宋体" w:cs="宋体"/>
          <w:b/>
          <w:kern w:val="0"/>
          <w:sz w:val="32"/>
          <w:szCs w:val="32"/>
          <w:highlight w:val="none"/>
        </w:rPr>
        <w:t xml:space="preserve"> </w:t>
      </w:r>
      <w:r>
        <w:rPr>
          <w:rFonts w:hint="eastAsia" w:ascii="宋体" w:hAnsi="宋体" w:cs="宋体"/>
          <w:b/>
          <w:kern w:val="0"/>
          <w:sz w:val="32"/>
          <w:szCs w:val="32"/>
          <w:highlight w:val="none"/>
          <w:lang w:val="zh-CN"/>
        </w:rPr>
        <w:t>授权委托书（适用于联合体投标）</w:t>
      </w:r>
    </w:p>
    <w:p w14:paraId="12FC4A74">
      <w:pPr>
        <w:snapToGrid w:val="0"/>
        <w:spacing w:line="360" w:lineRule="auto"/>
        <w:rPr>
          <w:rFonts w:ascii="宋体" w:hAnsi="宋体" w:cs="宋体"/>
          <w:kern w:val="0"/>
          <w:sz w:val="24"/>
          <w:highlight w:val="none"/>
        </w:rPr>
      </w:pPr>
      <w:r>
        <w:rPr>
          <w:rFonts w:hint="eastAsia" w:ascii="宋体" w:hAnsi="宋体" w:cs="宋体"/>
          <w:sz w:val="24"/>
          <w:highlight w:val="none"/>
        </w:rPr>
        <w:t>浙江同济科技职业学院、浙江致信招标代理有限公司</w:t>
      </w:r>
      <w:r>
        <w:rPr>
          <w:rFonts w:hint="eastAsia" w:ascii="宋体" w:hAnsi="宋体" w:cs="宋体"/>
          <w:kern w:val="0"/>
          <w:sz w:val="24"/>
          <w:highlight w:val="none"/>
          <w:lang w:val="zh-CN"/>
        </w:rPr>
        <w:t>：</w:t>
      </w:r>
    </w:p>
    <w:p w14:paraId="18052453">
      <w:pPr>
        <w:snapToGrid w:val="0"/>
        <w:spacing w:line="360" w:lineRule="auto"/>
        <w:ind w:firstLine="576"/>
        <w:rPr>
          <w:rFonts w:ascii="宋体" w:hAnsi="宋体" w:cs="宋体"/>
          <w:kern w:val="0"/>
          <w:sz w:val="24"/>
          <w:highlight w:val="none"/>
        </w:rPr>
      </w:pPr>
      <w:r>
        <w:rPr>
          <w:rFonts w:hint="eastAsia" w:ascii="宋体" w:hAnsi="宋体" w:cs="宋体"/>
          <w:kern w:val="0"/>
          <w:sz w:val="24"/>
          <w:highlight w:val="none"/>
        </w:rPr>
        <w:t>现</w:t>
      </w:r>
      <w:r>
        <w:rPr>
          <w:rFonts w:hint="eastAsia" w:ascii="宋体" w:hAnsi="宋体" w:cs="宋体"/>
          <w:kern w:val="0"/>
          <w:sz w:val="24"/>
          <w:highlight w:val="none"/>
          <w:lang w:val="zh-CN"/>
        </w:rPr>
        <w:t>委托</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（姓名）为我方代理人（身份证号码：</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，手机：</w:t>
      </w:r>
      <w:r>
        <w:rPr>
          <w:rFonts w:hint="eastAsia" w:ascii="宋体" w:hAnsi="宋体" w:cs="宋体"/>
          <w:kern w:val="0"/>
          <w:sz w:val="24"/>
          <w:highlight w:val="none"/>
          <w:u w:val="single"/>
          <w:lang w:val="zh-CN"/>
        </w:rPr>
        <w:t xml:space="preserve">          </w:t>
      </w:r>
      <w:r>
        <w:rPr>
          <w:rFonts w:hint="eastAsia" w:ascii="宋体" w:hAnsi="宋体" w:cs="宋体"/>
          <w:kern w:val="0"/>
          <w:sz w:val="24"/>
          <w:highlight w:val="none"/>
          <w:lang w:val="zh-CN"/>
        </w:rPr>
        <w:t>），以我方名义处理</w:t>
      </w:r>
      <w:r>
        <w:rPr>
          <w:rFonts w:hint="eastAsia" w:ascii="宋体" w:hAnsi="宋体" w:cs="宋体"/>
          <w:sz w:val="24"/>
          <w:highlight w:val="none"/>
        </w:rPr>
        <w:t>浙江同济科技职业学院图书馆家具【招标编号：ZXZB-TJ-2025010G】</w:t>
      </w:r>
      <w:r>
        <w:rPr>
          <w:rFonts w:hint="eastAsia" w:ascii="宋体" w:hAnsi="宋体" w:cs="宋体"/>
          <w:kern w:val="0"/>
          <w:sz w:val="24"/>
          <w:highlight w:val="none"/>
          <w:lang w:val="zh-CN"/>
        </w:rPr>
        <w:t>政府采购投标的一切事项，其法律后果由我方承担。</w:t>
      </w:r>
    </w:p>
    <w:p w14:paraId="08A9F841">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委托期限</w:t>
      </w:r>
      <w:r>
        <w:rPr>
          <w:rFonts w:hint="eastAsia" w:ascii="宋体" w:hAnsi="宋体" w:cs="宋体"/>
          <w:kern w:val="0"/>
          <w:sz w:val="24"/>
          <w:highlight w:val="none"/>
        </w:rPr>
        <w:t>：</w:t>
      </w:r>
      <w:r>
        <w:rPr>
          <w:rFonts w:hint="eastAsia" w:ascii="宋体" w:hAnsi="宋体" w:cs="宋体"/>
          <w:kern w:val="0"/>
          <w:sz w:val="24"/>
          <w:highlight w:val="none"/>
          <w:lang w:val="zh-CN"/>
        </w:rPr>
        <w:t>自</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日起至</w:t>
      </w:r>
      <w:r>
        <w:rPr>
          <w:rFonts w:hint="eastAsia" w:ascii="宋体" w:hAnsi="宋体" w:cs="宋体"/>
          <w:kern w:val="0"/>
          <w:sz w:val="24"/>
          <w:highlight w:val="none"/>
        </w:rPr>
        <w:t xml:space="preserve">  </w:t>
      </w:r>
      <w:r>
        <w:rPr>
          <w:rFonts w:hint="eastAsia" w:ascii="宋体" w:hAnsi="宋体" w:cs="宋体"/>
          <w:kern w:val="0"/>
          <w:sz w:val="24"/>
          <w:highlight w:val="none"/>
          <w:lang w:val="zh-CN"/>
        </w:rPr>
        <w:t>年</w:t>
      </w:r>
      <w:r>
        <w:rPr>
          <w:rFonts w:hint="eastAsia" w:ascii="宋体" w:hAnsi="宋体" w:cs="宋体"/>
          <w:kern w:val="0"/>
          <w:sz w:val="24"/>
          <w:highlight w:val="none"/>
        </w:rPr>
        <w:t xml:space="preserve">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日止。</w:t>
      </w:r>
    </w:p>
    <w:p w14:paraId="046459DA">
      <w:pPr>
        <w:snapToGrid w:val="0"/>
        <w:spacing w:line="360" w:lineRule="auto"/>
        <w:rPr>
          <w:rFonts w:ascii="宋体" w:hAnsi="宋体" w:cs="宋体"/>
          <w:kern w:val="0"/>
          <w:sz w:val="24"/>
          <w:highlight w:val="none"/>
        </w:rPr>
      </w:pPr>
      <w:r>
        <w:rPr>
          <w:rFonts w:hint="eastAsia" w:ascii="宋体" w:hAnsi="宋体" w:cs="宋体"/>
          <w:kern w:val="0"/>
          <w:sz w:val="24"/>
          <w:highlight w:val="none"/>
        </w:rPr>
        <w:t xml:space="preserve">    </w:t>
      </w:r>
      <w:r>
        <w:rPr>
          <w:rFonts w:hint="eastAsia" w:ascii="宋体" w:hAnsi="宋体" w:cs="宋体"/>
          <w:kern w:val="0"/>
          <w:sz w:val="24"/>
          <w:highlight w:val="none"/>
          <w:lang w:val="zh-CN"/>
        </w:rPr>
        <w:t>特此告知。</w:t>
      </w:r>
    </w:p>
    <w:p w14:paraId="48A51B22">
      <w:pPr>
        <w:jc w:val="center"/>
        <w:rPr>
          <w:rFonts w:ascii="宋体" w:hAnsi="宋体" w:cs="宋体"/>
          <w:b/>
          <w:kern w:val="0"/>
          <w:sz w:val="32"/>
          <w:szCs w:val="32"/>
          <w:highlight w:val="none"/>
        </w:rPr>
      </w:pPr>
    </w:p>
    <w:p w14:paraId="797FAB48">
      <w:pPr>
        <w:jc w:val="center"/>
        <w:rPr>
          <w:rFonts w:ascii="宋体" w:hAnsi="宋体" w:cs="宋体"/>
          <w:b/>
          <w:kern w:val="0"/>
          <w:sz w:val="32"/>
          <w:szCs w:val="32"/>
          <w:highlight w:val="none"/>
        </w:rPr>
      </w:pPr>
    </w:p>
    <w:p w14:paraId="6BEEA013">
      <w:pPr>
        <w:jc w:val="center"/>
        <w:rPr>
          <w:rFonts w:ascii="宋体" w:hAnsi="宋体" w:cs="宋体"/>
          <w:b/>
          <w:kern w:val="0"/>
          <w:sz w:val="32"/>
          <w:szCs w:val="32"/>
          <w:highlight w:val="none"/>
        </w:rPr>
      </w:pPr>
    </w:p>
    <w:p w14:paraId="05A0D321">
      <w:pPr>
        <w:rPr>
          <w:rFonts w:ascii="宋体" w:hAnsi="宋体" w:cs="宋体"/>
          <w:highlight w:val="none"/>
        </w:rPr>
      </w:pPr>
    </w:p>
    <w:p w14:paraId="3E34DBF7">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14:paraId="58E14320">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14:paraId="521B813C">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14:paraId="55C85B15">
      <w:pPr>
        <w:snapToGrid w:val="0"/>
        <w:spacing w:line="360" w:lineRule="auto"/>
        <w:rPr>
          <w:rFonts w:ascii="宋体" w:hAnsi="宋体" w:cs="宋体"/>
          <w:kern w:val="0"/>
          <w:sz w:val="24"/>
          <w:highlight w:val="none"/>
          <w:lang w:val="zh-CN"/>
        </w:rPr>
        <w:sectPr>
          <w:pgSz w:w="11906" w:h="16838"/>
          <w:pgMar w:top="1440" w:right="1080" w:bottom="1440" w:left="1080" w:header="851" w:footer="992" w:gutter="0"/>
          <w:cols w:space="720" w:num="1"/>
          <w:titlePg/>
          <w:docGrid w:linePitch="312" w:charSpace="0"/>
        </w:sectPr>
      </w:pPr>
      <w:r>
        <w:rPr>
          <w:rFonts w:hint="eastAsia" w:ascii="宋体" w:hAnsi="宋体" w:cs="宋体"/>
          <w:kern w:val="0"/>
          <w:sz w:val="24"/>
          <w:highlight w:val="none"/>
          <w:lang w:val="zh-CN"/>
        </w:rPr>
        <w:t xml:space="preserve">                                               日期：  年  月   日</w:t>
      </w:r>
    </w:p>
    <w:p w14:paraId="4CA98DF3">
      <w:pPr>
        <w:pStyle w:val="63"/>
        <w:ind w:firstLine="420"/>
        <w:rPr>
          <w:highlight w:val="none"/>
          <w:lang w:val="zh-CN"/>
        </w:rPr>
      </w:pPr>
    </w:p>
    <w:p w14:paraId="77FE7EFF">
      <w:pPr>
        <w:autoSpaceDE w:val="0"/>
        <w:autoSpaceDN w:val="0"/>
        <w:spacing w:line="360" w:lineRule="auto"/>
        <w:jc w:val="center"/>
        <w:rPr>
          <w:rFonts w:ascii="宋体" w:hAnsi="宋体" w:cs="宋体"/>
          <w:b/>
          <w:sz w:val="24"/>
          <w:highlight w:val="none"/>
        </w:rPr>
      </w:pPr>
      <w:r>
        <w:rPr>
          <w:rFonts w:hint="eastAsia" w:ascii="宋体" w:hAnsi="宋体" w:cs="宋体"/>
          <w:b/>
          <w:kern w:val="0"/>
          <w:sz w:val="32"/>
          <w:szCs w:val="32"/>
          <w:highlight w:val="none"/>
          <w:lang w:val="zh-CN"/>
        </w:rPr>
        <w:t>法定代表人、单位负责人或自然人本人</w:t>
      </w:r>
      <w:r>
        <w:rPr>
          <w:rFonts w:hint="eastAsia" w:ascii="宋体" w:hAnsi="宋体" w:cs="宋体"/>
          <w:b/>
          <w:sz w:val="30"/>
          <w:szCs w:val="30"/>
          <w:highlight w:val="none"/>
        </w:rPr>
        <w:t>的身份证明（适用于法定代表人、单位负责人或者自然人本人代表投标人参加投标）</w:t>
      </w:r>
    </w:p>
    <w:p w14:paraId="5B04C55C">
      <w:pPr>
        <w:pStyle w:val="151"/>
        <w:spacing w:line="360" w:lineRule="auto"/>
        <w:rPr>
          <w:rFonts w:hAnsi="宋体" w:cs="宋体"/>
          <w:bCs/>
          <w:sz w:val="24"/>
          <w:highlight w:val="none"/>
        </w:rPr>
      </w:pPr>
      <w:r>
        <w:rPr>
          <w:rFonts w:hint="eastAsia" w:hAnsi="宋体" w:cs="宋体"/>
          <w:bCs/>
          <w:sz w:val="24"/>
          <w:highlight w:val="none"/>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162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FA0B534">
            <w:pPr>
              <w:pStyle w:val="151"/>
              <w:adjustRightInd w:val="0"/>
              <w:spacing w:line="360" w:lineRule="auto"/>
              <w:rPr>
                <w:rFonts w:hAnsi="宋体" w:cs="宋体"/>
                <w:bCs/>
                <w:sz w:val="24"/>
                <w:highlight w:val="none"/>
              </w:rPr>
            </w:pPr>
            <w:r>
              <w:rPr>
                <w:rFonts w:hint="eastAsia" w:hAnsi="宋体" w:cs="宋体"/>
                <w:bCs/>
                <w:sz w:val="24"/>
                <w:highlight w:val="none"/>
              </w:rPr>
              <w:t>正面：                                 反面：</w:t>
            </w:r>
          </w:p>
          <w:p w14:paraId="27A0DDB7">
            <w:pPr>
              <w:pStyle w:val="151"/>
              <w:adjustRightInd w:val="0"/>
              <w:spacing w:line="360" w:lineRule="auto"/>
              <w:rPr>
                <w:rFonts w:hAnsi="宋体" w:cs="宋体"/>
                <w:bCs/>
                <w:sz w:val="24"/>
                <w:highlight w:val="none"/>
              </w:rPr>
            </w:pPr>
          </w:p>
        </w:tc>
      </w:tr>
    </w:tbl>
    <w:p w14:paraId="1043E0F8">
      <w:pPr>
        <w:snapToGrid w:val="0"/>
        <w:spacing w:line="360" w:lineRule="auto"/>
        <w:ind w:firstLine="576"/>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14:paraId="476D7CBA">
      <w:pPr>
        <w:snapToGrid w:val="0"/>
        <w:spacing w:line="360" w:lineRule="auto"/>
        <w:ind w:firstLine="576"/>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                              </w:t>
      </w:r>
    </w:p>
    <w:p w14:paraId="0A933056">
      <w:pPr>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14:paraId="33BAC636">
      <w:pPr>
        <w:jc w:val="center"/>
        <w:rPr>
          <w:rFonts w:ascii="宋体" w:hAnsi="宋体" w:cs="宋体"/>
          <w:b/>
          <w:kern w:val="0"/>
          <w:sz w:val="32"/>
          <w:szCs w:val="32"/>
          <w:highlight w:val="none"/>
        </w:rPr>
      </w:pPr>
    </w:p>
    <w:p w14:paraId="501BA87D">
      <w:pPr>
        <w:jc w:val="center"/>
        <w:rPr>
          <w:rFonts w:ascii="宋体" w:hAnsi="宋体" w:cs="宋体"/>
          <w:b/>
          <w:kern w:val="0"/>
          <w:sz w:val="32"/>
          <w:szCs w:val="32"/>
          <w:highlight w:val="none"/>
        </w:rPr>
      </w:pPr>
    </w:p>
    <w:p w14:paraId="040E98A3">
      <w:pPr>
        <w:jc w:val="center"/>
        <w:rPr>
          <w:rFonts w:ascii="宋体" w:hAnsi="宋体" w:cs="宋体"/>
          <w:b/>
          <w:kern w:val="0"/>
          <w:sz w:val="32"/>
          <w:szCs w:val="32"/>
          <w:highlight w:val="none"/>
        </w:rPr>
      </w:pPr>
    </w:p>
    <w:p w14:paraId="213C3F65">
      <w:pPr>
        <w:jc w:val="center"/>
        <w:rPr>
          <w:rFonts w:ascii="宋体" w:hAnsi="宋体" w:cs="宋体"/>
          <w:b/>
          <w:kern w:val="0"/>
          <w:sz w:val="32"/>
          <w:szCs w:val="32"/>
          <w:highlight w:val="none"/>
        </w:rPr>
      </w:pPr>
    </w:p>
    <w:p w14:paraId="315FA3B0">
      <w:pPr>
        <w:jc w:val="center"/>
        <w:rPr>
          <w:rFonts w:ascii="宋体" w:hAnsi="宋体" w:cs="宋体"/>
          <w:b/>
          <w:kern w:val="0"/>
          <w:sz w:val="32"/>
          <w:szCs w:val="32"/>
          <w:highlight w:val="none"/>
        </w:rPr>
      </w:pPr>
    </w:p>
    <w:p w14:paraId="4B7ECF03">
      <w:pPr>
        <w:jc w:val="center"/>
        <w:rPr>
          <w:rFonts w:ascii="宋体" w:hAnsi="宋体" w:cs="宋体"/>
          <w:b/>
          <w:kern w:val="0"/>
          <w:sz w:val="32"/>
          <w:szCs w:val="32"/>
          <w:highlight w:val="none"/>
        </w:rPr>
      </w:pPr>
    </w:p>
    <w:p w14:paraId="05466D4F">
      <w:pPr>
        <w:jc w:val="center"/>
        <w:rPr>
          <w:rFonts w:ascii="宋体" w:hAnsi="宋体" w:cs="宋体"/>
          <w:b/>
          <w:kern w:val="0"/>
          <w:sz w:val="32"/>
          <w:szCs w:val="32"/>
          <w:highlight w:val="none"/>
        </w:rPr>
      </w:pPr>
    </w:p>
    <w:p w14:paraId="4AF2AA53">
      <w:pPr>
        <w:jc w:val="center"/>
        <w:rPr>
          <w:rFonts w:ascii="宋体" w:hAnsi="宋体" w:cs="宋体"/>
          <w:b/>
          <w:kern w:val="0"/>
          <w:sz w:val="32"/>
          <w:szCs w:val="32"/>
          <w:highlight w:val="none"/>
        </w:rPr>
      </w:pPr>
    </w:p>
    <w:p w14:paraId="052EEC27">
      <w:pPr>
        <w:jc w:val="center"/>
        <w:rPr>
          <w:rFonts w:ascii="宋体" w:hAnsi="宋体" w:cs="宋体"/>
          <w:b/>
          <w:kern w:val="0"/>
          <w:sz w:val="32"/>
          <w:szCs w:val="32"/>
          <w:highlight w:val="none"/>
        </w:rPr>
      </w:pPr>
    </w:p>
    <w:p w14:paraId="7B7BC9E2">
      <w:pPr>
        <w:jc w:val="center"/>
        <w:rPr>
          <w:rFonts w:ascii="宋体" w:hAnsi="宋体" w:cs="宋体"/>
          <w:b/>
          <w:kern w:val="0"/>
          <w:sz w:val="32"/>
          <w:szCs w:val="32"/>
          <w:highlight w:val="none"/>
        </w:rPr>
      </w:pPr>
    </w:p>
    <w:p w14:paraId="04BBD933">
      <w:pPr>
        <w:snapToGrid w:val="0"/>
        <w:spacing w:line="360" w:lineRule="auto"/>
        <w:ind w:right="480"/>
        <w:rPr>
          <w:rFonts w:ascii="宋体" w:hAnsi="宋体" w:cs="宋体"/>
          <w:b/>
          <w:kern w:val="0"/>
          <w:sz w:val="32"/>
          <w:szCs w:val="32"/>
          <w:highlight w:val="none"/>
        </w:rPr>
        <w:sectPr>
          <w:pgSz w:w="11906" w:h="16838"/>
          <w:pgMar w:top="1440" w:right="1080" w:bottom="1440" w:left="1080" w:header="851" w:footer="992" w:gutter="0"/>
          <w:cols w:space="720" w:num="1"/>
          <w:titlePg/>
          <w:docGrid w:linePitch="312" w:charSpace="0"/>
        </w:sectPr>
      </w:pPr>
    </w:p>
    <w:p w14:paraId="6DEA5ED4">
      <w:pPr>
        <w:snapToGrid w:val="0"/>
        <w:spacing w:line="360" w:lineRule="auto"/>
        <w:jc w:val="center"/>
        <w:rPr>
          <w:rFonts w:ascii="宋体" w:hAnsi="宋体" w:cs="宋体"/>
          <w:b/>
          <w:kern w:val="0"/>
          <w:sz w:val="32"/>
          <w:szCs w:val="32"/>
          <w:highlight w:val="none"/>
        </w:rPr>
      </w:pPr>
    </w:p>
    <w:p w14:paraId="6E0A7A0C">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三、分包意向协议（如果有）</w:t>
      </w:r>
    </w:p>
    <w:p w14:paraId="338181CE">
      <w:pPr>
        <w:widowControl/>
        <w:spacing w:line="360" w:lineRule="auto"/>
        <w:ind w:firstLine="120" w:firstLineChars="5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中标后以分包方式履行合同的，提供分包意向协议(附件6</w:t>
      </w:r>
      <w:r>
        <w:rPr>
          <w:rFonts w:ascii="宋体" w:hAnsi="宋体" w:cs="宋体"/>
          <w:b/>
          <w:sz w:val="24"/>
          <w:highlight w:val="none"/>
        </w:rPr>
        <w:t>)</w:t>
      </w:r>
      <w:r>
        <w:rPr>
          <w:rFonts w:hint="eastAsia" w:ascii="宋体" w:hAnsi="宋体" w:cs="宋体"/>
          <w:b/>
          <w:sz w:val="24"/>
          <w:highlight w:val="none"/>
        </w:rPr>
        <w:t>；采购人不同意分包或者投标人中标后不以分包方式履行合同的，则不需要提供。</w:t>
      </w:r>
      <w:r>
        <w:rPr>
          <w:rFonts w:hint="eastAsia" w:ascii="宋体" w:hAnsi="宋体" w:cs="宋体"/>
          <w:sz w:val="24"/>
          <w:highlight w:val="none"/>
        </w:rPr>
        <w:t>]</w:t>
      </w:r>
    </w:p>
    <w:p w14:paraId="52E447E5">
      <w:pPr>
        <w:snapToGrid w:val="0"/>
        <w:spacing w:line="360" w:lineRule="auto"/>
        <w:rPr>
          <w:rFonts w:ascii="宋体" w:hAnsi="宋体" w:cs="宋体"/>
          <w:kern w:val="0"/>
          <w:sz w:val="24"/>
          <w:highlight w:val="none"/>
        </w:rPr>
      </w:pPr>
    </w:p>
    <w:p w14:paraId="3C83B2CB">
      <w:pPr>
        <w:rPr>
          <w:highlight w:val="none"/>
        </w:rPr>
      </w:pPr>
    </w:p>
    <w:p w14:paraId="214C5980">
      <w:pPr>
        <w:rPr>
          <w:highlight w:val="none"/>
        </w:rPr>
      </w:pPr>
    </w:p>
    <w:p w14:paraId="72C110C7">
      <w:pPr>
        <w:rPr>
          <w:highlight w:val="none"/>
        </w:rPr>
      </w:pPr>
    </w:p>
    <w:p w14:paraId="0A6547FF">
      <w:pPr>
        <w:rPr>
          <w:highlight w:val="none"/>
        </w:rPr>
      </w:pPr>
    </w:p>
    <w:p w14:paraId="108A2718">
      <w:pPr>
        <w:jc w:val="center"/>
        <w:rPr>
          <w:rFonts w:ascii="宋体" w:hAnsi="宋体" w:cs="宋体"/>
          <w:b/>
          <w:kern w:val="0"/>
          <w:sz w:val="32"/>
          <w:szCs w:val="32"/>
          <w:highlight w:val="none"/>
        </w:rPr>
      </w:pPr>
    </w:p>
    <w:p w14:paraId="15E96171">
      <w:pPr>
        <w:jc w:val="center"/>
        <w:rPr>
          <w:rFonts w:ascii="宋体" w:hAnsi="宋体" w:cs="宋体"/>
          <w:b/>
          <w:kern w:val="0"/>
          <w:sz w:val="32"/>
          <w:szCs w:val="32"/>
          <w:highlight w:val="none"/>
        </w:rPr>
      </w:pPr>
      <w:r>
        <w:rPr>
          <w:rFonts w:hint="eastAsia" w:ascii="宋体" w:hAnsi="宋体" w:cs="宋体"/>
          <w:b/>
          <w:kern w:val="0"/>
          <w:sz w:val="32"/>
          <w:szCs w:val="32"/>
          <w:highlight w:val="none"/>
        </w:rPr>
        <w:t>四、符合性审查资料</w:t>
      </w:r>
    </w:p>
    <w:p w14:paraId="0B4BE677">
      <w:pPr>
        <w:jc w:val="center"/>
        <w:rPr>
          <w:rFonts w:ascii="宋体" w:hAnsi="宋体" w:cs="宋体"/>
          <w:b/>
          <w:kern w:val="0"/>
          <w:sz w:val="32"/>
          <w:szCs w:val="32"/>
          <w:highlight w:val="none"/>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06C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D27C846">
            <w:pPr>
              <w:snapToGrid w:val="0"/>
              <w:spacing w:line="240" w:lineRule="atLeast"/>
              <w:jc w:val="center"/>
              <w:rPr>
                <w:rFonts w:ascii="宋体" w:hAnsi="宋体" w:cs="宋体"/>
                <w:b/>
                <w:sz w:val="24"/>
                <w:highlight w:val="none"/>
              </w:rPr>
            </w:pPr>
            <w:r>
              <w:rPr>
                <w:rFonts w:hint="eastAsia" w:ascii="宋体" w:hAnsi="宋体" w:cs="宋体"/>
                <w:b/>
                <w:sz w:val="24"/>
                <w:highlight w:val="none"/>
              </w:rPr>
              <w:t>序号</w:t>
            </w:r>
          </w:p>
        </w:tc>
        <w:tc>
          <w:tcPr>
            <w:tcW w:w="4991" w:type="dxa"/>
            <w:vAlign w:val="center"/>
          </w:tcPr>
          <w:p w14:paraId="59B8A82D">
            <w:pPr>
              <w:snapToGrid w:val="0"/>
              <w:spacing w:line="240" w:lineRule="atLeast"/>
              <w:jc w:val="center"/>
              <w:rPr>
                <w:rFonts w:ascii="宋体" w:hAnsi="宋体" w:cs="宋体"/>
                <w:b/>
                <w:sz w:val="24"/>
                <w:highlight w:val="none"/>
              </w:rPr>
            </w:pPr>
            <w:r>
              <w:rPr>
                <w:rFonts w:hint="eastAsia" w:ascii="宋体" w:hAnsi="宋体" w:cs="宋体"/>
                <w:b/>
                <w:sz w:val="24"/>
                <w:highlight w:val="none"/>
              </w:rPr>
              <w:t>实质性要求</w:t>
            </w:r>
          </w:p>
        </w:tc>
        <w:tc>
          <w:tcPr>
            <w:tcW w:w="2551" w:type="dxa"/>
            <w:vAlign w:val="center"/>
          </w:tcPr>
          <w:p w14:paraId="041D34C9">
            <w:pPr>
              <w:snapToGrid w:val="0"/>
              <w:spacing w:line="240" w:lineRule="atLeast"/>
              <w:jc w:val="center"/>
              <w:rPr>
                <w:rFonts w:ascii="宋体" w:hAnsi="宋体" w:cs="宋体"/>
                <w:b/>
                <w:sz w:val="24"/>
                <w:highlight w:val="none"/>
              </w:rPr>
            </w:pPr>
            <w:r>
              <w:rPr>
                <w:rFonts w:hint="eastAsia" w:ascii="宋体" w:hAnsi="宋体" w:cs="宋体"/>
                <w:b/>
                <w:sz w:val="24"/>
                <w:highlight w:val="none"/>
              </w:rPr>
              <w:t>需要提供的符合性审查资料</w:t>
            </w:r>
          </w:p>
        </w:tc>
        <w:tc>
          <w:tcPr>
            <w:tcW w:w="1418" w:type="dxa"/>
            <w:vAlign w:val="center"/>
          </w:tcPr>
          <w:p w14:paraId="115088CA">
            <w:pPr>
              <w:snapToGrid w:val="0"/>
              <w:spacing w:line="240" w:lineRule="atLeast"/>
              <w:jc w:val="center"/>
              <w:rPr>
                <w:rFonts w:ascii="宋体" w:hAnsi="宋体" w:cs="宋体"/>
                <w:b/>
                <w:sz w:val="24"/>
                <w:highlight w:val="none"/>
              </w:rPr>
            </w:pPr>
            <w:r>
              <w:rPr>
                <w:rFonts w:hint="eastAsia" w:ascii="宋体" w:hAnsi="宋体" w:cs="宋体"/>
                <w:b/>
                <w:sz w:val="24"/>
                <w:highlight w:val="none"/>
              </w:rPr>
              <w:t>投标文件中的</w:t>
            </w:r>
          </w:p>
          <w:p w14:paraId="13592D74">
            <w:pPr>
              <w:snapToGrid w:val="0"/>
              <w:spacing w:line="240" w:lineRule="atLeast"/>
              <w:jc w:val="center"/>
              <w:rPr>
                <w:rFonts w:ascii="宋体" w:hAnsi="宋体" w:cs="宋体"/>
                <w:b/>
                <w:sz w:val="24"/>
                <w:highlight w:val="none"/>
              </w:rPr>
            </w:pPr>
            <w:r>
              <w:rPr>
                <w:rFonts w:hint="eastAsia" w:ascii="宋体" w:hAnsi="宋体" w:cs="宋体"/>
                <w:b/>
                <w:sz w:val="24"/>
                <w:highlight w:val="none"/>
              </w:rPr>
              <w:t>页码位置</w:t>
            </w:r>
          </w:p>
        </w:tc>
      </w:tr>
      <w:tr w14:paraId="457F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75972FC">
            <w:pPr>
              <w:jc w:val="center"/>
              <w:rPr>
                <w:rFonts w:ascii="宋体" w:hAnsi="宋体" w:cs="宋体"/>
                <w:sz w:val="24"/>
                <w:highlight w:val="none"/>
              </w:rPr>
            </w:pPr>
            <w:r>
              <w:rPr>
                <w:rFonts w:hint="eastAsia" w:ascii="宋体" w:hAnsi="宋体" w:cs="宋体"/>
                <w:sz w:val="24"/>
                <w:highlight w:val="none"/>
              </w:rPr>
              <w:t>1</w:t>
            </w:r>
          </w:p>
        </w:tc>
        <w:tc>
          <w:tcPr>
            <w:tcW w:w="4991" w:type="dxa"/>
          </w:tcPr>
          <w:p w14:paraId="0922880E">
            <w:pPr>
              <w:spacing w:line="360" w:lineRule="auto"/>
              <w:rPr>
                <w:rFonts w:ascii="宋体" w:hAnsi="宋体" w:cs="宋体"/>
                <w:sz w:val="24"/>
                <w:highlight w:val="none"/>
              </w:rPr>
            </w:pPr>
            <w:r>
              <w:rPr>
                <w:rFonts w:hint="eastAsia" w:ascii="宋体" w:hAnsi="宋体" w:cs="宋体"/>
                <w:sz w:val="24"/>
                <w:highlight w:val="none"/>
              </w:rPr>
              <w:t>投标文件按照招标文件要求签署、盖章。</w:t>
            </w:r>
          </w:p>
        </w:tc>
        <w:tc>
          <w:tcPr>
            <w:tcW w:w="2551" w:type="dxa"/>
            <w:vAlign w:val="center"/>
          </w:tcPr>
          <w:p w14:paraId="285CC7A0">
            <w:pPr>
              <w:rPr>
                <w:rFonts w:ascii="宋体" w:hAnsi="宋体" w:cs="宋体"/>
                <w:sz w:val="24"/>
                <w:highlight w:val="none"/>
              </w:rPr>
            </w:pPr>
            <w:r>
              <w:rPr>
                <w:rFonts w:hint="eastAsia" w:ascii="宋体" w:hAnsi="宋体" w:cs="宋体"/>
                <w:sz w:val="24"/>
                <w:highlight w:val="none"/>
              </w:rPr>
              <w:t>需要使用电子签名或者签字盖章的投标文件的组成部分</w:t>
            </w:r>
          </w:p>
        </w:tc>
        <w:tc>
          <w:tcPr>
            <w:tcW w:w="1418" w:type="dxa"/>
          </w:tcPr>
          <w:p w14:paraId="6F0964FD">
            <w:pPr>
              <w:rPr>
                <w:rFonts w:ascii="宋体" w:hAnsi="宋体" w:cs="宋体"/>
                <w:sz w:val="24"/>
                <w:highlight w:val="none"/>
              </w:rPr>
            </w:pPr>
          </w:p>
          <w:p w14:paraId="6E3AEB92">
            <w:pPr>
              <w:rPr>
                <w:rFonts w:ascii="宋体" w:hAnsi="宋体" w:cs="宋体"/>
                <w:sz w:val="24"/>
                <w:highlight w:val="none"/>
              </w:rPr>
            </w:pPr>
            <w:r>
              <w:rPr>
                <w:rFonts w:hint="eastAsia" w:ascii="宋体" w:hAnsi="宋体" w:cs="宋体"/>
                <w:sz w:val="24"/>
                <w:highlight w:val="none"/>
              </w:rPr>
              <w:t>见投标文件</w:t>
            </w:r>
          </w:p>
          <w:p w14:paraId="2A2D2B86">
            <w:pPr>
              <w:rPr>
                <w:rFonts w:ascii="宋体" w:hAnsi="宋体" w:cs="宋体"/>
                <w:highlight w:val="none"/>
              </w:rPr>
            </w:pPr>
            <w:r>
              <w:rPr>
                <w:rFonts w:hint="eastAsia" w:ascii="宋体" w:hAnsi="宋体" w:cs="宋体"/>
                <w:sz w:val="24"/>
                <w:highlight w:val="none"/>
              </w:rPr>
              <w:t>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14:paraId="5587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F960360">
            <w:pPr>
              <w:jc w:val="center"/>
              <w:rPr>
                <w:rFonts w:ascii="宋体" w:hAnsi="宋体" w:cs="宋体"/>
                <w:sz w:val="24"/>
                <w:highlight w:val="none"/>
              </w:rPr>
            </w:pPr>
            <w:r>
              <w:rPr>
                <w:rFonts w:hint="eastAsia" w:ascii="宋体" w:hAnsi="宋体" w:cs="宋体"/>
                <w:sz w:val="24"/>
                <w:highlight w:val="none"/>
              </w:rPr>
              <w:t>2</w:t>
            </w:r>
          </w:p>
        </w:tc>
        <w:tc>
          <w:tcPr>
            <w:tcW w:w="4991" w:type="dxa"/>
          </w:tcPr>
          <w:p w14:paraId="365CA1FF">
            <w:pPr>
              <w:spacing w:line="360" w:lineRule="auto"/>
              <w:rPr>
                <w:rFonts w:ascii="宋体" w:hAnsi="宋体" w:cs="宋体"/>
                <w:sz w:val="24"/>
                <w:highlight w:val="none"/>
              </w:rPr>
            </w:pPr>
            <w:r>
              <w:rPr>
                <w:rFonts w:hint="eastAsia" w:ascii="宋体" w:hAnsi="宋体" w:cs="宋体"/>
                <w:sz w:val="24"/>
                <w:highlight w:val="none"/>
              </w:rPr>
              <w:t>投标文件中承诺的投标有效期不少于招标文件中载明的投标有效期。</w:t>
            </w:r>
          </w:p>
        </w:tc>
        <w:tc>
          <w:tcPr>
            <w:tcW w:w="2551" w:type="dxa"/>
            <w:vAlign w:val="center"/>
          </w:tcPr>
          <w:p w14:paraId="6D2C881A">
            <w:pPr>
              <w:rPr>
                <w:rFonts w:ascii="宋体" w:hAnsi="宋体" w:cs="宋体"/>
                <w:sz w:val="24"/>
                <w:highlight w:val="none"/>
              </w:rPr>
            </w:pPr>
            <w:r>
              <w:rPr>
                <w:rFonts w:hint="eastAsia" w:ascii="宋体" w:hAnsi="宋体" w:cs="宋体"/>
                <w:sz w:val="24"/>
                <w:highlight w:val="none"/>
              </w:rPr>
              <w:t>投标函</w:t>
            </w:r>
          </w:p>
        </w:tc>
        <w:tc>
          <w:tcPr>
            <w:tcW w:w="1418" w:type="dxa"/>
          </w:tcPr>
          <w:p w14:paraId="3A8878DF">
            <w:pPr>
              <w:rPr>
                <w:rFonts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r w14:paraId="72C2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3AF7D11">
            <w:pPr>
              <w:jc w:val="center"/>
              <w:rPr>
                <w:rFonts w:ascii="宋体" w:hAnsi="宋体" w:cs="宋体"/>
                <w:sz w:val="24"/>
                <w:highlight w:val="none"/>
              </w:rPr>
            </w:pPr>
            <w:r>
              <w:rPr>
                <w:rFonts w:hint="eastAsia" w:ascii="宋体" w:hAnsi="宋体" w:cs="宋体"/>
                <w:sz w:val="24"/>
                <w:highlight w:val="none"/>
              </w:rPr>
              <w:t>3</w:t>
            </w:r>
          </w:p>
        </w:tc>
        <w:tc>
          <w:tcPr>
            <w:tcW w:w="4991" w:type="dxa"/>
          </w:tcPr>
          <w:p w14:paraId="664CFB12">
            <w:pPr>
              <w:spacing w:line="360" w:lineRule="auto"/>
              <w:rPr>
                <w:rFonts w:ascii="宋体" w:hAnsi="宋体" w:cs="宋体"/>
                <w:sz w:val="24"/>
                <w:highlight w:val="none"/>
              </w:rPr>
            </w:pPr>
            <w:r>
              <w:rPr>
                <w:rFonts w:hint="eastAsia" w:ascii="宋体" w:hAnsi="宋体" w:cs="宋体"/>
                <w:sz w:val="24"/>
                <w:highlight w:val="none"/>
              </w:rPr>
              <w:t>投标文件满足招标文件的其它实质性要求。</w:t>
            </w:r>
          </w:p>
        </w:tc>
        <w:tc>
          <w:tcPr>
            <w:tcW w:w="2551" w:type="dxa"/>
            <w:vAlign w:val="center"/>
          </w:tcPr>
          <w:p w14:paraId="46C90BE4">
            <w:pPr>
              <w:rPr>
                <w:rFonts w:ascii="宋体" w:hAnsi="宋体" w:cs="宋体"/>
                <w:sz w:val="24"/>
                <w:highlight w:val="none"/>
              </w:rPr>
            </w:pPr>
            <w:r>
              <w:rPr>
                <w:rFonts w:hint="eastAsia" w:ascii="宋体" w:hAnsi="宋体" w:cs="宋体"/>
                <w:kern w:val="0"/>
                <w:sz w:val="24"/>
                <w:highlight w:val="none"/>
              </w:rPr>
              <w:t>招标文件其它实质性要求相应的材料（“▲” 系指实质性要求条款，招标文件无其它实质性要求的，无需提供）</w:t>
            </w:r>
          </w:p>
        </w:tc>
        <w:tc>
          <w:tcPr>
            <w:tcW w:w="1418" w:type="dxa"/>
          </w:tcPr>
          <w:p w14:paraId="3D00D21F">
            <w:pPr>
              <w:rPr>
                <w:rFonts w:ascii="宋体" w:hAnsi="宋体" w:cs="宋体"/>
                <w:highlight w:val="none"/>
              </w:rPr>
            </w:pPr>
            <w:r>
              <w:rPr>
                <w:rFonts w:hint="eastAsia" w:ascii="宋体" w:hAnsi="宋体" w:cs="宋体"/>
                <w:sz w:val="24"/>
                <w:highlight w:val="none"/>
              </w:rPr>
              <w:t>见投标文件第</w:t>
            </w:r>
            <w:r>
              <w:rPr>
                <w:rFonts w:hint="eastAsia" w:ascii="宋体" w:hAnsi="宋体" w:cs="宋体"/>
                <w:sz w:val="24"/>
                <w:highlight w:val="none"/>
                <w:u w:val="single"/>
              </w:rPr>
              <w:t xml:space="preserve">  </w:t>
            </w:r>
            <w:r>
              <w:rPr>
                <w:rFonts w:hint="eastAsia" w:ascii="宋体" w:hAnsi="宋体" w:cs="宋体"/>
                <w:sz w:val="24"/>
                <w:highlight w:val="none"/>
              </w:rPr>
              <w:t>页</w:t>
            </w:r>
          </w:p>
        </w:tc>
      </w:tr>
    </w:tbl>
    <w:p w14:paraId="10FA5D8A">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14:paraId="2867C8C9">
      <w:pPr>
        <w:jc w:val="center"/>
        <w:rPr>
          <w:rFonts w:ascii="宋体" w:hAnsi="宋体" w:cs="宋体"/>
          <w:b/>
          <w:kern w:val="0"/>
          <w:sz w:val="32"/>
          <w:szCs w:val="32"/>
          <w:highlight w:val="none"/>
        </w:rPr>
      </w:pPr>
    </w:p>
    <w:p w14:paraId="45728F9B">
      <w:pPr>
        <w:jc w:val="center"/>
        <w:rPr>
          <w:rFonts w:ascii="宋体" w:hAnsi="宋体" w:cs="宋体"/>
          <w:b/>
          <w:kern w:val="0"/>
          <w:sz w:val="32"/>
          <w:szCs w:val="32"/>
          <w:highlight w:val="none"/>
        </w:rPr>
      </w:pPr>
      <w:r>
        <w:rPr>
          <w:rFonts w:hint="eastAsia" w:ascii="宋体" w:hAnsi="宋体" w:cs="宋体"/>
          <w:b/>
          <w:kern w:val="0"/>
          <w:sz w:val="32"/>
          <w:szCs w:val="32"/>
          <w:highlight w:val="none"/>
        </w:rPr>
        <w:t xml:space="preserve">            </w:t>
      </w:r>
    </w:p>
    <w:p w14:paraId="4FE43877">
      <w:pPr>
        <w:jc w:val="center"/>
        <w:rPr>
          <w:rFonts w:ascii="宋体" w:hAnsi="宋体" w:cs="宋体"/>
          <w:b/>
          <w:kern w:val="0"/>
          <w:sz w:val="32"/>
          <w:szCs w:val="32"/>
          <w:highlight w:val="none"/>
        </w:rPr>
      </w:pPr>
    </w:p>
    <w:p w14:paraId="34315CAC">
      <w:pPr>
        <w:jc w:val="center"/>
        <w:rPr>
          <w:rFonts w:ascii="宋体" w:hAnsi="宋体" w:cs="宋体"/>
          <w:b/>
          <w:kern w:val="0"/>
          <w:sz w:val="32"/>
          <w:szCs w:val="32"/>
          <w:highlight w:val="none"/>
        </w:rPr>
      </w:pPr>
    </w:p>
    <w:p w14:paraId="5B93E270">
      <w:pPr>
        <w:jc w:val="center"/>
        <w:rPr>
          <w:rFonts w:ascii="宋体" w:hAnsi="宋体" w:cs="宋体"/>
          <w:b/>
          <w:kern w:val="0"/>
          <w:sz w:val="32"/>
          <w:szCs w:val="32"/>
          <w:highlight w:val="none"/>
        </w:rPr>
      </w:pPr>
    </w:p>
    <w:p w14:paraId="3276533E">
      <w:pPr>
        <w:jc w:val="center"/>
        <w:rPr>
          <w:rFonts w:ascii="宋体" w:hAnsi="宋体" w:cs="宋体"/>
          <w:b/>
          <w:kern w:val="0"/>
          <w:sz w:val="32"/>
          <w:szCs w:val="32"/>
          <w:highlight w:val="none"/>
        </w:rPr>
      </w:pPr>
    </w:p>
    <w:p w14:paraId="1CA94857">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137CE523">
      <w:pPr>
        <w:jc w:val="center"/>
        <w:rPr>
          <w:rFonts w:ascii="宋体" w:hAnsi="宋体" w:cs="宋体"/>
          <w:highlight w:val="none"/>
        </w:rPr>
      </w:pPr>
      <w:r>
        <w:rPr>
          <w:rFonts w:hint="eastAsia" w:ascii="宋体" w:hAnsi="宋体" w:cs="宋体"/>
          <w:b/>
          <w:kern w:val="0"/>
          <w:sz w:val="32"/>
          <w:szCs w:val="32"/>
          <w:highlight w:val="none"/>
        </w:rPr>
        <w:t>五、评标标准相应的商务技术资料</w:t>
      </w:r>
    </w:p>
    <w:p w14:paraId="061C5CCF">
      <w:pPr>
        <w:snapToGrid w:val="0"/>
        <w:spacing w:line="360" w:lineRule="auto"/>
        <w:jc w:val="left"/>
        <w:rPr>
          <w:rFonts w:ascii="宋体" w:hAnsi="宋体" w:cs="宋体"/>
          <w:b/>
          <w:sz w:val="24"/>
          <w:highlight w:val="none"/>
        </w:rPr>
      </w:pPr>
    </w:p>
    <w:p w14:paraId="3ECB29BC">
      <w:pPr>
        <w:snapToGrid w:val="0"/>
        <w:spacing w:line="360" w:lineRule="auto"/>
        <w:jc w:val="left"/>
        <w:rPr>
          <w:rFonts w:ascii="宋体" w:hAnsi="宋体" w:cs="宋体"/>
          <w:b/>
          <w:sz w:val="24"/>
          <w:highlight w:val="none"/>
        </w:rPr>
      </w:pPr>
      <w:r>
        <w:rPr>
          <w:rFonts w:hint="eastAsia" w:ascii="宋体" w:hAnsi="宋体" w:cs="宋体"/>
          <w:b/>
          <w:sz w:val="24"/>
          <w:highlight w:val="none"/>
        </w:rPr>
        <w:t>（按招标文件第四部分评标办法提供资料。）</w:t>
      </w:r>
    </w:p>
    <w:p w14:paraId="479BBF6D">
      <w:pPr>
        <w:jc w:val="center"/>
        <w:rPr>
          <w:rFonts w:ascii="宋体" w:hAnsi="宋体" w:cs="宋体"/>
          <w:b/>
          <w:kern w:val="0"/>
          <w:sz w:val="32"/>
          <w:szCs w:val="32"/>
          <w:highlight w:val="none"/>
        </w:rPr>
      </w:pPr>
    </w:p>
    <w:p w14:paraId="72092A0F">
      <w:pPr>
        <w:jc w:val="center"/>
        <w:rPr>
          <w:rFonts w:ascii="宋体" w:hAnsi="宋体" w:cs="宋体"/>
          <w:b/>
          <w:kern w:val="0"/>
          <w:sz w:val="32"/>
          <w:szCs w:val="32"/>
          <w:highlight w:val="none"/>
        </w:rPr>
      </w:pPr>
    </w:p>
    <w:p w14:paraId="0B535462">
      <w:pPr>
        <w:jc w:val="center"/>
        <w:rPr>
          <w:rFonts w:ascii="宋体" w:hAnsi="宋体" w:cs="宋体"/>
          <w:b/>
          <w:kern w:val="0"/>
          <w:sz w:val="32"/>
          <w:szCs w:val="32"/>
          <w:highlight w:val="none"/>
        </w:rPr>
      </w:pPr>
    </w:p>
    <w:p w14:paraId="6D9BF78E">
      <w:pPr>
        <w:jc w:val="center"/>
        <w:rPr>
          <w:rFonts w:ascii="宋体" w:hAnsi="宋体" w:cs="宋体"/>
          <w:b/>
          <w:kern w:val="0"/>
          <w:sz w:val="32"/>
          <w:szCs w:val="32"/>
          <w:highlight w:val="none"/>
        </w:rPr>
      </w:pPr>
      <w:r>
        <w:rPr>
          <w:rFonts w:hint="eastAsia" w:ascii="宋体" w:hAnsi="宋体" w:cs="宋体"/>
          <w:b/>
          <w:kern w:val="0"/>
          <w:sz w:val="32"/>
          <w:szCs w:val="32"/>
          <w:highlight w:val="none"/>
        </w:rPr>
        <w:t>六、投标标的清单</w:t>
      </w:r>
    </w:p>
    <w:p w14:paraId="0C21E8B7">
      <w:pPr>
        <w:rPr>
          <w:highlight w:val="none"/>
        </w:rPr>
      </w:pPr>
    </w:p>
    <w:tbl>
      <w:tblPr>
        <w:tblStyle w:val="6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26"/>
        <w:gridCol w:w="1244"/>
        <w:gridCol w:w="1405"/>
        <w:gridCol w:w="3097"/>
        <w:gridCol w:w="1865"/>
      </w:tblGrid>
      <w:tr w14:paraId="43C2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57F080FD">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59D5E34D">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624" w:type="pct"/>
            <w:tcBorders>
              <w:top w:val="single" w:color="auto" w:sz="4" w:space="0"/>
              <w:left w:val="single" w:color="auto" w:sz="4" w:space="0"/>
              <w:bottom w:val="single" w:color="auto" w:sz="4" w:space="0"/>
              <w:right w:val="single" w:color="auto" w:sz="4" w:space="0"/>
            </w:tcBorders>
          </w:tcPr>
          <w:p w14:paraId="0FDCB6C5">
            <w:pPr>
              <w:spacing w:line="360" w:lineRule="auto"/>
              <w:jc w:val="center"/>
              <w:rPr>
                <w:rFonts w:ascii="宋体" w:hAnsi="宋体" w:cs="宋体"/>
                <w:b/>
                <w:sz w:val="24"/>
                <w:highlight w:val="none"/>
              </w:rPr>
            </w:pPr>
          </w:p>
          <w:p w14:paraId="47AB5644">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705" w:type="pct"/>
            <w:tcBorders>
              <w:top w:val="single" w:color="auto" w:sz="4" w:space="0"/>
              <w:left w:val="single" w:color="auto" w:sz="4" w:space="0"/>
              <w:bottom w:val="single" w:color="auto" w:sz="4" w:space="0"/>
              <w:right w:val="single" w:color="auto" w:sz="4" w:space="0"/>
            </w:tcBorders>
            <w:vAlign w:val="center"/>
          </w:tcPr>
          <w:p w14:paraId="5638896A">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1554" w:type="pct"/>
            <w:tcBorders>
              <w:top w:val="single" w:color="auto" w:sz="4" w:space="0"/>
              <w:left w:val="single" w:color="auto" w:sz="4" w:space="0"/>
              <w:bottom w:val="single" w:color="auto" w:sz="4" w:space="0"/>
              <w:right w:val="single" w:color="auto" w:sz="4" w:space="0"/>
            </w:tcBorders>
            <w:vAlign w:val="center"/>
          </w:tcPr>
          <w:p w14:paraId="39F0C226">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936" w:type="pct"/>
            <w:tcBorders>
              <w:top w:val="single" w:color="auto" w:sz="4" w:space="0"/>
              <w:left w:val="single" w:color="auto" w:sz="4" w:space="0"/>
              <w:bottom w:val="single" w:color="auto" w:sz="4" w:space="0"/>
              <w:right w:val="single" w:color="auto" w:sz="4" w:space="0"/>
            </w:tcBorders>
            <w:vAlign w:val="center"/>
          </w:tcPr>
          <w:p w14:paraId="07D3F5EA">
            <w:pPr>
              <w:spacing w:line="360" w:lineRule="auto"/>
              <w:jc w:val="center"/>
              <w:rPr>
                <w:rFonts w:ascii="宋体" w:hAnsi="宋体" w:cs="宋体"/>
                <w:b/>
                <w:sz w:val="24"/>
                <w:highlight w:val="none"/>
              </w:rPr>
            </w:pPr>
            <w:r>
              <w:rPr>
                <w:rFonts w:hint="eastAsia" w:ascii="宋体" w:hAnsi="宋体" w:cs="宋体"/>
                <w:b/>
                <w:sz w:val="24"/>
                <w:highlight w:val="none"/>
              </w:rPr>
              <w:t>备注</w:t>
            </w:r>
          </w:p>
        </w:tc>
      </w:tr>
      <w:tr w14:paraId="222D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3B81743F">
            <w:pPr>
              <w:spacing w:line="360" w:lineRule="auto"/>
              <w:jc w:val="center"/>
              <w:rPr>
                <w:rFonts w:ascii="宋体" w:hAnsi="宋体" w:cs="宋体"/>
                <w:sz w:val="24"/>
                <w:highlight w:val="none"/>
              </w:rPr>
            </w:pPr>
            <w:r>
              <w:rPr>
                <w:rFonts w:hint="eastAsia" w:ascii="宋体" w:hAnsi="宋体" w:cs="宋体"/>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12CCB34B">
            <w:pPr>
              <w:snapToGrid w:val="0"/>
              <w:spacing w:line="360" w:lineRule="auto"/>
              <w:jc w:val="center"/>
              <w:rPr>
                <w:rFonts w:ascii="宋体" w:hAnsi="宋体" w:cs="宋体"/>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2554EB3F">
            <w:pPr>
              <w:snapToGrid w:val="0"/>
              <w:spacing w:line="360" w:lineRule="auto"/>
              <w:jc w:val="center"/>
              <w:rPr>
                <w:rFonts w:ascii="宋体" w:hAnsi="宋体" w:cs="宋体"/>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5C99C9FA">
            <w:pPr>
              <w:snapToGrid w:val="0"/>
              <w:spacing w:line="360" w:lineRule="auto"/>
              <w:jc w:val="center"/>
              <w:rPr>
                <w:rFonts w:ascii="宋体" w:hAnsi="宋体" w:cs="宋体"/>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14:paraId="662E8E63">
            <w:pPr>
              <w:spacing w:line="360" w:lineRule="auto"/>
              <w:jc w:val="center"/>
              <w:rPr>
                <w:rFonts w:ascii="宋体" w:hAnsi="宋体" w:cs="宋体"/>
                <w:sz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60484993">
            <w:pPr>
              <w:spacing w:line="360" w:lineRule="auto"/>
              <w:jc w:val="center"/>
              <w:rPr>
                <w:rFonts w:ascii="宋体" w:hAnsi="宋体" w:cs="宋体"/>
                <w:sz w:val="24"/>
                <w:highlight w:val="none"/>
              </w:rPr>
            </w:pPr>
          </w:p>
        </w:tc>
      </w:tr>
      <w:tr w14:paraId="43E7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0101CB79">
            <w:pPr>
              <w:spacing w:line="360" w:lineRule="auto"/>
              <w:jc w:val="center"/>
              <w:rPr>
                <w:rFonts w:ascii="宋体" w:hAnsi="宋体" w:cs="宋体"/>
                <w:sz w:val="24"/>
                <w:highlight w:val="none"/>
              </w:rPr>
            </w:pPr>
            <w:r>
              <w:rPr>
                <w:rFonts w:hint="eastAsia" w:ascii="宋体" w:hAnsi="宋体" w:cs="宋体"/>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44BED778">
            <w:pPr>
              <w:snapToGrid w:val="0"/>
              <w:spacing w:line="360" w:lineRule="auto"/>
              <w:jc w:val="center"/>
              <w:rPr>
                <w:rFonts w:ascii="宋体" w:hAnsi="宋体" w:cs="宋体"/>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1710FA2E">
            <w:pPr>
              <w:snapToGrid w:val="0"/>
              <w:spacing w:line="360" w:lineRule="auto"/>
              <w:jc w:val="center"/>
              <w:rPr>
                <w:rFonts w:ascii="宋体" w:hAnsi="宋体" w:cs="宋体"/>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52C93E49">
            <w:pPr>
              <w:snapToGrid w:val="0"/>
              <w:spacing w:line="360" w:lineRule="auto"/>
              <w:jc w:val="center"/>
              <w:rPr>
                <w:rFonts w:ascii="宋体" w:hAnsi="宋体" w:cs="宋体"/>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14:paraId="2030AFAA">
            <w:pPr>
              <w:spacing w:line="360" w:lineRule="auto"/>
              <w:jc w:val="center"/>
              <w:rPr>
                <w:rFonts w:ascii="宋体" w:hAnsi="宋体" w:cs="宋体"/>
                <w:sz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59161F89">
            <w:pPr>
              <w:spacing w:line="360" w:lineRule="auto"/>
              <w:jc w:val="center"/>
              <w:rPr>
                <w:rFonts w:ascii="宋体" w:hAnsi="宋体" w:cs="宋体"/>
                <w:sz w:val="24"/>
                <w:highlight w:val="none"/>
              </w:rPr>
            </w:pPr>
          </w:p>
        </w:tc>
      </w:tr>
      <w:tr w14:paraId="67A0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5B17168A">
            <w:pPr>
              <w:spacing w:line="360" w:lineRule="auto"/>
              <w:jc w:val="center"/>
              <w:rPr>
                <w:rFonts w:ascii="宋体" w:hAnsi="宋体" w:cs="宋体"/>
                <w:sz w:val="24"/>
                <w:highlight w:val="none"/>
              </w:rPr>
            </w:pPr>
            <w:r>
              <w:rPr>
                <w:rFonts w:hint="eastAsia" w:ascii="宋体" w:hAnsi="宋体" w:cs="宋体"/>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4AC5CCC0">
            <w:pPr>
              <w:snapToGrid w:val="0"/>
              <w:spacing w:line="360" w:lineRule="auto"/>
              <w:jc w:val="center"/>
              <w:rPr>
                <w:rFonts w:ascii="宋体" w:hAnsi="宋体" w:cs="宋体"/>
                <w:sz w:val="24"/>
                <w:highlight w:val="none"/>
              </w:rPr>
            </w:pPr>
          </w:p>
        </w:tc>
        <w:tc>
          <w:tcPr>
            <w:tcW w:w="624" w:type="pct"/>
            <w:tcBorders>
              <w:top w:val="single" w:color="auto" w:sz="4" w:space="0"/>
              <w:left w:val="single" w:color="auto" w:sz="4" w:space="0"/>
              <w:bottom w:val="single" w:color="auto" w:sz="4" w:space="0"/>
              <w:right w:val="single" w:color="auto" w:sz="4" w:space="0"/>
            </w:tcBorders>
            <w:vAlign w:val="center"/>
          </w:tcPr>
          <w:p w14:paraId="5917B2AF">
            <w:pPr>
              <w:snapToGrid w:val="0"/>
              <w:spacing w:line="360" w:lineRule="auto"/>
              <w:jc w:val="center"/>
              <w:rPr>
                <w:rFonts w:ascii="宋体" w:hAnsi="宋体" w:cs="宋体"/>
                <w:sz w:val="24"/>
                <w:highlight w:val="none"/>
              </w:rPr>
            </w:pPr>
          </w:p>
        </w:tc>
        <w:tc>
          <w:tcPr>
            <w:tcW w:w="705" w:type="pct"/>
            <w:tcBorders>
              <w:top w:val="single" w:color="auto" w:sz="4" w:space="0"/>
              <w:left w:val="single" w:color="auto" w:sz="4" w:space="0"/>
              <w:bottom w:val="single" w:color="auto" w:sz="4" w:space="0"/>
              <w:right w:val="single" w:color="auto" w:sz="4" w:space="0"/>
            </w:tcBorders>
            <w:vAlign w:val="center"/>
          </w:tcPr>
          <w:p w14:paraId="4A0E87BB">
            <w:pPr>
              <w:snapToGrid w:val="0"/>
              <w:spacing w:line="360" w:lineRule="auto"/>
              <w:jc w:val="center"/>
              <w:rPr>
                <w:rFonts w:ascii="宋体" w:hAnsi="宋体" w:cs="宋体"/>
                <w:sz w:val="24"/>
                <w:highlight w:val="none"/>
              </w:rPr>
            </w:pPr>
          </w:p>
        </w:tc>
        <w:tc>
          <w:tcPr>
            <w:tcW w:w="1554" w:type="pct"/>
            <w:tcBorders>
              <w:top w:val="single" w:color="auto" w:sz="4" w:space="0"/>
              <w:left w:val="single" w:color="auto" w:sz="4" w:space="0"/>
              <w:bottom w:val="single" w:color="auto" w:sz="4" w:space="0"/>
              <w:right w:val="single" w:color="auto" w:sz="4" w:space="0"/>
            </w:tcBorders>
            <w:vAlign w:val="center"/>
          </w:tcPr>
          <w:p w14:paraId="1B4F21B3">
            <w:pPr>
              <w:spacing w:line="360" w:lineRule="auto"/>
              <w:jc w:val="center"/>
              <w:rPr>
                <w:rFonts w:ascii="宋体" w:hAnsi="宋体" w:cs="宋体"/>
                <w:sz w:val="24"/>
                <w:highlight w:val="none"/>
              </w:rPr>
            </w:pPr>
          </w:p>
        </w:tc>
        <w:tc>
          <w:tcPr>
            <w:tcW w:w="936" w:type="pct"/>
            <w:tcBorders>
              <w:top w:val="single" w:color="auto" w:sz="4" w:space="0"/>
              <w:left w:val="single" w:color="auto" w:sz="4" w:space="0"/>
              <w:bottom w:val="single" w:color="auto" w:sz="4" w:space="0"/>
              <w:right w:val="single" w:color="auto" w:sz="4" w:space="0"/>
            </w:tcBorders>
            <w:vAlign w:val="center"/>
          </w:tcPr>
          <w:p w14:paraId="797F801D">
            <w:pPr>
              <w:spacing w:line="360" w:lineRule="auto"/>
              <w:jc w:val="center"/>
              <w:rPr>
                <w:rFonts w:ascii="宋体" w:hAnsi="宋体" w:cs="宋体"/>
                <w:sz w:val="24"/>
                <w:highlight w:val="none"/>
              </w:rPr>
            </w:pPr>
          </w:p>
        </w:tc>
      </w:tr>
    </w:tbl>
    <w:p w14:paraId="723824F8">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14:paraId="6392F29E">
      <w:pPr>
        <w:jc w:val="center"/>
        <w:rPr>
          <w:rFonts w:ascii="宋体" w:hAnsi="宋体" w:cs="宋体"/>
          <w:b/>
          <w:kern w:val="0"/>
          <w:sz w:val="32"/>
          <w:szCs w:val="32"/>
          <w:highlight w:val="none"/>
        </w:rPr>
      </w:pPr>
    </w:p>
    <w:p w14:paraId="395E85E9">
      <w:pPr>
        <w:jc w:val="center"/>
        <w:rPr>
          <w:rFonts w:ascii="宋体" w:hAnsi="宋体" w:cs="宋体"/>
          <w:b/>
          <w:kern w:val="0"/>
          <w:sz w:val="32"/>
          <w:szCs w:val="32"/>
          <w:highlight w:val="none"/>
        </w:rPr>
      </w:pPr>
    </w:p>
    <w:p w14:paraId="491A18D3">
      <w:pPr>
        <w:numPr>
          <w:ilvl w:val="0"/>
          <w:numId w:val="1"/>
        </w:numPr>
        <w:jc w:val="center"/>
        <w:rPr>
          <w:rFonts w:ascii="宋体" w:hAnsi="宋体" w:cs="宋体"/>
          <w:b/>
          <w:kern w:val="0"/>
          <w:sz w:val="32"/>
          <w:szCs w:val="32"/>
          <w:highlight w:val="none"/>
        </w:rPr>
      </w:pPr>
      <w:r>
        <w:rPr>
          <w:rFonts w:hint="eastAsia" w:ascii="宋体" w:hAnsi="宋体" w:cs="宋体"/>
          <w:b/>
          <w:kern w:val="0"/>
          <w:sz w:val="32"/>
          <w:szCs w:val="32"/>
          <w:highlight w:val="none"/>
        </w:rPr>
        <w:t>商务技术偏离表</w:t>
      </w:r>
    </w:p>
    <w:p w14:paraId="46A8E6EE">
      <w:pPr>
        <w:rPr>
          <w:highlight w:val="none"/>
        </w:rPr>
      </w:pPr>
    </w:p>
    <w:tbl>
      <w:tblPr>
        <w:tblStyle w:val="6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3875"/>
        <w:gridCol w:w="3732"/>
        <w:gridCol w:w="1343"/>
      </w:tblGrid>
      <w:tr w14:paraId="5A0A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0DEBF978">
            <w:pPr>
              <w:jc w:val="center"/>
              <w:rPr>
                <w:rFonts w:ascii="宋体" w:hAnsi="宋体" w:cs="宋体"/>
                <w:b/>
                <w:bCs/>
                <w:sz w:val="24"/>
                <w:highlight w:val="none"/>
              </w:rPr>
            </w:pPr>
            <w:r>
              <w:rPr>
                <w:rFonts w:hint="eastAsia" w:ascii="宋体" w:hAnsi="宋体" w:cs="宋体"/>
                <w:b/>
                <w:bCs/>
                <w:sz w:val="24"/>
                <w:highlight w:val="none"/>
              </w:rPr>
              <w:t>序号</w:t>
            </w:r>
          </w:p>
        </w:tc>
        <w:tc>
          <w:tcPr>
            <w:tcW w:w="1945" w:type="pct"/>
          </w:tcPr>
          <w:p w14:paraId="28FADEF2">
            <w:pPr>
              <w:jc w:val="center"/>
              <w:rPr>
                <w:rFonts w:ascii="宋体" w:hAnsi="宋体" w:cs="宋体"/>
                <w:b/>
                <w:bCs/>
                <w:sz w:val="24"/>
                <w:highlight w:val="none"/>
              </w:rPr>
            </w:pPr>
            <w:r>
              <w:rPr>
                <w:rFonts w:hint="eastAsia" w:ascii="宋体" w:hAnsi="宋体" w:cs="宋体"/>
                <w:b/>
                <w:bCs/>
                <w:sz w:val="24"/>
                <w:highlight w:val="none"/>
              </w:rPr>
              <w:t>招标文件章节及具体内容</w:t>
            </w:r>
          </w:p>
        </w:tc>
        <w:tc>
          <w:tcPr>
            <w:tcW w:w="1873" w:type="pct"/>
          </w:tcPr>
          <w:p w14:paraId="77B2E40A">
            <w:pPr>
              <w:jc w:val="center"/>
              <w:rPr>
                <w:rFonts w:ascii="宋体" w:hAnsi="宋体" w:cs="宋体"/>
                <w:b/>
                <w:bCs/>
                <w:sz w:val="24"/>
                <w:highlight w:val="none"/>
              </w:rPr>
            </w:pPr>
            <w:r>
              <w:rPr>
                <w:rFonts w:hint="eastAsia" w:ascii="宋体" w:hAnsi="宋体" w:cs="宋体"/>
                <w:b/>
                <w:bCs/>
                <w:sz w:val="24"/>
                <w:highlight w:val="none"/>
              </w:rPr>
              <w:t>投标文件章节及具体内容</w:t>
            </w:r>
          </w:p>
        </w:tc>
        <w:tc>
          <w:tcPr>
            <w:tcW w:w="674" w:type="pct"/>
          </w:tcPr>
          <w:p w14:paraId="311C6713">
            <w:pPr>
              <w:jc w:val="center"/>
              <w:rPr>
                <w:rFonts w:ascii="宋体" w:hAnsi="宋体" w:cs="宋体"/>
                <w:b/>
                <w:bCs/>
                <w:sz w:val="24"/>
                <w:highlight w:val="none"/>
              </w:rPr>
            </w:pPr>
            <w:r>
              <w:rPr>
                <w:rFonts w:hint="eastAsia" w:ascii="宋体" w:hAnsi="宋体" w:cs="宋体"/>
                <w:b/>
                <w:bCs/>
                <w:sz w:val="24"/>
                <w:highlight w:val="none"/>
              </w:rPr>
              <w:t>偏离说明</w:t>
            </w:r>
          </w:p>
        </w:tc>
      </w:tr>
      <w:tr w14:paraId="6737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554E8D29">
            <w:pPr>
              <w:jc w:val="center"/>
              <w:rPr>
                <w:rFonts w:ascii="宋体" w:hAnsi="宋体" w:cs="宋体"/>
                <w:kern w:val="0"/>
                <w:sz w:val="24"/>
                <w:highlight w:val="none"/>
              </w:rPr>
            </w:pPr>
            <w:r>
              <w:rPr>
                <w:rFonts w:hint="eastAsia" w:ascii="宋体" w:hAnsi="宋体" w:cs="宋体"/>
                <w:kern w:val="0"/>
                <w:sz w:val="24"/>
                <w:highlight w:val="none"/>
              </w:rPr>
              <w:t>1</w:t>
            </w:r>
          </w:p>
        </w:tc>
        <w:tc>
          <w:tcPr>
            <w:tcW w:w="1945" w:type="pct"/>
          </w:tcPr>
          <w:p w14:paraId="39196646">
            <w:pPr>
              <w:jc w:val="center"/>
              <w:rPr>
                <w:rFonts w:ascii="宋体" w:hAnsi="宋体" w:cs="宋体"/>
                <w:b/>
                <w:kern w:val="0"/>
                <w:sz w:val="32"/>
                <w:szCs w:val="32"/>
                <w:highlight w:val="none"/>
              </w:rPr>
            </w:pPr>
          </w:p>
        </w:tc>
        <w:tc>
          <w:tcPr>
            <w:tcW w:w="1873" w:type="pct"/>
          </w:tcPr>
          <w:p w14:paraId="75FA1DB9">
            <w:pPr>
              <w:jc w:val="center"/>
              <w:rPr>
                <w:rFonts w:ascii="宋体" w:hAnsi="宋体" w:cs="宋体"/>
                <w:b/>
                <w:kern w:val="0"/>
                <w:sz w:val="32"/>
                <w:szCs w:val="32"/>
                <w:highlight w:val="none"/>
              </w:rPr>
            </w:pPr>
          </w:p>
        </w:tc>
        <w:tc>
          <w:tcPr>
            <w:tcW w:w="674" w:type="pct"/>
          </w:tcPr>
          <w:p w14:paraId="4DA1D072">
            <w:pPr>
              <w:jc w:val="center"/>
              <w:rPr>
                <w:rFonts w:ascii="宋体" w:hAnsi="宋体" w:cs="宋体"/>
                <w:b/>
                <w:kern w:val="0"/>
                <w:sz w:val="32"/>
                <w:szCs w:val="32"/>
                <w:highlight w:val="none"/>
              </w:rPr>
            </w:pPr>
          </w:p>
        </w:tc>
      </w:tr>
      <w:tr w14:paraId="06BE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0A0591A8">
            <w:pPr>
              <w:jc w:val="center"/>
              <w:rPr>
                <w:rFonts w:ascii="宋体" w:hAnsi="宋体" w:cs="宋体"/>
                <w:kern w:val="0"/>
                <w:sz w:val="24"/>
                <w:highlight w:val="none"/>
              </w:rPr>
            </w:pPr>
            <w:r>
              <w:rPr>
                <w:rFonts w:hint="eastAsia" w:ascii="宋体" w:hAnsi="宋体" w:cs="宋体"/>
                <w:kern w:val="0"/>
                <w:sz w:val="24"/>
                <w:highlight w:val="none"/>
              </w:rPr>
              <w:t>2</w:t>
            </w:r>
          </w:p>
        </w:tc>
        <w:tc>
          <w:tcPr>
            <w:tcW w:w="1945" w:type="pct"/>
          </w:tcPr>
          <w:p w14:paraId="08505AE4">
            <w:pPr>
              <w:jc w:val="center"/>
              <w:rPr>
                <w:rFonts w:ascii="宋体" w:hAnsi="宋体" w:cs="宋体"/>
                <w:b/>
                <w:kern w:val="0"/>
                <w:sz w:val="32"/>
                <w:szCs w:val="32"/>
                <w:highlight w:val="none"/>
              </w:rPr>
            </w:pPr>
          </w:p>
        </w:tc>
        <w:tc>
          <w:tcPr>
            <w:tcW w:w="1873" w:type="pct"/>
          </w:tcPr>
          <w:p w14:paraId="0026774C">
            <w:pPr>
              <w:jc w:val="center"/>
              <w:rPr>
                <w:rFonts w:ascii="宋体" w:hAnsi="宋体" w:cs="宋体"/>
                <w:b/>
                <w:kern w:val="0"/>
                <w:sz w:val="32"/>
                <w:szCs w:val="32"/>
                <w:highlight w:val="none"/>
              </w:rPr>
            </w:pPr>
          </w:p>
        </w:tc>
        <w:tc>
          <w:tcPr>
            <w:tcW w:w="674" w:type="pct"/>
          </w:tcPr>
          <w:p w14:paraId="60BBDBCE">
            <w:pPr>
              <w:jc w:val="center"/>
              <w:rPr>
                <w:rFonts w:ascii="宋体" w:hAnsi="宋体" w:cs="宋体"/>
                <w:b/>
                <w:kern w:val="0"/>
                <w:sz w:val="32"/>
                <w:szCs w:val="32"/>
                <w:highlight w:val="none"/>
              </w:rPr>
            </w:pPr>
          </w:p>
        </w:tc>
      </w:tr>
      <w:tr w14:paraId="64D4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pct"/>
          </w:tcPr>
          <w:p w14:paraId="53411D32">
            <w:pPr>
              <w:jc w:val="center"/>
              <w:rPr>
                <w:rFonts w:ascii="宋体" w:hAnsi="宋体" w:cs="宋体"/>
                <w:kern w:val="0"/>
                <w:sz w:val="24"/>
                <w:highlight w:val="none"/>
              </w:rPr>
            </w:pPr>
            <w:r>
              <w:rPr>
                <w:rFonts w:hint="eastAsia" w:ascii="宋体" w:hAnsi="宋体" w:cs="宋体"/>
                <w:kern w:val="0"/>
                <w:sz w:val="24"/>
                <w:highlight w:val="none"/>
              </w:rPr>
              <w:t>……</w:t>
            </w:r>
          </w:p>
        </w:tc>
        <w:tc>
          <w:tcPr>
            <w:tcW w:w="1945" w:type="pct"/>
          </w:tcPr>
          <w:p w14:paraId="528A7212">
            <w:pPr>
              <w:jc w:val="center"/>
              <w:rPr>
                <w:rFonts w:ascii="宋体" w:hAnsi="宋体" w:cs="宋体"/>
                <w:b/>
                <w:kern w:val="0"/>
                <w:sz w:val="32"/>
                <w:szCs w:val="32"/>
                <w:highlight w:val="none"/>
              </w:rPr>
            </w:pPr>
          </w:p>
        </w:tc>
        <w:tc>
          <w:tcPr>
            <w:tcW w:w="1873" w:type="pct"/>
          </w:tcPr>
          <w:p w14:paraId="7F6F849F">
            <w:pPr>
              <w:jc w:val="center"/>
              <w:rPr>
                <w:rFonts w:ascii="宋体" w:hAnsi="宋体" w:cs="宋体"/>
                <w:b/>
                <w:kern w:val="0"/>
                <w:sz w:val="32"/>
                <w:szCs w:val="32"/>
                <w:highlight w:val="none"/>
              </w:rPr>
            </w:pPr>
          </w:p>
        </w:tc>
        <w:tc>
          <w:tcPr>
            <w:tcW w:w="674" w:type="pct"/>
          </w:tcPr>
          <w:p w14:paraId="3CF07F0E">
            <w:pPr>
              <w:jc w:val="center"/>
              <w:rPr>
                <w:rFonts w:ascii="宋体" w:hAnsi="宋体" w:cs="宋体"/>
                <w:b/>
                <w:kern w:val="0"/>
                <w:sz w:val="32"/>
                <w:szCs w:val="32"/>
                <w:highlight w:val="none"/>
              </w:rPr>
            </w:pPr>
          </w:p>
        </w:tc>
      </w:tr>
    </w:tbl>
    <w:p w14:paraId="09694827">
      <w:pPr>
        <w:jc w:val="left"/>
        <w:rPr>
          <w:rFonts w:ascii="宋体" w:hAnsi="宋体" w:cs="宋体"/>
          <w:kern w:val="0"/>
          <w:sz w:val="24"/>
          <w:highlight w:val="none"/>
        </w:rPr>
      </w:pPr>
      <w:r>
        <w:rPr>
          <w:rFonts w:hint="eastAsia" w:ascii="宋体" w:hAnsi="宋体" w:cs="宋体"/>
          <w:kern w:val="0"/>
          <w:sz w:val="24"/>
          <w:highlight w:val="none"/>
        </w:rPr>
        <w:t>投标人保证：除商务技术偏离表列出的偏离外，投标人响应招标文件的全部要求</w:t>
      </w:r>
    </w:p>
    <w:p w14:paraId="07B48FA4">
      <w:pPr>
        <w:jc w:val="center"/>
        <w:rPr>
          <w:rFonts w:ascii="宋体" w:hAnsi="宋体" w:cs="宋体"/>
          <w:b/>
          <w:kern w:val="0"/>
          <w:sz w:val="32"/>
          <w:szCs w:val="32"/>
          <w:highlight w:val="none"/>
        </w:rPr>
      </w:pPr>
    </w:p>
    <w:p w14:paraId="1F2C9ADD">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14:paraId="773323D6">
      <w:pPr>
        <w:ind w:firstLine="1911" w:firstLineChars="595"/>
        <w:rPr>
          <w:rFonts w:ascii="宋体" w:hAnsi="宋体" w:cs="宋体"/>
          <w:b/>
          <w:bCs/>
          <w:sz w:val="32"/>
          <w:szCs w:val="32"/>
          <w:highlight w:val="none"/>
        </w:rPr>
      </w:pPr>
    </w:p>
    <w:p w14:paraId="5BD264CE">
      <w:pPr>
        <w:ind w:firstLine="1911" w:firstLineChars="595"/>
        <w:rPr>
          <w:rFonts w:ascii="宋体" w:hAnsi="宋体" w:cs="宋体"/>
          <w:b/>
          <w:bCs/>
          <w:sz w:val="32"/>
          <w:szCs w:val="32"/>
          <w:highlight w:val="none"/>
        </w:rPr>
      </w:pPr>
    </w:p>
    <w:p w14:paraId="640E7D30">
      <w:pPr>
        <w:ind w:firstLine="1911" w:firstLineChars="595"/>
        <w:rPr>
          <w:rFonts w:ascii="宋体" w:hAnsi="宋体" w:cs="宋体"/>
          <w:b/>
          <w:bCs/>
          <w:sz w:val="32"/>
          <w:szCs w:val="32"/>
          <w:highlight w:val="none"/>
        </w:rPr>
      </w:pPr>
    </w:p>
    <w:p w14:paraId="33FE653A">
      <w:pPr>
        <w:ind w:firstLine="1911" w:firstLineChars="595"/>
        <w:rPr>
          <w:rFonts w:ascii="宋体" w:hAnsi="宋体" w:cs="宋体"/>
          <w:b/>
          <w:bCs/>
          <w:sz w:val="32"/>
          <w:szCs w:val="32"/>
          <w:highlight w:val="none"/>
        </w:rPr>
      </w:pPr>
    </w:p>
    <w:p w14:paraId="53B146F7">
      <w:pPr>
        <w:ind w:firstLine="1911" w:firstLineChars="595"/>
        <w:rPr>
          <w:rFonts w:ascii="宋体" w:hAnsi="宋体" w:cs="宋体"/>
          <w:b/>
          <w:bCs/>
          <w:sz w:val="32"/>
          <w:szCs w:val="32"/>
          <w:highlight w:val="none"/>
        </w:rPr>
      </w:pPr>
    </w:p>
    <w:p w14:paraId="71FA321F">
      <w:pPr>
        <w:widowControl/>
        <w:adjustRightInd/>
        <w:jc w:val="left"/>
        <w:rPr>
          <w:rFonts w:ascii="宋体" w:hAnsi="宋体" w:cs="宋体"/>
          <w:b/>
          <w:bCs/>
          <w:sz w:val="32"/>
          <w:szCs w:val="32"/>
          <w:highlight w:val="none"/>
        </w:rPr>
      </w:pPr>
      <w:r>
        <w:rPr>
          <w:rFonts w:ascii="宋体" w:hAnsi="宋体" w:cs="宋体"/>
          <w:b/>
          <w:bCs/>
          <w:sz w:val="32"/>
          <w:szCs w:val="32"/>
          <w:highlight w:val="none"/>
        </w:rPr>
        <w:br w:type="page"/>
      </w:r>
    </w:p>
    <w:p w14:paraId="4A0BDE51">
      <w:pPr>
        <w:ind w:firstLine="1911" w:firstLineChars="595"/>
        <w:rPr>
          <w:rFonts w:ascii="宋体" w:hAnsi="宋体" w:cs="宋体"/>
          <w:b/>
          <w:bCs/>
          <w:sz w:val="32"/>
          <w:szCs w:val="32"/>
          <w:highlight w:val="none"/>
        </w:rPr>
      </w:pPr>
    </w:p>
    <w:p w14:paraId="3E151478">
      <w:pPr>
        <w:ind w:firstLine="1911" w:firstLineChars="595"/>
        <w:rPr>
          <w:rFonts w:ascii="宋体" w:hAnsi="宋体" w:cs="宋体"/>
          <w:b/>
          <w:kern w:val="0"/>
          <w:sz w:val="32"/>
          <w:szCs w:val="32"/>
          <w:highlight w:val="none"/>
        </w:rPr>
      </w:pPr>
      <w:r>
        <w:rPr>
          <w:rFonts w:hint="eastAsia" w:ascii="宋体" w:hAnsi="宋体" w:cs="宋体"/>
          <w:b/>
          <w:bCs/>
          <w:sz w:val="32"/>
          <w:szCs w:val="32"/>
          <w:highlight w:val="none"/>
        </w:rPr>
        <w:t>八</w:t>
      </w:r>
      <w:r>
        <w:rPr>
          <w:rFonts w:hint="eastAsia" w:ascii="宋体" w:hAnsi="宋体" w:cs="宋体"/>
          <w:b/>
          <w:kern w:val="0"/>
          <w:sz w:val="32"/>
          <w:szCs w:val="32"/>
          <w:highlight w:val="none"/>
        </w:rPr>
        <w:t>、</w:t>
      </w:r>
      <w:r>
        <w:rPr>
          <w:rFonts w:hint="eastAsia" w:ascii="宋体" w:hAnsi="宋体" w:cs="宋体"/>
          <w:b/>
          <w:kern w:val="0"/>
          <w:sz w:val="32"/>
          <w:szCs w:val="32"/>
          <w:highlight w:val="none"/>
          <w:lang w:val="zh-CN"/>
        </w:rPr>
        <w:t>政府采购供应商廉洁自律承诺书</w:t>
      </w:r>
    </w:p>
    <w:p w14:paraId="721F699F">
      <w:pPr>
        <w:snapToGrid w:val="0"/>
        <w:spacing w:line="360" w:lineRule="auto"/>
        <w:rPr>
          <w:rFonts w:ascii="宋体" w:hAnsi="宋体" w:cs="宋体"/>
          <w:sz w:val="24"/>
          <w:highlight w:val="none"/>
        </w:rPr>
      </w:pPr>
    </w:p>
    <w:p w14:paraId="6D3F8B75">
      <w:pPr>
        <w:snapToGrid w:val="0"/>
        <w:spacing w:line="360" w:lineRule="auto"/>
        <w:rPr>
          <w:rFonts w:ascii="宋体" w:hAnsi="宋体" w:cs="宋体"/>
          <w:kern w:val="0"/>
          <w:sz w:val="24"/>
          <w:highlight w:val="none"/>
        </w:rPr>
      </w:pPr>
      <w:r>
        <w:rPr>
          <w:rFonts w:hint="eastAsia" w:ascii="宋体" w:hAnsi="宋体" w:cs="宋体"/>
          <w:sz w:val="24"/>
          <w:highlight w:val="none"/>
        </w:rPr>
        <w:t>浙江同济科技职业学院、浙江致信招标代理有限公司</w:t>
      </w:r>
      <w:r>
        <w:rPr>
          <w:rFonts w:hint="eastAsia" w:ascii="宋体" w:hAnsi="宋体" w:cs="宋体"/>
          <w:kern w:val="0"/>
          <w:sz w:val="24"/>
          <w:highlight w:val="none"/>
          <w:lang w:val="zh-CN"/>
        </w:rPr>
        <w:t>：</w:t>
      </w:r>
    </w:p>
    <w:p w14:paraId="5C8CA4C4">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我单位响应你</w:t>
      </w:r>
      <w:r>
        <w:rPr>
          <w:rFonts w:hint="eastAsia" w:ascii="宋体" w:hAnsi="宋体" w:cs="宋体"/>
          <w:sz w:val="24"/>
          <w:highlight w:val="none"/>
        </w:rPr>
        <w:t>单位</w:t>
      </w:r>
      <w:r>
        <w:rPr>
          <w:rFonts w:hint="eastAsia" w:ascii="宋体" w:hAnsi="宋体" w:cs="宋体"/>
          <w:kern w:val="0"/>
          <w:sz w:val="24"/>
          <w:highlight w:val="none"/>
          <w:lang w:val="zh-CN"/>
        </w:rPr>
        <w:t>项目招标要求参加投标。在这次投标过程中和中标后，我们将严格遵守国家法律法规要求，并郑重承诺：</w:t>
      </w:r>
    </w:p>
    <w:p w14:paraId="6612505C">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一、不向项目有关人员及部门赠送礼金礼物、有价证券、回扣以及中介费、介绍费、咨询费等好处费； </w:t>
      </w:r>
    </w:p>
    <w:p w14:paraId="4A35C4B0">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二、不为项目有关人员及部门报销应由你方单位或个人支付的费用； </w:t>
      </w:r>
    </w:p>
    <w:p w14:paraId="48226869">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三、不向项目有关人员及部门提供有可能影响公正的宴请和健身娱乐等活动； </w:t>
      </w:r>
    </w:p>
    <w:p w14:paraId="6E5B32F4">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四、不为项目有关人员及部门出国（境）、旅游等提供方便；</w:t>
      </w:r>
    </w:p>
    <w:p w14:paraId="1CAEC524">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五、不为项目有关人员个人装修住房、婚丧嫁娶、配偶子女工作安排等提供</w:t>
      </w:r>
    </w:p>
    <w:p w14:paraId="5493F7D8">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好处；</w:t>
      </w:r>
    </w:p>
    <w:p w14:paraId="47A65C6E">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六、严格遵守《</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政府采购法》《</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招标投标</w:t>
      </w:r>
    </w:p>
    <w:p w14:paraId="6CCC0CED">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法》</w:t>
      </w:r>
      <w:r>
        <w:rPr>
          <w:rFonts w:hint="eastAsia" w:ascii="宋体" w:hAnsi="宋体" w:cs="宋体"/>
          <w:sz w:val="24"/>
          <w:highlight w:val="none"/>
          <w:lang w:val="zh-CN"/>
        </w:rPr>
        <w:t>《中华人民共和国民法典》</w:t>
      </w:r>
      <w:r>
        <w:rPr>
          <w:rFonts w:hint="eastAsia" w:ascii="宋体" w:hAnsi="宋体" w:cs="宋体"/>
          <w:kern w:val="0"/>
          <w:sz w:val="24"/>
          <w:highlight w:val="none"/>
          <w:lang w:val="zh-CN"/>
        </w:rPr>
        <w:t xml:space="preserve">等法律法规，诚实守信，合法经营，坚决抵制各种违法违纪行为。 </w:t>
      </w:r>
    </w:p>
    <w:p w14:paraId="330E1F67">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如违反上述承诺，你</w:t>
      </w:r>
      <w:r>
        <w:rPr>
          <w:rFonts w:hint="eastAsia" w:ascii="宋体" w:hAnsi="宋体" w:cs="宋体"/>
          <w:sz w:val="24"/>
          <w:highlight w:val="none"/>
        </w:rPr>
        <w:t>单位</w:t>
      </w:r>
      <w:r>
        <w:rPr>
          <w:rFonts w:hint="eastAsia" w:ascii="宋体" w:hAnsi="宋体" w:cs="宋体"/>
          <w:kern w:val="0"/>
          <w:sz w:val="24"/>
          <w:highlight w:val="none"/>
          <w:lang w:val="zh-CN"/>
        </w:rPr>
        <w:t>有权立即取消我单位投标、中标或在建项目的建设资格，有权拒绝我单位在一定时期内进入你</w:t>
      </w:r>
      <w:r>
        <w:rPr>
          <w:rFonts w:hint="eastAsia" w:ascii="宋体" w:hAnsi="宋体" w:cs="宋体"/>
          <w:sz w:val="24"/>
          <w:highlight w:val="none"/>
        </w:rPr>
        <w:t>单位</w:t>
      </w:r>
      <w:r>
        <w:rPr>
          <w:rFonts w:hint="eastAsia" w:ascii="宋体" w:hAnsi="宋体" w:cs="宋体"/>
          <w:kern w:val="0"/>
          <w:sz w:val="24"/>
          <w:highlight w:val="none"/>
          <w:lang w:val="zh-CN"/>
        </w:rPr>
        <w:t>进行项目建设或其他经营活动，并通报市财政局。由此引起的相应损失均由我单位承担。</w:t>
      </w:r>
    </w:p>
    <w:p w14:paraId="5DCED75A">
      <w:pPr>
        <w:autoSpaceDE w:val="0"/>
        <w:autoSpaceDN w:val="0"/>
        <w:spacing w:line="360" w:lineRule="auto"/>
        <w:ind w:left="2"/>
        <w:jc w:val="left"/>
        <w:rPr>
          <w:rFonts w:ascii="宋体" w:hAnsi="宋体" w:cs="宋体"/>
          <w:kern w:val="0"/>
          <w:sz w:val="24"/>
          <w:highlight w:val="none"/>
          <w:lang w:val="zh-CN"/>
        </w:rPr>
      </w:pPr>
    </w:p>
    <w:p w14:paraId="733FC964">
      <w:pPr>
        <w:autoSpaceDE w:val="0"/>
        <w:autoSpaceDN w:val="0"/>
        <w:spacing w:line="360" w:lineRule="auto"/>
        <w:ind w:left="2"/>
        <w:jc w:val="left"/>
        <w:rPr>
          <w:rFonts w:ascii="宋体" w:hAnsi="宋体" w:cs="宋体"/>
          <w:kern w:val="0"/>
          <w:sz w:val="24"/>
          <w:highlight w:val="none"/>
          <w:lang w:val="zh-CN"/>
        </w:rPr>
      </w:pPr>
    </w:p>
    <w:p w14:paraId="507C4085">
      <w:pPr>
        <w:autoSpaceDE w:val="0"/>
        <w:autoSpaceDN w:val="0"/>
        <w:spacing w:line="360" w:lineRule="auto"/>
        <w:ind w:left="2"/>
        <w:jc w:val="left"/>
        <w:rPr>
          <w:rFonts w:ascii="宋体" w:hAnsi="宋体" w:cs="宋体"/>
          <w:kern w:val="0"/>
          <w:sz w:val="24"/>
          <w:highlight w:val="none"/>
          <w:lang w:val="zh-CN"/>
        </w:rPr>
      </w:pPr>
    </w:p>
    <w:p w14:paraId="162CBD36">
      <w:pPr>
        <w:autoSpaceDE w:val="0"/>
        <w:autoSpaceDN w:val="0"/>
        <w:spacing w:line="360" w:lineRule="auto"/>
        <w:ind w:left="2" w:leftChars="1" w:right="1120" w:firstLine="4560" w:firstLineChars="1900"/>
        <w:jc w:val="left"/>
        <w:rPr>
          <w:rFonts w:ascii="宋体" w:hAnsi="宋体" w:cs="宋体"/>
          <w:kern w:val="0"/>
          <w:sz w:val="24"/>
          <w:highlight w:val="none"/>
          <w:lang w:val="zh-CN"/>
        </w:rPr>
      </w:pPr>
      <w:r>
        <w:rPr>
          <w:rFonts w:hint="eastAsia" w:ascii="宋体" w:hAnsi="宋体" w:cs="宋体"/>
          <w:kern w:val="0"/>
          <w:sz w:val="24"/>
          <w:highlight w:val="none"/>
          <w:lang w:val="zh-CN"/>
        </w:rPr>
        <w:t>投标人名称（</w:t>
      </w:r>
      <w:r>
        <w:rPr>
          <w:rFonts w:hint="eastAsia" w:ascii="宋体" w:hAnsi="宋体" w:cs="宋体"/>
          <w:sz w:val="24"/>
          <w:highlight w:val="none"/>
        </w:rPr>
        <w:t>电子签名</w:t>
      </w:r>
      <w:r>
        <w:rPr>
          <w:rFonts w:hint="eastAsia" w:ascii="宋体" w:hAnsi="宋体" w:cs="宋体"/>
          <w:kern w:val="0"/>
          <w:sz w:val="24"/>
          <w:highlight w:val="none"/>
          <w:lang w:val="zh-CN"/>
        </w:rPr>
        <w:t xml:space="preserve">）：                                                                                                                                                                                                               </w:t>
      </w:r>
    </w:p>
    <w:p w14:paraId="28A7DB36">
      <w:pPr>
        <w:spacing w:line="360" w:lineRule="auto"/>
        <w:ind w:left="4620" w:leftChars="2200"/>
        <w:rPr>
          <w:rFonts w:ascii="宋体" w:hAnsi="宋体" w:cs="宋体"/>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w:t>
      </w:r>
      <w:r>
        <w:rPr>
          <w:rFonts w:hint="eastAsia" w:ascii="宋体" w:hAnsi="宋体" w:cs="宋体"/>
          <w:kern w:val="0"/>
          <w:sz w:val="24"/>
          <w:highlight w:val="none"/>
          <w:lang w:val="zh-CN"/>
        </w:rPr>
        <w:t xml:space="preserve">   年   月   日</w:t>
      </w:r>
    </w:p>
    <w:p w14:paraId="7AC2A920">
      <w:pPr>
        <w:spacing w:line="360" w:lineRule="auto"/>
        <w:jc w:val="center"/>
        <w:rPr>
          <w:rFonts w:ascii="宋体" w:hAnsi="宋体" w:cs="宋体"/>
          <w:b/>
          <w:bCs/>
          <w:sz w:val="24"/>
          <w:highlight w:val="none"/>
        </w:rPr>
      </w:pPr>
    </w:p>
    <w:p w14:paraId="74A98EAF">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14:paraId="4E56AB28">
      <w:pPr>
        <w:rPr>
          <w:rFonts w:ascii="宋体" w:hAnsi="宋体" w:cs="宋体"/>
          <w:b/>
          <w:bCs/>
          <w:sz w:val="24"/>
          <w:highlight w:val="none"/>
        </w:rPr>
      </w:pPr>
      <w:r>
        <w:rPr>
          <w:rFonts w:ascii="宋体" w:hAnsi="宋体" w:cs="宋体"/>
          <w:b/>
          <w:bCs/>
          <w:sz w:val="24"/>
          <w:highlight w:val="none"/>
        </w:rPr>
        <w:br w:type="page"/>
      </w:r>
    </w:p>
    <w:p w14:paraId="23B985E2">
      <w:pPr>
        <w:jc w:val="center"/>
        <w:rPr>
          <w:rFonts w:ascii="宋体" w:hAnsi="宋体" w:cs="宋体"/>
          <w:b/>
          <w:bCs/>
          <w:sz w:val="32"/>
          <w:szCs w:val="32"/>
          <w:highlight w:val="none"/>
        </w:rPr>
      </w:pPr>
    </w:p>
    <w:p w14:paraId="250D21B8">
      <w:pPr>
        <w:jc w:val="center"/>
        <w:rPr>
          <w:rFonts w:ascii="宋体" w:hAnsi="宋体" w:cs="宋体"/>
          <w:b/>
          <w:bCs/>
          <w:sz w:val="32"/>
          <w:szCs w:val="32"/>
          <w:highlight w:val="none"/>
        </w:rPr>
      </w:pPr>
      <w:r>
        <w:rPr>
          <w:rFonts w:hint="eastAsia" w:ascii="宋体" w:hAnsi="宋体" w:cs="宋体"/>
          <w:b/>
          <w:bCs/>
          <w:sz w:val="32"/>
          <w:szCs w:val="32"/>
          <w:highlight w:val="none"/>
        </w:rPr>
        <w:t>九、投标人股权信息表</w:t>
      </w:r>
    </w:p>
    <w:p w14:paraId="7B327216">
      <w:pPr>
        <w:rPr>
          <w:highlight w:val="none"/>
        </w:rPr>
      </w:pPr>
    </w:p>
    <w:tbl>
      <w:tblPr>
        <w:tblStyle w:val="64"/>
        <w:tblW w:w="9515" w:type="dxa"/>
        <w:tblInd w:w="0" w:type="dxa"/>
        <w:tblLayout w:type="fixed"/>
        <w:tblCellMar>
          <w:top w:w="0" w:type="dxa"/>
          <w:left w:w="108" w:type="dxa"/>
          <w:bottom w:w="0" w:type="dxa"/>
          <w:right w:w="108" w:type="dxa"/>
        </w:tblCellMar>
      </w:tblPr>
      <w:tblGrid>
        <w:gridCol w:w="1060"/>
        <w:gridCol w:w="1551"/>
        <w:gridCol w:w="1404"/>
        <w:gridCol w:w="1905"/>
        <w:gridCol w:w="1155"/>
        <w:gridCol w:w="1085"/>
        <w:gridCol w:w="1355"/>
      </w:tblGrid>
      <w:tr w14:paraId="5F070823">
        <w:tblPrEx>
          <w:tblCellMar>
            <w:top w:w="0" w:type="dxa"/>
            <w:left w:w="108" w:type="dxa"/>
            <w:bottom w:w="0" w:type="dxa"/>
            <w:right w:w="108" w:type="dxa"/>
          </w:tblCellMar>
        </w:tblPrEx>
        <w:trPr>
          <w:trHeight w:val="495"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5093D">
            <w:pPr>
              <w:widowControl/>
              <w:jc w:val="center"/>
              <w:rPr>
                <w:rFonts w:ascii="宋体" w:hAnsi="宋体" w:cs="宋体"/>
                <w:b/>
                <w:bCs/>
                <w:sz w:val="24"/>
                <w:highlight w:val="none"/>
              </w:rPr>
            </w:pPr>
            <w:r>
              <w:rPr>
                <w:rFonts w:hint="eastAsia" w:ascii="宋体" w:hAnsi="宋体" w:cs="宋体"/>
                <w:b/>
                <w:bCs/>
                <w:kern w:val="0"/>
                <w:sz w:val="24"/>
                <w:highlight w:val="none"/>
                <w:lang w:bidi="ar"/>
              </w:rPr>
              <w:t>投标人股权信息表</w:t>
            </w:r>
          </w:p>
        </w:tc>
      </w:tr>
      <w:tr w14:paraId="2FF9BBA8">
        <w:tblPrEx>
          <w:tblCellMar>
            <w:top w:w="0" w:type="dxa"/>
            <w:left w:w="108" w:type="dxa"/>
            <w:bottom w:w="0" w:type="dxa"/>
            <w:right w:w="108" w:type="dxa"/>
          </w:tblCellMar>
        </w:tblPrEx>
        <w:trPr>
          <w:trHeight w:val="480"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BEE9">
            <w:pPr>
              <w:widowControl/>
              <w:jc w:val="left"/>
              <w:rPr>
                <w:rFonts w:ascii="宋体" w:hAnsi="宋体" w:cs="宋体"/>
                <w:sz w:val="24"/>
                <w:highlight w:val="none"/>
              </w:rPr>
            </w:pPr>
            <w:r>
              <w:rPr>
                <w:rFonts w:hint="eastAsia" w:ascii="宋体" w:hAnsi="宋体" w:cs="宋体"/>
                <w:kern w:val="0"/>
                <w:sz w:val="24"/>
                <w:highlight w:val="none"/>
                <w:lang w:bidi="ar"/>
              </w:rPr>
              <w:t>项目编号：</w:t>
            </w:r>
          </w:p>
        </w:tc>
      </w:tr>
      <w:tr w14:paraId="04FCA2B5">
        <w:tblPrEx>
          <w:tblCellMar>
            <w:top w:w="0" w:type="dxa"/>
            <w:left w:w="108" w:type="dxa"/>
            <w:bottom w:w="0" w:type="dxa"/>
            <w:right w:w="108" w:type="dxa"/>
          </w:tblCellMar>
        </w:tblPrEx>
        <w:trPr>
          <w:trHeight w:val="520"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68182">
            <w:pPr>
              <w:jc w:val="left"/>
              <w:rPr>
                <w:rFonts w:ascii="宋体" w:hAnsi="宋体" w:cs="宋体"/>
                <w:sz w:val="24"/>
                <w:highlight w:val="none"/>
              </w:rPr>
            </w:pPr>
            <w:r>
              <w:rPr>
                <w:rFonts w:hint="eastAsia" w:ascii="宋体" w:hAnsi="宋体" w:cs="宋体"/>
                <w:kern w:val="0"/>
                <w:sz w:val="24"/>
                <w:highlight w:val="none"/>
                <w:lang w:bidi="ar"/>
              </w:rPr>
              <w:t>项目名称：</w:t>
            </w:r>
          </w:p>
        </w:tc>
      </w:tr>
      <w:tr w14:paraId="446F696D">
        <w:tblPrEx>
          <w:tblCellMar>
            <w:top w:w="0" w:type="dxa"/>
            <w:left w:w="108" w:type="dxa"/>
            <w:bottom w:w="0" w:type="dxa"/>
            <w:right w:w="108" w:type="dxa"/>
          </w:tblCellMar>
        </w:tblPrEx>
        <w:trPr>
          <w:trHeight w:val="285"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7113">
            <w:pPr>
              <w:widowControl/>
              <w:jc w:val="center"/>
              <w:rPr>
                <w:rFonts w:ascii="宋体" w:hAnsi="宋体" w:cs="宋体"/>
                <w:sz w:val="24"/>
                <w:highlight w:val="none"/>
              </w:rPr>
            </w:pPr>
            <w:r>
              <w:rPr>
                <w:rFonts w:hint="eastAsia" w:ascii="宋体" w:hAnsi="宋体" w:cs="宋体"/>
                <w:kern w:val="0"/>
                <w:sz w:val="24"/>
                <w:highlight w:val="none"/>
                <w:lang w:bidi="ar"/>
              </w:rPr>
              <w:t>序号</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5AE9">
            <w:pPr>
              <w:widowControl/>
              <w:jc w:val="center"/>
              <w:rPr>
                <w:rFonts w:ascii="宋体" w:hAnsi="宋体" w:cs="宋体"/>
                <w:sz w:val="24"/>
                <w:highlight w:val="none"/>
              </w:rPr>
            </w:pPr>
            <w:r>
              <w:rPr>
                <w:rFonts w:hint="eastAsia" w:ascii="宋体" w:hAnsi="宋体" w:cs="宋体"/>
                <w:kern w:val="0"/>
                <w:sz w:val="24"/>
                <w:highlight w:val="none"/>
                <w:lang w:bidi="ar"/>
              </w:rPr>
              <w:t>投标人名称</w:t>
            </w: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9658">
            <w:pPr>
              <w:widowControl/>
              <w:jc w:val="center"/>
              <w:rPr>
                <w:rFonts w:ascii="宋体" w:hAnsi="宋体" w:cs="宋体"/>
                <w:sz w:val="24"/>
                <w:highlight w:val="none"/>
              </w:rPr>
            </w:pPr>
            <w:r>
              <w:rPr>
                <w:rFonts w:hint="eastAsia" w:ascii="宋体" w:hAnsi="宋体" w:cs="宋体"/>
                <w:kern w:val="0"/>
                <w:sz w:val="24"/>
                <w:highlight w:val="none"/>
                <w:lang w:bidi="ar"/>
              </w:rPr>
              <w:t>法定代表人</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BEAB">
            <w:pPr>
              <w:widowControl/>
              <w:rPr>
                <w:rFonts w:ascii="宋体" w:hAnsi="宋体" w:cs="宋体"/>
                <w:sz w:val="24"/>
                <w:highlight w:val="none"/>
              </w:rPr>
            </w:pPr>
            <w:r>
              <w:rPr>
                <w:rFonts w:hint="eastAsia" w:ascii="宋体" w:hAnsi="宋体" w:cs="宋体"/>
                <w:kern w:val="0"/>
                <w:sz w:val="24"/>
                <w:highlight w:val="none"/>
                <w:lang w:bidi="ar"/>
              </w:rPr>
              <w:t>股东（股权比例）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9872">
            <w:pPr>
              <w:widowControl/>
              <w:jc w:val="center"/>
              <w:rPr>
                <w:rFonts w:ascii="宋体" w:hAnsi="宋体" w:cs="宋体"/>
                <w:sz w:val="24"/>
                <w:highlight w:val="none"/>
              </w:rPr>
            </w:pPr>
            <w:r>
              <w:rPr>
                <w:rFonts w:hint="eastAsia" w:ascii="宋体" w:hAnsi="宋体" w:cs="宋体"/>
                <w:kern w:val="0"/>
                <w:sz w:val="24"/>
                <w:highlight w:val="none"/>
                <w:lang w:bidi="ar"/>
              </w:rPr>
              <w:t>董事</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4BA9">
            <w:pPr>
              <w:widowControl/>
              <w:jc w:val="center"/>
              <w:rPr>
                <w:rFonts w:ascii="宋体" w:hAnsi="宋体" w:cs="宋体"/>
                <w:sz w:val="24"/>
                <w:highlight w:val="none"/>
              </w:rPr>
            </w:pPr>
            <w:r>
              <w:rPr>
                <w:rFonts w:hint="eastAsia" w:ascii="宋体" w:hAnsi="宋体" w:cs="宋体"/>
                <w:kern w:val="0"/>
                <w:sz w:val="24"/>
                <w:highlight w:val="none"/>
                <w:lang w:bidi="ar"/>
              </w:rPr>
              <w:t>监事</w:t>
            </w: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4E62">
            <w:pPr>
              <w:widowControl/>
              <w:jc w:val="center"/>
              <w:rPr>
                <w:rFonts w:ascii="宋体" w:hAnsi="宋体" w:cs="宋体"/>
                <w:sz w:val="24"/>
                <w:highlight w:val="none"/>
              </w:rPr>
            </w:pPr>
            <w:r>
              <w:rPr>
                <w:rFonts w:hint="eastAsia" w:ascii="宋体" w:hAnsi="宋体" w:cs="宋体"/>
                <w:kern w:val="0"/>
                <w:sz w:val="24"/>
                <w:highlight w:val="none"/>
                <w:lang w:bidi="ar"/>
              </w:rPr>
              <w:t>授权代表</w:t>
            </w:r>
          </w:p>
        </w:tc>
      </w:tr>
      <w:tr w14:paraId="525EE2A6">
        <w:tblPrEx>
          <w:tblCellMar>
            <w:top w:w="0" w:type="dxa"/>
            <w:left w:w="108" w:type="dxa"/>
            <w:bottom w:w="0" w:type="dxa"/>
            <w:right w:w="108" w:type="dxa"/>
          </w:tblCellMar>
        </w:tblPrEx>
        <w:trPr>
          <w:trHeight w:val="531"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AEFF">
            <w:pPr>
              <w:widowControl/>
              <w:jc w:val="center"/>
              <w:rPr>
                <w:rFonts w:ascii="宋体" w:hAnsi="宋体" w:cs="宋体"/>
                <w:sz w:val="24"/>
                <w:highlight w:val="none"/>
              </w:rPr>
            </w:pPr>
            <w:r>
              <w:rPr>
                <w:rFonts w:hint="eastAsia" w:ascii="宋体" w:hAnsi="宋体" w:cs="宋体"/>
                <w:kern w:val="0"/>
                <w:sz w:val="24"/>
                <w:highlight w:val="none"/>
                <w:lang w:bidi="ar"/>
              </w:rPr>
              <w:t>1</w:t>
            </w:r>
          </w:p>
        </w:tc>
        <w:tc>
          <w:tcPr>
            <w:tcW w:w="15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4D6A">
            <w:pPr>
              <w:jc w:val="center"/>
              <w:rPr>
                <w:rFonts w:ascii="宋体" w:hAnsi="宋体" w:cs="宋体"/>
                <w:sz w:val="24"/>
                <w:highlight w:val="none"/>
              </w:rPr>
            </w:pPr>
          </w:p>
        </w:tc>
        <w:tc>
          <w:tcPr>
            <w:tcW w:w="1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07DB">
            <w:pPr>
              <w:jc w:val="center"/>
              <w:rPr>
                <w:rFonts w:ascii="宋体" w:hAnsi="宋体" w:cs="宋体"/>
                <w:sz w:val="24"/>
                <w:highlight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B048">
            <w:pPr>
              <w:jc w:val="center"/>
              <w:rPr>
                <w:rFonts w:ascii="宋体" w:hAnsi="宋体" w:cs="宋体"/>
                <w:sz w:val="24"/>
                <w:highlight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D165">
            <w:pPr>
              <w:jc w:val="center"/>
              <w:rPr>
                <w:rFonts w:ascii="宋体" w:hAnsi="宋体" w:cs="宋体"/>
                <w:sz w:val="24"/>
                <w:highlight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8A73">
            <w:pPr>
              <w:jc w:val="center"/>
              <w:rPr>
                <w:rFonts w:ascii="宋体" w:hAnsi="宋体" w:cs="宋体"/>
                <w:sz w:val="24"/>
                <w:highlight w:val="none"/>
              </w:rPr>
            </w:pPr>
          </w:p>
        </w:tc>
        <w:tc>
          <w:tcPr>
            <w:tcW w:w="13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FE73">
            <w:pPr>
              <w:jc w:val="center"/>
              <w:rPr>
                <w:rFonts w:ascii="宋体" w:hAnsi="宋体" w:cs="宋体"/>
                <w:sz w:val="24"/>
                <w:highlight w:val="none"/>
              </w:rPr>
            </w:pPr>
          </w:p>
        </w:tc>
      </w:tr>
      <w:tr w14:paraId="16C59732">
        <w:tblPrEx>
          <w:tblCellMar>
            <w:top w:w="0" w:type="dxa"/>
            <w:left w:w="108" w:type="dxa"/>
            <w:bottom w:w="0" w:type="dxa"/>
            <w:right w:w="108" w:type="dxa"/>
          </w:tblCellMar>
        </w:tblPrEx>
        <w:trPr>
          <w:trHeight w:val="705" w:hRule="atLeast"/>
        </w:trPr>
        <w:tc>
          <w:tcPr>
            <w:tcW w:w="95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DFA3">
            <w:pPr>
              <w:widowControl/>
              <w:jc w:val="left"/>
              <w:rPr>
                <w:rFonts w:ascii="宋体" w:hAnsi="宋体" w:cs="宋体"/>
                <w:sz w:val="24"/>
                <w:highlight w:val="none"/>
              </w:rPr>
            </w:pPr>
            <w:r>
              <w:rPr>
                <w:rFonts w:hint="eastAsia" w:ascii="宋体" w:hAnsi="宋体" w:cs="宋体"/>
                <w:sz w:val="24"/>
                <w:highlight w:val="none"/>
              </w:rPr>
              <w:t>投标人名称(电子签名):</w:t>
            </w:r>
          </w:p>
        </w:tc>
      </w:tr>
    </w:tbl>
    <w:p w14:paraId="201342CD">
      <w:pPr>
        <w:pStyle w:val="62"/>
        <w:rPr>
          <w:highlight w:val="none"/>
        </w:rPr>
        <w:sectPr>
          <w:headerReference r:id="rId14" w:type="first"/>
          <w:footerReference r:id="rId16" w:type="first"/>
          <w:headerReference r:id="rId13" w:type="default"/>
          <w:footerReference r:id="rId15" w:type="default"/>
          <w:pgSz w:w="11906" w:h="16838"/>
          <w:pgMar w:top="1440" w:right="1080" w:bottom="1440" w:left="1080" w:header="851" w:footer="992" w:gutter="0"/>
          <w:cols w:space="720" w:num="1"/>
          <w:titlePg/>
          <w:docGrid w:linePitch="312" w:charSpace="0"/>
        </w:sectPr>
      </w:pPr>
    </w:p>
    <w:p w14:paraId="7E5FA513">
      <w:pPr>
        <w:jc w:val="center"/>
        <w:rPr>
          <w:rFonts w:ascii="宋体" w:hAnsi="宋体" w:cs="宋体"/>
          <w:b/>
          <w:bCs/>
          <w:sz w:val="32"/>
          <w:szCs w:val="32"/>
          <w:highlight w:val="none"/>
        </w:rPr>
      </w:pPr>
      <w:r>
        <w:rPr>
          <w:rFonts w:hint="eastAsia" w:ascii="宋体" w:hAnsi="宋体" w:cs="宋体"/>
          <w:b/>
          <w:bCs/>
          <w:sz w:val="32"/>
          <w:szCs w:val="32"/>
          <w:highlight w:val="none"/>
        </w:rPr>
        <w:t>十、缴纳采购代理服务费承诺书</w:t>
      </w:r>
    </w:p>
    <w:p w14:paraId="3EA0CAB8">
      <w:pPr>
        <w:snapToGrid w:val="0"/>
        <w:spacing w:line="360" w:lineRule="auto"/>
        <w:rPr>
          <w:rFonts w:ascii="宋体" w:hAnsi="宋体" w:cs="宋体"/>
          <w:sz w:val="24"/>
          <w:highlight w:val="none"/>
        </w:rPr>
      </w:pPr>
    </w:p>
    <w:p w14:paraId="415DE6F8">
      <w:pPr>
        <w:snapToGrid w:val="0"/>
        <w:spacing w:line="360" w:lineRule="auto"/>
        <w:rPr>
          <w:rFonts w:ascii="宋体" w:hAnsi="宋体" w:cs="宋体"/>
          <w:sz w:val="24"/>
          <w:highlight w:val="none"/>
        </w:rPr>
      </w:pPr>
      <w:r>
        <w:rPr>
          <w:rFonts w:hint="eastAsia" w:ascii="宋体" w:hAnsi="宋体" w:cs="宋体"/>
          <w:sz w:val="24"/>
          <w:highlight w:val="none"/>
        </w:rPr>
        <w:t>浙江致信招标代理有限公司：</w:t>
      </w:r>
    </w:p>
    <w:p w14:paraId="71263926">
      <w:pPr>
        <w:snapToGrid w:val="0"/>
        <w:spacing w:line="360" w:lineRule="auto"/>
        <w:ind w:firstLine="600"/>
        <w:rPr>
          <w:rFonts w:ascii="宋体" w:hAnsi="宋体" w:cs="宋体"/>
          <w:sz w:val="24"/>
          <w:highlight w:val="none"/>
        </w:rPr>
      </w:pPr>
    </w:p>
    <w:p w14:paraId="05416271">
      <w:pPr>
        <w:snapToGrid w:val="0"/>
        <w:spacing w:line="360" w:lineRule="auto"/>
        <w:ind w:firstLine="600"/>
        <w:rPr>
          <w:rFonts w:ascii="宋体" w:hAnsi="宋体" w:cs="宋体"/>
          <w:sz w:val="24"/>
          <w:highlight w:val="none"/>
        </w:rPr>
      </w:pPr>
      <w:r>
        <w:rPr>
          <w:rFonts w:hint="eastAsia" w:ascii="宋体" w:hAnsi="宋体" w:cs="宋体"/>
          <w:sz w:val="24"/>
          <w:highlight w:val="none"/>
        </w:rPr>
        <w:t>我方在你公司组织的</w:t>
      </w:r>
      <w:r>
        <w:rPr>
          <w:rFonts w:hint="eastAsia" w:ascii="宋体" w:hAnsi="宋体" w:cs="宋体"/>
          <w:sz w:val="24"/>
          <w:highlight w:val="none"/>
          <w:u w:val="single"/>
        </w:rPr>
        <w:t>【项目名称】（项目编号）</w:t>
      </w:r>
      <w:r>
        <w:rPr>
          <w:rFonts w:hint="eastAsia" w:ascii="宋体" w:hAnsi="宋体" w:cs="宋体"/>
          <w:sz w:val="24"/>
          <w:highlight w:val="none"/>
        </w:rPr>
        <w:t>的采购活动中若获中标/成交，我方保证于中标/成交公告发布后</w:t>
      </w:r>
      <w:r>
        <w:rPr>
          <w:rFonts w:hint="eastAsia" w:ascii="宋体" w:hAnsi="宋体" w:cs="宋体"/>
          <w:sz w:val="24"/>
          <w:highlight w:val="none"/>
          <w:u w:val="single"/>
        </w:rPr>
        <w:t>[具体时间]（不得超过15天）</w:t>
      </w:r>
      <w:r>
        <w:rPr>
          <w:rFonts w:hint="eastAsia" w:ascii="宋体" w:hAnsi="宋体" w:cs="宋体"/>
          <w:sz w:val="24"/>
          <w:highlight w:val="none"/>
        </w:rPr>
        <w:t>，内按采购文件</w:t>
      </w:r>
      <w:r>
        <w:rPr>
          <w:rFonts w:hint="eastAsia" w:ascii="宋体" w:hAnsi="宋体" w:cs="宋体"/>
          <w:b/>
          <w:sz w:val="24"/>
          <w:highlight w:val="none"/>
        </w:rPr>
        <w:t>“第二部分 投标人须知 前附表”</w:t>
      </w:r>
      <w:r>
        <w:rPr>
          <w:rFonts w:hint="eastAsia" w:ascii="宋体" w:hAnsi="宋体" w:cs="宋体"/>
          <w:sz w:val="24"/>
          <w:highlight w:val="none"/>
        </w:rPr>
        <w:t>规定的采购代理服务费缴纳标准及方式，向你公司支付采购代理服务费。</w:t>
      </w:r>
    </w:p>
    <w:p w14:paraId="69AC19CF">
      <w:pPr>
        <w:snapToGrid w:val="0"/>
        <w:spacing w:line="360" w:lineRule="auto"/>
        <w:ind w:firstLine="600"/>
        <w:rPr>
          <w:rFonts w:ascii="宋体" w:hAnsi="宋体" w:cs="宋体"/>
          <w:sz w:val="24"/>
          <w:highlight w:val="none"/>
        </w:rPr>
      </w:pPr>
      <w:r>
        <w:rPr>
          <w:rFonts w:hint="eastAsia" w:ascii="宋体" w:hAnsi="宋体" w:cs="宋体"/>
          <w:sz w:val="24"/>
          <w:highlight w:val="none"/>
        </w:rPr>
        <w:t>我方理解并承诺，若未能按时缴纳采购代理服务费，由此产生的法律责任我方自行承担。我方承诺，本承诺书一旦盖章（电子签名），即具有法律效力。</w:t>
      </w:r>
    </w:p>
    <w:p w14:paraId="2BA01AAD">
      <w:pPr>
        <w:pStyle w:val="321"/>
        <w:adjustRightInd w:val="0"/>
        <w:snapToGrid w:val="0"/>
        <w:spacing w:line="360" w:lineRule="auto"/>
        <w:ind w:firstLine="600"/>
        <w:rPr>
          <w:rFonts w:hAnsi="宋体" w:cs="宋体"/>
          <w:sz w:val="24"/>
          <w:szCs w:val="24"/>
          <w:highlight w:val="none"/>
        </w:rPr>
      </w:pPr>
      <w:r>
        <w:rPr>
          <w:rFonts w:hint="eastAsia" w:hAnsi="宋体" w:cs="宋体"/>
          <w:sz w:val="24"/>
          <w:szCs w:val="24"/>
          <w:highlight w:val="none"/>
        </w:rPr>
        <w:t>特此承诺。</w:t>
      </w:r>
    </w:p>
    <w:p w14:paraId="48F38594">
      <w:pPr>
        <w:pStyle w:val="321"/>
        <w:adjustRightInd w:val="0"/>
        <w:snapToGrid w:val="0"/>
        <w:spacing w:line="360" w:lineRule="auto"/>
        <w:ind w:firstLine="600"/>
        <w:rPr>
          <w:rFonts w:hAnsi="宋体" w:cs="宋体"/>
          <w:sz w:val="24"/>
          <w:szCs w:val="24"/>
          <w:highlight w:val="none"/>
        </w:rPr>
      </w:pPr>
    </w:p>
    <w:p w14:paraId="76DF5444">
      <w:pPr>
        <w:pStyle w:val="321"/>
        <w:adjustRightInd w:val="0"/>
        <w:snapToGrid w:val="0"/>
        <w:spacing w:line="360" w:lineRule="auto"/>
        <w:ind w:firstLine="600"/>
        <w:rPr>
          <w:rFonts w:hAnsi="宋体" w:cs="宋体"/>
          <w:sz w:val="24"/>
          <w:szCs w:val="24"/>
          <w:highlight w:val="none"/>
        </w:rPr>
      </w:pPr>
      <w:r>
        <w:rPr>
          <w:rFonts w:hint="eastAsia" w:hAnsi="宋体" w:cs="宋体"/>
          <w:sz w:val="24"/>
          <w:szCs w:val="24"/>
          <w:highlight w:val="none"/>
        </w:rPr>
        <w:t>供应商全称（盖章）：</w:t>
      </w:r>
    </w:p>
    <w:p w14:paraId="647F0015">
      <w:pPr>
        <w:pStyle w:val="321"/>
        <w:adjustRightInd w:val="0"/>
        <w:snapToGrid w:val="0"/>
        <w:spacing w:line="360" w:lineRule="auto"/>
        <w:ind w:firstLine="600"/>
        <w:rPr>
          <w:sz w:val="24"/>
          <w:szCs w:val="24"/>
          <w:highlight w:val="none"/>
        </w:rPr>
      </w:pPr>
      <w:r>
        <w:rPr>
          <w:rFonts w:hint="eastAsia" w:hAnsi="宋体" w:cs="宋体"/>
          <w:sz w:val="24"/>
          <w:szCs w:val="24"/>
          <w:highlight w:val="none"/>
        </w:rPr>
        <w:t>日期：</w:t>
      </w:r>
      <w:r>
        <w:rPr>
          <w:rFonts w:hint="eastAsia" w:hAnsi="宋体" w:cs="宋体"/>
          <w:sz w:val="24"/>
          <w:szCs w:val="24"/>
          <w:highlight w:val="none"/>
          <w:u w:val="single"/>
        </w:rPr>
        <w:t xml:space="preserve">    年  月  日</w:t>
      </w:r>
    </w:p>
    <w:p w14:paraId="74DA0F18">
      <w:pPr>
        <w:pStyle w:val="50"/>
        <w:rPr>
          <w:highlight w:val="none"/>
        </w:rPr>
        <w:sectPr>
          <w:pgSz w:w="11906" w:h="16838"/>
          <w:pgMar w:top="1440" w:right="1080" w:bottom="1440" w:left="1080" w:header="851" w:footer="992" w:gutter="0"/>
          <w:cols w:space="720" w:num="1"/>
          <w:titlePg/>
          <w:docGrid w:linePitch="312" w:charSpace="0"/>
        </w:sectPr>
      </w:pPr>
    </w:p>
    <w:p w14:paraId="3B87F503">
      <w:pPr>
        <w:pStyle w:val="4"/>
        <w:rPr>
          <w:highlight w:val="none"/>
        </w:rPr>
      </w:pPr>
      <w:bookmarkStart w:id="423" w:name="_Toc7986"/>
      <w:r>
        <w:rPr>
          <w:rFonts w:hint="eastAsia"/>
          <w:highlight w:val="none"/>
        </w:rPr>
        <w:t>报价文件部分</w:t>
      </w:r>
      <w:bookmarkEnd w:id="423"/>
    </w:p>
    <w:p w14:paraId="72842F40">
      <w:pPr>
        <w:rPr>
          <w:highlight w:val="none"/>
        </w:rPr>
      </w:pPr>
    </w:p>
    <w:p w14:paraId="10AB366E">
      <w:pPr>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目录</w:t>
      </w:r>
    </w:p>
    <w:p w14:paraId="364EC21C">
      <w:pPr>
        <w:rPr>
          <w:highlight w:val="none"/>
        </w:rPr>
      </w:pPr>
    </w:p>
    <w:p w14:paraId="37CD1D6A">
      <w:pPr>
        <w:snapToGrid w:val="0"/>
        <w:spacing w:line="360" w:lineRule="auto"/>
        <w:rPr>
          <w:rFonts w:ascii="宋体" w:hAnsi="宋体" w:cs="宋体"/>
          <w:sz w:val="24"/>
          <w:highlight w:val="none"/>
        </w:rPr>
      </w:pPr>
      <w:r>
        <w:rPr>
          <w:rFonts w:hint="eastAsia" w:ascii="宋体" w:hAnsi="宋体" w:cs="宋体"/>
          <w:sz w:val="24"/>
          <w:highlight w:val="none"/>
        </w:rPr>
        <w:t>（1）开标一览表（报价表）…………………………………………………………（页码）</w:t>
      </w:r>
    </w:p>
    <w:p w14:paraId="0DA6340B">
      <w:pPr>
        <w:snapToGrid w:val="0"/>
        <w:spacing w:line="360" w:lineRule="auto"/>
        <w:rPr>
          <w:rFonts w:ascii="宋体" w:hAnsi="宋体" w:cs="宋体"/>
          <w:sz w:val="24"/>
          <w:highlight w:val="none"/>
        </w:rPr>
      </w:pPr>
      <w:r>
        <w:rPr>
          <w:rFonts w:hint="eastAsia" w:ascii="宋体" w:hAnsi="宋体" w:cs="宋体"/>
          <w:sz w:val="24"/>
          <w:highlight w:val="none"/>
        </w:rPr>
        <w:t>（2）中小企业声明函…………………………………………………………………（页码）</w:t>
      </w:r>
    </w:p>
    <w:p w14:paraId="6499390C">
      <w:pPr>
        <w:snapToGrid w:val="0"/>
        <w:spacing w:line="360" w:lineRule="auto"/>
        <w:ind w:right="480"/>
        <w:jc w:val="center"/>
        <w:rPr>
          <w:rFonts w:ascii="宋体" w:hAnsi="宋体" w:cs="宋体"/>
          <w:b/>
          <w:kern w:val="0"/>
          <w:sz w:val="32"/>
          <w:szCs w:val="32"/>
          <w:highlight w:val="none"/>
        </w:rPr>
      </w:pPr>
    </w:p>
    <w:p w14:paraId="7DDC6737">
      <w:pPr>
        <w:snapToGrid w:val="0"/>
        <w:spacing w:line="360" w:lineRule="auto"/>
        <w:ind w:right="480"/>
        <w:jc w:val="center"/>
        <w:rPr>
          <w:rFonts w:ascii="宋体" w:hAnsi="宋体" w:cs="宋体"/>
          <w:b/>
          <w:kern w:val="0"/>
          <w:sz w:val="32"/>
          <w:szCs w:val="32"/>
          <w:highlight w:val="none"/>
        </w:rPr>
      </w:pPr>
    </w:p>
    <w:p w14:paraId="23C97793">
      <w:pPr>
        <w:snapToGrid w:val="0"/>
        <w:spacing w:line="360" w:lineRule="auto"/>
        <w:ind w:right="480"/>
        <w:jc w:val="center"/>
        <w:rPr>
          <w:rFonts w:ascii="宋体" w:hAnsi="宋体" w:cs="宋体"/>
          <w:b/>
          <w:kern w:val="0"/>
          <w:sz w:val="32"/>
          <w:szCs w:val="32"/>
          <w:highlight w:val="none"/>
        </w:rPr>
      </w:pPr>
    </w:p>
    <w:p w14:paraId="5781982C">
      <w:pPr>
        <w:snapToGrid w:val="0"/>
        <w:spacing w:line="360" w:lineRule="auto"/>
        <w:ind w:right="480"/>
        <w:jc w:val="center"/>
        <w:rPr>
          <w:rFonts w:ascii="宋体" w:hAnsi="宋体" w:cs="宋体"/>
          <w:b/>
          <w:kern w:val="0"/>
          <w:sz w:val="32"/>
          <w:szCs w:val="32"/>
          <w:highlight w:val="none"/>
        </w:rPr>
      </w:pPr>
    </w:p>
    <w:p w14:paraId="4D7E34E2">
      <w:pPr>
        <w:snapToGrid w:val="0"/>
        <w:spacing w:line="360" w:lineRule="auto"/>
        <w:ind w:right="480"/>
        <w:jc w:val="center"/>
        <w:rPr>
          <w:rFonts w:ascii="宋体" w:hAnsi="宋体" w:cs="宋体"/>
          <w:b/>
          <w:kern w:val="0"/>
          <w:sz w:val="32"/>
          <w:szCs w:val="32"/>
          <w:highlight w:val="none"/>
        </w:rPr>
      </w:pPr>
    </w:p>
    <w:p w14:paraId="5E247A37">
      <w:pPr>
        <w:snapToGrid w:val="0"/>
        <w:spacing w:line="360" w:lineRule="auto"/>
        <w:ind w:right="480"/>
        <w:jc w:val="center"/>
        <w:rPr>
          <w:rFonts w:ascii="宋体" w:hAnsi="宋体" w:cs="宋体"/>
          <w:b/>
          <w:kern w:val="0"/>
          <w:sz w:val="32"/>
          <w:szCs w:val="32"/>
          <w:highlight w:val="none"/>
        </w:rPr>
      </w:pPr>
    </w:p>
    <w:p w14:paraId="141C8B1B">
      <w:pPr>
        <w:snapToGrid w:val="0"/>
        <w:spacing w:line="360" w:lineRule="auto"/>
        <w:ind w:right="480"/>
        <w:jc w:val="center"/>
        <w:rPr>
          <w:rFonts w:ascii="宋体" w:hAnsi="宋体" w:cs="宋体"/>
          <w:b/>
          <w:kern w:val="0"/>
          <w:sz w:val="32"/>
          <w:szCs w:val="32"/>
          <w:highlight w:val="none"/>
        </w:rPr>
      </w:pPr>
    </w:p>
    <w:p w14:paraId="1386E0F2">
      <w:pPr>
        <w:snapToGrid w:val="0"/>
        <w:spacing w:line="360" w:lineRule="auto"/>
        <w:ind w:right="480"/>
        <w:jc w:val="center"/>
        <w:rPr>
          <w:rFonts w:ascii="宋体" w:hAnsi="宋体" w:cs="宋体"/>
          <w:b/>
          <w:kern w:val="0"/>
          <w:sz w:val="32"/>
          <w:szCs w:val="32"/>
          <w:highlight w:val="none"/>
        </w:rPr>
      </w:pPr>
    </w:p>
    <w:p w14:paraId="615EEC51">
      <w:pPr>
        <w:snapToGrid w:val="0"/>
        <w:spacing w:line="360" w:lineRule="auto"/>
        <w:ind w:right="480"/>
        <w:jc w:val="center"/>
        <w:rPr>
          <w:rFonts w:ascii="宋体" w:hAnsi="宋体" w:cs="宋体"/>
          <w:b/>
          <w:kern w:val="0"/>
          <w:sz w:val="32"/>
          <w:szCs w:val="32"/>
          <w:highlight w:val="none"/>
        </w:rPr>
      </w:pPr>
    </w:p>
    <w:p w14:paraId="2AF505BE">
      <w:pPr>
        <w:snapToGrid w:val="0"/>
        <w:spacing w:line="360" w:lineRule="auto"/>
        <w:ind w:right="480"/>
        <w:jc w:val="center"/>
        <w:rPr>
          <w:rFonts w:ascii="宋体" w:hAnsi="宋体" w:cs="宋体"/>
          <w:b/>
          <w:kern w:val="0"/>
          <w:sz w:val="32"/>
          <w:szCs w:val="32"/>
          <w:highlight w:val="none"/>
        </w:rPr>
      </w:pPr>
    </w:p>
    <w:p w14:paraId="469616F2">
      <w:pPr>
        <w:snapToGrid w:val="0"/>
        <w:spacing w:line="360" w:lineRule="auto"/>
        <w:ind w:right="480"/>
        <w:jc w:val="center"/>
        <w:rPr>
          <w:rFonts w:ascii="宋体" w:hAnsi="宋体" w:cs="宋体"/>
          <w:b/>
          <w:kern w:val="0"/>
          <w:sz w:val="32"/>
          <w:szCs w:val="32"/>
          <w:highlight w:val="none"/>
        </w:rPr>
      </w:pPr>
    </w:p>
    <w:p w14:paraId="61B583FE">
      <w:pPr>
        <w:snapToGrid w:val="0"/>
        <w:spacing w:line="360" w:lineRule="auto"/>
        <w:ind w:right="480"/>
        <w:jc w:val="center"/>
        <w:rPr>
          <w:rFonts w:ascii="宋体" w:hAnsi="宋体" w:cs="宋体"/>
          <w:b/>
          <w:kern w:val="0"/>
          <w:sz w:val="32"/>
          <w:szCs w:val="32"/>
          <w:highlight w:val="none"/>
        </w:rPr>
      </w:pPr>
    </w:p>
    <w:p w14:paraId="4942637F">
      <w:pPr>
        <w:snapToGrid w:val="0"/>
        <w:spacing w:line="360" w:lineRule="auto"/>
        <w:ind w:right="480"/>
        <w:jc w:val="center"/>
        <w:rPr>
          <w:rFonts w:ascii="宋体" w:hAnsi="宋体" w:cs="宋体"/>
          <w:b/>
          <w:kern w:val="0"/>
          <w:sz w:val="32"/>
          <w:szCs w:val="32"/>
          <w:highlight w:val="none"/>
        </w:rPr>
      </w:pPr>
    </w:p>
    <w:p w14:paraId="567420F3">
      <w:pPr>
        <w:snapToGrid w:val="0"/>
        <w:spacing w:line="360" w:lineRule="auto"/>
        <w:ind w:right="480"/>
        <w:jc w:val="center"/>
        <w:rPr>
          <w:rFonts w:ascii="宋体" w:hAnsi="宋体" w:cs="宋体"/>
          <w:b/>
          <w:kern w:val="0"/>
          <w:sz w:val="32"/>
          <w:szCs w:val="32"/>
          <w:highlight w:val="none"/>
        </w:rPr>
      </w:pPr>
    </w:p>
    <w:p w14:paraId="0ECA8907">
      <w:pPr>
        <w:snapToGrid w:val="0"/>
        <w:spacing w:line="360" w:lineRule="auto"/>
        <w:ind w:right="480"/>
        <w:jc w:val="center"/>
        <w:rPr>
          <w:rFonts w:ascii="宋体" w:hAnsi="宋体" w:cs="宋体"/>
          <w:b/>
          <w:kern w:val="0"/>
          <w:sz w:val="32"/>
          <w:szCs w:val="32"/>
          <w:highlight w:val="none"/>
        </w:rPr>
      </w:pPr>
    </w:p>
    <w:p w14:paraId="22EB1303">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headerReference r:id="rId18" w:type="first"/>
          <w:footerReference r:id="rId20" w:type="first"/>
          <w:headerReference r:id="rId17" w:type="default"/>
          <w:footerReference r:id="rId19" w:type="default"/>
          <w:pgSz w:w="11906" w:h="16838"/>
          <w:pgMar w:top="1440" w:right="1080" w:bottom="1440" w:left="1080" w:header="851" w:footer="992" w:gutter="0"/>
          <w:cols w:space="720" w:num="1"/>
          <w:titlePg/>
          <w:docGrid w:linePitch="312" w:charSpace="0"/>
        </w:sectPr>
      </w:pPr>
    </w:p>
    <w:p w14:paraId="13ED830E">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14:paraId="3C8C21AC">
      <w:pPr>
        <w:snapToGrid w:val="0"/>
        <w:spacing w:line="360" w:lineRule="auto"/>
        <w:rPr>
          <w:rFonts w:ascii="宋体" w:hAnsi="宋体" w:cs="宋体"/>
          <w:kern w:val="0"/>
          <w:sz w:val="24"/>
          <w:highlight w:val="none"/>
        </w:rPr>
      </w:pPr>
      <w:r>
        <w:rPr>
          <w:rFonts w:hint="eastAsia" w:ascii="宋体" w:hAnsi="宋体" w:cs="宋体"/>
          <w:sz w:val="24"/>
          <w:highlight w:val="none"/>
        </w:rPr>
        <w:t>浙江同济科技职业学院、浙江致信招标代理有限公司</w:t>
      </w:r>
      <w:r>
        <w:rPr>
          <w:rFonts w:hint="eastAsia" w:ascii="宋体" w:hAnsi="宋体" w:cs="宋体"/>
          <w:kern w:val="0"/>
          <w:sz w:val="24"/>
          <w:highlight w:val="none"/>
          <w:lang w:val="zh-CN"/>
        </w:rPr>
        <w:t>：</w:t>
      </w:r>
    </w:p>
    <w:p w14:paraId="4D0DB1C5">
      <w:pPr>
        <w:snapToGrid w:val="0"/>
        <w:spacing w:line="360" w:lineRule="auto"/>
        <w:ind w:firstLine="482"/>
        <w:rPr>
          <w:rFonts w:ascii="宋体" w:hAnsi="宋体" w:cs="宋体"/>
          <w:kern w:val="0"/>
          <w:sz w:val="24"/>
          <w:highlight w:val="none"/>
          <w:lang w:val="zh-CN"/>
        </w:rPr>
      </w:pPr>
      <w:r>
        <w:rPr>
          <w:rFonts w:hint="eastAsia" w:ascii="宋体" w:hAnsi="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highlight w:val="none"/>
        </w:rPr>
        <w:t>浙江同济科技职业学院图书馆家具</w:t>
      </w:r>
      <w:r>
        <w:rPr>
          <w:rFonts w:hint="eastAsia" w:ascii="宋体" w:hAnsi="宋体" w:cs="宋体"/>
          <w:kern w:val="0"/>
          <w:sz w:val="24"/>
          <w:highlight w:val="none"/>
          <w:lang w:val="zh-CN"/>
        </w:rPr>
        <w:t>【招标编号：</w:t>
      </w:r>
      <w:r>
        <w:rPr>
          <w:rFonts w:hint="eastAsia" w:ascii="宋体" w:hAnsi="宋体" w:cs="宋体"/>
          <w:sz w:val="24"/>
          <w:highlight w:val="none"/>
        </w:rPr>
        <w:t>ZXZB-TJ-2025010G】标项___的实施</w:t>
      </w:r>
      <w:r>
        <w:rPr>
          <w:rFonts w:hint="eastAsia" w:ascii="宋体" w:hAnsi="宋体" w:cs="宋体"/>
          <w:kern w:val="0"/>
          <w:sz w:val="24"/>
          <w:highlight w:val="none"/>
          <w:lang w:val="zh-CN"/>
        </w:rPr>
        <w:t>。</w:t>
      </w:r>
    </w:p>
    <w:p w14:paraId="7A12833A">
      <w:pPr>
        <w:spacing w:line="360" w:lineRule="auto"/>
        <w:ind w:left="240"/>
        <w:jc w:val="center"/>
        <w:rPr>
          <w:rFonts w:ascii="宋体" w:hAnsi="宋体" w:cs="宋体"/>
          <w:b/>
          <w:kern w:val="0"/>
          <w:sz w:val="24"/>
          <w:highlight w:val="none"/>
          <w:lang w:val="zh-CN"/>
        </w:rPr>
      </w:pPr>
      <w:r>
        <w:rPr>
          <w:rFonts w:hint="eastAsia" w:ascii="宋体" w:hAnsi="宋体" w:cs="宋体"/>
          <w:b/>
          <w:kern w:val="0"/>
          <w:sz w:val="24"/>
          <w:highlight w:val="none"/>
          <w:lang w:val="zh-CN"/>
        </w:rPr>
        <w:t>开标一览表（报价表）(单位均为人民币元)</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A638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7BFE0D2">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417" w:type="dxa"/>
            <w:vAlign w:val="center"/>
          </w:tcPr>
          <w:p w14:paraId="15693B4D">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843" w:type="dxa"/>
          </w:tcPr>
          <w:p w14:paraId="2F2BCC67">
            <w:pPr>
              <w:spacing w:line="360" w:lineRule="auto"/>
              <w:jc w:val="center"/>
              <w:rPr>
                <w:rFonts w:ascii="宋体" w:hAnsi="宋体" w:cs="宋体"/>
                <w:b/>
                <w:sz w:val="24"/>
                <w:highlight w:val="none"/>
              </w:rPr>
            </w:pPr>
          </w:p>
          <w:p w14:paraId="3CB4FC50">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3118" w:type="dxa"/>
            <w:vAlign w:val="center"/>
          </w:tcPr>
          <w:p w14:paraId="3AC74A0D">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993" w:type="dxa"/>
            <w:vAlign w:val="center"/>
          </w:tcPr>
          <w:p w14:paraId="41C59A8C">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559" w:type="dxa"/>
            <w:vAlign w:val="center"/>
          </w:tcPr>
          <w:p w14:paraId="5C56E10A">
            <w:pPr>
              <w:spacing w:line="360" w:lineRule="auto"/>
              <w:jc w:val="center"/>
              <w:rPr>
                <w:rFonts w:ascii="宋体" w:hAnsi="宋体" w:cs="宋体"/>
                <w:b/>
                <w:sz w:val="24"/>
                <w:highlight w:val="none"/>
              </w:rPr>
            </w:pPr>
            <w:r>
              <w:rPr>
                <w:rFonts w:hint="eastAsia" w:ascii="宋体" w:hAnsi="宋体" w:cs="宋体"/>
                <w:b/>
                <w:sz w:val="24"/>
                <w:highlight w:val="none"/>
              </w:rPr>
              <w:t>单价</w:t>
            </w:r>
          </w:p>
        </w:tc>
        <w:tc>
          <w:tcPr>
            <w:tcW w:w="1984" w:type="dxa"/>
            <w:vAlign w:val="center"/>
          </w:tcPr>
          <w:p w14:paraId="42249413">
            <w:pPr>
              <w:spacing w:line="360" w:lineRule="auto"/>
              <w:jc w:val="center"/>
              <w:rPr>
                <w:rFonts w:ascii="宋体" w:hAnsi="宋体" w:cs="宋体"/>
                <w:b/>
                <w:sz w:val="24"/>
                <w:highlight w:val="none"/>
              </w:rPr>
            </w:pPr>
            <w:r>
              <w:rPr>
                <w:rFonts w:hint="eastAsia" w:ascii="宋体" w:hAnsi="宋体" w:cs="宋体"/>
                <w:b/>
                <w:sz w:val="24"/>
                <w:highlight w:val="none"/>
              </w:rPr>
              <w:t>合计</w:t>
            </w:r>
          </w:p>
        </w:tc>
        <w:tc>
          <w:tcPr>
            <w:tcW w:w="3119" w:type="dxa"/>
            <w:vAlign w:val="center"/>
          </w:tcPr>
          <w:p w14:paraId="500DD4D8">
            <w:pPr>
              <w:spacing w:line="360" w:lineRule="auto"/>
              <w:jc w:val="center"/>
              <w:rPr>
                <w:rFonts w:ascii="宋体" w:hAnsi="宋体" w:cs="宋体"/>
                <w:b/>
                <w:sz w:val="24"/>
                <w:highlight w:val="none"/>
              </w:rPr>
            </w:pPr>
          </w:p>
          <w:p w14:paraId="420E77C7">
            <w:pPr>
              <w:spacing w:line="360" w:lineRule="auto"/>
              <w:jc w:val="center"/>
              <w:rPr>
                <w:rFonts w:ascii="宋体" w:hAnsi="宋体" w:cs="宋体"/>
                <w:b/>
                <w:sz w:val="24"/>
                <w:highlight w:val="none"/>
              </w:rPr>
            </w:pPr>
            <w:r>
              <w:rPr>
                <w:rFonts w:hint="eastAsia" w:ascii="宋体" w:hAnsi="宋体" w:cs="宋体"/>
                <w:b/>
                <w:sz w:val="24"/>
                <w:highlight w:val="none"/>
              </w:rPr>
              <w:t>备注（如果有）</w:t>
            </w:r>
          </w:p>
          <w:p w14:paraId="3BC22A61">
            <w:pPr>
              <w:spacing w:line="360" w:lineRule="auto"/>
              <w:jc w:val="center"/>
              <w:rPr>
                <w:rFonts w:ascii="宋体" w:hAnsi="宋体" w:cs="宋体"/>
                <w:b/>
                <w:sz w:val="24"/>
                <w:highlight w:val="none"/>
              </w:rPr>
            </w:pPr>
          </w:p>
        </w:tc>
      </w:tr>
      <w:tr w14:paraId="3F7C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3B87EE5">
            <w:pPr>
              <w:spacing w:line="360" w:lineRule="auto"/>
              <w:jc w:val="center"/>
              <w:rPr>
                <w:rFonts w:ascii="宋体" w:hAnsi="宋体" w:cs="宋体"/>
                <w:sz w:val="24"/>
                <w:highlight w:val="none"/>
              </w:rPr>
            </w:pPr>
            <w:r>
              <w:rPr>
                <w:rFonts w:hint="eastAsia" w:ascii="宋体" w:hAnsi="宋体" w:cs="宋体"/>
                <w:sz w:val="24"/>
                <w:highlight w:val="none"/>
              </w:rPr>
              <w:t>1</w:t>
            </w:r>
          </w:p>
        </w:tc>
        <w:tc>
          <w:tcPr>
            <w:tcW w:w="1417" w:type="dxa"/>
            <w:vAlign w:val="center"/>
          </w:tcPr>
          <w:p w14:paraId="2A2D9C56">
            <w:pPr>
              <w:snapToGrid w:val="0"/>
              <w:spacing w:line="360" w:lineRule="auto"/>
              <w:jc w:val="center"/>
              <w:rPr>
                <w:rFonts w:ascii="宋体" w:hAnsi="宋体" w:cs="宋体"/>
                <w:sz w:val="24"/>
                <w:highlight w:val="none"/>
              </w:rPr>
            </w:pPr>
            <w:r>
              <w:rPr>
                <w:rFonts w:hint="eastAsia" w:ascii="宋体" w:hAnsi="宋体" w:cs="宋体"/>
                <w:sz w:val="24"/>
                <w:highlight w:val="none"/>
              </w:rPr>
              <w:t>XX</w:t>
            </w:r>
          </w:p>
        </w:tc>
        <w:tc>
          <w:tcPr>
            <w:tcW w:w="1843" w:type="dxa"/>
            <w:vAlign w:val="center"/>
          </w:tcPr>
          <w:p w14:paraId="0317D17D">
            <w:pPr>
              <w:snapToGrid w:val="0"/>
              <w:spacing w:line="360" w:lineRule="auto"/>
              <w:jc w:val="center"/>
              <w:rPr>
                <w:rFonts w:ascii="宋体" w:hAnsi="宋体" w:cs="宋体"/>
                <w:sz w:val="24"/>
                <w:highlight w:val="none"/>
              </w:rPr>
            </w:pPr>
          </w:p>
        </w:tc>
        <w:tc>
          <w:tcPr>
            <w:tcW w:w="3118" w:type="dxa"/>
            <w:vAlign w:val="center"/>
          </w:tcPr>
          <w:p w14:paraId="5BAEFE92">
            <w:pPr>
              <w:snapToGrid w:val="0"/>
              <w:spacing w:line="360" w:lineRule="auto"/>
              <w:jc w:val="center"/>
              <w:rPr>
                <w:rFonts w:ascii="宋体" w:hAnsi="宋体" w:cs="宋体"/>
                <w:sz w:val="24"/>
                <w:highlight w:val="none"/>
              </w:rPr>
            </w:pPr>
          </w:p>
        </w:tc>
        <w:tc>
          <w:tcPr>
            <w:tcW w:w="993" w:type="dxa"/>
            <w:vAlign w:val="center"/>
          </w:tcPr>
          <w:p w14:paraId="2AD86790">
            <w:pPr>
              <w:snapToGrid w:val="0"/>
              <w:spacing w:line="360" w:lineRule="auto"/>
              <w:jc w:val="center"/>
              <w:rPr>
                <w:rFonts w:ascii="宋体" w:hAnsi="宋体" w:cs="宋体"/>
                <w:sz w:val="24"/>
                <w:highlight w:val="none"/>
              </w:rPr>
            </w:pPr>
          </w:p>
        </w:tc>
        <w:tc>
          <w:tcPr>
            <w:tcW w:w="1559" w:type="dxa"/>
            <w:vAlign w:val="center"/>
          </w:tcPr>
          <w:p w14:paraId="43550BF3">
            <w:pPr>
              <w:spacing w:line="360" w:lineRule="auto"/>
              <w:jc w:val="center"/>
              <w:rPr>
                <w:rFonts w:ascii="宋体" w:hAnsi="宋体" w:cs="宋体"/>
                <w:sz w:val="24"/>
                <w:highlight w:val="none"/>
              </w:rPr>
            </w:pPr>
          </w:p>
        </w:tc>
        <w:tc>
          <w:tcPr>
            <w:tcW w:w="1984" w:type="dxa"/>
            <w:vAlign w:val="center"/>
          </w:tcPr>
          <w:p w14:paraId="4F6ECBC4">
            <w:pPr>
              <w:spacing w:line="360" w:lineRule="auto"/>
              <w:jc w:val="center"/>
              <w:rPr>
                <w:rFonts w:ascii="宋体" w:hAnsi="宋体" w:cs="宋体"/>
                <w:sz w:val="24"/>
                <w:highlight w:val="none"/>
              </w:rPr>
            </w:pPr>
          </w:p>
        </w:tc>
        <w:tc>
          <w:tcPr>
            <w:tcW w:w="3119" w:type="dxa"/>
            <w:vAlign w:val="center"/>
          </w:tcPr>
          <w:p w14:paraId="3DB34B9D">
            <w:pPr>
              <w:spacing w:line="360" w:lineRule="auto"/>
              <w:jc w:val="center"/>
              <w:rPr>
                <w:rFonts w:ascii="宋体" w:hAnsi="宋体" w:cs="宋体"/>
                <w:sz w:val="24"/>
                <w:highlight w:val="none"/>
              </w:rPr>
            </w:pPr>
          </w:p>
        </w:tc>
      </w:tr>
      <w:tr w14:paraId="715B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C25FEA4">
            <w:pPr>
              <w:spacing w:line="360" w:lineRule="auto"/>
              <w:jc w:val="center"/>
              <w:rPr>
                <w:rFonts w:ascii="宋体" w:hAnsi="宋体" w:cs="宋体"/>
                <w:sz w:val="24"/>
                <w:highlight w:val="none"/>
              </w:rPr>
            </w:pPr>
            <w:r>
              <w:rPr>
                <w:rFonts w:hint="eastAsia" w:ascii="宋体" w:hAnsi="宋体" w:cs="宋体"/>
                <w:sz w:val="24"/>
                <w:highlight w:val="none"/>
              </w:rPr>
              <w:t>2</w:t>
            </w:r>
          </w:p>
        </w:tc>
        <w:tc>
          <w:tcPr>
            <w:tcW w:w="1417" w:type="dxa"/>
            <w:vAlign w:val="center"/>
          </w:tcPr>
          <w:p w14:paraId="21FD73FB">
            <w:pPr>
              <w:snapToGrid w:val="0"/>
              <w:spacing w:line="360" w:lineRule="auto"/>
              <w:jc w:val="center"/>
              <w:rPr>
                <w:rFonts w:ascii="宋体" w:hAnsi="宋体" w:cs="宋体"/>
                <w:sz w:val="24"/>
                <w:highlight w:val="none"/>
              </w:rPr>
            </w:pPr>
            <w:r>
              <w:rPr>
                <w:rFonts w:hint="eastAsia" w:ascii="宋体" w:hAnsi="宋体" w:cs="宋体"/>
                <w:sz w:val="24"/>
                <w:highlight w:val="none"/>
              </w:rPr>
              <w:t>XX</w:t>
            </w:r>
          </w:p>
        </w:tc>
        <w:tc>
          <w:tcPr>
            <w:tcW w:w="1843" w:type="dxa"/>
            <w:vAlign w:val="center"/>
          </w:tcPr>
          <w:p w14:paraId="057CFD59">
            <w:pPr>
              <w:snapToGrid w:val="0"/>
              <w:spacing w:line="360" w:lineRule="auto"/>
              <w:jc w:val="center"/>
              <w:rPr>
                <w:rFonts w:ascii="宋体" w:hAnsi="宋体" w:cs="宋体"/>
                <w:sz w:val="24"/>
                <w:highlight w:val="none"/>
              </w:rPr>
            </w:pPr>
          </w:p>
        </w:tc>
        <w:tc>
          <w:tcPr>
            <w:tcW w:w="3118" w:type="dxa"/>
            <w:vAlign w:val="center"/>
          </w:tcPr>
          <w:p w14:paraId="7BCC5C4D">
            <w:pPr>
              <w:snapToGrid w:val="0"/>
              <w:spacing w:line="360" w:lineRule="auto"/>
              <w:jc w:val="center"/>
              <w:rPr>
                <w:rFonts w:ascii="宋体" w:hAnsi="宋体" w:cs="宋体"/>
                <w:sz w:val="24"/>
                <w:highlight w:val="none"/>
              </w:rPr>
            </w:pPr>
          </w:p>
        </w:tc>
        <w:tc>
          <w:tcPr>
            <w:tcW w:w="993" w:type="dxa"/>
            <w:vAlign w:val="center"/>
          </w:tcPr>
          <w:p w14:paraId="02F1C149">
            <w:pPr>
              <w:snapToGrid w:val="0"/>
              <w:spacing w:line="360" w:lineRule="auto"/>
              <w:jc w:val="center"/>
              <w:rPr>
                <w:rFonts w:ascii="宋体" w:hAnsi="宋体" w:cs="宋体"/>
                <w:sz w:val="24"/>
                <w:highlight w:val="none"/>
              </w:rPr>
            </w:pPr>
          </w:p>
        </w:tc>
        <w:tc>
          <w:tcPr>
            <w:tcW w:w="1559" w:type="dxa"/>
            <w:vAlign w:val="center"/>
          </w:tcPr>
          <w:p w14:paraId="454BAFA1">
            <w:pPr>
              <w:spacing w:line="360" w:lineRule="auto"/>
              <w:jc w:val="center"/>
              <w:rPr>
                <w:rFonts w:ascii="宋体" w:hAnsi="宋体" w:cs="宋体"/>
                <w:sz w:val="24"/>
                <w:highlight w:val="none"/>
              </w:rPr>
            </w:pPr>
          </w:p>
        </w:tc>
        <w:tc>
          <w:tcPr>
            <w:tcW w:w="1984" w:type="dxa"/>
            <w:vAlign w:val="center"/>
          </w:tcPr>
          <w:p w14:paraId="4846BCDB">
            <w:pPr>
              <w:spacing w:line="360" w:lineRule="auto"/>
              <w:jc w:val="center"/>
              <w:rPr>
                <w:rFonts w:ascii="宋体" w:hAnsi="宋体" w:cs="宋体"/>
                <w:sz w:val="24"/>
                <w:highlight w:val="none"/>
              </w:rPr>
            </w:pPr>
          </w:p>
        </w:tc>
        <w:tc>
          <w:tcPr>
            <w:tcW w:w="3119" w:type="dxa"/>
            <w:vAlign w:val="center"/>
          </w:tcPr>
          <w:p w14:paraId="468FD15B">
            <w:pPr>
              <w:spacing w:line="360" w:lineRule="auto"/>
              <w:jc w:val="center"/>
              <w:rPr>
                <w:rFonts w:ascii="宋体" w:hAnsi="宋体" w:cs="宋体"/>
                <w:sz w:val="24"/>
                <w:highlight w:val="none"/>
              </w:rPr>
            </w:pPr>
          </w:p>
        </w:tc>
      </w:tr>
      <w:tr w14:paraId="52E8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960328B">
            <w:pPr>
              <w:spacing w:line="360" w:lineRule="auto"/>
              <w:jc w:val="center"/>
              <w:rPr>
                <w:rFonts w:ascii="宋体" w:hAnsi="宋体" w:cs="宋体"/>
                <w:sz w:val="24"/>
                <w:highlight w:val="none"/>
              </w:rPr>
            </w:pPr>
            <w:r>
              <w:rPr>
                <w:rFonts w:hint="eastAsia" w:ascii="宋体" w:hAnsi="宋体" w:cs="宋体"/>
                <w:sz w:val="24"/>
                <w:highlight w:val="none"/>
              </w:rPr>
              <w:t>…</w:t>
            </w:r>
          </w:p>
        </w:tc>
        <w:tc>
          <w:tcPr>
            <w:tcW w:w="1417" w:type="dxa"/>
            <w:vAlign w:val="center"/>
          </w:tcPr>
          <w:p w14:paraId="7A383987">
            <w:pPr>
              <w:snapToGrid w:val="0"/>
              <w:spacing w:line="360" w:lineRule="auto"/>
              <w:jc w:val="center"/>
              <w:rPr>
                <w:rFonts w:ascii="宋体" w:hAnsi="宋体" w:cs="宋体"/>
                <w:sz w:val="24"/>
                <w:highlight w:val="none"/>
              </w:rPr>
            </w:pPr>
          </w:p>
        </w:tc>
        <w:tc>
          <w:tcPr>
            <w:tcW w:w="1843" w:type="dxa"/>
            <w:vAlign w:val="center"/>
          </w:tcPr>
          <w:p w14:paraId="3FF79A76">
            <w:pPr>
              <w:snapToGrid w:val="0"/>
              <w:spacing w:line="360" w:lineRule="auto"/>
              <w:jc w:val="center"/>
              <w:rPr>
                <w:rFonts w:ascii="宋体" w:hAnsi="宋体" w:cs="宋体"/>
                <w:sz w:val="24"/>
                <w:highlight w:val="none"/>
              </w:rPr>
            </w:pPr>
          </w:p>
        </w:tc>
        <w:tc>
          <w:tcPr>
            <w:tcW w:w="3118" w:type="dxa"/>
            <w:vAlign w:val="center"/>
          </w:tcPr>
          <w:p w14:paraId="356E1C52">
            <w:pPr>
              <w:snapToGrid w:val="0"/>
              <w:spacing w:line="360" w:lineRule="auto"/>
              <w:jc w:val="center"/>
              <w:rPr>
                <w:rFonts w:ascii="宋体" w:hAnsi="宋体" w:cs="宋体"/>
                <w:sz w:val="24"/>
                <w:highlight w:val="none"/>
              </w:rPr>
            </w:pPr>
          </w:p>
        </w:tc>
        <w:tc>
          <w:tcPr>
            <w:tcW w:w="993" w:type="dxa"/>
            <w:vAlign w:val="center"/>
          </w:tcPr>
          <w:p w14:paraId="51AE6EA6">
            <w:pPr>
              <w:snapToGrid w:val="0"/>
              <w:spacing w:line="360" w:lineRule="auto"/>
              <w:jc w:val="center"/>
              <w:rPr>
                <w:rFonts w:ascii="宋体" w:hAnsi="宋体" w:cs="宋体"/>
                <w:sz w:val="24"/>
                <w:highlight w:val="none"/>
              </w:rPr>
            </w:pPr>
          </w:p>
        </w:tc>
        <w:tc>
          <w:tcPr>
            <w:tcW w:w="1559" w:type="dxa"/>
            <w:vAlign w:val="center"/>
          </w:tcPr>
          <w:p w14:paraId="176123BD">
            <w:pPr>
              <w:spacing w:line="360" w:lineRule="auto"/>
              <w:jc w:val="center"/>
              <w:rPr>
                <w:rFonts w:ascii="宋体" w:hAnsi="宋体" w:cs="宋体"/>
                <w:sz w:val="24"/>
                <w:highlight w:val="none"/>
              </w:rPr>
            </w:pPr>
          </w:p>
        </w:tc>
        <w:tc>
          <w:tcPr>
            <w:tcW w:w="1984" w:type="dxa"/>
            <w:vAlign w:val="center"/>
          </w:tcPr>
          <w:p w14:paraId="2D7FD491">
            <w:pPr>
              <w:spacing w:line="360" w:lineRule="auto"/>
              <w:jc w:val="center"/>
              <w:rPr>
                <w:rFonts w:ascii="宋体" w:hAnsi="宋体" w:cs="宋体"/>
                <w:sz w:val="24"/>
                <w:highlight w:val="none"/>
              </w:rPr>
            </w:pPr>
          </w:p>
        </w:tc>
        <w:tc>
          <w:tcPr>
            <w:tcW w:w="3119" w:type="dxa"/>
            <w:vAlign w:val="center"/>
          </w:tcPr>
          <w:p w14:paraId="544C191A">
            <w:pPr>
              <w:spacing w:line="360" w:lineRule="auto"/>
              <w:jc w:val="center"/>
              <w:rPr>
                <w:rFonts w:ascii="宋体" w:hAnsi="宋体" w:cs="宋体"/>
                <w:sz w:val="24"/>
                <w:highlight w:val="none"/>
              </w:rPr>
            </w:pPr>
          </w:p>
        </w:tc>
      </w:tr>
      <w:tr w14:paraId="01AD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2AD972D">
            <w:pPr>
              <w:spacing w:line="360" w:lineRule="auto"/>
              <w:jc w:val="center"/>
              <w:rPr>
                <w:rFonts w:ascii="宋体" w:hAnsi="宋体" w:cs="宋体"/>
                <w:sz w:val="24"/>
                <w:highlight w:val="none"/>
              </w:rPr>
            </w:pPr>
          </w:p>
        </w:tc>
        <w:tc>
          <w:tcPr>
            <w:tcW w:w="1417" w:type="dxa"/>
            <w:vAlign w:val="center"/>
          </w:tcPr>
          <w:p w14:paraId="558FAD37">
            <w:pPr>
              <w:snapToGrid w:val="0"/>
              <w:spacing w:line="360" w:lineRule="auto"/>
              <w:jc w:val="center"/>
              <w:rPr>
                <w:rFonts w:ascii="宋体" w:hAnsi="宋体" w:cs="宋体"/>
                <w:sz w:val="24"/>
                <w:highlight w:val="none"/>
              </w:rPr>
            </w:pPr>
          </w:p>
        </w:tc>
        <w:tc>
          <w:tcPr>
            <w:tcW w:w="1843" w:type="dxa"/>
            <w:vAlign w:val="center"/>
          </w:tcPr>
          <w:p w14:paraId="0CB04468">
            <w:pPr>
              <w:snapToGrid w:val="0"/>
              <w:spacing w:line="360" w:lineRule="auto"/>
              <w:jc w:val="center"/>
              <w:rPr>
                <w:rFonts w:ascii="宋体" w:hAnsi="宋体" w:cs="宋体"/>
                <w:sz w:val="24"/>
                <w:highlight w:val="none"/>
              </w:rPr>
            </w:pPr>
          </w:p>
        </w:tc>
        <w:tc>
          <w:tcPr>
            <w:tcW w:w="3118" w:type="dxa"/>
            <w:vAlign w:val="center"/>
          </w:tcPr>
          <w:p w14:paraId="6F085886">
            <w:pPr>
              <w:snapToGrid w:val="0"/>
              <w:spacing w:line="360" w:lineRule="auto"/>
              <w:jc w:val="center"/>
              <w:rPr>
                <w:rFonts w:ascii="宋体" w:hAnsi="宋体" w:cs="宋体"/>
                <w:sz w:val="24"/>
                <w:highlight w:val="none"/>
              </w:rPr>
            </w:pPr>
          </w:p>
        </w:tc>
        <w:tc>
          <w:tcPr>
            <w:tcW w:w="993" w:type="dxa"/>
            <w:vAlign w:val="center"/>
          </w:tcPr>
          <w:p w14:paraId="45458C1D">
            <w:pPr>
              <w:snapToGrid w:val="0"/>
              <w:spacing w:line="360" w:lineRule="auto"/>
              <w:jc w:val="center"/>
              <w:rPr>
                <w:rFonts w:ascii="宋体" w:hAnsi="宋体" w:cs="宋体"/>
                <w:sz w:val="24"/>
                <w:highlight w:val="none"/>
              </w:rPr>
            </w:pPr>
          </w:p>
        </w:tc>
        <w:tc>
          <w:tcPr>
            <w:tcW w:w="1559" w:type="dxa"/>
            <w:vAlign w:val="center"/>
          </w:tcPr>
          <w:p w14:paraId="20404C9E">
            <w:pPr>
              <w:spacing w:line="360" w:lineRule="auto"/>
              <w:jc w:val="center"/>
              <w:rPr>
                <w:rFonts w:ascii="宋体" w:hAnsi="宋体" w:cs="宋体"/>
                <w:sz w:val="24"/>
                <w:highlight w:val="none"/>
              </w:rPr>
            </w:pPr>
          </w:p>
        </w:tc>
        <w:tc>
          <w:tcPr>
            <w:tcW w:w="1984" w:type="dxa"/>
            <w:vAlign w:val="center"/>
          </w:tcPr>
          <w:p w14:paraId="6424CFFF">
            <w:pPr>
              <w:spacing w:line="360" w:lineRule="auto"/>
              <w:jc w:val="center"/>
              <w:rPr>
                <w:rFonts w:ascii="宋体" w:hAnsi="宋体" w:cs="宋体"/>
                <w:sz w:val="24"/>
                <w:highlight w:val="none"/>
              </w:rPr>
            </w:pPr>
          </w:p>
        </w:tc>
        <w:tc>
          <w:tcPr>
            <w:tcW w:w="3119" w:type="dxa"/>
            <w:vAlign w:val="center"/>
          </w:tcPr>
          <w:p w14:paraId="382417AF">
            <w:pPr>
              <w:spacing w:line="360" w:lineRule="auto"/>
              <w:jc w:val="center"/>
              <w:rPr>
                <w:rFonts w:ascii="宋体" w:hAnsi="宋体" w:cs="宋体"/>
                <w:sz w:val="24"/>
                <w:highlight w:val="none"/>
              </w:rPr>
            </w:pPr>
          </w:p>
        </w:tc>
      </w:tr>
      <w:tr w14:paraId="6D38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208E5D">
            <w:pPr>
              <w:spacing w:line="360" w:lineRule="auto"/>
              <w:jc w:val="center"/>
              <w:rPr>
                <w:rFonts w:ascii="宋体" w:hAnsi="宋体" w:cs="宋体"/>
                <w:sz w:val="24"/>
                <w:highlight w:val="none"/>
              </w:rPr>
            </w:pPr>
          </w:p>
        </w:tc>
        <w:tc>
          <w:tcPr>
            <w:tcW w:w="1417" w:type="dxa"/>
            <w:vAlign w:val="center"/>
          </w:tcPr>
          <w:p w14:paraId="59F2BB40">
            <w:pPr>
              <w:snapToGrid w:val="0"/>
              <w:spacing w:line="360" w:lineRule="auto"/>
              <w:jc w:val="center"/>
              <w:rPr>
                <w:rFonts w:ascii="宋体" w:hAnsi="宋体" w:cs="宋体"/>
                <w:sz w:val="24"/>
                <w:highlight w:val="none"/>
              </w:rPr>
            </w:pPr>
          </w:p>
        </w:tc>
        <w:tc>
          <w:tcPr>
            <w:tcW w:w="1843" w:type="dxa"/>
            <w:vAlign w:val="center"/>
          </w:tcPr>
          <w:p w14:paraId="14DE641C">
            <w:pPr>
              <w:snapToGrid w:val="0"/>
              <w:spacing w:line="360" w:lineRule="auto"/>
              <w:jc w:val="center"/>
              <w:rPr>
                <w:rFonts w:ascii="宋体" w:hAnsi="宋体" w:cs="宋体"/>
                <w:sz w:val="24"/>
                <w:highlight w:val="none"/>
              </w:rPr>
            </w:pPr>
          </w:p>
        </w:tc>
        <w:tc>
          <w:tcPr>
            <w:tcW w:w="3118" w:type="dxa"/>
            <w:vAlign w:val="center"/>
          </w:tcPr>
          <w:p w14:paraId="194A8207">
            <w:pPr>
              <w:snapToGrid w:val="0"/>
              <w:spacing w:line="360" w:lineRule="auto"/>
              <w:jc w:val="center"/>
              <w:rPr>
                <w:rFonts w:ascii="宋体" w:hAnsi="宋体" w:cs="宋体"/>
                <w:sz w:val="24"/>
                <w:highlight w:val="none"/>
              </w:rPr>
            </w:pPr>
          </w:p>
        </w:tc>
        <w:tc>
          <w:tcPr>
            <w:tcW w:w="993" w:type="dxa"/>
            <w:vAlign w:val="center"/>
          </w:tcPr>
          <w:p w14:paraId="099CDD8E">
            <w:pPr>
              <w:snapToGrid w:val="0"/>
              <w:spacing w:line="360" w:lineRule="auto"/>
              <w:jc w:val="center"/>
              <w:rPr>
                <w:rFonts w:ascii="宋体" w:hAnsi="宋体" w:cs="宋体"/>
                <w:sz w:val="24"/>
                <w:highlight w:val="none"/>
              </w:rPr>
            </w:pPr>
          </w:p>
        </w:tc>
        <w:tc>
          <w:tcPr>
            <w:tcW w:w="1559" w:type="dxa"/>
            <w:vAlign w:val="center"/>
          </w:tcPr>
          <w:p w14:paraId="6DF010B8">
            <w:pPr>
              <w:spacing w:line="360" w:lineRule="auto"/>
              <w:jc w:val="center"/>
              <w:rPr>
                <w:rFonts w:ascii="宋体" w:hAnsi="宋体" w:cs="宋体"/>
                <w:sz w:val="24"/>
                <w:highlight w:val="none"/>
              </w:rPr>
            </w:pPr>
          </w:p>
        </w:tc>
        <w:tc>
          <w:tcPr>
            <w:tcW w:w="1984" w:type="dxa"/>
            <w:vAlign w:val="center"/>
          </w:tcPr>
          <w:p w14:paraId="302BC4C5">
            <w:pPr>
              <w:spacing w:line="360" w:lineRule="auto"/>
              <w:jc w:val="center"/>
              <w:rPr>
                <w:rFonts w:ascii="宋体" w:hAnsi="宋体" w:cs="宋体"/>
                <w:sz w:val="24"/>
                <w:highlight w:val="none"/>
              </w:rPr>
            </w:pPr>
          </w:p>
        </w:tc>
        <w:tc>
          <w:tcPr>
            <w:tcW w:w="3119" w:type="dxa"/>
            <w:vAlign w:val="center"/>
          </w:tcPr>
          <w:p w14:paraId="50D2E0A7">
            <w:pPr>
              <w:spacing w:line="360" w:lineRule="auto"/>
              <w:jc w:val="center"/>
              <w:rPr>
                <w:rFonts w:ascii="宋体" w:hAnsi="宋体" w:cs="宋体"/>
                <w:sz w:val="24"/>
                <w:highlight w:val="none"/>
              </w:rPr>
            </w:pPr>
          </w:p>
        </w:tc>
      </w:tr>
      <w:tr w14:paraId="15A0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AA113EB">
            <w:pPr>
              <w:spacing w:line="360" w:lineRule="auto"/>
              <w:jc w:val="center"/>
              <w:rPr>
                <w:rFonts w:ascii="宋体" w:hAnsi="宋体" w:cs="宋体"/>
                <w:b/>
                <w:sz w:val="24"/>
                <w:highlight w:val="none"/>
              </w:rPr>
            </w:pPr>
            <w:r>
              <w:rPr>
                <w:rFonts w:hint="eastAsia" w:ascii="宋体" w:hAnsi="宋体" w:cs="宋体"/>
                <w:b/>
                <w:sz w:val="24"/>
                <w:highlight w:val="none"/>
              </w:rPr>
              <w:t>投标报价（小写）</w:t>
            </w:r>
          </w:p>
        </w:tc>
        <w:tc>
          <w:tcPr>
            <w:tcW w:w="7655" w:type="dxa"/>
            <w:gridSpan w:val="4"/>
            <w:vAlign w:val="center"/>
          </w:tcPr>
          <w:p w14:paraId="69459E9A">
            <w:pPr>
              <w:spacing w:line="360" w:lineRule="auto"/>
              <w:jc w:val="center"/>
              <w:rPr>
                <w:rFonts w:ascii="宋体" w:hAnsi="宋体" w:cs="宋体"/>
                <w:sz w:val="24"/>
                <w:highlight w:val="none"/>
              </w:rPr>
            </w:pPr>
          </w:p>
        </w:tc>
      </w:tr>
      <w:tr w14:paraId="4E6A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365A112">
            <w:pPr>
              <w:spacing w:line="360" w:lineRule="auto"/>
              <w:jc w:val="center"/>
              <w:rPr>
                <w:rFonts w:ascii="宋体" w:hAnsi="宋体" w:cs="宋体"/>
                <w:b/>
                <w:sz w:val="24"/>
                <w:highlight w:val="none"/>
              </w:rPr>
            </w:pPr>
            <w:r>
              <w:rPr>
                <w:rFonts w:hint="eastAsia" w:ascii="宋体" w:hAnsi="宋体" w:cs="宋体"/>
                <w:b/>
                <w:sz w:val="24"/>
                <w:highlight w:val="none"/>
              </w:rPr>
              <w:t>投标报价（大写）</w:t>
            </w:r>
          </w:p>
        </w:tc>
        <w:tc>
          <w:tcPr>
            <w:tcW w:w="7655" w:type="dxa"/>
            <w:gridSpan w:val="4"/>
            <w:vAlign w:val="center"/>
          </w:tcPr>
          <w:p w14:paraId="51913981">
            <w:pPr>
              <w:spacing w:line="360" w:lineRule="auto"/>
              <w:jc w:val="center"/>
              <w:rPr>
                <w:rFonts w:ascii="宋体" w:hAnsi="宋体" w:cs="宋体"/>
                <w:sz w:val="24"/>
                <w:highlight w:val="none"/>
              </w:rPr>
            </w:pPr>
          </w:p>
        </w:tc>
      </w:tr>
    </w:tbl>
    <w:p w14:paraId="46D1F362">
      <w:pPr>
        <w:snapToGrid w:val="0"/>
        <w:spacing w:line="360" w:lineRule="auto"/>
        <w:ind w:left="480"/>
        <w:rPr>
          <w:rFonts w:ascii="宋体" w:hAnsi="宋体" w:cs="宋体"/>
          <w:b/>
          <w:kern w:val="0"/>
          <w:sz w:val="24"/>
          <w:highlight w:val="none"/>
          <w:lang w:val="zh-CN"/>
        </w:rPr>
      </w:pPr>
      <w:r>
        <w:rPr>
          <w:rFonts w:hint="eastAsia" w:ascii="宋体" w:hAnsi="宋体" w:cs="宋体"/>
          <w:b/>
          <w:kern w:val="0"/>
          <w:sz w:val="24"/>
          <w:highlight w:val="none"/>
          <w:lang w:val="zh-CN"/>
        </w:rPr>
        <w:t>注：</w:t>
      </w:r>
    </w:p>
    <w:p w14:paraId="105A5559">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kern w:val="0"/>
          <w:sz w:val="24"/>
          <w:highlight w:val="none"/>
          <w:lang w:val="zh-CN"/>
        </w:rPr>
        <w:t>。</w:t>
      </w:r>
    </w:p>
    <w:p w14:paraId="45835EED">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lang w:val="zh-CN"/>
        </w:rPr>
        <w:t>2、有关本项目实施所涉及的一切费用均计入报价。</w:t>
      </w:r>
      <w:r>
        <w:rPr>
          <w:rFonts w:hint="eastAsia" w:ascii="宋体" w:hAnsi="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cs="宋体"/>
          <w:kern w:val="0"/>
          <w:sz w:val="24"/>
          <w:highlight w:val="none"/>
          <w:lang w:val="zh-CN"/>
        </w:rPr>
        <w:t>，</w:t>
      </w:r>
      <w:r>
        <w:rPr>
          <w:rFonts w:hint="eastAsia" w:ascii="宋体" w:hAnsi="宋体" w:cs="宋体"/>
          <w:b/>
          <w:kern w:val="0"/>
          <w:sz w:val="24"/>
          <w:highlight w:val="none"/>
          <w:lang w:val="zh-CN"/>
        </w:rPr>
        <w:t>不得出现“0元”“免费赠送”等形式的无偿报价，</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14:paraId="4A06FCD4">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3、特别提示：采购代理机构将对项目名称和项目编号，中标供应商名称、地址和中标金额，主要中标标的名称、品牌（如果有）、规格型号、数量、单价等予以公示。</w:t>
      </w:r>
    </w:p>
    <w:p w14:paraId="74B8F754">
      <w:pPr>
        <w:snapToGrid w:val="0"/>
        <w:spacing w:line="360" w:lineRule="auto"/>
        <w:ind w:firstLine="480" w:firstLineChars="200"/>
        <w:jc w:val="left"/>
        <w:rPr>
          <w:rFonts w:ascii="宋体" w:hAnsi="宋体" w:cs="宋体"/>
          <w:sz w:val="32"/>
          <w:szCs w:val="32"/>
          <w:highlight w:val="none"/>
        </w:rPr>
      </w:pPr>
      <w:r>
        <w:rPr>
          <w:rFonts w:ascii="宋体" w:hAnsi="宋体" w:cs="宋体"/>
          <w:kern w:val="0"/>
          <w:sz w:val="24"/>
          <w:szCs w:val="22"/>
          <w:highlight w:val="none"/>
          <w:lang w:val="zh-CN"/>
        </w:rPr>
        <w:t>4</w:t>
      </w:r>
      <w:r>
        <w:rPr>
          <w:rFonts w:hint="eastAsia" w:ascii="宋体" w:hAnsi="宋体" w:cs="宋体"/>
          <w:kern w:val="0"/>
          <w:sz w:val="24"/>
          <w:szCs w:val="22"/>
          <w:highlight w:val="none"/>
          <w:lang w:val="zh-CN"/>
        </w:rPr>
        <w:t>、</w:t>
      </w:r>
      <w:r>
        <w:rPr>
          <w:rFonts w:hint="eastAsia" w:ascii="宋体" w:hAnsi="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427E60F">
      <w:pPr>
        <w:pStyle w:val="694"/>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pgSz w:w="16838" w:h="11906" w:orient="landscape"/>
          <w:pgMar w:top="1440" w:right="1080" w:bottom="1440" w:left="1080" w:header="851" w:footer="992" w:gutter="0"/>
          <w:cols w:space="720" w:num="1"/>
          <w:titlePg/>
          <w:docGrid w:linePitch="312" w:charSpace="0"/>
        </w:sectPr>
      </w:pPr>
    </w:p>
    <w:p w14:paraId="345BA9C6">
      <w:pPr>
        <w:rPr>
          <w:highlight w:val="none"/>
        </w:rPr>
      </w:pPr>
    </w:p>
    <w:p w14:paraId="7A4D23A5">
      <w:pPr>
        <w:pStyle w:val="694"/>
        <w:keepNext w:val="0"/>
        <w:pageBreakBefore w:val="0"/>
        <w:tabs>
          <w:tab w:val="clear" w:pos="720"/>
        </w:tabs>
        <w:snapToGrid w:val="0"/>
        <w:spacing w:before="120" w:after="120"/>
        <w:ind w:firstLine="643"/>
        <w:outlineLvl w:val="9"/>
        <w:rPr>
          <w:rFonts w:ascii="宋体" w:hAnsi="宋体" w:eastAsia="宋体" w:cs="宋体"/>
          <w:sz w:val="32"/>
          <w:szCs w:val="32"/>
          <w:highlight w:val="none"/>
        </w:rPr>
      </w:pPr>
      <w:bookmarkStart w:id="424" w:name="_Hlk101259491"/>
      <w:bookmarkEnd w:id="424"/>
      <w:r>
        <w:rPr>
          <w:rFonts w:hint="eastAsia" w:ascii="宋体" w:hAnsi="宋体" w:eastAsia="宋体" w:cs="宋体"/>
          <w:kern w:val="2"/>
          <w:sz w:val="32"/>
          <w:szCs w:val="32"/>
          <w:highlight w:val="none"/>
        </w:rPr>
        <w:t>二、</w:t>
      </w:r>
      <w:r>
        <w:rPr>
          <w:rFonts w:hint="eastAsia" w:ascii="宋体" w:hAnsi="宋体" w:eastAsia="宋体" w:cs="宋体"/>
          <w:sz w:val="32"/>
          <w:szCs w:val="32"/>
          <w:highlight w:val="none"/>
        </w:rPr>
        <w:t>中小企业声明函（如果有）</w:t>
      </w:r>
    </w:p>
    <w:p w14:paraId="428D08B7">
      <w:pPr>
        <w:widowControl/>
        <w:spacing w:line="360" w:lineRule="auto"/>
        <w:ind w:firstLine="120" w:firstLineChars="50"/>
        <w:jc w:val="left"/>
        <w:rPr>
          <w:rFonts w:ascii="宋体" w:hAnsi="宋体" w:cs="宋体"/>
          <w:b/>
          <w:sz w:val="24"/>
          <w:highlight w:val="none"/>
        </w:rPr>
      </w:pPr>
      <w:r>
        <w:rPr>
          <w:rFonts w:hint="eastAsia" w:ascii="宋体" w:hAnsi="宋体" w:cs="宋体"/>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highlight w:val="none"/>
        </w:rPr>
        <w:t>7</w:t>
      </w:r>
      <w:r>
        <w:rPr>
          <w:rFonts w:hint="eastAsia" w:ascii="宋体" w:hAnsi="宋体" w:cs="宋体"/>
          <w:b/>
          <w:sz w:val="24"/>
          <w:highlight w:val="none"/>
        </w:rPr>
        <w:t>）。]</w:t>
      </w:r>
    </w:p>
    <w:p w14:paraId="4E7E815B">
      <w:pPr>
        <w:pStyle w:val="694"/>
        <w:keepNext w:val="0"/>
        <w:pageBreakBefore w:val="0"/>
        <w:tabs>
          <w:tab w:val="clear" w:pos="720"/>
        </w:tabs>
        <w:snapToGrid w:val="0"/>
        <w:spacing w:before="120" w:after="120"/>
        <w:ind w:firstLine="643"/>
        <w:outlineLvl w:val="9"/>
        <w:rPr>
          <w:rFonts w:ascii="宋体" w:hAnsi="宋体" w:eastAsia="宋体" w:cs="宋体"/>
          <w:b w:val="0"/>
          <w:sz w:val="32"/>
          <w:szCs w:val="32"/>
          <w:highlight w:val="none"/>
        </w:rPr>
      </w:pPr>
    </w:p>
    <w:p w14:paraId="75B01892">
      <w:pPr>
        <w:spacing w:line="360" w:lineRule="auto"/>
        <w:ind w:right="420" w:firstLine="3614" w:firstLineChars="1000"/>
        <w:rPr>
          <w:rFonts w:ascii="宋体" w:hAnsi="宋体" w:cs="宋体"/>
          <w:b/>
          <w:kern w:val="0"/>
          <w:sz w:val="36"/>
          <w:szCs w:val="36"/>
          <w:highlight w:val="none"/>
        </w:rPr>
      </w:pPr>
    </w:p>
    <w:p w14:paraId="688986C9">
      <w:pPr>
        <w:spacing w:line="360" w:lineRule="auto"/>
        <w:ind w:right="420" w:firstLine="3614" w:firstLineChars="1000"/>
        <w:rPr>
          <w:rFonts w:ascii="宋体" w:hAnsi="宋体" w:cs="宋体"/>
          <w:b/>
          <w:kern w:val="0"/>
          <w:sz w:val="36"/>
          <w:szCs w:val="36"/>
          <w:highlight w:val="none"/>
        </w:rPr>
      </w:pPr>
    </w:p>
    <w:p w14:paraId="510BDC78">
      <w:pPr>
        <w:spacing w:line="360" w:lineRule="auto"/>
        <w:ind w:right="420" w:firstLine="3614" w:firstLineChars="1000"/>
        <w:rPr>
          <w:rFonts w:ascii="宋体" w:hAnsi="宋体" w:cs="宋体"/>
          <w:b/>
          <w:kern w:val="0"/>
          <w:sz w:val="36"/>
          <w:szCs w:val="36"/>
          <w:highlight w:val="none"/>
        </w:rPr>
      </w:pPr>
    </w:p>
    <w:p w14:paraId="4C7A0FDE">
      <w:pPr>
        <w:spacing w:line="360" w:lineRule="auto"/>
        <w:ind w:right="420" w:firstLine="3614" w:firstLineChars="1000"/>
        <w:rPr>
          <w:rFonts w:ascii="宋体" w:hAnsi="宋体" w:cs="宋体"/>
          <w:b/>
          <w:kern w:val="0"/>
          <w:sz w:val="36"/>
          <w:szCs w:val="36"/>
          <w:highlight w:val="none"/>
        </w:rPr>
      </w:pPr>
    </w:p>
    <w:p w14:paraId="3B71A9A0">
      <w:pPr>
        <w:spacing w:line="360" w:lineRule="auto"/>
        <w:ind w:right="420" w:firstLine="3614" w:firstLineChars="1000"/>
        <w:rPr>
          <w:rFonts w:ascii="宋体" w:hAnsi="宋体" w:cs="宋体"/>
          <w:b/>
          <w:kern w:val="0"/>
          <w:sz w:val="36"/>
          <w:szCs w:val="36"/>
          <w:highlight w:val="none"/>
        </w:rPr>
      </w:pPr>
    </w:p>
    <w:p w14:paraId="0DE0CA2A">
      <w:pPr>
        <w:spacing w:line="360" w:lineRule="auto"/>
        <w:ind w:right="420" w:firstLine="3614" w:firstLineChars="1000"/>
        <w:rPr>
          <w:rFonts w:ascii="宋体" w:hAnsi="宋体" w:cs="宋体"/>
          <w:b/>
          <w:kern w:val="0"/>
          <w:sz w:val="36"/>
          <w:szCs w:val="36"/>
          <w:highlight w:val="none"/>
        </w:rPr>
      </w:pPr>
    </w:p>
    <w:p w14:paraId="19F9AD5A">
      <w:pPr>
        <w:spacing w:line="360" w:lineRule="auto"/>
        <w:ind w:right="420" w:firstLine="3614" w:firstLineChars="1000"/>
        <w:rPr>
          <w:rFonts w:ascii="宋体" w:hAnsi="宋体" w:cs="宋体"/>
          <w:b/>
          <w:kern w:val="0"/>
          <w:sz w:val="36"/>
          <w:szCs w:val="36"/>
          <w:highlight w:val="none"/>
        </w:rPr>
      </w:pPr>
    </w:p>
    <w:p w14:paraId="1778D949">
      <w:pPr>
        <w:spacing w:line="360" w:lineRule="auto"/>
        <w:ind w:right="420" w:firstLine="3614" w:firstLineChars="1000"/>
        <w:rPr>
          <w:rFonts w:ascii="宋体" w:hAnsi="宋体" w:cs="宋体"/>
          <w:b/>
          <w:kern w:val="0"/>
          <w:sz w:val="36"/>
          <w:szCs w:val="36"/>
          <w:highlight w:val="none"/>
        </w:rPr>
      </w:pPr>
    </w:p>
    <w:p w14:paraId="5AD69C84">
      <w:pPr>
        <w:spacing w:line="360" w:lineRule="auto"/>
        <w:ind w:right="420" w:firstLine="3614" w:firstLineChars="1000"/>
        <w:rPr>
          <w:rFonts w:ascii="宋体" w:hAnsi="宋体" w:cs="宋体"/>
          <w:b/>
          <w:kern w:val="0"/>
          <w:sz w:val="36"/>
          <w:szCs w:val="36"/>
          <w:highlight w:val="none"/>
        </w:rPr>
      </w:pPr>
    </w:p>
    <w:p w14:paraId="724AB97F">
      <w:pPr>
        <w:spacing w:line="360" w:lineRule="auto"/>
        <w:ind w:right="420" w:firstLine="3614" w:firstLineChars="1000"/>
        <w:rPr>
          <w:rFonts w:ascii="宋体" w:hAnsi="宋体" w:cs="宋体"/>
          <w:b/>
          <w:kern w:val="0"/>
          <w:sz w:val="36"/>
          <w:szCs w:val="36"/>
          <w:highlight w:val="none"/>
        </w:rPr>
      </w:pPr>
    </w:p>
    <w:p w14:paraId="19D34F7B">
      <w:pPr>
        <w:spacing w:line="360" w:lineRule="auto"/>
        <w:ind w:right="420" w:firstLine="3614" w:firstLineChars="1000"/>
        <w:rPr>
          <w:rFonts w:ascii="宋体" w:hAnsi="宋体" w:cs="宋体"/>
          <w:b/>
          <w:kern w:val="0"/>
          <w:sz w:val="36"/>
          <w:szCs w:val="36"/>
          <w:highlight w:val="none"/>
        </w:rPr>
      </w:pPr>
    </w:p>
    <w:p w14:paraId="416E88FD">
      <w:pPr>
        <w:spacing w:line="360" w:lineRule="auto"/>
        <w:ind w:right="420" w:firstLine="3614" w:firstLineChars="1000"/>
        <w:rPr>
          <w:rFonts w:ascii="宋体" w:hAnsi="宋体" w:cs="宋体"/>
          <w:b/>
          <w:kern w:val="0"/>
          <w:sz w:val="36"/>
          <w:szCs w:val="36"/>
          <w:highlight w:val="none"/>
        </w:rPr>
      </w:pPr>
    </w:p>
    <w:p w14:paraId="658C3D9D">
      <w:pPr>
        <w:spacing w:line="360" w:lineRule="auto"/>
        <w:ind w:right="420" w:firstLine="3614" w:firstLineChars="1000"/>
        <w:rPr>
          <w:rFonts w:ascii="宋体" w:hAnsi="宋体" w:cs="宋体"/>
          <w:b/>
          <w:kern w:val="0"/>
          <w:sz w:val="36"/>
          <w:szCs w:val="36"/>
          <w:highlight w:val="none"/>
        </w:rPr>
      </w:pPr>
    </w:p>
    <w:p w14:paraId="0E516BDB">
      <w:pPr>
        <w:spacing w:line="360" w:lineRule="auto"/>
        <w:ind w:right="420" w:firstLine="3614" w:firstLineChars="1000"/>
        <w:rPr>
          <w:rFonts w:ascii="宋体" w:hAnsi="宋体" w:cs="宋体"/>
          <w:b/>
          <w:kern w:val="0"/>
          <w:sz w:val="36"/>
          <w:szCs w:val="36"/>
          <w:highlight w:val="none"/>
        </w:rPr>
      </w:pPr>
    </w:p>
    <w:p w14:paraId="26C31E70">
      <w:pPr>
        <w:spacing w:line="360" w:lineRule="auto"/>
        <w:ind w:right="420" w:firstLine="3614" w:firstLineChars="1000"/>
        <w:rPr>
          <w:rFonts w:ascii="宋体" w:hAnsi="宋体" w:cs="宋体"/>
          <w:b/>
          <w:kern w:val="0"/>
          <w:sz w:val="36"/>
          <w:szCs w:val="36"/>
          <w:highlight w:val="none"/>
        </w:rPr>
      </w:pPr>
    </w:p>
    <w:p w14:paraId="1C4571B3">
      <w:pPr>
        <w:pStyle w:val="4"/>
        <w:rPr>
          <w:highlight w:val="none"/>
        </w:rPr>
      </w:pPr>
      <w:bookmarkStart w:id="425" w:name="_Toc465665161"/>
      <w:bookmarkEnd w:id="425"/>
      <w:bookmarkStart w:id="426" w:name="_Toc13368"/>
      <w:r>
        <w:rPr>
          <w:rFonts w:hint="eastAsia"/>
          <w:highlight w:val="none"/>
        </w:rPr>
        <w:t>附件</w:t>
      </w:r>
      <w:bookmarkEnd w:id="426"/>
    </w:p>
    <w:p w14:paraId="54AF76CD">
      <w:pPr>
        <w:spacing w:line="360" w:lineRule="auto"/>
        <w:rPr>
          <w:rFonts w:ascii="宋体" w:hAnsi="宋体" w:cs="宋体"/>
          <w:b/>
          <w:spacing w:val="6"/>
          <w:sz w:val="32"/>
          <w:szCs w:val="32"/>
          <w:highlight w:val="none"/>
        </w:rPr>
      </w:pPr>
      <w:r>
        <w:rPr>
          <w:rFonts w:hint="eastAsia" w:ascii="宋体" w:hAnsi="宋体" w:cs="宋体"/>
          <w:b/>
          <w:spacing w:val="6"/>
          <w:sz w:val="32"/>
          <w:szCs w:val="32"/>
          <w:highlight w:val="none"/>
        </w:rPr>
        <w:t>附件1：</w:t>
      </w:r>
    </w:p>
    <w:p w14:paraId="5F089331">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残疾人福利性单位声明函</w:t>
      </w:r>
    </w:p>
    <w:p w14:paraId="7F6D876E">
      <w:pPr>
        <w:spacing w:line="360" w:lineRule="auto"/>
        <w:rPr>
          <w:rFonts w:ascii="宋体" w:hAnsi="宋体" w:cs="宋体"/>
          <w:b/>
          <w:spacing w:val="6"/>
          <w:sz w:val="30"/>
          <w:szCs w:val="30"/>
          <w:highlight w:val="none"/>
        </w:rPr>
      </w:pPr>
    </w:p>
    <w:p w14:paraId="3D58FAD1">
      <w:pPr>
        <w:spacing w:line="360" w:lineRule="auto"/>
        <w:ind w:firstLine="480" w:firstLineChars="200"/>
        <w:rPr>
          <w:rFonts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highlight w:val="none"/>
          <w:u w:val="single"/>
        </w:rPr>
        <w:t>浙江同济科技职业学院</w:t>
      </w:r>
      <w:r>
        <w:rPr>
          <w:rFonts w:hint="eastAsia" w:ascii="宋体" w:hAnsi="宋体" w:cs="宋体"/>
          <w:sz w:val="24"/>
          <w:highlight w:val="none"/>
        </w:rPr>
        <w:t>_单位的_</w:t>
      </w:r>
      <w:r>
        <w:rPr>
          <w:rFonts w:hint="eastAsia" w:ascii="宋体" w:hAnsi="宋体" w:cs="宋体"/>
          <w:sz w:val="24"/>
          <w:highlight w:val="none"/>
          <w:u w:val="single"/>
        </w:rPr>
        <w:t>浙江同济科技职业学院图书馆家具</w:t>
      </w:r>
      <w:r>
        <w:rPr>
          <w:rFonts w:hint="eastAsia" w:ascii="宋体" w:hAnsi="宋体" w:cs="宋体"/>
          <w:sz w:val="24"/>
          <w:highlight w:val="none"/>
        </w:rPr>
        <w:t>__项目采购活动提供本单位制造的货物（由本单位承担工程/提供服务），或者提供其他残疾人福利性单位制造的货物（不包括使用非残疾人福利性单位注册商标的货物）。</w:t>
      </w:r>
    </w:p>
    <w:p w14:paraId="3EA155BD">
      <w:pPr>
        <w:spacing w:line="360" w:lineRule="auto"/>
        <w:ind w:firstLine="480" w:firstLineChars="200"/>
        <w:rPr>
          <w:rFonts w:ascii="宋体" w:hAnsi="宋体" w:cs="宋体"/>
          <w:sz w:val="24"/>
          <w:highlight w:val="none"/>
        </w:rPr>
      </w:pPr>
      <w:r>
        <w:rPr>
          <w:rFonts w:hint="eastAsia" w:ascii="宋体" w:hAnsi="宋体" w:cs="宋体"/>
          <w:sz w:val="24"/>
          <w:highlight w:val="none"/>
        </w:rPr>
        <w:t>本单位对上述声明的真实性负责。如有虚假，将依法承担相应责任。</w:t>
      </w:r>
    </w:p>
    <w:p w14:paraId="24B6D0C5">
      <w:pPr>
        <w:spacing w:line="360" w:lineRule="auto"/>
        <w:ind w:firstLine="480" w:firstLineChars="200"/>
        <w:rPr>
          <w:rFonts w:ascii="宋体" w:hAnsi="宋体" w:cs="宋体"/>
          <w:sz w:val="24"/>
          <w:highlight w:val="none"/>
        </w:rPr>
      </w:pPr>
    </w:p>
    <w:p w14:paraId="3DFCEBE2">
      <w:pPr>
        <w:spacing w:line="360" w:lineRule="auto"/>
        <w:ind w:firstLine="480" w:firstLineChars="200"/>
        <w:jc w:val="left"/>
        <w:rPr>
          <w:rFonts w:ascii="宋体" w:hAnsi="宋体" w:cs="宋体"/>
          <w:sz w:val="24"/>
          <w:highlight w:val="none"/>
        </w:rPr>
      </w:pPr>
    </w:p>
    <w:p w14:paraId="76920CD1">
      <w:pPr>
        <w:tabs>
          <w:tab w:val="left" w:pos="4860"/>
        </w:tabs>
        <w:spacing w:line="360" w:lineRule="auto"/>
        <w:ind w:right="1560" w:firstLine="480" w:firstLineChars="200"/>
        <w:jc w:val="left"/>
        <w:rPr>
          <w:rFonts w:ascii="宋体" w:hAnsi="宋体" w:cs="宋体"/>
          <w:sz w:val="24"/>
          <w:highlight w:val="none"/>
        </w:rPr>
      </w:pPr>
      <w:r>
        <w:rPr>
          <w:rFonts w:hint="eastAsia" w:ascii="宋体" w:hAnsi="宋体" w:cs="宋体"/>
          <w:kern w:val="0"/>
          <w:sz w:val="24"/>
          <w:highlight w:val="none"/>
          <w:lang w:val="zh-CN"/>
        </w:rPr>
        <w:t>投标人名称（电子签名）</w:t>
      </w:r>
      <w:r>
        <w:rPr>
          <w:rFonts w:hint="eastAsia" w:ascii="宋体" w:hAnsi="宋体" w:cs="宋体"/>
          <w:sz w:val="24"/>
          <w:highlight w:val="none"/>
        </w:rPr>
        <w:t>：</w:t>
      </w:r>
    </w:p>
    <w:p w14:paraId="6A51A6C6">
      <w:pPr>
        <w:tabs>
          <w:tab w:val="left" w:pos="4860"/>
        </w:tabs>
        <w:spacing w:line="360" w:lineRule="auto"/>
        <w:ind w:right="1560" w:firstLine="480" w:firstLineChars="200"/>
        <w:jc w:val="left"/>
        <w:rPr>
          <w:rFonts w:ascii="宋体" w:hAnsi="宋体" w:cs="宋体"/>
          <w:sz w:val="24"/>
          <w:highlight w:val="none"/>
        </w:rPr>
      </w:pPr>
      <w:r>
        <w:rPr>
          <w:rFonts w:hint="eastAsia" w:ascii="宋体" w:hAnsi="宋体" w:cs="宋体"/>
          <w:sz w:val="24"/>
          <w:highlight w:val="none"/>
        </w:rPr>
        <w:t>日  期：</w:t>
      </w:r>
    </w:p>
    <w:p w14:paraId="188E5A5A">
      <w:pPr>
        <w:spacing w:line="360" w:lineRule="auto"/>
        <w:ind w:firstLine="480" w:firstLineChars="200"/>
        <w:rPr>
          <w:rFonts w:ascii="宋体" w:hAnsi="宋体" w:cs="宋体"/>
          <w:sz w:val="24"/>
          <w:highlight w:val="none"/>
        </w:rPr>
      </w:pPr>
    </w:p>
    <w:p w14:paraId="26DC0CF7">
      <w:pPr>
        <w:spacing w:line="360" w:lineRule="auto"/>
        <w:ind w:firstLine="420" w:firstLineChars="200"/>
        <w:rPr>
          <w:rFonts w:ascii="宋体" w:hAnsi="宋体" w:cs="宋体"/>
          <w:highlight w:val="none"/>
        </w:rPr>
      </w:pPr>
    </w:p>
    <w:p w14:paraId="0FE9D743">
      <w:pPr>
        <w:spacing w:line="360" w:lineRule="auto"/>
        <w:ind w:firstLine="420" w:firstLineChars="200"/>
        <w:rPr>
          <w:rFonts w:ascii="宋体" w:hAnsi="宋体" w:cs="宋体"/>
          <w:highlight w:val="none"/>
        </w:rPr>
      </w:pPr>
    </w:p>
    <w:p w14:paraId="7DD3B82A">
      <w:pPr>
        <w:spacing w:line="360" w:lineRule="auto"/>
        <w:ind w:firstLine="420" w:firstLineChars="200"/>
        <w:rPr>
          <w:rFonts w:ascii="宋体" w:hAnsi="宋体" w:cs="宋体"/>
          <w:highlight w:val="none"/>
        </w:rPr>
      </w:pPr>
    </w:p>
    <w:p w14:paraId="4406ADDC">
      <w:pPr>
        <w:spacing w:line="360" w:lineRule="auto"/>
        <w:ind w:firstLine="420" w:firstLineChars="200"/>
        <w:rPr>
          <w:rFonts w:ascii="宋体" w:hAnsi="宋体" w:cs="宋体"/>
          <w:highlight w:val="none"/>
        </w:rPr>
      </w:pPr>
    </w:p>
    <w:p w14:paraId="27AEE6A7">
      <w:pPr>
        <w:spacing w:line="360" w:lineRule="auto"/>
        <w:rPr>
          <w:rFonts w:ascii="宋体" w:hAnsi="宋体" w:cs="宋体"/>
          <w:b/>
          <w:sz w:val="24"/>
          <w:highlight w:val="none"/>
        </w:rPr>
      </w:pPr>
    </w:p>
    <w:p w14:paraId="1B82EF77">
      <w:pPr>
        <w:spacing w:line="360" w:lineRule="auto"/>
        <w:rPr>
          <w:rFonts w:ascii="宋体" w:hAnsi="宋体" w:cs="宋体"/>
          <w:b/>
          <w:sz w:val="24"/>
          <w:highlight w:val="none"/>
        </w:rPr>
      </w:pPr>
    </w:p>
    <w:p w14:paraId="10A86D4F">
      <w:pPr>
        <w:spacing w:line="360" w:lineRule="auto"/>
        <w:rPr>
          <w:rFonts w:ascii="宋体" w:hAnsi="宋体" w:cs="宋体"/>
          <w:b/>
          <w:sz w:val="24"/>
          <w:highlight w:val="none"/>
        </w:rPr>
      </w:pPr>
    </w:p>
    <w:p w14:paraId="4D085790">
      <w:pPr>
        <w:spacing w:line="360" w:lineRule="auto"/>
        <w:rPr>
          <w:rFonts w:ascii="宋体" w:hAnsi="宋体" w:cs="宋体"/>
          <w:b/>
          <w:sz w:val="24"/>
          <w:highlight w:val="none"/>
        </w:rPr>
      </w:pPr>
    </w:p>
    <w:p w14:paraId="4DADBCEF">
      <w:pPr>
        <w:spacing w:line="360" w:lineRule="auto"/>
        <w:rPr>
          <w:rFonts w:ascii="宋体" w:hAnsi="宋体" w:cs="宋体"/>
          <w:b/>
          <w:sz w:val="24"/>
          <w:highlight w:val="none"/>
        </w:rPr>
      </w:pPr>
    </w:p>
    <w:p w14:paraId="57B8F309">
      <w:pPr>
        <w:spacing w:line="360" w:lineRule="auto"/>
        <w:rPr>
          <w:rFonts w:ascii="宋体" w:hAnsi="宋体" w:cs="宋体"/>
          <w:b/>
          <w:sz w:val="24"/>
          <w:highlight w:val="none"/>
        </w:rPr>
      </w:pPr>
    </w:p>
    <w:p w14:paraId="527B3A31">
      <w:pPr>
        <w:spacing w:line="360" w:lineRule="auto"/>
        <w:rPr>
          <w:rFonts w:ascii="宋体" w:hAnsi="宋体" w:cs="宋体"/>
          <w:b/>
          <w:sz w:val="24"/>
          <w:highlight w:val="none"/>
        </w:rPr>
      </w:pPr>
    </w:p>
    <w:p w14:paraId="7094B0FB">
      <w:pPr>
        <w:spacing w:line="360" w:lineRule="auto"/>
        <w:rPr>
          <w:rFonts w:ascii="宋体" w:hAnsi="宋体" w:cs="宋体"/>
          <w:b/>
          <w:sz w:val="24"/>
          <w:highlight w:val="none"/>
        </w:rPr>
      </w:pPr>
    </w:p>
    <w:p w14:paraId="7E9B5EE0">
      <w:pPr>
        <w:spacing w:line="360" w:lineRule="auto"/>
        <w:rPr>
          <w:rFonts w:ascii="宋体" w:hAnsi="宋体" w:cs="宋体"/>
          <w:b/>
          <w:sz w:val="24"/>
          <w:highlight w:val="none"/>
        </w:rPr>
      </w:pPr>
    </w:p>
    <w:p w14:paraId="2F2719C7">
      <w:pPr>
        <w:rPr>
          <w:rFonts w:ascii="宋体" w:hAnsi="宋体" w:cs="宋体"/>
          <w:b/>
          <w:spacing w:val="6"/>
          <w:sz w:val="32"/>
          <w:szCs w:val="32"/>
          <w:highlight w:val="none"/>
        </w:rPr>
      </w:pPr>
      <w:r>
        <w:rPr>
          <w:rFonts w:hint="eastAsia" w:ascii="宋体" w:hAnsi="宋体" w:cs="宋体"/>
          <w:b/>
          <w:spacing w:val="6"/>
          <w:sz w:val="32"/>
          <w:szCs w:val="32"/>
          <w:highlight w:val="none"/>
        </w:rPr>
        <w:br w:type="page"/>
      </w:r>
    </w:p>
    <w:p w14:paraId="2BA28FBE">
      <w:pPr>
        <w:spacing w:line="360" w:lineRule="auto"/>
        <w:jc w:val="left"/>
        <w:rPr>
          <w:rFonts w:ascii="宋体" w:hAnsi="宋体" w:cs="宋体"/>
          <w:b/>
          <w:spacing w:val="6"/>
          <w:sz w:val="32"/>
          <w:szCs w:val="32"/>
          <w:highlight w:val="none"/>
        </w:rPr>
      </w:pPr>
      <w:r>
        <w:rPr>
          <w:rFonts w:hint="eastAsia" w:ascii="宋体" w:hAnsi="宋体" w:cs="宋体"/>
          <w:b/>
          <w:spacing w:val="6"/>
          <w:sz w:val="32"/>
          <w:szCs w:val="32"/>
          <w:highlight w:val="none"/>
        </w:rPr>
        <w:t>附件2：质疑函范本及制作说明</w:t>
      </w:r>
    </w:p>
    <w:p w14:paraId="1C9604BF">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质疑函范本</w:t>
      </w:r>
    </w:p>
    <w:p w14:paraId="36E66573">
      <w:pPr>
        <w:snapToGrid w:val="0"/>
        <w:spacing w:before="240" w:beforeLines="100" w:line="360" w:lineRule="auto"/>
        <w:rPr>
          <w:rFonts w:ascii="宋体" w:hAnsi="宋体" w:cs="宋体"/>
          <w:bCs/>
          <w:sz w:val="24"/>
          <w:highlight w:val="none"/>
        </w:rPr>
      </w:pPr>
      <w:r>
        <w:rPr>
          <w:rFonts w:hint="eastAsia" w:ascii="宋体" w:hAnsi="宋体" w:cs="宋体"/>
          <w:bCs/>
          <w:sz w:val="24"/>
          <w:highlight w:val="none"/>
        </w:rPr>
        <w:t>一、质疑供应商基本信息</w:t>
      </w:r>
    </w:p>
    <w:p w14:paraId="0270906C">
      <w:pPr>
        <w:snapToGrid w:val="0"/>
        <w:spacing w:line="360" w:lineRule="auto"/>
        <w:rPr>
          <w:rFonts w:ascii="宋体" w:hAnsi="宋体" w:cs="宋体"/>
          <w:sz w:val="24"/>
          <w:highlight w:val="none"/>
          <w:u w:val="dotted"/>
        </w:rPr>
      </w:pPr>
      <w:r>
        <w:rPr>
          <w:rFonts w:hint="eastAsia" w:ascii="宋体" w:hAnsi="宋体" w:cs="宋体"/>
          <w:sz w:val="24"/>
          <w:highlight w:val="none"/>
        </w:rPr>
        <w:t>质疑供应商：</w:t>
      </w:r>
      <w:r>
        <w:rPr>
          <w:rFonts w:hint="eastAsia" w:ascii="宋体" w:hAnsi="宋体" w:cs="宋体"/>
          <w:sz w:val="24"/>
          <w:highlight w:val="none"/>
          <w:u w:val="dotted"/>
        </w:rPr>
        <w:t xml:space="preserve">                                        </w:t>
      </w:r>
    </w:p>
    <w:p w14:paraId="7E3102B1">
      <w:pPr>
        <w:snapToGrid w:val="0"/>
        <w:spacing w:line="360" w:lineRule="auto"/>
        <w:rPr>
          <w:rFonts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p>
    <w:p w14:paraId="0E5CA92E">
      <w:pPr>
        <w:snapToGrid w:val="0"/>
        <w:spacing w:line="360" w:lineRule="auto"/>
        <w:rPr>
          <w:rFonts w:ascii="宋体" w:hAnsi="宋体" w:cs="宋体"/>
          <w:sz w:val="24"/>
          <w:highlight w:val="non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p>
    <w:p w14:paraId="664133F7">
      <w:pPr>
        <w:snapToGrid w:val="0"/>
        <w:spacing w:line="360" w:lineRule="auto"/>
        <w:rPr>
          <w:rFonts w:ascii="宋体" w:hAnsi="宋体" w:cs="宋体"/>
          <w:sz w:val="24"/>
          <w:highlight w:val="none"/>
          <w:u w:val="dotted"/>
        </w:rPr>
      </w:pPr>
      <w:r>
        <w:rPr>
          <w:rFonts w:hint="eastAsia" w:ascii="宋体" w:hAnsi="宋体" w:cs="宋体"/>
          <w:sz w:val="24"/>
          <w:highlight w:val="none"/>
        </w:rPr>
        <w:t>授权代表：</w:t>
      </w:r>
      <w:r>
        <w:rPr>
          <w:rFonts w:hint="eastAsia" w:ascii="宋体" w:hAnsi="宋体" w:cs="宋体"/>
          <w:sz w:val="24"/>
          <w:highlight w:val="none"/>
          <w:u w:val="dotted"/>
        </w:rPr>
        <w:t xml:space="preserve">                                          </w:t>
      </w:r>
    </w:p>
    <w:p w14:paraId="1AA00157">
      <w:pPr>
        <w:snapToGrid w:val="0"/>
        <w:spacing w:line="360" w:lineRule="auto"/>
        <w:rPr>
          <w:rFonts w:ascii="宋体" w:hAnsi="宋体" w:cs="宋体"/>
          <w:sz w:val="24"/>
          <w:highlight w:val="none"/>
        </w:rPr>
      </w:pP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14:paraId="38C8F1EF">
      <w:pPr>
        <w:snapToGrid w:val="0"/>
        <w:spacing w:line="360" w:lineRule="auto"/>
        <w:rPr>
          <w:rFonts w:ascii="宋体" w:hAnsi="宋体" w:cs="宋体"/>
          <w:sz w:val="24"/>
          <w:highlight w:val="none"/>
        </w:rPr>
      </w:pPr>
      <w:r>
        <w:rPr>
          <w:rFonts w:hint="eastAsia" w:ascii="宋体" w:hAnsi="宋体" w:cs="宋体"/>
          <w:sz w:val="24"/>
          <w:highlight w:val="none"/>
        </w:rPr>
        <w:t xml:space="preserve">地址： </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p>
    <w:p w14:paraId="5B38BB4A">
      <w:pPr>
        <w:snapToGrid w:val="0"/>
        <w:spacing w:line="360" w:lineRule="auto"/>
        <w:rPr>
          <w:rFonts w:ascii="宋体" w:hAnsi="宋体" w:cs="宋体"/>
          <w:bCs/>
          <w:sz w:val="24"/>
          <w:highlight w:val="none"/>
        </w:rPr>
      </w:pPr>
      <w:r>
        <w:rPr>
          <w:rFonts w:hint="eastAsia" w:ascii="宋体" w:hAnsi="宋体" w:cs="宋体"/>
          <w:bCs/>
          <w:sz w:val="24"/>
          <w:highlight w:val="none"/>
        </w:rPr>
        <w:t>二、质疑项目基本情况</w:t>
      </w:r>
    </w:p>
    <w:p w14:paraId="476EEFF7">
      <w:pPr>
        <w:snapToGrid w:val="0"/>
        <w:spacing w:line="360" w:lineRule="auto"/>
        <w:rPr>
          <w:rFonts w:ascii="宋体" w:hAnsi="宋体" w:cs="宋体"/>
          <w:sz w:val="24"/>
          <w:highlight w:val="none"/>
        </w:rPr>
      </w:pPr>
      <w:r>
        <w:rPr>
          <w:rFonts w:hint="eastAsia" w:ascii="宋体" w:hAnsi="宋体" w:cs="宋体"/>
          <w:sz w:val="24"/>
          <w:highlight w:val="none"/>
        </w:rPr>
        <w:t>质疑项目的名称：</w:t>
      </w:r>
      <w:r>
        <w:rPr>
          <w:rFonts w:hint="eastAsia" w:ascii="宋体" w:hAnsi="宋体" w:cs="宋体"/>
          <w:sz w:val="24"/>
          <w:highlight w:val="none"/>
          <w:u w:val="dotted"/>
        </w:rPr>
        <w:t xml:space="preserve">                                      </w:t>
      </w:r>
    </w:p>
    <w:p w14:paraId="470D5AA3">
      <w:pPr>
        <w:snapToGrid w:val="0"/>
        <w:spacing w:line="360" w:lineRule="auto"/>
        <w:rPr>
          <w:rFonts w:ascii="宋体" w:hAnsi="宋体" w:cs="宋体"/>
          <w:sz w:val="24"/>
          <w:highlight w:val="none"/>
        </w:rPr>
      </w:pPr>
      <w:r>
        <w:rPr>
          <w:rFonts w:hint="eastAsia" w:ascii="宋体" w:hAnsi="宋体" w:cs="宋体"/>
          <w:sz w:val="24"/>
          <w:highlight w:val="none"/>
        </w:rPr>
        <w:t>质疑项目的编号：</w:t>
      </w:r>
      <w:r>
        <w:rPr>
          <w:rFonts w:hint="eastAsia" w:ascii="宋体" w:hAnsi="宋体" w:cs="宋体"/>
          <w:sz w:val="24"/>
          <w:highlight w:val="none"/>
          <w:u w:val="dotted"/>
        </w:rPr>
        <w:t xml:space="preserve">               </w:t>
      </w:r>
      <w:r>
        <w:rPr>
          <w:rFonts w:hint="eastAsia" w:ascii="宋体" w:hAnsi="宋体" w:cs="宋体"/>
          <w:sz w:val="24"/>
          <w:highlight w:val="none"/>
        </w:rPr>
        <w:t>包号：</w:t>
      </w:r>
      <w:r>
        <w:rPr>
          <w:rFonts w:hint="eastAsia" w:ascii="宋体" w:hAnsi="宋体" w:cs="宋体"/>
          <w:sz w:val="24"/>
          <w:highlight w:val="none"/>
          <w:u w:val="dotted"/>
        </w:rPr>
        <w:t xml:space="preserve">                 </w:t>
      </w:r>
    </w:p>
    <w:p w14:paraId="5BDC8124">
      <w:pPr>
        <w:snapToGrid w:val="0"/>
        <w:spacing w:line="360" w:lineRule="auto"/>
        <w:rPr>
          <w:rFonts w:ascii="宋体" w:hAnsi="宋体" w:cs="宋体"/>
          <w:sz w:val="24"/>
          <w:highlight w:val="none"/>
          <w:u w:val="dotted"/>
        </w:rPr>
      </w:pPr>
      <w:r>
        <w:rPr>
          <w:rFonts w:hint="eastAsia" w:ascii="宋体" w:hAnsi="宋体" w:cs="宋体"/>
          <w:sz w:val="24"/>
          <w:highlight w:val="none"/>
        </w:rPr>
        <w:t>采购人名称：</w:t>
      </w:r>
      <w:r>
        <w:rPr>
          <w:rFonts w:hint="eastAsia" w:ascii="宋体" w:hAnsi="宋体" w:cs="宋体"/>
          <w:sz w:val="24"/>
          <w:highlight w:val="none"/>
          <w:u w:val="dotted"/>
        </w:rPr>
        <w:t xml:space="preserve">                                         </w:t>
      </w:r>
    </w:p>
    <w:p w14:paraId="77142F16">
      <w:pPr>
        <w:snapToGrid w:val="0"/>
        <w:spacing w:line="360" w:lineRule="auto"/>
        <w:rPr>
          <w:rFonts w:ascii="宋体" w:hAnsi="宋体" w:cs="宋体"/>
          <w:sz w:val="24"/>
          <w:highlight w:val="none"/>
        </w:rPr>
      </w:pPr>
      <w:r>
        <w:rPr>
          <w:rFonts w:hint="eastAsia" w:ascii="宋体" w:hAnsi="宋体" w:cs="宋体"/>
          <w:sz w:val="24"/>
          <w:highlight w:val="none"/>
        </w:rPr>
        <w:t>采购文件获取日期：</w:t>
      </w:r>
      <w:r>
        <w:rPr>
          <w:rFonts w:hint="eastAsia" w:ascii="宋体" w:hAnsi="宋体" w:cs="宋体"/>
          <w:sz w:val="24"/>
          <w:highlight w:val="none"/>
          <w:u w:val="dotted"/>
        </w:rPr>
        <w:t xml:space="preserve">                                           </w:t>
      </w:r>
    </w:p>
    <w:p w14:paraId="14E1D66A">
      <w:pPr>
        <w:snapToGrid w:val="0"/>
        <w:spacing w:line="360" w:lineRule="auto"/>
        <w:rPr>
          <w:rFonts w:ascii="宋体" w:hAnsi="宋体" w:cs="宋体"/>
          <w:bCs/>
          <w:sz w:val="24"/>
          <w:highlight w:val="none"/>
        </w:rPr>
      </w:pPr>
      <w:r>
        <w:rPr>
          <w:rFonts w:hint="eastAsia" w:ascii="宋体" w:hAnsi="宋体" w:cs="宋体"/>
          <w:bCs/>
          <w:sz w:val="24"/>
          <w:highlight w:val="none"/>
        </w:rPr>
        <w:t>三、质疑事项具体内容</w:t>
      </w:r>
    </w:p>
    <w:p w14:paraId="21A29A8F">
      <w:pPr>
        <w:snapToGrid w:val="0"/>
        <w:spacing w:line="360" w:lineRule="auto"/>
        <w:rPr>
          <w:rFonts w:ascii="宋体" w:hAnsi="宋体" w:cs="宋体"/>
          <w:sz w:val="24"/>
          <w:highlight w:val="none"/>
          <w:u w:val="dotted"/>
        </w:rPr>
      </w:pPr>
      <w:r>
        <w:rPr>
          <w:rFonts w:hint="eastAsia" w:ascii="宋体" w:hAnsi="宋体" w:cs="宋体"/>
          <w:sz w:val="24"/>
          <w:highlight w:val="none"/>
        </w:rPr>
        <w:t>质疑事项1：</w:t>
      </w:r>
      <w:r>
        <w:rPr>
          <w:rFonts w:hint="eastAsia" w:ascii="宋体" w:hAnsi="宋体" w:cs="宋体"/>
          <w:sz w:val="24"/>
          <w:highlight w:val="none"/>
          <w:u w:val="dotted"/>
        </w:rPr>
        <w:t xml:space="preserve">                                         </w:t>
      </w:r>
    </w:p>
    <w:p w14:paraId="63B0FA44">
      <w:pPr>
        <w:snapToGrid w:val="0"/>
        <w:spacing w:line="360" w:lineRule="auto"/>
        <w:rPr>
          <w:rFonts w:ascii="宋体" w:hAnsi="宋体" w:cs="宋体"/>
          <w:sz w:val="24"/>
          <w:highlight w:val="none"/>
          <w:u w:val="dotted"/>
        </w:rPr>
      </w:pPr>
      <w:r>
        <w:rPr>
          <w:rFonts w:hint="eastAsia" w:ascii="宋体" w:hAnsi="宋体" w:cs="宋体"/>
          <w:sz w:val="24"/>
          <w:highlight w:val="none"/>
        </w:rPr>
        <w:t>事实依据：</w:t>
      </w:r>
      <w:r>
        <w:rPr>
          <w:rFonts w:hint="eastAsia" w:ascii="宋体" w:hAnsi="宋体" w:cs="宋体"/>
          <w:sz w:val="24"/>
          <w:highlight w:val="none"/>
          <w:u w:val="dotted"/>
        </w:rPr>
        <w:t xml:space="preserve">                                          </w:t>
      </w:r>
    </w:p>
    <w:p w14:paraId="7D87B199">
      <w:pPr>
        <w:snapToGrid w:val="0"/>
        <w:spacing w:line="360" w:lineRule="auto"/>
        <w:rPr>
          <w:rFonts w:ascii="宋体" w:hAnsi="宋体" w:cs="宋体"/>
          <w:sz w:val="24"/>
          <w:highlight w:val="none"/>
        </w:rPr>
      </w:pPr>
      <w:r>
        <w:rPr>
          <w:rFonts w:hint="eastAsia" w:ascii="宋体" w:hAnsi="宋体" w:cs="宋体"/>
          <w:sz w:val="24"/>
          <w:highlight w:val="none"/>
          <w:u w:val="dotted"/>
        </w:rPr>
        <w:t xml:space="preserve">                                                       </w:t>
      </w:r>
    </w:p>
    <w:p w14:paraId="066F83FA">
      <w:pPr>
        <w:snapToGrid w:val="0"/>
        <w:spacing w:line="360" w:lineRule="auto"/>
        <w:rPr>
          <w:rFonts w:ascii="宋体" w:hAnsi="宋体" w:cs="宋体"/>
          <w:sz w:val="24"/>
          <w:highlight w:val="none"/>
          <w:u w:val="dotted"/>
        </w:rPr>
      </w:pPr>
      <w:r>
        <w:rPr>
          <w:rFonts w:hint="eastAsia" w:ascii="宋体" w:hAnsi="宋体" w:cs="宋体"/>
          <w:sz w:val="24"/>
          <w:highlight w:val="none"/>
        </w:rPr>
        <w:t>法律依据：</w:t>
      </w:r>
      <w:r>
        <w:rPr>
          <w:rFonts w:hint="eastAsia" w:ascii="宋体" w:hAnsi="宋体" w:cs="宋体"/>
          <w:sz w:val="24"/>
          <w:highlight w:val="none"/>
          <w:u w:val="dotted"/>
        </w:rPr>
        <w:t xml:space="preserve">                                          </w:t>
      </w:r>
    </w:p>
    <w:p w14:paraId="1634B701">
      <w:pPr>
        <w:snapToGrid w:val="0"/>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p>
    <w:p w14:paraId="0C625A0F">
      <w:pPr>
        <w:snapToGrid w:val="0"/>
        <w:spacing w:line="360" w:lineRule="auto"/>
        <w:rPr>
          <w:rFonts w:ascii="宋体" w:hAnsi="宋体" w:cs="宋体"/>
          <w:sz w:val="24"/>
          <w:highlight w:val="none"/>
          <w:u w:val="dotted"/>
        </w:rPr>
      </w:pPr>
      <w:r>
        <w:rPr>
          <w:rFonts w:hint="eastAsia" w:ascii="宋体" w:hAnsi="宋体" w:cs="宋体"/>
          <w:sz w:val="24"/>
          <w:highlight w:val="none"/>
        </w:rPr>
        <w:t>质疑事项2</w:t>
      </w:r>
    </w:p>
    <w:p w14:paraId="07A40C4E">
      <w:pPr>
        <w:snapToGrid w:val="0"/>
        <w:spacing w:line="360" w:lineRule="auto"/>
        <w:rPr>
          <w:rFonts w:ascii="宋体" w:hAnsi="宋体" w:cs="宋体"/>
          <w:sz w:val="24"/>
          <w:highlight w:val="none"/>
        </w:rPr>
      </w:pPr>
      <w:r>
        <w:rPr>
          <w:rFonts w:hint="eastAsia" w:ascii="宋体" w:hAnsi="宋体" w:cs="宋体"/>
          <w:sz w:val="24"/>
          <w:highlight w:val="none"/>
        </w:rPr>
        <w:t>……</w:t>
      </w:r>
    </w:p>
    <w:p w14:paraId="2D13E1F4">
      <w:pPr>
        <w:snapToGrid w:val="0"/>
        <w:spacing w:line="360" w:lineRule="auto"/>
        <w:rPr>
          <w:rFonts w:ascii="宋体" w:hAnsi="宋体" w:cs="宋体"/>
          <w:bCs/>
          <w:sz w:val="24"/>
          <w:highlight w:val="none"/>
        </w:rPr>
      </w:pPr>
      <w:r>
        <w:rPr>
          <w:rFonts w:hint="eastAsia" w:ascii="宋体" w:hAnsi="宋体" w:cs="宋体"/>
          <w:bCs/>
          <w:sz w:val="24"/>
          <w:highlight w:val="none"/>
        </w:rPr>
        <w:t>四、与质疑事项相关的质疑请求</w:t>
      </w:r>
    </w:p>
    <w:p w14:paraId="47C9CE97">
      <w:pPr>
        <w:snapToGrid w:val="0"/>
        <w:spacing w:line="360" w:lineRule="auto"/>
        <w:rPr>
          <w:rFonts w:ascii="宋体" w:hAnsi="宋体" w:cs="宋体"/>
          <w:sz w:val="24"/>
          <w:highlight w:val="none"/>
          <w:u w:val="dotted"/>
        </w:rPr>
      </w:pPr>
      <w:r>
        <w:rPr>
          <w:rFonts w:hint="eastAsia" w:ascii="宋体" w:hAnsi="宋体" w:cs="宋体"/>
          <w:sz w:val="24"/>
          <w:highlight w:val="none"/>
        </w:rPr>
        <w:t>请求：</w:t>
      </w:r>
      <w:r>
        <w:rPr>
          <w:rFonts w:hint="eastAsia" w:ascii="宋体" w:hAnsi="宋体" w:cs="宋体"/>
          <w:sz w:val="24"/>
          <w:highlight w:val="none"/>
          <w:u w:val="dotted"/>
        </w:rPr>
        <w:t xml:space="preserve">                                               </w:t>
      </w:r>
    </w:p>
    <w:p w14:paraId="76BAAEDD">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14:paraId="3FE30153">
      <w:pPr>
        <w:spacing w:line="360" w:lineRule="auto"/>
        <w:rPr>
          <w:rFonts w:ascii="宋体" w:hAnsi="宋体" w:cs="宋体"/>
          <w:sz w:val="24"/>
          <w:highlight w:val="none"/>
        </w:rPr>
      </w:pPr>
      <w:r>
        <w:rPr>
          <w:rFonts w:hint="eastAsia" w:ascii="宋体" w:hAnsi="宋体" w:cs="宋体"/>
          <w:sz w:val="24"/>
          <w:highlight w:val="none"/>
        </w:rPr>
        <w:t xml:space="preserve">日期：    </w:t>
      </w:r>
    </w:p>
    <w:p w14:paraId="7CEFE6AE">
      <w:pPr>
        <w:spacing w:line="360" w:lineRule="auto"/>
        <w:rPr>
          <w:rFonts w:ascii="宋体" w:hAnsi="宋体" w:cs="宋体"/>
          <w:b/>
          <w:sz w:val="24"/>
          <w:highlight w:val="none"/>
        </w:rPr>
      </w:pPr>
    </w:p>
    <w:p w14:paraId="3F156BB1">
      <w:pPr>
        <w:spacing w:line="360" w:lineRule="auto"/>
        <w:rPr>
          <w:rFonts w:ascii="宋体" w:hAnsi="宋体" w:cs="宋体"/>
          <w:b/>
          <w:sz w:val="24"/>
          <w:highlight w:val="none"/>
        </w:rPr>
      </w:pPr>
      <w:r>
        <w:rPr>
          <w:rFonts w:hint="eastAsia" w:ascii="宋体" w:hAnsi="宋体" w:cs="宋体"/>
          <w:b/>
          <w:sz w:val="24"/>
          <w:highlight w:val="none"/>
        </w:rPr>
        <w:t>质疑函制作说明：</w:t>
      </w:r>
    </w:p>
    <w:p w14:paraId="7FAE97EB">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1.供应商提出质疑时，应提交质疑函和必要的证明材料。</w:t>
      </w:r>
    </w:p>
    <w:p w14:paraId="0BA85F8C">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14:paraId="768C45E6">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3.质疑供应商若对项目的某一分包进行质疑，质疑函中应列明具体分包号。</w:t>
      </w:r>
    </w:p>
    <w:p w14:paraId="33ACF954">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4.质疑函的质疑事项应具体、明确，并有必要的事实依据和法律依据。</w:t>
      </w:r>
    </w:p>
    <w:p w14:paraId="5668F654">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5.质疑函的质疑请求应与质疑事项相关。</w:t>
      </w:r>
    </w:p>
    <w:p w14:paraId="56606C36">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6.质疑供应商为自然人的，质疑函应由本人签字；质疑供应商为法人或者其他组织的，质疑函应由法定代表人、主要负责人，或者其授权代表签字或者盖章，并加盖公章。</w:t>
      </w:r>
    </w:p>
    <w:p w14:paraId="4C18BE91">
      <w:pPr>
        <w:widowControl/>
        <w:spacing w:line="360" w:lineRule="auto"/>
        <w:ind w:firstLine="600" w:firstLineChars="200"/>
        <w:jc w:val="left"/>
        <w:rPr>
          <w:rFonts w:ascii="宋体" w:hAnsi="宋体" w:cs="宋体"/>
          <w:sz w:val="30"/>
          <w:szCs w:val="30"/>
          <w:highlight w:val="none"/>
        </w:rPr>
      </w:pPr>
    </w:p>
    <w:p w14:paraId="1423AB2D">
      <w:pPr>
        <w:spacing w:line="360" w:lineRule="auto"/>
        <w:jc w:val="center"/>
        <w:rPr>
          <w:rFonts w:ascii="宋体" w:hAnsi="宋体" w:cs="宋体"/>
          <w:b/>
          <w:spacing w:val="6"/>
          <w:sz w:val="32"/>
          <w:szCs w:val="32"/>
          <w:highlight w:val="none"/>
        </w:rPr>
      </w:pPr>
    </w:p>
    <w:p w14:paraId="23E1E6D2">
      <w:pPr>
        <w:spacing w:line="360" w:lineRule="auto"/>
        <w:jc w:val="center"/>
        <w:rPr>
          <w:rFonts w:ascii="宋体" w:hAnsi="宋体" w:cs="宋体"/>
          <w:b/>
          <w:spacing w:val="6"/>
          <w:sz w:val="32"/>
          <w:szCs w:val="32"/>
          <w:highlight w:val="none"/>
        </w:rPr>
      </w:pPr>
    </w:p>
    <w:p w14:paraId="743540ED">
      <w:pPr>
        <w:spacing w:line="360" w:lineRule="auto"/>
        <w:jc w:val="center"/>
        <w:rPr>
          <w:rFonts w:ascii="宋体" w:hAnsi="宋体" w:cs="宋体"/>
          <w:b/>
          <w:spacing w:val="6"/>
          <w:sz w:val="32"/>
          <w:szCs w:val="32"/>
          <w:highlight w:val="none"/>
        </w:rPr>
      </w:pPr>
    </w:p>
    <w:p w14:paraId="149FCAFE">
      <w:pPr>
        <w:spacing w:line="360" w:lineRule="auto"/>
        <w:jc w:val="center"/>
        <w:rPr>
          <w:rFonts w:ascii="宋体" w:hAnsi="宋体" w:cs="宋体"/>
          <w:b/>
          <w:spacing w:val="6"/>
          <w:sz w:val="32"/>
          <w:szCs w:val="32"/>
          <w:highlight w:val="none"/>
        </w:rPr>
      </w:pPr>
    </w:p>
    <w:p w14:paraId="443D28D6">
      <w:pPr>
        <w:spacing w:line="360" w:lineRule="auto"/>
        <w:jc w:val="center"/>
        <w:rPr>
          <w:rFonts w:ascii="宋体" w:hAnsi="宋体" w:cs="宋体"/>
          <w:b/>
          <w:spacing w:val="6"/>
          <w:sz w:val="32"/>
          <w:szCs w:val="32"/>
          <w:highlight w:val="none"/>
        </w:rPr>
      </w:pPr>
    </w:p>
    <w:p w14:paraId="7979568F">
      <w:pPr>
        <w:spacing w:line="360" w:lineRule="auto"/>
        <w:jc w:val="center"/>
        <w:rPr>
          <w:rFonts w:ascii="宋体" w:hAnsi="宋体" w:cs="宋体"/>
          <w:b/>
          <w:spacing w:val="6"/>
          <w:sz w:val="32"/>
          <w:szCs w:val="32"/>
          <w:highlight w:val="none"/>
        </w:rPr>
      </w:pPr>
    </w:p>
    <w:p w14:paraId="01A1E0AA">
      <w:pPr>
        <w:spacing w:line="360" w:lineRule="auto"/>
        <w:jc w:val="center"/>
        <w:rPr>
          <w:rFonts w:ascii="宋体" w:hAnsi="宋体" w:cs="宋体"/>
          <w:b/>
          <w:spacing w:val="6"/>
          <w:sz w:val="32"/>
          <w:szCs w:val="32"/>
          <w:highlight w:val="none"/>
        </w:rPr>
      </w:pPr>
    </w:p>
    <w:p w14:paraId="6728D1D5">
      <w:pPr>
        <w:spacing w:line="360" w:lineRule="auto"/>
        <w:jc w:val="center"/>
        <w:rPr>
          <w:rFonts w:ascii="宋体" w:hAnsi="宋体" w:cs="宋体"/>
          <w:b/>
          <w:spacing w:val="6"/>
          <w:sz w:val="32"/>
          <w:szCs w:val="32"/>
          <w:highlight w:val="none"/>
        </w:rPr>
      </w:pPr>
    </w:p>
    <w:p w14:paraId="59DDFBB9">
      <w:pPr>
        <w:spacing w:line="360" w:lineRule="auto"/>
        <w:jc w:val="center"/>
        <w:rPr>
          <w:rFonts w:ascii="宋体" w:hAnsi="宋体" w:cs="宋体"/>
          <w:b/>
          <w:spacing w:val="6"/>
          <w:sz w:val="32"/>
          <w:szCs w:val="32"/>
          <w:highlight w:val="none"/>
        </w:rPr>
      </w:pPr>
    </w:p>
    <w:p w14:paraId="158D38D5">
      <w:pPr>
        <w:spacing w:line="360" w:lineRule="auto"/>
        <w:jc w:val="center"/>
        <w:rPr>
          <w:rFonts w:ascii="宋体" w:hAnsi="宋体" w:cs="宋体"/>
          <w:b/>
          <w:spacing w:val="6"/>
          <w:sz w:val="32"/>
          <w:szCs w:val="32"/>
          <w:highlight w:val="none"/>
        </w:rPr>
      </w:pPr>
    </w:p>
    <w:p w14:paraId="5934EC79">
      <w:pPr>
        <w:spacing w:line="360" w:lineRule="auto"/>
        <w:jc w:val="center"/>
        <w:rPr>
          <w:rFonts w:ascii="宋体" w:hAnsi="宋体" w:cs="宋体"/>
          <w:b/>
          <w:spacing w:val="6"/>
          <w:sz w:val="32"/>
          <w:szCs w:val="32"/>
          <w:highlight w:val="none"/>
        </w:rPr>
      </w:pPr>
    </w:p>
    <w:p w14:paraId="5FB44B9B">
      <w:pPr>
        <w:spacing w:line="360" w:lineRule="auto"/>
        <w:jc w:val="center"/>
        <w:rPr>
          <w:rFonts w:ascii="宋体" w:hAnsi="宋体" w:cs="宋体"/>
          <w:b/>
          <w:spacing w:val="6"/>
          <w:sz w:val="32"/>
          <w:szCs w:val="32"/>
          <w:highlight w:val="none"/>
        </w:rPr>
      </w:pPr>
    </w:p>
    <w:p w14:paraId="5C998A48">
      <w:pPr>
        <w:spacing w:line="360" w:lineRule="auto"/>
        <w:jc w:val="left"/>
        <w:rPr>
          <w:rFonts w:ascii="宋体" w:hAnsi="宋体" w:cs="宋体"/>
          <w:b/>
          <w:spacing w:val="6"/>
          <w:sz w:val="32"/>
          <w:szCs w:val="32"/>
          <w:highlight w:val="none"/>
        </w:rPr>
      </w:pPr>
    </w:p>
    <w:p w14:paraId="54B1E208">
      <w:pPr>
        <w:spacing w:line="360" w:lineRule="auto"/>
        <w:jc w:val="left"/>
        <w:rPr>
          <w:rFonts w:ascii="宋体" w:hAnsi="宋体" w:cs="宋体"/>
          <w:b/>
          <w:spacing w:val="6"/>
          <w:sz w:val="32"/>
          <w:szCs w:val="32"/>
          <w:highlight w:val="none"/>
        </w:rPr>
      </w:pPr>
    </w:p>
    <w:p w14:paraId="22E6BACF">
      <w:pPr>
        <w:rPr>
          <w:rFonts w:ascii="宋体" w:hAnsi="宋体" w:cs="宋体"/>
          <w:b/>
          <w:spacing w:val="6"/>
          <w:sz w:val="32"/>
          <w:szCs w:val="32"/>
          <w:highlight w:val="none"/>
        </w:rPr>
      </w:pPr>
      <w:r>
        <w:rPr>
          <w:rFonts w:hint="eastAsia" w:ascii="宋体" w:hAnsi="宋体" w:cs="宋体"/>
          <w:b/>
          <w:spacing w:val="6"/>
          <w:sz w:val="32"/>
          <w:szCs w:val="32"/>
          <w:highlight w:val="none"/>
        </w:rPr>
        <w:br w:type="page"/>
      </w:r>
    </w:p>
    <w:p w14:paraId="5221D10D">
      <w:pPr>
        <w:spacing w:line="360" w:lineRule="auto"/>
        <w:jc w:val="left"/>
        <w:rPr>
          <w:rFonts w:ascii="宋体" w:hAnsi="宋体" w:cs="宋体"/>
          <w:b/>
          <w:spacing w:val="6"/>
          <w:sz w:val="32"/>
          <w:szCs w:val="32"/>
          <w:highlight w:val="none"/>
        </w:rPr>
      </w:pPr>
      <w:r>
        <w:rPr>
          <w:rFonts w:hint="eastAsia" w:ascii="宋体" w:hAnsi="宋体" w:cs="宋体"/>
          <w:b/>
          <w:spacing w:val="6"/>
          <w:sz w:val="32"/>
          <w:szCs w:val="32"/>
          <w:highlight w:val="none"/>
        </w:rPr>
        <w:t>附件3：投诉书范本及制作说明</w:t>
      </w:r>
    </w:p>
    <w:p w14:paraId="2F45E318">
      <w:pPr>
        <w:spacing w:line="360" w:lineRule="auto"/>
        <w:jc w:val="center"/>
        <w:rPr>
          <w:rFonts w:ascii="宋体" w:hAnsi="宋体" w:cs="宋体"/>
          <w:b/>
          <w:sz w:val="24"/>
          <w:highlight w:val="none"/>
        </w:rPr>
      </w:pPr>
    </w:p>
    <w:p w14:paraId="7E79BE2C">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投诉书范本</w:t>
      </w:r>
    </w:p>
    <w:p w14:paraId="24CA4456">
      <w:pPr>
        <w:spacing w:line="360" w:lineRule="auto"/>
        <w:rPr>
          <w:rFonts w:ascii="宋体" w:hAnsi="宋体" w:cs="宋体"/>
          <w:sz w:val="24"/>
          <w:highlight w:val="none"/>
        </w:rPr>
      </w:pPr>
      <w:r>
        <w:rPr>
          <w:rFonts w:hint="eastAsia" w:ascii="宋体" w:hAnsi="宋体" w:cs="宋体"/>
          <w:sz w:val="24"/>
          <w:highlight w:val="none"/>
        </w:rPr>
        <w:t>一、投诉相关主体基本情况</w:t>
      </w:r>
    </w:p>
    <w:p w14:paraId="61C93394">
      <w:pPr>
        <w:spacing w:line="360" w:lineRule="auto"/>
        <w:rPr>
          <w:rFonts w:ascii="宋体" w:hAnsi="宋体" w:cs="宋体"/>
          <w:sz w:val="24"/>
          <w:highlight w:val="none"/>
          <w:u w:val="dotted"/>
        </w:rPr>
      </w:pPr>
      <w:r>
        <w:rPr>
          <w:rFonts w:hint="eastAsia" w:ascii="宋体" w:hAnsi="宋体" w:cs="宋体"/>
          <w:sz w:val="24"/>
          <w:highlight w:val="none"/>
        </w:rPr>
        <w:t>投诉人：</w:t>
      </w:r>
      <w:r>
        <w:rPr>
          <w:rFonts w:hint="eastAsia" w:ascii="宋体" w:hAnsi="宋体" w:cs="宋体"/>
          <w:sz w:val="24"/>
          <w:highlight w:val="none"/>
          <w:u w:val="dotted"/>
        </w:rPr>
        <w:t xml:space="preserve">                                               </w:t>
      </w:r>
    </w:p>
    <w:p w14:paraId="1878F991">
      <w:pPr>
        <w:spacing w:line="360" w:lineRule="auto"/>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06534647">
      <w:pPr>
        <w:tabs>
          <w:tab w:val="left" w:pos="6510"/>
        </w:tabs>
        <w:spacing w:line="360" w:lineRule="auto"/>
        <w:jc w:val="left"/>
        <w:rPr>
          <w:rFonts w:ascii="宋体" w:hAnsi="宋体" w:cs="宋体"/>
          <w:sz w:val="24"/>
          <w:highlight w:val="none"/>
        </w:rPr>
      </w:pPr>
      <w:r>
        <w:rPr>
          <w:rFonts w:hint="eastAsia" w:ascii="宋体" w:hAnsi="宋体" w:cs="宋体"/>
          <w:sz w:val="24"/>
          <w:highlight w:val="none"/>
        </w:rPr>
        <w:t>法定代表人/主要负责人：</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14:paraId="73FA8A7B">
      <w:pPr>
        <w:tabs>
          <w:tab w:val="left" w:pos="6510"/>
        </w:tabs>
        <w:spacing w:line="360" w:lineRule="auto"/>
        <w:rPr>
          <w:rFonts w:ascii="宋体" w:hAnsi="宋体" w:cs="宋体"/>
          <w:sz w:val="24"/>
          <w:highlight w:val="none"/>
          <w:u w:val="dotted"/>
        </w:rPr>
      </w:pPr>
      <w:r>
        <w:rPr>
          <w:rFonts w:hint="eastAsia" w:ascii="宋体" w:hAnsi="宋体" w:cs="宋体"/>
          <w:sz w:val="24"/>
          <w:highlight w:val="none"/>
        </w:rPr>
        <w:t>联系电话：</w:t>
      </w:r>
      <w:r>
        <w:rPr>
          <w:rFonts w:hint="eastAsia" w:ascii="宋体" w:hAnsi="宋体" w:cs="宋体"/>
          <w:sz w:val="24"/>
          <w:highlight w:val="none"/>
          <w:u w:val="dotted"/>
        </w:rPr>
        <w:t xml:space="preserve">                                             </w:t>
      </w:r>
    </w:p>
    <w:p w14:paraId="59418002">
      <w:pPr>
        <w:spacing w:line="360" w:lineRule="auto"/>
        <w:rPr>
          <w:rFonts w:ascii="宋体" w:hAnsi="宋体" w:cs="宋体"/>
          <w:sz w:val="24"/>
          <w:highlight w:val="none"/>
          <w:u w:val="dotted"/>
        </w:rPr>
      </w:pPr>
      <w:r>
        <w:rPr>
          <w:rFonts w:hint="eastAsia" w:ascii="宋体" w:hAnsi="宋体" w:cs="宋体"/>
          <w:sz w:val="24"/>
          <w:highlight w:val="none"/>
        </w:rPr>
        <w:t>授权代表：</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p>
    <w:p w14:paraId="4ACE72B8">
      <w:pPr>
        <w:spacing w:line="360" w:lineRule="auto"/>
        <w:rPr>
          <w:rFonts w:ascii="宋体" w:hAnsi="宋体" w:cs="宋体"/>
          <w:sz w:val="24"/>
          <w:highlight w:val="none"/>
          <w:u w:val="dotted"/>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r>
        <w:rPr>
          <w:rFonts w:hint="eastAsia" w:ascii="宋体" w:hAnsi="宋体" w:cs="宋体"/>
          <w:sz w:val="24"/>
          <w:highlight w:val="none"/>
          <w:u w:val="dotted"/>
        </w:rPr>
        <w:t xml:space="preserve">                   </w:t>
      </w:r>
    </w:p>
    <w:p w14:paraId="0DE5836D">
      <w:pPr>
        <w:spacing w:line="360" w:lineRule="auto"/>
        <w:rPr>
          <w:rFonts w:ascii="宋体" w:hAnsi="宋体" w:cs="宋体"/>
          <w:sz w:val="24"/>
          <w:highlight w:val="none"/>
          <w:u w:val="single"/>
        </w:rPr>
      </w:pPr>
      <w:r>
        <w:rPr>
          <w:rFonts w:hint="eastAsia" w:ascii="宋体" w:hAnsi="宋体" w:cs="宋体"/>
          <w:sz w:val="24"/>
          <w:highlight w:val="none"/>
        </w:rPr>
        <w:t>被投诉人1：</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33655227">
      <w:pPr>
        <w:spacing w:line="360" w:lineRule="auto"/>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5486FE7E">
      <w:pPr>
        <w:spacing w:line="360" w:lineRule="auto"/>
        <w:rPr>
          <w:rFonts w:ascii="宋体" w:hAnsi="宋体" w:cs="宋体"/>
          <w:sz w:val="24"/>
          <w:highlight w:val="none"/>
          <w:u w:val="singl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3B5C43C5">
      <w:pPr>
        <w:spacing w:line="360" w:lineRule="auto"/>
        <w:rPr>
          <w:rFonts w:ascii="宋体" w:hAnsi="宋体" w:cs="宋体"/>
          <w:sz w:val="24"/>
          <w:highlight w:val="none"/>
        </w:rPr>
      </w:pPr>
      <w:r>
        <w:rPr>
          <w:rFonts w:hint="eastAsia" w:ascii="宋体" w:hAnsi="宋体" w:cs="宋体"/>
          <w:sz w:val="24"/>
          <w:highlight w:val="none"/>
        </w:rPr>
        <w:t>被投诉人2</w:t>
      </w:r>
    </w:p>
    <w:p w14:paraId="19646F5E">
      <w:pPr>
        <w:spacing w:line="360" w:lineRule="auto"/>
        <w:rPr>
          <w:rFonts w:ascii="宋体" w:hAnsi="宋体" w:cs="宋体"/>
          <w:sz w:val="24"/>
          <w:highlight w:val="none"/>
          <w:u w:val="dotted"/>
        </w:rPr>
      </w:pPr>
      <w:r>
        <w:rPr>
          <w:rFonts w:hint="eastAsia" w:ascii="宋体" w:hAnsi="宋体" w:cs="宋体"/>
          <w:sz w:val="24"/>
          <w:highlight w:val="none"/>
        </w:rPr>
        <w:t>……</w:t>
      </w:r>
    </w:p>
    <w:p w14:paraId="78B119DE">
      <w:pPr>
        <w:spacing w:line="360" w:lineRule="auto"/>
        <w:rPr>
          <w:rFonts w:ascii="宋体" w:hAnsi="宋体" w:cs="宋体"/>
          <w:sz w:val="24"/>
          <w:highlight w:val="none"/>
          <w:u w:val="single"/>
        </w:rPr>
      </w:pPr>
      <w:r>
        <w:rPr>
          <w:rFonts w:hint="eastAsia" w:ascii="宋体" w:hAnsi="宋体" w:cs="宋体"/>
          <w:sz w:val="24"/>
          <w:highlight w:val="none"/>
        </w:rPr>
        <w:t>相关供应商：</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73C222D8">
      <w:pPr>
        <w:spacing w:line="360" w:lineRule="auto"/>
        <w:rPr>
          <w:rFonts w:ascii="宋体" w:hAnsi="宋体" w:cs="宋体"/>
          <w:sz w:val="24"/>
          <w:highlight w:val="none"/>
          <w:u w:val="single"/>
        </w:rPr>
      </w:pPr>
      <w:r>
        <w:rPr>
          <w:rFonts w:hint="eastAsia" w:ascii="宋体" w:hAnsi="宋体" w:cs="宋体"/>
          <w:sz w:val="24"/>
          <w:highlight w:val="none"/>
        </w:rPr>
        <w:t>地     址：</w:t>
      </w:r>
      <w:r>
        <w:rPr>
          <w:rFonts w:hint="eastAsia" w:ascii="宋体" w:hAnsi="宋体" w:cs="宋体"/>
          <w:sz w:val="24"/>
          <w:highlight w:val="none"/>
          <w:u w:val="dotted"/>
        </w:rPr>
        <w:t xml:space="preserve">                             </w:t>
      </w:r>
      <w:r>
        <w:rPr>
          <w:rFonts w:hint="eastAsia" w:ascii="宋体" w:hAnsi="宋体" w:cs="宋体"/>
          <w:sz w:val="24"/>
          <w:highlight w:val="none"/>
        </w:rPr>
        <w:t>邮编：</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00734FF6">
      <w:pPr>
        <w:spacing w:line="360" w:lineRule="auto"/>
        <w:rPr>
          <w:rFonts w:ascii="宋体" w:hAnsi="宋体" w:cs="宋体"/>
          <w:sz w:val="24"/>
          <w:highlight w:val="none"/>
          <w:u w:val="single"/>
        </w:rPr>
      </w:pPr>
      <w:r>
        <w:rPr>
          <w:rFonts w:hint="eastAsia" w:ascii="宋体" w:hAnsi="宋体" w:cs="宋体"/>
          <w:sz w:val="24"/>
          <w:highlight w:val="none"/>
        </w:rPr>
        <w:t>联系人：</w:t>
      </w:r>
      <w:r>
        <w:rPr>
          <w:rFonts w:hint="eastAsia" w:ascii="宋体" w:hAnsi="宋体" w:cs="宋体"/>
          <w:sz w:val="24"/>
          <w:highlight w:val="none"/>
          <w:u w:val="dotted"/>
        </w:rPr>
        <w:t xml:space="preserve">               </w:t>
      </w:r>
      <w:r>
        <w:rPr>
          <w:rFonts w:hint="eastAsia" w:ascii="宋体" w:hAnsi="宋体" w:cs="宋体"/>
          <w:sz w:val="24"/>
          <w:highlight w:val="none"/>
        </w:rPr>
        <w:t>联系电话：</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30F84380">
      <w:pPr>
        <w:spacing w:line="360" w:lineRule="auto"/>
        <w:rPr>
          <w:rFonts w:ascii="宋体" w:hAnsi="宋体" w:cs="宋体"/>
          <w:sz w:val="24"/>
          <w:highlight w:val="none"/>
        </w:rPr>
      </w:pPr>
      <w:r>
        <w:rPr>
          <w:rFonts w:hint="eastAsia" w:ascii="宋体" w:hAnsi="宋体" w:cs="宋体"/>
          <w:sz w:val="24"/>
          <w:highlight w:val="none"/>
        </w:rPr>
        <w:t>二、投诉项目基本情况</w:t>
      </w:r>
    </w:p>
    <w:p w14:paraId="701C1ED1">
      <w:pPr>
        <w:spacing w:line="360" w:lineRule="auto"/>
        <w:rPr>
          <w:rFonts w:ascii="宋体" w:hAnsi="宋体" w:cs="宋体"/>
          <w:sz w:val="24"/>
          <w:highlight w:val="none"/>
          <w:u w:val="dotted"/>
        </w:rPr>
      </w:pPr>
      <w:r>
        <w:rPr>
          <w:rFonts w:hint="eastAsia" w:ascii="宋体" w:hAnsi="宋体" w:cs="宋体"/>
          <w:sz w:val="24"/>
          <w:highlight w:val="none"/>
        </w:rPr>
        <w:t>采购项目名称：</w:t>
      </w:r>
      <w:r>
        <w:rPr>
          <w:rFonts w:hint="eastAsia" w:ascii="宋体" w:hAnsi="宋体" w:cs="宋体"/>
          <w:sz w:val="24"/>
          <w:highlight w:val="none"/>
          <w:u w:val="dotted"/>
        </w:rPr>
        <w:t xml:space="preserve">                                        </w:t>
      </w:r>
    </w:p>
    <w:p w14:paraId="5A84DD19">
      <w:pPr>
        <w:spacing w:line="360" w:lineRule="auto"/>
        <w:rPr>
          <w:rFonts w:ascii="宋体" w:hAnsi="宋体" w:cs="宋体"/>
          <w:sz w:val="24"/>
          <w:highlight w:val="none"/>
          <w:u w:val="single"/>
        </w:rPr>
      </w:pPr>
      <w:r>
        <w:rPr>
          <w:rFonts w:hint="eastAsia" w:ascii="宋体" w:hAnsi="宋体" w:cs="宋体"/>
          <w:sz w:val="24"/>
          <w:highlight w:val="none"/>
        </w:rPr>
        <w:t>采购项目编号：</w:t>
      </w:r>
      <w:r>
        <w:rPr>
          <w:rFonts w:hint="eastAsia" w:ascii="宋体" w:hAnsi="宋体" w:cs="宋体"/>
          <w:sz w:val="24"/>
          <w:highlight w:val="none"/>
          <w:u w:val="dotted"/>
        </w:rPr>
        <w:t xml:space="preserve">                 </w:t>
      </w:r>
      <w:r>
        <w:rPr>
          <w:rFonts w:hint="eastAsia" w:ascii="宋体" w:hAnsi="宋体" w:cs="宋体"/>
          <w:sz w:val="24"/>
          <w:highlight w:val="none"/>
        </w:rPr>
        <w:t>包号：</w:t>
      </w:r>
      <w:r>
        <w:rPr>
          <w:rFonts w:hint="eastAsia" w:ascii="宋体" w:hAnsi="宋体" w:cs="宋体"/>
          <w:sz w:val="24"/>
          <w:highlight w:val="none"/>
          <w:u w:val="dotted"/>
        </w:rPr>
        <w:t xml:space="preserve">              </w:t>
      </w:r>
    </w:p>
    <w:p w14:paraId="2960A433">
      <w:pPr>
        <w:spacing w:line="360" w:lineRule="auto"/>
        <w:rPr>
          <w:rFonts w:ascii="宋体" w:hAnsi="宋体" w:cs="宋体"/>
          <w:sz w:val="24"/>
          <w:highlight w:val="none"/>
        </w:rPr>
      </w:pPr>
      <w:r>
        <w:rPr>
          <w:rFonts w:hint="eastAsia" w:ascii="宋体" w:hAnsi="宋体" w:cs="宋体"/>
          <w:sz w:val="24"/>
          <w:highlight w:val="none"/>
        </w:rPr>
        <w:t>采购人名称：</w:t>
      </w:r>
      <w:r>
        <w:rPr>
          <w:rFonts w:hint="eastAsia" w:ascii="宋体" w:hAnsi="宋体" w:cs="宋体"/>
          <w:sz w:val="24"/>
          <w:highlight w:val="none"/>
          <w:u w:val="dotted"/>
        </w:rPr>
        <w:t xml:space="preserve">                                           </w:t>
      </w:r>
      <w:r>
        <w:rPr>
          <w:rFonts w:hint="eastAsia" w:ascii="宋体" w:hAnsi="宋体" w:cs="宋体"/>
          <w:sz w:val="24"/>
          <w:highlight w:val="none"/>
          <w:u w:val="single"/>
        </w:rPr>
        <w:t xml:space="preserve">  </w:t>
      </w:r>
    </w:p>
    <w:p w14:paraId="21D2383A">
      <w:pPr>
        <w:spacing w:line="360" w:lineRule="auto"/>
        <w:rPr>
          <w:rFonts w:ascii="宋体" w:hAnsi="宋体" w:cs="宋体"/>
          <w:sz w:val="24"/>
          <w:highlight w:val="none"/>
          <w:u w:val="single"/>
        </w:rPr>
      </w:pPr>
      <w:r>
        <w:rPr>
          <w:rFonts w:hint="eastAsia" w:ascii="宋体" w:hAnsi="宋体" w:cs="宋体"/>
          <w:sz w:val="24"/>
          <w:highlight w:val="none"/>
        </w:rPr>
        <w:t>代理机构名称：</w:t>
      </w:r>
      <w:r>
        <w:rPr>
          <w:rFonts w:hint="eastAsia" w:ascii="宋体" w:hAnsi="宋体" w:cs="宋体"/>
          <w:sz w:val="24"/>
          <w:highlight w:val="none"/>
          <w:u w:val="dotted"/>
        </w:rPr>
        <w:t xml:space="preserve">                                         </w:t>
      </w:r>
    </w:p>
    <w:p w14:paraId="1CEEC80B">
      <w:pPr>
        <w:spacing w:line="360" w:lineRule="auto"/>
        <w:rPr>
          <w:rFonts w:ascii="宋体" w:hAnsi="宋体" w:cs="宋体"/>
          <w:sz w:val="24"/>
          <w:highlight w:val="none"/>
          <w:u w:val="dotted"/>
        </w:rPr>
      </w:pPr>
      <w:r>
        <w:rPr>
          <w:rFonts w:hint="eastAsia" w:ascii="宋体" w:hAnsi="宋体" w:cs="宋体"/>
          <w:sz w:val="24"/>
          <w:highlight w:val="none"/>
        </w:rPr>
        <w:t>采购文件公告: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r>
        <w:rPr>
          <w:rFonts w:hint="eastAsia" w:ascii="宋体" w:hAnsi="宋体" w:cs="宋体"/>
          <w:sz w:val="24"/>
          <w:highlight w:val="none"/>
          <w:u w:val="dotted"/>
        </w:rPr>
        <w:t xml:space="preserve">                                 </w:t>
      </w:r>
    </w:p>
    <w:p w14:paraId="2F0F20A7">
      <w:pPr>
        <w:spacing w:line="360" w:lineRule="auto"/>
        <w:rPr>
          <w:rFonts w:ascii="宋体" w:hAnsi="宋体" w:cs="宋体"/>
          <w:sz w:val="24"/>
          <w:highlight w:val="none"/>
          <w:u w:val="single"/>
        </w:rPr>
      </w:pPr>
      <w:r>
        <w:rPr>
          <w:rFonts w:hint="eastAsia" w:ascii="宋体" w:hAnsi="宋体" w:cs="宋体"/>
          <w:sz w:val="24"/>
          <w:highlight w:val="none"/>
        </w:rPr>
        <w:t>采购结果公告: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r>
        <w:rPr>
          <w:rFonts w:hint="eastAsia" w:ascii="宋体" w:hAnsi="宋体" w:cs="宋体"/>
          <w:sz w:val="24"/>
          <w:highlight w:val="none"/>
          <w:u w:val="dotted"/>
        </w:rPr>
        <w:t xml:space="preserve">                        </w:t>
      </w:r>
    </w:p>
    <w:p w14:paraId="6E9E2FCE">
      <w:pPr>
        <w:spacing w:line="360" w:lineRule="auto"/>
        <w:rPr>
          <w:rFonts w:ascii="宋体" w:hAnsi="宋体" w:cs="宋体"/>
          <w:sz w:val="24"/>
          <w:highlight w:val="none"/>
        </w:rPr>
      </w:pPr>
      <w:r>
        <w:rPr>
          <w:rFonts w:hint="eastAsia" w:ascii="宋体" w:hAnsi="宋体" w:cs="宋体"/>
          <w:sz w:val="24"/>
          <w:highlight w:val="none"/>
        </w:rPr>
        <w:t>三、质疑基本情况</w:t>
      </w:r>
    </w:p>
    <w:p w14:paraId="2FAE2D64">
      <w:pPr>
        <w:spacing w:line="360" w:lineRule="auto"/>
        <w:ind w:firstLine="480" w:firstLineChars="200"/>
        <w:rPr>
          <w:rFonts w:ascii="宋体" w:hAnsi="宋体" w:cs="宋体"/>
          <w:sz w:val="24"/>
          <w:highlight w:val="none"/>
          <w:u w:val="dotted"/>
        </w:rPr>
      </w:pPr>
      <w:r>
        <w:rPr>
          <w:rFonts w:hint="eastAsia" w:ascii="宋体" w:hAnsi="宋体" w:cs="宋体"/>
          <w:sz w:val="24"/>
          <w:highlight w:val="none"/>
        </w:rPr>
        <w:t>投诉人于</w:t>
      </w:r>
      <w:r>
        <w:rPr>
          <w:rFonts w:hint="eastAsia" w:ascii="宋体" w:hAnsi="宋体" w:cs="宋体"/>
          <w:sz w:val="24"/>
          <w:highlight w:val="none"/>
          <w:u w:val="dotted"/>
        </w:rPr>
        <w:t xml:space="preserve">   </w:t>
      </w:r>
      <w:r>
        <w:rPr>
          <w:rFonts w:hint="eastAsia" w:ascii="宋体" w:hAnsi="宋体" w:cs="宋体"/>
          <w:sz w:val="24"/>
          <w:highlight w:val="none"/>
        </w:rPr>
        <w:t>年</w:t>
      </w:r>
      <w:r>
        <w:rPr>
          <w:rFonts w:hint="eastAsia" w:ascii="宋体" w:hAnsi="宋体" w:cs="宋体"/>
          <w:sz w:val="24"/>
          <w:highlight w:val="none"/>
          <w:u w:val="dotted"/>
        </w:rPr>
        <w:t xml:space="preserve">   </w:t>
      </w:r>
      <w:r>
        <w:rPr>
          <w:rFonts w:hint="eastAsia" w:ascii="宋体" w:hAnsi="宋体" w:cs="宋体"/>
          <w:sz w:val="24"/>
          <w:highlight w:val="none"/>
        </w:rPr>
        <w:t>月</w:t>
      </w:r>
      <w:r>
        <w:rPr>
          <w:rFonts w:hint="eastAsia" w:ascii="宋体" w:hAnsi="宋体" w:cs="宋体"/>
          <w:sz w:val="24"/>
          <w:highlight w:val="none"/>
          <w:u w:val="dotted"/>
        </w:rPr>
        <w:t xml:space="preserve">  </w:t>
      </w:r>
      <w:r>
        <w:rPr>
          <w:rFonts w:hint="eastAsia" w:ascii="宋体" w:hAnsi="宋体" w:cs="宋体"/>
          <w:sz w:val="24"/>
          <w:highlight w:val="none"/>
        </w:rPr>
        <w:t>日,向</w:t>
      </w:r>
      <w:r>
        <w:rPr>
          <w:rFonts w:hint="eastAsia" w:ascii="宋体" w:hAnsi="宋体" w:cs="宋体"/>
          <w:sz w:val="24"/>
          <w:highlight w:val="none"/>
          <w:u w:val="dotted"/>
        </w:rPr>
        <w:t xml:space="preserve">                   </w:t>
      </w:r>
      <w:r>
        <w:rPr>
          <w:rFonts w:hint="eastAsia" w:ascii="宋体" w:hAnsi="宋体" w:cs="宋体"/>
          <w:sz w:val="24"/>
          <w:highlight w:val="none"/>
        </w:rPr>
        <w:t>提出质疑，质疑事项为：</w:t>
      </w:r>
      <w:r>
        <w:rPr>
          <w:rFonts w:hint="eastAsia" w:ascii="宋体" w:hAnsi="宋体" w:cs="宋体"/>
          <w:sz w:val="24"/>
          <w:highlight w:val="none"/>
          <w:u w:val="dotted"/>
        </w:rPr>
        <w:t xml:space="preserve">                                </w:t>
      </w:r>
    </w:p>
    <w:p w14:paraId="4147C09F">
      <w:pPr>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r>
        <w:rPr>
          <w:rFonts w:hint="eastAsia" w:ascii="宋体" w:hAnsi="宋体" w:cs="宋体"/>
          <w:sz w:val="24"/>
          <w:highlight w:val="none"/>
        </w:rPr>
        <w:t xml:space="preserve">  </w:t>
      </w:r>
    </w:p>
    <w:p w14:paraId="5AB87A05">
      <w:pPr>
        <w:spacing w:line="360" w:lineRule="auto"/>
        <w:ind w:firstLine="360" w:firstLineChars="150"/>
        <w:rPr>
          <w:rFonts w:ascii="宋体" w:hAnsi="宋体" w:cs="宋体"/>
          <w:sz w:val="24"/>
          <w:highlight w:val="none"/>
        </w:rPr>
      </w:pPr>
      <w:r>
        <w:rPr>
          <w:rFonts w:hint="eastAsia" w:ascii="宋体" w:hAnsi="宋体" w:cs="宋体"/>
          <w:sz w:val="24"/>
          <w:highlight w:val="none"/>
          <w:u w:val="dotted"/>
        </w:rPr>
        <w:t>采购人/代理机构</w:t>
      </w:r>
      <w:r>
        <w:rPr>
          <w:rFonts w:hint="eastAsia" w:ascii="宋体" w:hAnsi="宋体" w:cs="宋体"/>
          <w:sz w:val="24"/>
          <w:highlight w:val="none"/>
        </w:rPr>
        <w:t>于</w:t>
      </w:r>
      <w:r>
        <w:rPr>
          <w:rFonts w:hint="eastAsia" w:ascii="宋体" w:hAnsi="宋体" w:cs="宋体"/>
          <w:sz w:val="24"/>
          <w:highlight w:val="none"/>
          <w:u w:val="dotted"/>
        </w:rPr>
        <w:t xml:space="preserve">   </w:t>
      </w:r>
      <w:r>
        <w:rPr>
          <w:rFonts w:hint="eastAsia" w:ascii="宋体" w:hAnsi="宋体" w:cs="宋体"/>
          <w:sz w:val="24"/>
          <w:highlight w:val="none"/>
        </w:rPr>
        <w:t>年</w:t>
      </w:r>
      <w:r>
        <w:rPr>
          <w:rFonts w:hint="eastAsia" w:ascii="宋体" w:hAnsi="宋体" w:cs="宋体"/>
          <w:sz w:val="24"/>
          <w:highlight w:val="none"/>
          <w:u w:val="dotted"/>
        </w:rPr>
        <w:t xml:space="preserve">   </w:t>
      </w:r>
      <w:r>
        <w:rPr>
          <w:rFonts w:hint="eastAsia" w:ascii="宋体" w:hAnsi="宋体" w:cs="宋体"/>
          <w:sz w:val="24"/>
          <w:highlight w:val="none"/>
        </w:rPr>
        <w:t>月</w:t>
      </w:r>
      <w:r>
        <w:rPr>
          <w:rFonts w:hint="eastAsia" w:ascii="宋体" w:hAnsi="宋体" w:cs="宋体"/>
          <w:sz w:val="24"/>
          <w:highlight w:val="none"/>
          <w:u w:val="dotted"/>
        </w:rPr>
        <w:t xml:space="preserve">   </w:t>
      </w:r>
      <w:r>
        <w:rPr>
          <w:rFonts w:hint="eastAsia" w:ascii="宋体" w:hAnsi="宋体" w:cs="宋体"/>
          <w:sz w:val="24"/>
          <w:highlight w:val="none"/>
        </w:rPr>
        <w:t>日,就质疑事项作出了答复/没有在法定期限内作出答复。</w:t>
      </w:r>
    </w:p>
    <w:p w14:paraId="1FDEACE9">
      <w:pPr>
        <w:spacing w:line="360" w:lineRule="auto"/>
        <w:rPr>
          <w:rFonts w:ascii="宋体" w:hAnsi="宋体" w:cs="宋体"/>
          <w:sz w:val="24"/>
          <w:highlight w:val="none"/>
        </w:rPr>
      </w:pPr>
      <w:r>
        <w:rPr>
          <w:rFonts w:hint="eastAsia" w:ascii="宋体" w:hAnsi="宋体" w:cs="宋体"/>
          <w:sz w:val="24"/>
          <w:highlight w:val="none"/>
        </w:rPr>
        <w:t>四、投诉事项具体内容</w:t>
      </w:r>
    </w:p>
    <w:p w14:paraId="257984FF">
      <w:pPr>
        <w:spacing w:line="360" w:lineRule="auto"/>
        <w:rPr>
          <w:rFonts w:ascii="宋体" w:hAnsi="宋体" w:cs="宋体"/>
          <w:sz w:val="24"/>
          <w:highlight w:val="none"/>
          <w:u w:val="single"/>
        </w:rPr>
      </w:pPr>
      <w:r>
        <w:rPr>
          <w:rFonts w:hint="eastAsia" w:ascii="宋体" w:hAnsi="宋体" w:cs="宋体"/>
          <w:sz w:val="24"/>
          <w:highlight w:val="none"/>
        </w:rPr>
        <w:t>投诉事项 1：</w:t>
      </w:r>
      <w:r>
        <w:rPr>
          <w:rFonts w:hint="eastAsia" w:ascii="宋体" w:hAnsi="宋体" w:cs="宋体"/>
          <w:sz w:val="24"/>
          <w:highlight w:val="none"/>
          <w:u w:val="dotted"/>
        </w:rPr>
        <w:t xml:space="preserve">                                       </w:t>
      </w:r>
    </w:p>
    <w:p w14:paraId="219E5627">
      <w:pPr>
        <w:spacing w:line="360" w:lineRule="auto"/>
        <w:rPr>
          <w:rFonts w:ascii="宋体" w:hAnsi="宋体" w:cs="宋体"/>
          <w:sz w:val="24"/>
          <w:highlight w:val="none"/>
        </w:rPr>
      </w:pPr>
      <w:r>
        <w:rPr>
          <w:rFonts w:hint="eastAsia" w:ascii="宋体" w:hAnsi="宋体" w:cs="宋体"/>
          <w:sz w:val="24"/>
          <w:highlight w:val="none"/>
        </w:rPr>
        <w:t>事实依据：</w:t>
      </w:r>
      <w:r>
        <w:rPr>
          <w:rFonts w:hint="eastAsia" w:ascii="宋体" w:hAnsi="宋体" w:cs="宋体"/>
          <w:sz w:val="24"/>
          <w:highlight w:val="none"/>
          <w:u w:val="dotted"/>
        </w:rPr>
        <w:t xml:space="preserve">                                         </w:t>
      </w:r>
    </w:p>
    <w:p w14:paraId="23BCEC2A">
      <w:pPr>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p>
    <w:p w14:paraId="6D28B69C">
      <w:pPr>
        <w:spacing w:line="360" w:lineRule="auto"/>
        <w:rPr>
          <w:rFonts w:ascii="宋体" w:hAnsi="宋体" w:cs="宋体"/>
          <w:sz w:val="24"/>
          <w:highlight w:val="none"/>
          <w:u w:val="single"/>
        </w:rPr>
      </w:pPr>
      <w:r>
        <w:rPr>
          <w:rFonts w:hint="eastAsia" w:ascii="宋体" w:hAnsi="宋体" w:cs="宋体"/>
          <w:sz w:val="24"/>
          <w:highlight w:val="none"/>
        </w:rPr>
        <w:t>法律依据：</w:t>
      </w:r>
      <w:r>
        <w:rPr>
          <w:rFonts w:hint="eastAsia" w:ascii="宋体" w:hAnsi="宋体" w:cs="宋体"/>
          <w:sz w:val="24"/>
          <w:highlight w:val="none"/>
          <w:u w:val="dotted"/>
        </w:rPr>
        <w:t xml:space="preserve">                                          </w:t>
      </w:r>
    </w:p>
    <w:p w14:paraId="713133ED">
      <w:pPr>
        <w:spacing w:line="360" w:lineRule="auto"/>
        <w:rPr>
          <w:rFonts w:ascii="宋体" w:hAnsi="宋体" w:cs="宋体"/>
          <w:sz w:val="24"/>
          <w:highlight w:val="none"/>
          <w:u w:val="dotted"/>
        </w:rPr>
      </w:pPr>
      <w:r>
        <w:rPr>
          <w:rFonts w:hint="eastAsia" w:ascii="宋体" w:hAnsi="宋体" w:cs="宋体"/>
          <w:sz w:val="24"/>
          <w:highlight w:val="none"/>
          <w:u w:val="dotted"/>
        </w:rPr>
        <w:t xml:space="preserve">                                                      </w:t>
      </w:r>
    </w:p>
    <w:p w14:paraId="68FE13DE">
      <w:pPr>
        <w:spacing w:line="360" w:lineRule="auto"/>
        <w:rPr>
          <w:rFonts w:ascii="宋体" w:hAnsi="宋体" w:cs="宋体"/>
          <w:sz w:val="24"/>
          <w:highlight w:val="none"/>
        </w:rPr>
      </w:pPr>
      <w:r>
        <w:rPr>
          <w:rFonts w:hint="eastAsia" w:ascii="宋体" w:hAnsi="宋体" w:cs="宋体"/>
          <w:sz w:val="24"/>
          <w:highlight w:val="none"/>
        </w:rPr>
        <w:t>投诉事项2</w:t>
      </w:r>
    </w:p>
    <w:p w14:paraId="06454747">
      <w:pPr>
        <w:spacing w:line="360" w:lineRule="auto"/>
        <w:rPr>
          <w:rFonts w:ascii="宋体" w:hAnsi="宋体" w:cs="宋体"/>
          <w:sz w:val="24"/>
          <w:highlight w:val="none"/>
          <w:u w:val="dotted"/>
        </w:rPr>
      </w:pPr>
      <w:r>
        <w:rPr>
          <w:rFonts w:hint="eastAsia" w:ascii="宋体" w:hAnsi="宋体" w:cs="宋体"/>
          <w:sz w:val="24"/>
          <w:highlight w:val="none"/>
        </w:rPr>
        <w:t>……</w:t>
      </w:r>
    </w:p>
    <w:p w14:paraId="4EBC8C58">
      <w:pPr>
        <w:spacing w:line="360" w:lineRule="auto"/>
        <w:rPr>
          <w:rFonts w:ascii="宋体" w:hAnsi="宋体" w:cs="宋体"/>
          <w:sz w:val="24"/>
          <w:highlight w:val="none"/>
        </w:rPr>
      </w:pPr>
      <w:r>
        <w:rPr>
          <w:rFonts w:hint="eastAsia" w:ascii="宋体" w:hAnsi="宋体" w:cs="宋体"/>
          <w:sz w:val="24"/>
          <w:highlight w:val="none"/>
        </w:rPr>
        <w:t>五、与投诉事项相关的投诉请求</w:t>
      </w:r>
    </w:p>
    <w:p w14:paraId="0DBC62EF">
      <w:pPr>
        <w:spacing w:line="360" w:lineRule="auto"/>
        <w:rPr>
          <w:rFonts w:ascii="宋体" w:hAnsi="宋体" w:cs="宋体"/>
          <w:sz w:val="24"/>
          <w:highlight w:val="none"/>
        </w:rPr>
      </w:pPr>
      <w:r>
        <w:rPr>
          <w:rFonts w:hint="eastAsia" w:ascii="宋体" w:hAnsi="宋体" w:cs="宋体"/>
          <w:sz w:val="24"/>
          <w:highlight w:val="none"/>
        </w:rPr>
        <w:t>请求：</w:t>
      </w:r>
      <w:r>
        <w:rPr>
          <w:rFonts w:hint="eastAsia" w:ascii="宋体" w:hAnsi="宋体" w:cs="宋体"/>
          <w:sz w:val="24"/>
          <w:highlight w:val="none"/>
          <w:u w:val="dotted"/>
        </w:rPr>
        <w:t xml:space="preserve">                                              </w:t>
      </w:r>
      <w:r>
        <w:rPr>
          <w:rFonts w:hint="eastAsia" w:ascii="宋体" w:hAnsi="宋体" w:cs="宋体"/>
          <w:sz w:val="24"/>
          <w:highlight w:val="none"/>
        </w:rPr>
        <w:t xml:space="preserve"> </w:t>
      </w:r>
    </w:p>
    <w:p w14:paraId="29BE6ED9">
      <w:pPr>
        <w:spacing w:line="360" w:lineRule="auto"/>
        <w:rPr>
          <w:rFonts w:ascii="宋体" w:hAnsi="宋体" w:cs="宋体"/>
          <w:sz w:val="24"/>
          <w:highlight w:val="none"/>
          <w:u w:val="single"/>
        </w:rPr>
      </w:pPr>
      <w:r>
        <w:rPr>
          <w:rFonts w:hint="eastAsia" w:ascii="宋体" w:hAnsi="宋体" w:cs="宋体"/>
          <w:sz w:val="24"/>
          <w:highlight w:val="none"/>
        </w:rPr>
        <w:t xml:space="preserve">                                                                                                    </w:t>
      </w:r>
    </w:p>
    <w:p w14:paraId="1BB2FB5F">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14:paraId="0941DB5F">
      <w:pPr>
        <w:spacing w:line="360" w:lineRule="auto"/>
        <w:rPr>
          <w:rFonts w:ascii="宋体" w:hAnsi="宋体" w:cs="宋体"/>
          <w:sz w:val="24"/>
          <w:highlight w:val="none"/>
        </w:rPr>
      </w:pPr>
      <w:r>
        <w:rPr>
          <w:rFonts w:hint="eastAsia" w:ascii="宋体" w:hAnsi="宋体" w:cs="宋体"/>
          <w:sz w:val="24"/>
          <w:highlight w:val="none"/>
        </w:rPr>
        <w:t xml:space="preserve">日期：    </w:t>
      </w:r>
    </w:p>
    <w:p w14:paraId="2DE92003">
      <w:pPr>
        <w:spacing w:line="360" w:lineRule="auto"/>
        <w:rPr>
          <w:rFonts w:ascii="宋体" w:hAnsi="宋体" w:cs="宋体"/>
          <w:b/>
          <w:sz w:val="24"/>
          <w:highlight w:val="none"/>
        </w:rPr>
      </w:pPr>
    </w:p>
    <w:p w14:paraId="614454DC">
      <w:pPr>
        <w:spacing w:line="360" w:lineRule="auto"/>
        <w:rPr>
          <w:rFonts w:ascii="宋体" w:hAnsi="宋体" w:cs="宋体"/>
          <w:b/>
          <w:sz w:val="24"/>
          <w:highlight w:val="none"/>
        </w:rPr>
      </w:pPr>
    </w:p>
    <w:p w14:paraId="6A80660B">
      <w:pPr>
        <w:spacing w:line="360" w:lineRule="auto"/>
        <w:rPr>
          <w:rFonts w:ascii="宋体" w:hAnsi="宋体" w:cs="宋体"/>
          <w:b/>
          <w:sz w:val="24"/>
          <w:highlight w:val="none"/>
        </w:rPr>
      </w:pPr>
      <w:r>
        <w:rPr>
          <w:rFonts w:hint="eastAsia" w:ascii="宋体" w:hAnsi="宋体" w:cs="宋体"/>
          <w:b/>
          <w:sz w:val="24"/>
          <w:highlight w:val="none"/>
        </w:rPr>
        <w:t>投诉书制作说明：</w:t>
      </w:r>
    </w:p>
    <w:p w14:paraId="1FB576C9">
      <w:pPr>
        <w:widowControl/>
        <w:spacing w:line="360" w:lineRule="auto"/>
        <w:ind w:firstLine="480" w:firstLineChars="200"/>
        <w:rPr>
          <w:rFonts w:ascii="宋体" w:hAnsi="宋体" w:cs="宋体"/>
          <w:kern w:val="0"/>
          <w:sz w:val="24"/>
          <w:highlight w:val="none"/>
        </w:rPr>
      </w:pPr>
      <w:r>
        <w:rPr>
          <w:rFonts w:hint="eastAsia" w:ascii="宋体" w:hAnsi="宋体" w:cs="宋体"/>
          <w:sz w:val="24"/>
          <w:highlight w:val="none"/>
        </w:rPr>
        <w:t>1.投诉人提起投诉时，应当提交投诉书和必要的证明材料，并按照被投诉人和与投诉事项有关的供应商数量提供投诉书副本。</w:t>
      </w:r>
    </w:p>
    <w:p w14:paraId="408B9738">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2.投诉人若委托代理人进行投诉的，投诉书应按照要求列明“授权代表”的有关内容，并在附件中提交由</w:t>
      </w:r>
      <w:r>
        <w:rPr>
          <w:rFonts w:hint="eastAsia" w:ascii="宋体" w:hAnsi="宋体" w:cs="宋体"/>
          <w:kern w:val="0"/>
          <w:sz w:val="24"/>
          <w:highlight w:val="none"/>
        </w:rPr>
        <w:t>投诉人签署的授权委托书。授权委托书应当载明代理人的姓名或者名称、代理事项、具体权限、期限和相关事项。</w:t>
      </w:r>
    </w:p>
    <w:p w14:paraId="71D3A2AA">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3.投诉人若对项目的某一分包进行投诉，投诉书应列明具体分包号。</w:t>
      </w:r>
    </w:p>
    <w:p w14:paraId="24F1C6AD">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4.投诉书应简要列明质疑事项，质疑函、质疑答复等作为附件材料提供。</w:t>
      </w:r>
    </w:p>
    <w:p w14:paraId="33175B16">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5.投诉书的投诉事项应具体、明确，并有必要的事实依据和法律依据。</w:t>
      </w:r>
    </w:p>
    <w:p w14:paraId="7EEEFF27">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6.投诉书的投诉请求应与投诉事项相关。</w:t>
      </w:r>
    </w:p>
    <w:p w14:paraId="521D60E1">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7.投诉人为自然人的，投诉书应当由本人签字；投诉人为法人或者其他组织的，投诉书应当由法定代表人、主要负责人，或者其授权代表签字或者盖章，并加盖公章。</w:t>
      </w:r>
    </w:p>
    <w:p w14:paraId="59E4898E">
      <w:pPr>
        <w:spacing w:line="360" w:lineRule="auto"/>
        <w:rPr>
          <w:rFonts w:ascii="宋体" w:hAnsi="宋体" w:cs="宋体"/>
          <w:b/>
          <w:sz w:val="24"/>
          <w:highlight w:val="none"/>
        </w:rPr>
      </w:pPr>
    </w:p>
    <w:p w14:paraId="46652904">
      <w:pPr>
        <w:rPr>
          <w:rFonts w:ascii="宋体" w:hAnsi="宋体" w:cs="宋体"/>
          <w:b/>
          <w:spacing w:val="6"/>
          <w:sz w:val="32"/>
          <w:szCs w:val="32"/>
          <w:highlight w:val="none"/>
        </w:rPr>
      </w:pPr>
      <w:r>
        <w:rPr>
          <w:rFonts w:hint="eastAsia" w:ascii="宋体" w:hAnsi="宋体" w:cs="宋体"/>
          <w:b/>
          <w:spacing w:val="6"/>
          <w:sz w:val="32"/>
          <w:szCs w:val="32"/>
          <w:highlight w:val="none"/>
        </w:rPr>
        <w:br w:type="page"/>
      </w:r>
    </w:p>
    <w:p w14:paraId="546CD63B">
      <w:pPr>
        <w:autoSpaceDE w:val="0"/>
        <w:autoSpaceDN w:val="0"/>
        <w:jc w:val="center"/>
        <w:rPr>
          <w:rFonts w:ascii="宋体" w:hAnsi="宋体" w:cs="宋体"/>
          <w:b/>
          <w:bCs/>
          <w:sz w:val="32"/>
          <w:szCs w:val="32"/>
          <w:highlight w:val="none"/>
        </w:rPr>
      </w:pPr>
      <w:r>
        <w:rPr>
          <w:rFonts w:hint="eastAsia" w:ascii="宋体" w:hAnsi="宋体" w:cs="宋体"/>
          <w:b/>
          <w:spacing w:val="6"/>
          <w:sz w:val="32"/>
          <w:szCs w:val="32"/>
          <w:highlight w:val="none"/>
        </w:rPr>
        <w:t>附件4：</w:t>
      </w:r>
      <w:r>
        <w:rPr>
          <w:rFonts w:hint="eastAsia" w:ascii="宋体" w:hAnsi="宋体" w:cs="宋体"/>
          <w:b/>
          <w:bCs/>
          <w:sz w:val="32"/>
          <w:szCs w:val="32"/>
          <w:highlight w:val="none"/>
        </w:rPr>
        <w:t>业务专用章使用说明函</w:t>
      </w:r>
    </w:p>
    <w:p w14:paraId="7BAD5877">
      <w:pPr>
        <w:spacing w:line="360" w:lineRule="auto"/>
        <w:rPr>
          <w:rFonts w:ascii="宋体" w:hAnsi="宋体" w:cs="宋体"/>
          <w:sz w:val="24"/>
          <w:highlight w:val="none"/>
          <w:u w:val="single"/>
        </w:rPr>
      </w:pPr>
    </w:p>
    <w:p w14:paraId="6D08E404">
      <w:pPr>
        <w:spacing w:line="360" w:lineRule="auto"/>
        <w:rPr>
          <w:rFonts w:ascii="宋体" w:hAnsi="宋体" w:cs="宋体"/>
          <w:sz w:val="24"/>
          <w:highlight w:val="none"/>
        </w:rPr>
      </w:pPr>
      <w:r>
        <w:rPr>
          <w:rFonts w:hint="eastAsia" w:ascii="宋体" w:hAnsi="宋体" w:cs="宋体"/>
          <w:sz w:val="24"/>
          <w:highlight w:val="none"/>
          <w:u w:val="single"/>
        </w:rPr>
        <w:t>浙江同济科技职业学院、浙江致信招标代理有限公司：</w:t>
      </w:r>
    </w:p>
    <w:p w14:paraId="5588036D">
      <w:pPr>
        <w:spacing w:line="360" w:lineRule="auto"/>
        <w:ind w:firstLine="480" w:firstLineChars="200"/>
        <w:rPr>
          <w:rFonts w:ascii="宋体" w:hAnsi="宋体" w:cs="宋体"/>
          <w:sz w:val="24"/>
          <w:highlight w:val="none"/>
        </w:rPr>
      </w:pPr>
      <w:r>
        <w:rPr>
          <w:rFonts w:hint="eastAsia" w:ascii="宋体" w:hAnsi="宋体" w:cs="宋体"/>
          <w:kern w:val="0"/>
          <w:sz w:val="24"/>
          <w:highlight w:val="none"/>
          <w:lang w:val="zh-CN"/>
        </w:rPr>
        <w:t>我方</w:t>
      </w:r>
      <w:r>
        <w:rPr>
          <w:rFonts w:hint="eastAsia" w:ascii="宋体" w:hAnsi="宋体" w:cs="宋体"/>
          <w:kern w:val="0"/>
          <w:sz w:val="24"/>
          <w:highlight w:val="none"/>
          <w:u w:val="single"/>
          <w:lang w:val="zh-CN"/>
        </w:rPr>
        <w:t xml:space="preserve">                         </w:t>
      </w:r>
      <w:r>
        <w:rPr>
          <w:rFonts w:hint="eastAsia" w:ascii="宋体" w:hAnsi="宋体" w:cs="宋体"/>
          <w:sz w:val="24"/>
          <w:highlight w:val="none"/>
        </w:rPr>
        <w:t>(投标人全称)是中华人民共和国依法登记注册的合法企业，</w:t>
      </w:r>
      <w:r>
        <w:rPr>
          <w:rFonts w:hint="eastAsia" w:ascii="宋体" w:hAnsi="宋体" w:cs="宋体"/>
          <w:bCs/>
          <w:sz w:val="24"/>
          <w:highlight w:val="none"/>
        </w:rPr>
        <w:t>在参加</w:t>
      </w:r>
      <w:r>
        <w:rPr>
          <w:rFonts w:hint="eastAsia" w:ascii="宋体" w:hAnsi="宋体" w:cs="宋体"/>
          <w:sz w:val="24"/>
          <w:highlight w:val="none"/>
        </w:rPr>
        <w:t>你方组织的浙江同济科技职业学院图书馆家具【招标编号：ZXZB-TJ-2025010G】</w:t>
      </w:r>
      <w:r>
        <w:rPr>
          <w:rFonts w:hint="eastAsia" w:ascii="宋体" w:hAnsi="宋体" w:cs="宋体"/>
          <w:bCs/>
          <w:sz w:val="24"/>
          <w:highlight w:val="none"/>
        </w:rPr>
        <w:t>投标活动中作如下说明：</w:t>
      </w:r>
      <w:r>
        <w:rPr>
          <w:rFonts w:hint="eastAsia" w:ascii="宋体" w:hAnsi="宋体" w:cs="宋体"/>
          <w:sz w:val="24"/>
          <w:highlight w:val="none"/>
        </w:rPr>
        <w:t xml:space="preserve">我方所使用的“XX专用章”与法定名称章具有同等的法律效力，对使用“XX专用章”的行为予以完全承认，并愿意承担相应责任。   </w:t>
      </w:r>
    </w:p>
    <w:p w14:paraId="3A541AE7">
      <w:pPr>
        <w:spacing w:line="360" w:lineRule="auto"/>
        <w:ind w:firstLine="480" w:firstLineChars="200"/>
        <w:rPr>
          <w:rFonts w:ascii="宋体" w:hAnsi="宋体" w:cs="宋体"/>
          <w:sz w:val="24"/>
          <w:highlight w:val="none"/>
        </w:rPr>
      </w:pPr>
      <w:r>
        <w:rPr>
          <w:rFonts w:hint="eastAsia" w:ascii="宋体" w:hAnsi="宋体" w:cs="宋体"/>
          <w:sz w:val="24"/>
          <w:highlight w:val="none"/>
        </w:rPr>
        <w:t>特此说明。</w:t>
      </w:r>
    </w:p>
    <w:p w14:paraId="6A6D4B18">
      <w:pPr>
        <w:spacing w:line="360" w:lineRule="auto"/>
        <w:ind w:firstLine="494"/>
        <w:rPr>
          <w:rFonts w:ascii="宋体" w:hAnsi="宋体" w:cs="宋体"/>
          <w:sz w:val="24"/>
          <w:highlight w:val="none"/>
        </w:rPr>
      </w:pPr>
    </w:p>
    <w:p w14:paraId="105E8AC5">
      <w:pPr>
        <w:spacing w:line="360" w:lineRule="auto"/>
        <w:ind w:firstLine="494"/>
        <w:rPr>
          <w:rFonts w:ascii="宋体" w:hAnsi="宋体" w:cs="宋体"/>
          <w:sz w:val="24"/>
          <w:highlight w:val="none"/>
        </w:rPr>
      </w:pPr>
    </w:p>
    <w:p w14:paraId="7A9F221A">
      <w:pPr>
        <w:spacing w:line="360" w:lineRule="auto"/>
        <w:ind w:firstLine="494"/>
        <w:rPr>
          <w:rFonts w:ascii="宋体" w:hAnsi="宋体" w:cs="宋体"/>
          <w:sz w:val="24"/>
          <w:highlight w:val="none"/>
        </w:rPr>
      </w:pPr>
    </w:p>
    <w:p w14:paraId="0F14FDCA">
      <w:pPr>
        <w:spacing w:line="360" w:lineRule="auto"/>
        <w:ind w:right="480" w:firstLine="4080" w:firstLineChars="1700"/>
        <w:rPr>
          <w:rFonts w:ascii="宋体" w:hAnsi="宋体" w:cs="宋体"/>
          <w:sz w:val="24"/>
          <w:highlight w:val="none"/>
        </w:rPr>
      </w:pPr>
      <w:r>
        <w:rPr>
          <w:rFonts w:hint="eastAsia" w:ascii="宋体" w:hAnsi="宋体" w:cs="宋体"/>
          <w:sz w:val="24"/>
          <w:highlight w:val="none"/>
        </w:rPr>
        <w:t>投标单位（法定名称章）：</w:t>
      </w:r>
    </w:p>
    <w:p w14:paraId="3916609A">
      <w:pPr>
        <w:ind w:right="1440" w:firstLine="494"/>
        <w:jc w:val="center"/>
        <w:rPr>
          <w:rFonts w:ascii="宋体" w:hAnsi="宋体" w:cs="宋体"/>
          <w:sz w:val="24"/>
          <w:highlight w:val="none"/>
        </w:rPr>
      </w:pPr>
      <w:r>
        <w:rPr>
          <w:rFonts w:hint="eastAsia" w:ascii="宋体" w:hAnsi="宋体" w:cs="宋体"/>
          <w:sz w:val="24"/>
          <w:highlight w:val="none"/>
        </w:rPr>
        <w:t xml:space="preserve">                              日期：       年     月     日</w:t>
      </w:r>
    </w:p>
    <w:p w14:paraId="73363664">
      <w:pPr>
        <w:rPr>
          <w:rFonts w:ascii="宋体" w:hAnsi="宋体" w:cs="宋体"/>
          <w:sz w:val="24"/>
          <w:highlight w:val="none"/>
        </w:rPr>
      </w:pPr>
      <w:r>
        <w:rPr>
          <w:rFonts w:hint="eastAsia" w:ascii="宋体" w:hAnsi="宋体" w:cs="宋体"/>
          <w:b/>
          <w:bCs/>
          <w:sz w:val="24"/>
          <w:highlight w:val="none"/>
        </w:rPr>
        <w:t>附：</w:t>
      </w:r>
    </w:p>
    <w:p w14:paraId="0B889498">
      <w:pPr>
        <w:spacing w:line="360" w:lineRule="auto"/>
        <w:rPr>
          <w:rFonts w:ascii="宋体" w:hAnsi="宋体" w:cs="宋体"/>
          <w:bCs/>
          <w:sz w:val="24"/>
          <w:highlight w:val="none"/>
        </w:rPr>
      </w:pPr>
      <w:r>
        <w:rPr>
          <w:rFonts w:hint="eastAsia" w:ascii="宋体" w:hAnsi="宋体" w:cs="宋体"/>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1" name="Rectangle 17"/>
                <wp:cNvGraphicFramePr/>
                <a:graphic xmlns:a="http://schemas.openxmlformats.org/drawingml/2006/main">
                  <a:graphicData uri="http://schemas.microsoft.com/office/word/2010/wordprocessingShape">
                    <wps:wsp>
                      <wps:cNvSpPr>
                        <a:spLocks noChangeArrowheads="1"/>
                      </wps:cNvSpPr>
                      <wps:spPr>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ZAPP9gAAAAKAQAADwAA&#10;AAAAAAABACAAAAAiAAAAZHJzL2Rvd25yZXYueG1sUEsBAhQAFAAAAAgAh07iQLslT6kWAgAAWgQA&#10;AA4AAAAAAAAAAQAgAAAAJwEAAGRycy9lMm9Eb2MueG1sUEsFBgAAAAAGAAYAWQEAAK8FAAAAAA==&#10;">
                <v:fill on="t" focussize="0,0"/>
                <v:stroke color="#000000" miterlimit="2" joinstyle="miter"/>
                <v:imagedata o:title=""/>
                <o:lock v:ext="edit" aspectratio="f"/>
              </v:rect>
            </w:pict>
          </mc:Fallback>
        </mc:AlternateContent>
      </w:r>
      <w:r>
        <w:rPr>
          <w:rFonts w:hint="eastAsia" w:ascii="宋体" w:hAnsi="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2" name="Rectangle 16"/>
                <wp:cNvGraphicFramePr/>
                <a:graphic xmlns:a="http://schemas.openxmlformats.org/drawingml/2006/main">
                  <a:graphicData uri="http://schemas.microsoft.com/office/word/2010/wordprocessingShape">
                    <wps:wsp>
                      <wps:cNvSpPr>
                        <a:spLocks noChangeArrowheads="1"/>
                      </wps:cNvSpPr>
                      <wps:spPr>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YxHptgAAAAKAQAADwAA&#10;AAAAAAABACAAAAAiAAAAZHJzL2Rvd25yZXYueG1sUEsBAhQAFAAAAAgAh07iQKnJLowWAgAAWgQA&#10;AA4AAAAAAAAAAQAgAAAAJwEAAGRycy9lMm9Eb2MueG1sUEsFBgAAAAAGAAYAWQEAAK8FAAAAAA==&#10;">
                <v:fill on="t" focussize="0,0"/>
                <v:stroke color="#000000" miterlimit="2" joinstyle="miter"/>
                <v:imagedata o:title=""/>
                <o:lock v:ext="edit" aspectratio="f"/>
              </v:rect>
            </w:pict>
          </mc:Fallback>
        </mc:AlternateContent>
      </w:r>
      <w:r>
        <w:rPr>
          <w:rFonts w:hint="eastAsia" w:ascii="宋体" w:hAnsi="宋体" w:cs="宋体"/>
          <w:sz w:val="24"/>
          <w:highlight w:val="none"/>
        </w:rPr>
        <w:t>投标单位法定名称章（印模）                投标单位“XX专用章”（印模）</w:t>
      </w:r>
    </w:p>
    <w:p w14:paraId="6AA91AAB">
      <w:pPr>
        <w:autoSpaceDE w:val="0"/>
        <w:autoSpaceDN w:val="0"/>
        <w:jc w:val="center"/>
        <w:rPr>
          <w:rFonts w:ascii="宋体" w:hAnsi="宋体" w:cs="宋体"/>
          <w:b/>
          <w:spacing w:val="6"/>
          <w:sz w:val="32"/>
          <w:szCs w:val="32"/>
          <w:highlight w:val="none"/>
        </w:rPr>
      </w:pPr>
    </w:p>
    <w:p w14:paraId="2C63EF2B">
      <w:pPr>
        <w:autoSpaceDE w:val="0"/>
        <w:autoSpaceDN w:val="0"/>
        <w:jc w:val="center"/>
        <w:rPr>
          <w:rFonts w:ascii="宋体" w:hAnsi="宋体" w:cs="宋体"/>
          <w:b/>
          <w:spacing w:val="6"/>
          <w:sz w:val="32"/>
          <w:szCs w:val="32"/>
          <w:highlight w:val="none"/>
        </w:rPr>
      </w:pPr>
    </w:p>
    <w:p w14:paraId="4D6BCBBD">
      <w:pPr>
        <w:autoSpaceDE w:val="0"/>
        <w:autoSpaceDN w:val="0"/>
        <w:jc w:val="center"/>
        <w:rPr>
          <w:rFonts w:ascii="宋体" w:hAnsi="宋体" w:cs="宋体"/>
          <w:b/>
          <w:spacing w:val="6"/>
          <w:sz w:val="32"/>
          <w:szCs w:val="32"/>
          <w:highlight w:val="none"/>
        </w:rPr>
      </w:pPr>
    </w:p>
    <w:p w14:paraId="6BE897AA">
      <w:pPr>
        <w:autoSpaceDE w:val="0"/>
        <w:autoSpaceDN w:val="0"/>
        <w:jc w:val="center"/>
        <w:rPr>
          <w:rFonts w:ascii="宋体" w:hAnsi="宋体" w:cs="宋体"/>
          <w:b/>
          <w:spacing w:val="6"/>
          <w:sz w:val="32"/>
          <w:szCs w:val="32"/>
          <w:highlight w:val="none"/>
        </w:rPr>
      </w:pPr>
    </w:p>
    <w:p w14:paraId="253F2306">
      <w:pPr>
        <w:autoSpaceDE w:val="0"/>
        <w:autoSpaceDN w:val="0"/>
        <w:jc w:val="center"/>
        <w:rPr>
          <w:rFonts w:ascii="宋体" w:hAnsi="宋体" w:cs="宋体"/>
          <w:b/>
          <w:spacing w:val="6"/>
          <w:sz w:val="32"/>
          <w:szCs w:val="32"/>
          <w:highlight w:val="none"/>
        </w:rPr>
      </w:pPr>
    </w:p>
    <w:p w14:paraId="244FED3B">
      <w:pPr>
        <w:autoSpaceDE w:val="0"/>
        <w:autoSpaceDN w:val="0"/>
        <w:jc w:val="center"/>
        <w:rPr>
          <w:rFonts w:ascii="宋体" w:hAnsi="宋体" w:cs="宋体"/>
          <w:b/>
          <w:spacing w:val="6"/>
          <w:sz w:val="32"/>
          <w:szCs w:val="32"/>
          <w:highlight w:val="none"/>
        </w:rPr>
      </w:pPr>
    </w:p>
    <w:p w14:paraId="480753BC">
      <w:pPr>
        <w:autoSpaceDE w:val="0"/>
        <w:autoSpaceDN w:val="0"/>
        <w:jc w:val="center"/>
        <w:rPr>
          <w:rFonts w:ascii="宋体" w:hAnsi="宋体" w:cs="宋体"/>
          <w:b/>
          <w:spacing w:val="6"/>
          <w:sz w:val="32"/>
          <w:szCs w:val="32"/>
          <w:highlight w:val="none"/>
        </w:rPr>
      </w:pPr>
    </w:p>
    <w:p w14:paraId="37D79ABB">
      <w:pPr>
        <w:autoSpaceDE w:val="0"/>
        <w:autoSpaceDN w:val="0"/>
        <w:jc w:val="center"/>
        <w:rPr>
          <w:rFonts w:ascii="宋体" w:hAnsi="宋体" w:cs="宋体"/>
          <w:b/>
          <w:spacing w:val="6"/>
          <w:sz w:val="32"/>
          <w:szCs w:val="32"/>
          <w:highlight w:val="none"/>
        </w:rPr>
      </w:pPr>
    </w:p>
    <w:p w14:paraId="1668FCDD">
      <w:pPr>
        <w:autoSpaceDE w:val="0"/>
        <w:autoSpaceDN w:val="0"/>
        <w:jc w:val="center"/>
        <w:rPr>
          <w:rFonts w:ascii="宋体" w:hAnsi="宋体" w:cs="宋体"/>
          <w:b/>
          <w:spacing w:val="6"/>
          <w:sz w:val="32"/>
          <w:szCs w:val="32"/>
          <w:highlight w:val="none"/>
        </w:rPr>
      </w:pPr>
    </w:p>
    <w:p w14:paraId="27D27A19">
      <w:pPr>
        <w:autoSpaceDE w:val="0"/>
        <w:autoSpaceDN w:val="0"/>
        <w:jc w:val="center"/>
        <w:rPr>
          <w:rFonts w:ascii="宋体" w:hAnsi="宋体" w:cs="宋体"/>
          <w:b/>
          <w:spacing w:val="6"/>
          <w:sz w:val="32"/>
          <w:szCs w:val="32"/>
          <w:highlight w:val="none"/>
        </w:rPr>
      </w:pPr>
    </w:p>
    <w:p w14:paraId="4E065F74">
      <w:pPr>
        <w:autoSpaceDE w:val="0"/>
        <w:autoSpaceDN w:val="0"/>
        <w:jc w:val="center"/>
        <w:rPr>
          <w:rFonts w:ascii="宋体" w:hAnsi="宋体" w:cs="宋体"/>
          <w:b/>
          <w:spacing w:val="6"/>
          <w:sz w:val="32"/>
          <w:szCs w:val="32"/>
          <w:highlight w:val="none"/>
        </w:rPr>
      </w:pPr>
    </w:p>
    <w:p w14:paraId="10E995AA">
      <w:pPr>
        <w:autoSpaceDE w:val="0"/>
        <w:autoSpaceDN w:val="0"/>
        <w:jc w:val="center"/>
        <w:rPr>
          <w:rFonts w:ascii="宋体" w:hAnsi="宋体" w:cs="宋体"/>
          <w:b/>
          <w:spacing w:val="6"/>
          <w:sz w:val="32"/>
          <w:szCs w:val="32"/>
          <w:highlight w:val="none"/>
        </w:rPr>
      </w:pPr>
    </w:p>
    <w:p w14:paraId="02CF5275">
      <w:pPr>
        <w:autoSpaceDE w:val="0"/>
        <w:autoSpaceDN w:val="0"/>
        <w:jc w:val="center"/>
        <w:rPr>
          <w:rFonts w:ascii="宋体" w:hAnsi="宋体" w:cs="宋体"/>
          <w:b/>
          <w:spacing w:val="6"/>
          <w:sz w:val="32"/>
          <w:szCs w:val="32"/>
          <w:highlight w:val="none"/>
        </w:rPr>
      </w:pPr>
    </w:p>
    <w:p w14:paraId="43BC2D3B">
      <w:pPr>
        <w:autoSpaceDE w:val="0"/>
        <w:autoSpaceDN w:val="0"/>
        <w:jc w:val="center"/>
        <w:rPr>
          <w:rFonts w:ascii="宋体" w:hAnsi="宋体" w:cs="宋体"/>
          <w:b/>
          <w:spacing w:val="6"/>
          <w:sz w:val="32"/>
          <w:szCs w:val="32"/>
          <w:highlight w:val="none"/>
        </w:rPr>
      </w:pPr>
    </w:p>
    <w:p w14:paraId="2FEA65AC">
      <w:pPr>
        <w:autoSpaceDE w:val="0"/>
        <w:autoSpaceDN w:val="0"/>
        <w:jc w:val="center"/>
        <w:rPr>
          <w:rFonts w:ascii="宋体" w:hAnsi="宋体" w:cs="宋体"/>
          <w:b/>
          <w:spacing w:val="6"/>
          <w:sz w:val="32"/>
          <w:szCs w:val="32"/>
          <w:highlight w:val="none"/>
        </w:rPr>
      </w:pPr>
    </w:p>
    <w:p w14:paraId="2AEE094E">
      <w:pPr>
        <w:autoSpaceDE w:val="0"/>
        <w:autoSpaceDN w:val="0"/>
        <w:jc w:val="center"/>
        <w:rPr>
          <w:rFonts w:ascii="宋体" w:hAnsi="宋体" w:cs="宋体"/>
          <w:b/>
          <w:spacing w:val="6"/>
          <w:sz w:val="32"/>
          <w:szCs w:val="32"/>
          <w:highlight w:val="none"/>
        </w:rPr>
      </w:pPr>
    </w:p>
    <w:p w14:paraId="1F23DDC6">
      <w:pPr>
        <w:rPr>
          <w:rFonts w:ascii="宋体" w:hAnsi="宋体" w:cs="宋体"/>
          <w:b/>
          <w:spacing w:val="6"/>
          <w:sz w:val="32"/>
          <w:szCs w:val="32"/>
          <w:highlight w:val="none"/>
        </w:rPr>
      </w:pPr>
      <w:r>
        <w:rPr>
          <w:rFonts w:ascii="宋体" w:hAnsi="宋体" w:cs="宋体"/>
          <w:b/>
          <w:spacing w:val="6"/>
          <w:sz w:val="32"/>
          <w:szCs w:val="32"/>
          <w:highlight w:val="none"/>
        </w:rPr>
        <w:br w:type="page"/>
      </w:r>
    </w:p>
    <w:p w14:paraId="31DE013D">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附件</w:t>
      </w:r>
      <w:r>
        <w:rPr>
          <w:rFonts w:ascii="宋体" w:hAnsi="宋体" w:cs="宋体"/>
          <w:b/>
          <w:kern w:val="0"/>
          <w:sz w:val="32"/>
          <w:szCs w:val="32"/>
          <w:highlight w:val="none"/>
        </w:rPr>
        <w:t>5</w:t>
      </w:r>
      <w:r>
        <w:rPr>
          <w:rFonts w:hint="eastAsia" w:ascii="宋体" w:hAnsi="宋体" w:cs="宋体"/>
          <w:b/>
          <w:kern w:val="0"/>
          <w:sz w:val="32"/>
          <w:szCs w:val="32"/>
          <w:highlight w:val="none"/>
        </w:rPr>
        <w:t>：联合协议</w:t>
      </w:r>
    </w:p>
    <w:p w14:paraId="66F88E40">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（以联合体形式投标的，提供联合协议；本项目不接受联合体投标或者投标人不以联合体形式投标的，则不需要提供）</w:t>
      </w:r>
    </w:p>
    <w:p w14:paraId="325E2619">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（联合体所有成员名称）</w:t>
      </w:r>
      <w:r>
        <w:rPr>
          <w:rFonts w:hint="eastAsia" w:ascii="宋体" w:hAnsi="宋体" w:cs="宋体"/>
          <w:kern w:val="0"/>
          <w:sz w:val="24"/>
          <w:highlight w:val="none"/>
        </w:rPr>
        <w:t>自愿</w:t>
      </w:r>
      <w:r>
        <w:rPr>
          <w:rFonts w:hint="eastAsia" w:ascii="宋体" w:hAnsi="宋体" w:cs="宋体"/>
          <w:kern w:val="0"/>
          <w:sz w:val="24"/>
          <w:highlight w:val="none"/>
          <w:lang w:val="zh-CN"/>
        </w:rPr>
        <w:t>组成一个联合体，以一个投标人的身份</w:t>
      </w:r>
      <w:r>
        <w:rPr>
          <w:rFonts w:hint="eastAsia" w:ascii="宋体" w:hAnsi="宋体" w:cs="宋体"/>
          <w:kern w:val="0"/>
          <w:sz w:val="24"/>
          <w:highlight w:val="none"/>
        </w:rPr>
        <w:t>参加</w:t>
      </w:r>
      <w:r>
        <w:rPr>
          <w:rFonts w:hint="eastAsia" w:ascii="宋体" w:hAnsi="宋体" w:cs="宋体"/>
          <w:sz w:val="24"/>
          <w:highlight w:val="none"/>
        </w:rPr>
        <w:t>浙江同济科技职业学院图书馆家具【招标编号：ZXZB-TJ-2025010G】</w:t>
      </w:r>
      <w:r>
        <w:rPr>
          <w:rFonts w:hint="eastAsia" w:ascii="宋体" w:hAnsi="宋体" w:cs="宋体"/>
          <w:kern w:val="0"/>
          <w:sz w:val="24"/>
          <w:highlight w:val="none"/>
          <w:lang w:val="zh-CN"/>
        </w:rPr>
        <w:t xml:space="preserve">投标。 </w:t>
      </w:r>
    </w:p>
    <w:p w14:paraId="090AB7CB">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一、各方一致决定，</w:t>
      </w:r>
      <w:r>
        <w:rPr>
          <w:rFonts w:hint="eastAsia" w:ascii="宋体" w:hAnsi="宋体" w:cs="宋体"/>
          <w:kern w:val="0"/>
          <w:sz w:val="24"/>
          <w:highlight w:val="none"/>
          <w:u w:val="single"/>
        </w:rPr>
        <w:t>（某联合体成员名称）</w:t>
      </w:r>
      <w:r>
        <w:rPr>
          <w:rFonts w:hint="eastAsia" w:ascii="宋体" w:hAnsi="宋体" w:cs="宋体"/>
          <w:kern w:val="0"/>
          <w:sz w:val="24"/>
          <w:highlight w:val="none"/>
        </w:rPr>
        <w:t>为联合体</w:t>
      </w:r>
      <w:r>
        <w:rPr>
          <w:rFonts w:hint="eastAsia" w:ascii="宋体" w:hAnsi="宋体" w:cs="宋体"/>
          <w:kern w:val="0"/>
          <w:sz w:val="24"/>
          <w:highlight w:val="none"/>
          <w:lang w:val="zh-CN"/>
        </w:rPr>
        <w:t>牵头人</w:t>
      </w:r>
      <w:r>
        <w:rPr>
          <w:rFonts w:hint="eastAsia" w:ascii="宋体" w:hAnsi="宋体" w:cs="宋体"/>
          <w:sz w:val="24"/>
          <w:highlight w:val="none"/>
        </w:rPr>
        <w:t>，代表所有联合体成员负责投标和合同实施阶段的主办、协调工作</w:t>
      </w:r>
      <w:r>
        <w:rPr>
          <w:rFonts w:hint="eastAsia" w:ascii="宋体" w:hAnsi="宋体" w:cs="宋体"/>
          <w:kern w:val="0"/>
          <w:sz w:val="24"/>
          <w:highlight w:val="none"/>
          <w:lang w:val="zh-CN"/>
        </w:rPr>
        <w:t>。</w:t>
      </w:r>
    </w:p>
    <w:p w14:paraId="1869DF05">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w:t>
      </w:r>
      <w:r>
        <w:rPr>
          <w:rFonts w:hint="eastAsia" w:ascii="宋体" w:hAnsi="宋体" w:cs="宋体"/>
          <w:sz w:val="24"/>
          <w:highlight w:val="none"/>
        </w:rPr>
        <w:t>所有联合体成员各方签署授权书，授权书载明的</w:t>
      </w:r>
      <w:r>
        <w:rPr>
          <w:rFonts w:hint="eastAsia" w:ascii="宋体" w:hAnsi="宋体" w:cs="宋体"/>
          <w:kern w:val="0"/>
          <w:sz w:val="24"/>
          <w:highlight w:val="none"/>
          <w:lang w:val="zh-CN"/>
        </w:rPr>
        <w:t>授权代表根据招标文件规定及投标内容而对采购人、采购代理机构所作的任何合法承诺，包括书面澄清及相应等均对联合投标各方产生约束力。</w:t>
      </w:r>
    </w:p>
    <w:p w14:paraId="754FB909">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三、本次联合投标中，分工如下：</w:t>
      </w:r>
    </w:p>
    <w:p w14:paraId="5BEEBC44">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（联合体成员1）</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14:paraId="15A14121">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（联合体成员</w:t>
      </w:r>
      <w:r>
        <w:rPr>
          <w:rFonts w:ascii="宋体" w:hAnsi="宋体" w:cs="宋体"/>
          <w:kern w:val="0"/>
          <w:sz w:val="24"/>
          <w:highlight w:val="none"/>
          <w:u w:val="single"/>
        </w:rPr>
        <w:t>2</w:t>
      </w:r>
      <w:r>
        <w:rPr>
          <w:rFonts w:hint="eastAsia" w:ascii="宋体" w:hAnsi="宋体" w:cs="宋体"/>
          <w:kern w:val="0"/>
          <w:sz w:val="24"/>
          <w:highlight w:val="none"/>
          <w:u w:val="single"/>
        </w:rPr>
        <w:t>）</w:t>
      </w:r>
      <w:r>
        <w:rPr>
          <w:rFonts w:hint="eastAsia" w:ascii="宋体" w:hAnsi="宋体" w:cs="宋体"/>
          <w:kern w:val="0"/>
          <w:sz w:val="24"/>
          <w:highlight w:val="none"/>
          <w:lang w:val="zh-CN"/>
        </w:rPr>
        <w:t>承担的工作和义务为：</w:t>
      </w:r>
      <w:r>
        <w:rPr>
          <w:rFonts w:hint="eastAsia" w:ascii="宋体" w:hAnsi="宋体" w:cs="宋体"/>
          <w:highlight w:val="none"/>
          <w:u w:val="single"/>
        </w:rPr>
        <w:t xml:space="preserve">             </w:t>
      </w:r>
      <w:r>
        <w:rPr>
          <w:rFonts w:hint="eastAsia" w:ascii="宋体" w:hAnsi="宋体" w:cs="宋体"/>
          <w:kern w:val="0"/>
          <w:sz w:val="24"/>
          <w:highlight w:val="none"/>
          <w:lang w:val="zh-CN"/>
        </w:rPr>
        <w:t>；</w:t>
      </w:r>
    </w:p>
    <w:p w14:paraId="5B1F63AB">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w:t>
      </w:r>
    </w:p>
    <w:p w14:paraId="3ABABEEA">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四、联合体成员中小企业合同份额。</w:t>
      </w:r>
    </w:p>
    <w:p w14:paraId="3F8073FD">
      <w:pPr>
        <w:snapToGrid w:val="0"/>
        <w:spacing w:line="360" w:lineRule="auto"/>
        <w:ind w:firstLine="576"/>
        <w:rPr>
          <w:rFonts w:ascii="宋体" w:hAnsi="宋体" w:cs="宋体"/>
          <w:b/>
          <w:kern w:val="0"/>
          <w:sz w:val="24"/>
          <w:highlight w:val="none"/>
          <w:lang w:val="zh-CN"/>
        </w:rPr>
      </w:pPr>
      <w:r>
        <w:rPr>
          <w:rFonts w:hint="eastAsia" w:ascii="宋体" w:hAnsi="宋体" w:cs="宋体"/>
          <w:kern w:val="0"/>
          <w:sz w:val="24"/>
          <w:highlight w:val="none"/>
          <w:lang w:val="zh-CN"/>
        </w:rPr>
        <w:t>1、</w:t>
      </w:r>
      <w:r>
        <w:rPr>
          <w:rFonts w:hint="eastAsia" w:ascii="宋体" w:hAnsi="宋体" w:cs="宋体"/>
          <w:kern w:val="0"/>
          <w:sz w:val="24"/>
          <w:highlight w:val="none"/>
          <w:u w:val="single"/>
        </w:rPr>
        <w:t>（联合体成员</w:t>
      </w:r>
      <w:r>
        <w:rPr>
          <w:rFonts w:ascii="宋体" w:hAnsi="宋体" w:cs="宋体"/>
          <w:kern w:val="0"/>
          <w:sz w:val="24"/>
          <w:highlight w:val="none"/>
          <w:u w:val="single"/>
        </w:rPr>
        <w:t>X,</w:t>
      </w:r>
      <w:r>
        <w:rPr>
          <w:rFonts w:hint="eastAsia" w:ascii="宋体" w:hAnsi="宋体" w:cs="宋体"/>
          <w:kern w:val="0"/>
          <w:sz w:val="24"/>
          <w:highlight w:val="none"/>
          <w:u w:val="single"/>
        </w:rPr>
        <w:t>……）</w:t>
      </w:r>
      <w:r>
        <w:rPr>
          <w:rFonts w:hint="eastAsia" w:ascii="宋体" w:hAnsi="宋体" w:cs="宋体"/>
          <w:kern w:val="0"/>
          <w:sz w:val="24"/>
          <w:highlight w:val="none"/>
        </w:rPr>
        <w:t>提供的全部货物由小微企业制造，其合同份额占到合同总金额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kern w:val="0"/>
          <w:sz w:val="24"/>
          <w:highlight w:val="none"/>
          <w:lang w:val="zh-CN"/>
        </w:rPr>
        <w:t>……。</w:t>
      </w:r>
      <w:r>
        <w:rPr>
          <w:rFonts w:hint="eastAsia" w:ascii="宋体" w:hAnsi="宋体" w:cs="宋体"/>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14:paraId="2BB58DAF">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rPr>
        <w:t>2、中小企业合同金额达到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highlight w:val="none"/>
          <w:lang w:val="zh-CN"/>
        </w:rPr>
        <w:t>）</w:t>
      </w:r>
    </w:p>
    <w:p w14:paraId="2232F75D">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五、如果中标，</w:t>
      </w:r>
      <w:r>
        <w:rPr>
          <w:rFonts w:hint="eastAsia" w:ascii="宋体" w:hAnsi="宋体" w:cs="宋体"/>
          <w:sz w:val="24"/>
          <w:highlight w:val="none"/>
        </w:rPr>
        <w:t>联合体各成员方共同与采购人签订合同，并就采购合同约定的事项对采购人承担连带责任。</w:t>
      </w:r>
    </w:p>
    <w:p w14:paraId="4ED6CBCA">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六、有关本次联合投标的其他事宜：</w:t>
      </w:r>
    </w:p>
    <w:p w14:paraId="27DA3CC5">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1、联合体各方不再单独参加或者与其他供应商另外组成联合体参加同一合同项下的政府采购活动。</w:t>
      </w:r>
    </w:p>
    <w:p w14:paraId="06D21DC2">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2、联合体中有同类资质的各方按照联合体分工承担相同工作的，按照资质等级较低的供应商确定资质等级。</w:t>
      </w:r>
    </w:p>
    <w:p w14:paraId="0037739C">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3、本协议提交采购人、采购代理机构后，联合体各方不得以任何形式对上述内容进行修改或撤销。</w:t>
      </w:r>
    </w:p>
    <w:p w14:paraId="060BEF18">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14:paraId="5CB03856">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14:paraId="001267BB">
      <w:pPr>
        <w:snapToGrid w:val="0"/>
        <w:spacing w:line="360" w:lineRule="auto"/>
        <w:ind w:right="960"/>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14:paraId="193F3A58">
      <w:pPr>
        <w:snapToGri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日期：  年  月   日</w:t>
      </w:r>
    </w:p>
    <w:p w14:paraId="5A4D5230">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14:paraId="1BAEA63E">
      <w:pPr>
        <w:autoSpaceDE w:val="0"/>
        <w:autoSpaceDN w:val="0"/>
        <w:jc w:val="center"/>
        <w:rPr>
          <w:rFonts w:ascii="宋体" w:hAnsi="宋体" w:cs="宋体"/>
          <w:b/>
          <w:spacing w:val="6"/>
          <w:sz w:val="32"/>
          <w:szCs w:val="32"/>
          <w:highlight w:val="none"/>
        </w:rPr>
      </w:pPr>
    </w:p>
    <w:p w14:paraId="4F7927D9">
      <w:pPr>
        <w:autoSpaceDE w:val="0"/>
        <w:autoSpaceDN w:val="0"/>
        <w:jc w:val="center"/>
        <w:rPr>
          <w:rFonts w:ascii="宋体" w:hAnsi="宋体" w:cs="宋体"/>
          <w:b/>
          <w:spacing w:val="6"/>
          <w:sz w:val="32"/>
          <w:szCs w:val="32"/>
          <w:highlight w:val="none"/>
        </w:rPr>
      </w:pPr>
    </w:p>
    <w:p w14:paraId="6EF9ECD3">
      <w:pPr>
        <w:autoSpaceDE w:val="0"/>
        <w:autoSpaceDN w:val="0"/>
        <w:jc w:val="center"/>
        <w:rPr>
          <w:rFonts w:ascii="宋体" w:hAnsi="宋体" w:cs="宋体"/>
          <w:b/>
          <w:spacing w:val="6"/>
          <w:sz w:val="32"/>
          <w:szCs w:val="32"/>
          <w:highlight w:val="none"/>
        </w:rPr>
      </w:pPr>
    </w:p>
    <w:p w14:paraId="7DEBEAB4">
      <w:pPr>
        <w:autoSpaceDE w:val="0"/>
        <w:autoSpaceDN w:val="0"/>
        <w:jc w:val="center"/>
        <w:rPr>
          <w:rFonts w:ascii="宋体" w:hAnsi="宋体" w:cs="宋体"/>
          <w:b/>
          <w:spacing w:val="6"/>
          <w:sz w:val="32"/>
          <w:szCs w:val="32"/>
          <w:highlight w:val="none"/>
        </w:rPr>
      </w:pPr>
    </w:p>
    <w:p w14:paraId="1B5F94F3">
      <w:pPr>
        <w:autoSpaceDE w:val="0"/>
        <w:autoSpaceDN w:val="0"/>
        <w:jc w:val="center"/>
        <w:rPr>
          <w:rFonts w:ascii="宋体" w:hAnsi="宋体" w:cs="宋体"/>
          <w:b/>
          <w:spacing w:val="6"/>
          <w:sz w:val="32"/>
          <w:szCs w:val="32"/>
          <w:highlight w:val="none"/>
        </w:rPr>
      </w:pPr>
    </w:p>
    <w:p w14:paraId="42AD6B1B">
      <w:pPr>
        <w:autoSpaceDE w:val="0"/>
        <w:autoSpaceDN w:val="0"/>
        <w:jc w:val="center"/>
        <w:rPr>
          <w:rFonts w:ascii="宋体" w:hAnsi="宋体" w:cs="宋体"/>
          <w:b/>
          <w:spacing w:val="6"/>
          <w:sz w:val="32"/>
          <w:szCs w:val="32"/>
          <w:highlight w:val="none"/>
        </w:rPr>
      </w:pPr>
    </w:p>
    <w:p w14:paraId="625F40F4">
      <w:pPr>
        <w:autoSpaceDE w:val="0"/>
        <w:autoSpaceDN w:val="0"/>
        <w:jc w:val="center"/>
        <w:rPr>
          <w:rFonts w:ascii="宋体" w:hAnsi="宋体" w:cs="宋体"/>
          <w:b/>
          <w:spacing w:val="6"/>
          <w:sz w:val="32"/>
          <w:szCs w:val="32"/>
          <w:highlight w:val="none"/>
        </w:rPr>
      </w:pPr>
    </w:p>
    <w:p w14:paraId="7825820A">
      <w:pPr>
        <w:autoSpaceDE w:val="0"/>
        <w:autoSpaceDN w:val="0"/>
        <w:jc w:val="center"/>
        <w:rPr>
          <w:rFonts w:ascii="宋体" w:hAnsi="宋体" w:cs="宋体"/>
          <w:b/>
          <w:spacing w:val="6"/>
          <w:sz w:val="32"/>
          <w:szCs w:val="32"/>
          <w:highlight w:val="none"/>
        </w:rPr>
      </w:pPr>
    </w:p>
    <w:p w14:paraId="3AB51E4B">
      <w:pPr>
        <w:autoSpaceDE w:val="0"/>
        <w:autoSpaceDN w:val="0"/>
        <w:jc w:val="center"/>
        <w:rPr>
          <w:rFonts w:ascii="宋体" w:hAnsi="宋体" w:cs="宋体"/>
          <w:b/>
          <w:spacing w:val="6"/>
          <w:sz w:val="32"/>
          <w:szCs w:val="32"/>
          <w:highlight w:val="none"/>
        </w:rPr>
      </w:pPr>
    </w:p>
    <w:p w14:paraId="18D461D3">
      <w:pPr>
        <w:autoSpaceDE w:val="0"/>
        <w:autoSpaceDN w:val="0"/>
        <w:jc w:val="center"/>
        <w:rPr>
          <w:rFonts w:ascii="宋体" w:hAnsi="宋体" w:cs="宋体"/>
          <w:b/>
          <w:spacing w:val="6"/>
          <w:sz w:val="32"/>
          <w:szCs w:val="32"/>
          <w:highlight w:val="none"/>
        </w:rPr>
      </w:pPr>
    </w:p>
    <w:p w14:paraId="5D9638F4">
      <w:pPr>
        <w:autoSpaceDE w:val="0"/>
        <w:autoSpaceDN w:val="0"/>
        <w:jc w:val="center"/>
        <w:rPr>
          <w:rFonts w:ascii="宋体" w:hAnsi="宋体" w:cs="宋体"/>
          <w:b/>
          <w:spacing w:val="6"/>
          <w:sz w:val="32"/>
          <w:szCs w:val="32"/>
          <w:highlight w:val="none"/>
        </w:rPr>
      </w:pPr>
    </w:p>
    <w:p w14:paraId="6CFD16F7">
      <w:pPr>
        <w:autoSpaceDE w:val="0"/>
        <w:autoSpaceDN w:val="0"/>
        <w:jc w:val="center"/>
        <w:rPr>
          <w:rFonts w:ascii="宋体" w:hAnsi="宋体" w:cs="宋体"/>
          <w:b/>
          <w:spacing w:val="6"/>
          <w:sz w:val="32"/>
          <w:szCs w:val="32"/>
          <w:highlight w:val="none"/>
        </w:rPr>
      </w:pPr>
    </w:p>
    <w:p w14:paraId="03F40758">
      <w:pPr>
        <w:autoSpaceDE w:val="0"/>
        <w:autoSpaceDN w:val="0"/>
        <w:jc w:val="center"/>
        <w:rPr>
          <w:rFonts w:ascii="宋体" w:hAnsi="宋体" w:cs="宋体"/>
          <w:b/>
          <w:spacing w:val="6"/>
          <w:sz w:val="32"/>
          <w:szCs w:val="32"/>
          <w:highlight w:val="none"/>
        </w:rPr>
      </w:pPr>
    </w:p>
    <w:p w14:paraId="65B5DB78">
      <w:pPr>
        <w:autoSpaceDE w:val="0"/>
        <w:autoSpaceDN w:val="0"/>
        <w:jc w:val="center"/>
        <w:rPr>
          <w:rFonts w:ascii="宋体" w:hAnsi="宋体" w:cs="宋体"/>
          <w:b/>
          <w:spacing w:val="6"/>
          <w:sz w:val="32"/>
          <w:szCs w:val="32"/>
          <w:highlight w:val="none"/>
        </w:rPr>
      </w:pPr>
    </w:p>
    <w:p w14:paraId="42BC4D0B">
      <w:pPr>
        <w:autoSpaceDE w:val="0"/>
        <w:autoSpaceDN w:val="0"/>
        <w:jc w:val="center"/>
        <w:rPr>
          <w:rFonts w:ascii="宋体" w:hAnsi="宋体" w:cs="宋体"/>
          <w:b/>
          <w:spacing w:val="6"/>
          <w:sz w:val="32"/>
          <w:szCs w:val="32"/>
          <w:highlight w:val="none"/>
        </w:rPr>
      </w:pPr>
    </w:p>
    <w:p w14:paraId="241A4782">
      <w:pPr>
        <w:autoSpaceDE w:val="0"/>
        <w:autoSpaceDN w:val="0"/>
        <w:jc w:val="center"/>
        <w:rPr>
          <w:rFonts w:ascii="宋体" w:hAnsi="宋体" w:cs="宋体"/>
          <w:b/>
          <w:spacing w:val="6"/>
          <w:sz w:val="32"/>
          <w:szCs w:val="32"/>
          <w:highlight w:val="none"/>
        </w:rPr>
      </w:pPr>
    </w:p>
    <w:p w14:paraId="4DD96450">
      <w:pPr>
        <w:autoSpaceDE w:val="0"/>
        <w:autoSpaceDN w:val="0"/>
        <w:jc w:val="center"/>
        <w:rPr>
          <w:rFonts w:ascii="宋体" w:hAnsi="宋体" w:cs="宋体"/>
          <w:b/>
          <w:spacing w:val="6"/>
          <w:sz w:val="32"/>
          <w:szCs w:val="32"/>
          <w:highlight w:val="none"/>
        </w:rPr>
      </w:pPr>
    </w:p>
    <w:p w14:paraId="1B01ED84">
      <w:pPr>
        <w:autoSpaceDE w:val="0"/>
        <w:autoSpaceDN w:val="0"/>
        <w:jc w:val="center"/>
        <w:rPr>
          <w:rFonts w:ascii="宋体" w:hAnsi="宋体" w:cs="宋体"/>
          <w:b/>
          <w:spacing w:val="6"/>
          <w:sz w:val="32"/>
          <w:szCs w:val="32"/>
          <w:highlight w:val="none"/>
        </w:rPr>
      </w:pPr>
    </w:p>
    <w:p w14:paraId="208EDC75">
      <w:pPr>
        <w:autoSpaceDE w:val="0"/>
        <w:autoSpaceDN w:val="0"/>
        <w:jc w:val="center"/>
        <w:rPr>
          <w:rFonts w:ascii="宋体" w:hAnsi="宋体" w:cs="宋体"/>
          <w:b/>
          <w:spacing w:val="6"/>
          <w:sz w:val="32"/>
          <w:szCs w:val="32"/>
          <w:highlight w:val="none"/>
        </w:rPr>
      </w:pPr>
    </w:p>
    <w:p w14:paraId="53AFB344">
      <w:pPr>
        <w:autoSpaceDE w:val="0"/>
        <w:autoSpaceDN w:val="0"/>
        <w:jc w:val="center"/>
        <w:rPr>
          <w:rFonts w:ascii="宋体" w:hAnsi="宋体" w:cs="宋体"/>
          <w:b/>
          <w:spacing w:val="6"/>
          <w:sz w:val="32"/>
          <w:szCs w:val="32"/>
          <w:highlight w:val="none"/>
        </w:rPr>
      </w:pPr>
    </w:p>
    <w:p w14:paraId="1EE93BEA">
      <w:pPr>
        <w:autoSpaceDE w:val="0"/>
        <w:autoSpaceDN w:val="0"/>
        <w:jc w:val="center"/>
        <w:rPr>
          <w:rFonts w:ascii="宋体" w:hAnsi="宋体" w:cs="宋体"/>
          <w:b/>
          <w:spacing w:val="6"/>
          <w:sz w:val="32"/>
          <w:szCs w:val="32"/>
          <w:highlight w:val="none"/>
        </w:rPr>
      </w:pPr>
    </w:p>
    <w:p w14:paraId="7E86811E">
      <w:pPr>
        <w:autoSpaceDE w:val="0"/>
        <w:autoSpaceDN w:val="0"/>
        <w:jc w:val="center"/>
        <w:rPr>
          <w:rFonts w:ascii="宋体" w:hAnsi="宋体" w:cs="宋体"/>
          <w:b/>
          <w:spacing w:val="6"/>
          <w:sz w:val="32"/>
          <w:szCs w:val="32"/>
          <w:highlight w:val="none"/>
        </w:rPr>
      </w:pPr>
    </w:p>
    <w:p w14:paraId="06A1C920">
      <w:pPr>
        <w:autoSpaceDE w:val="0"/>
        <w:autoSpaceDN w:val="0"/>
        <w:jc w:val="center"/>
        <w:rPr>
          <w:rFonts w:ascii="宋体" w:hAnsi="宋体" w:cs="宋体"/>
          <w:b/>
          <w:spacing w:val="6"/>
          <w:sz w:val="32"/>
          <w:szCs w:val="32"/>
          <w:highlight w:val="none"/>
        </w:rPr>
      </w:pPr>
    </w:p>
    <w:p w14:paraId="29E1ACD6">
      <w:pPr>
        <w:autoSpaceDE w:val="0"/>
        <w:autoSpaceDN w:val="0"/>
        <w:jc w:val="center"/>
        <w:rPr>
          <w:rFonts w:ascii="宋体" w:hAnsi="宋体" w:cs="宋体"/>
          <w:b/>
          <w:spacing w:val="6"/>
          <w:sz w:val="32"/>
          <w:szCs w:val="32"/>
          <w:highlight w:val="none"/>
        </w:rPr>
      </w:pPr>
    </w:p>
    <w:p w14:paraId="66F527CD">
      <w:pPr>
        <w:rPr>
          <w:rFonts w:ascii="宋体" w:hAnsi="宋体" w:cs="宋体"/>
          <w:b/>
          <w:kern w:val="0"/>
          <w:sz w:val="32"/>
          <w:szCs w:val="32"/>
          <w:highlight w:val="none"/>
        </w:rPr>
      </w:pPr>
      <w:r>
        <w:rPr>
          <w:rFonts w:hint="eastAsia" w:ascii="宋体" w:hAnsi="宋体" w:cs="宋体"/>
          <w:b/>
          <w:kern w:val="0"/>
          <w:sz w:val="32"/>
          <w:szCs w:val="32"/>
          <w:highlight w:val="none"/>
        </w:rPr>
        <w:br w:type="page"/>
      </w:r>
    </w:p>
    <w:p w14:paraId="7B782CED">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附件</w:t>
      </w:r>
      <w:r>
        <w:rPr>
          <w:rFonts w:ascii="宋体" w:hAnsi="宋体" w:cs="宋体"/>
          <w:b/>
          <w:kern w:val="0"/>
          <w:sz w:val="32"/>
          <w:szCs w:val="32"/>
          <w:highlight w:val="none"/>
        </w:rPr>
        <w:t>6</w:t>
      </w:r>
      <w:r>
        <w:rPr>
          <w:rFonts w:hint="eastAsia" w:ascii="宋体" w:hAnsi="宋体" w:cs="宋体"/>
          <w:b/>
          <w:kern w:val="0"/>
          <w:sz w:val="32"/>
          <w:szCs w:val="32"/>
          <w:highlight w:val="none"/>
        </w:rPr>
        <w:t>：分包意向协议</w:t>
      </w:r>
    </w:p>
    <w:p w14:paraId="3082B7E3">
      <w:pPr>
        <w:widowControl/>
        <w:snapToGrid w:val="0"/>
        <w:spacing w:line="360" w:lineRule="auto"/>
        <w:ind w:firstLine="120" w:firstLineChars="5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cs="宋体"/>
          <w:sz w:val="24"/>
          <w:highlight w:val="none"/>
        </w:rPr>
        <w:t>）</w:t>
      </w:r>
    </w:p>
    <w:p w14:paraId="071A3F8A">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若成为</w:t>
      </w:r>
      <w:r>
        <w:rPr>
          <w:rFonts w:hint="eastAsia" w:ascii="宋体" w:hAnsi="宋体" w:cs="宋体"/>
          <w:sz w:val="24"/>
          <w:highlight w:val="none"/>
        </w:rPr>
        <w:t>浙江同济科技职业学院图书馆家具【招标编号：ZXZB-TJ-2025010G】</w:t>
      </w:r>
      <w:r>
        <w:rPr>
          <w:rFonts w:hint="eastAsia" w:ascii="宋体" w:hAnsi="宋体" w:cs="宋体"/>
          <w:kern w:val="0"/>
          <w:sz w:val="24"/>
          <w:highlight w:val="none"/>
          <w:lang w:val="zh-CN"/>
        </w:rPr>
        <w:t>的中标供应商，将依法采取分包方式履行合同。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14:paraId="71ED7D74">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一、分包标的及数量</w:t>
      </w:r>
    </w:p>
    <w:p w14:paraId="53B11F73">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具备承</w:t>
      </w:r>
      <w:r>
        <w:rPr>
          <w:rFonts w:hint="eastAsia" w:ascii="宋体" w:hAnsi="宋体" w:cs="宋体"/>
          <w:kern w:val="0"/>
          <w:sz w:val="24"/>
          <w:highlight w:val="none"/>
        </w:rPr>
        <w:t>担</w:t>
      </w:r>
      <w:r>
        <w:rPr>
          <w:rFonts w:hint="eastAsia" w:ascii="宋体" w:hAnsi="宋体" w:cs="宋体"/>
          <w:kern w:val="0"/>
          <w:sz w:val="24"/>
          <w:highlight w:val="none"/>
          <w:u w:val="single"/>
          <w:lang w:val="zh-CN"/>
        </w:rPr>
        <w:t>XX工作内容</w:t>
      </w:r>
      <w:r>
        <w:rPr>
          <w:rFonts w:hint="eastAsia" w:ascii="宋体" w:hAnsi="宋体" w:cs="宋体"/>
          <w:kern w:val="0"/>
          <w:sz w:val="24"/>
          <w:highlight w:val="none"/>
          <w:lang w:val="zh-CN"/>
        </w:rPr>
        <w:t>相应资质条件且不得再次分包；</w:t>
      </w:r>
    </w:p>
    <w:p w14:paraId="7E8E3F94">
      <w:pPr>
        <w:snapToGrid w:val="0"/>
        <w:spacing w:line="360" w:lineRule="auto"/>
        <w:ind w:firstLine="576"/>
        <w:rPr>
          <w:highlight w:val="none"/>
        </w:rPr>
      </w:pPr>
      <w:r>
        <w:rPr>
          <w:rFonts w:hint="eastAsia"/>
          <w:highlight w:val="none"/>
        </w:rPr>
        <w:t>……</w:t>
      </w:r>
    </w:p>
    <w:p w14:paraId="70A76663">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p>
    <w:p w14:paraId="28131D52">
      <w:pPr>
        <w:snapToGrid w:val="0"/>
        <w:spacing w:line="360" w:lineRule="auto"/>
        <w:ind w:firstLine="576"/>
        <w:rPr>
          <w:rFonts w:ascii="宋体" w:hAnsi="宋体" w:cs="宋体"/>
          <w:b/>
          <w:kern w:val="0"/>
          <w:sz w:val="24"/>
          <w:highlight w:val="none"/>
          <w:lang w:val="zh-CN"/>
        </w:rPr>
      </w:pPr>
      <w:r>
        <w:rPr>
          <w:rFonts w:ascii="宋体" w:hAnsi="宋体" w:cs="宋体"/>
          <w:kern w:val="0"/>
          <w:sz w:val="24"/>
          <w:highlight w:val="none"/>
        </w:rPr>
        <w:t>1、</w:t>
      </w:r>
      <w:r>
        <w:rPr>
          <w:rFonts w:hint="eastAsia" w:ascii="宋体" w:hAnsi="宋体" w:cs="宋体"/>
          <w:kern w:val="0"/>
          <w:sz w:val="24"/>
          <w:highlight w:val="none"/>
          <w:u w:val="single"/>
        </w:rPr>
        <w:t>（分包供应商X</w:t>
      </w:r>
      <w:r>
        <w:rPr>
          <w:rFonts w:ascii="宋体" w:hAnsi="宋体" w:cs="宋体"/>
          <w:kern w:val="0"/>
          <w:sz w:val="24"/>
          <w:highlight w:val="none"/>
          <w:u w:val="single"/>
        </w:rPr>
        <w:t>,</w:t>
      </w:r>
      <w:r>
        <w:rPr>
          <w:rFonts w:hint="eastAsia" w:ascii="宋体" w:hAnsi="宋体" w:cs="宋体"/>
          <w:kern w:val="0"/>
          <w:sz w:val="24"/>
          <w:highlight w:val="none"/>
          <w:u w:val="single"/>
        </w:rPr>
        <w:t>……）提供的货物全部由小微企业制造，</w:t>
      </w:r>
      <w:r>
        <w:rPr>
          <w:rFonts w:hint="eastAsia" w:ascii="宋体" w:hAnsi="宋体" w:cs="宋体"/>
          <w:kern w:val="0"/>
          <w:sz w:val="24"/>
          <w:highlight w:val="none"/>
        </w:rPr>
        <w:t>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14:paraId="08474834">
      <w:pPr>
        <w:snapToGrid w:val="0"/>
        <w:spacing w:line="360" w:lineRule="auto"/>
        <w:ind w:firstLine="480" w:firstLineChars="200"/>
        <w:rPr>
          <w:rFonts w:ascii="宋体" w:hAnsi="宋体" w:cs="宋体"/>
          <w:b/>
          <w:bCs/>
          <w:kern w:val="0"/>
          <w:sz w:val="24"/>
          <w:highlight w:val="none"/>
          <w:lang w:val="zh-CN"/>
        </w:rPr>
      </w:pPr>
      <w:bookmarkStart w:id="427" w:name="_Hlk101133173"/>
      <w:bookmarkEnd w:id="427"/>
      <w:r>
        <w:rPr>
          <w:rFonts w:hint="eastAsia" w:ascii="宋体" w:hAnsi="宋体" w:cs="宋体"/>
          <w:sz w:val="24"/>
          <w:highlight w:val="none"/>
        </w:rPr>
        <w:t>2、中小企业合同金额达到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%，其中小微企业合同金额达到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中中小企业、小微企业合同金额应当达到的比例要求填写。</w:t>
      </w:r>
      <w:r>
        <w:rPr>
          <w:rFonts w:hint="eastAsia" w:ascii="宋体" w:hAnsi="宋体" w:cs="宋体"/>
          <w:b/>
          <w:bCs/>
          <w:kern w:val="0"/>
          <w:sz w:val="24"/>
          <w:highlight w:val="none"/>
          <w:lang w:val="zh-CN"/>
        </w:rPr>
        <w:t>）</w:t>
      </w:r>
    </w:p>
    <w:p w14:paraId="4BB5FCE2">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三、分包工作履行期限、地点、方式</w:t>
      </w:r>
    </w:p>
    <w:p w14:paraId="6570B509">
      <w:pPr>
        <w:snapToGrid w:val="0"/>
        <w:spacing w:line="360" w:lineRule="auto"/>
        <w:ind w:firstLine="576"/>
        <w:rPr>
          <w:rFonts w:ascii="宋体" w:hAnsi="宋体" w:cs="宋体"/>
          <w:sz w:val="24"/>
          <w:highlight w:val="none"/>
          <w:u w:val="single"/>
        </w:rPr>
      </w:pPr>
      <w:r>
        <w:rPr>
          <w:rFonts w:hint="eastAsia" w:ascii="宋体" w:hAnsi="宋体" w:cs="宋体"/>
          <w:sz w:val="24"/>
          <w:highlight w:val="none"/>
          <w:u w:val="single"/>
        </w:rPr>
        <w:t xml:space="preserve">                                                                                  </w:t>
      </w:r>
    </w:p>
    <w:p w14:paraId="35D213A4">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四、质量</w:t>
      </w:r>
    </w:p>
    <w:p w14:paraId="1938E2D8">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u w:val="single"/>
        </w:rPr>
        <w:t xml:space="preserve">                                                                                       </w:t>
      </w:r>
    </w:p>
    <w:p w14:paraId="4703551E">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五、价款或者报酬</w:t>
      </w:r>
    </w:p>
    <w:p w14:paraId="177F87B3">
      <w:pPr>
        <w:snapToGrid w:val="0"/>
        <w:spacing w:line="360" w:lineRule="auto"/>
        <w:ind w:left="573" w:leftChars="273"/>
        <w:rPr>
          <w:rFonts w:ascii="宋体" w:hAnsi="宋体" w:cs="宋体"/>
          <w:kern w:val="0"/>
          <w:sz w:val="24"/>
          <w:highlight w:val="none"/>
          <w:lang w:val="zh-CN"/>
        </w:rPr>
      </w:pPr>
      <w:r>
        <w:rPr>
          <w:rFonts w:hint="eastAsia" w:ascii="宋体" w:hAnsi="宋体" w:cs="宋体"/>
          <w:sz w:val="24"/>
          <w:highlight w:val="none"/>
          <w:u w:val="single"/>
        </w:rPr>
        <w:t xml:space="preserve">                                                                                     </w:t>
      </w:r>
    </w:p>
    <w:p w14:paraId="20333B82">
      <w:pPr>
        <w:snapToGrid w:val="0"/>
        <w:spacing w:line="360" w:lineRule="auto"/>
        <w:ind w:left="573" w:leftChars="273"/>
        <w:rPr>
          <w:rFonts w:ascii="宋体" w:hAnsi="宋体" w:cs="宋体"/>
          <w:kern w:val="0"/>
          <w:sz w:val="24"/>
          <w:highlight w:val="none"/>
          <w:lang w:val="zh-CN"/>
        </w:rPr>
      </w:pPr>
      <w:r>
        <w:rPr>
          <w:rFonts w:hint="eastAsia" w:ascii="宋体" w:hAnsi="宋体" w:cs="宋体"/>
          <w:kern w:val="0"/>
          <w:sz w:val="24"/>
          <w:highlight w:val="none"/>
          <w:lang w:val="zh-CN"/>
        </w:rPr>
        <w:t>六、违约责任</w:t>
      </w:r>
    </w:p>
    <w:p w14:paraId="2FCC705E">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u w:val="single"/>
        </w:rPr>
        <w:t xml:space="preserve">                                                                                     </w:t>
      </w:r>
    </w:p>
    <w:p w14:paraId="53F297CD">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七、争议解决的办法</w:t>
      </w:r>
    </w:p>
    <w:p w14:paraId="19B94C8A">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u w:val="single"/>
        </w:rPr>
        <w:t xml:space="preserve">                                                                                  </w:t>
      </w:r>
    </w:p>
    <w:p w14:paraId="20EC5CEC">
      <w:pPr>
        <w:snapToGrid w:val="0"/>
        <w:spacing w:line="360" w:lineRule="auto"/>
        <w:ind w:left="5758" w:leftChars="342" w:hanging="5040" w:hangingChars="2100"/>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w:t>
      </w:r>
    </w:p>
    <w:p w14:paraId="05C9A557">
      <w:pPr>
        <w:snapToGri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分包供应商名称(电子签名/公章)：</w:t>
      </w:r>
    </w:p>
    <w:p w14:paraId="025ED004">
      <w:pPr>
        <w:snapToGrid w:val="0"/>
        <w:spacing w:line="360" w:lineRule="auto"/>
        <w:ind w:firstLine="5760" w:firstLineChars="2400"/>
        <w:rPr>
          <w:rFonts w:ascii="宋体" w:hAnsi="宋体" w:cs="宋体"/>
          <w:sz w:val="24"/>
          <w:highlight w:val="none"/>
        </w:rPr>
      </w:pPr>
      <w:r>
        <w:rPr>
          <w:rFonts w:hint="eastAsia" w:ascii="宋体" w:hAnsi="宋体" w:cs="宋体"/>
          <w:kern w:val="0"/>
          <w:sz w:val="24"/>
          <w:highlight w:val="none"/>
          <w:lang w:val="zh-CN"/>
        </w:rPr>
        <w:t>……</w:t>
      </w:r>
    </w:p>
    <w:p w14:paraId="4A187D5C">
      <w:pPr>
        <w:snapToGrid w:val="0"/>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14:paraId="3E49BFE6">
      <w:pPr>
        <w:snapToGrid w:val="0"/>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14:paraId="4E655277">
      <w:pPr>
        <w:autoSpaceDE w:val="0"/>
        <w:autoSpaceDN w:val="0"/>
        <w:jc w:val="center"/>
        <w:rPr>
          <w:rFonts w:ascii="宋体" w:hAnsi="宋体" w:cs="宋体"/>
          <w:b/>
          <w:spacing w:val="6"/>
          <w:sz w:val="32"/>
          <w:szCs w:val="32"/>
          <w:highlight w:val="none"/>
        </w:rPr>
      </w:pPr>
    </w:p>
    <w:p w14:paraId="31591509">
      <w:pPr>
        <w:autoSpaceDE w:val="0"/>
        <w:autoSpaceDN w:val="0"/>
        <w:jc w:val="center"/>
        <w:rPr>
          <w:rFonts w:ascii="宋体" w:hAnsi="宋体" w:cs="宋体"/>
          <w:b/>
          <w:spacing w:val="6"/>
          <w:sz w:val="32"/>
          <w:szCs w:val="32"/>
          <w:highlight w:val="none"/>
        </w:rPr>
      </w:pPr>
    </w:p>
    <w:p w14:paraId="1EE5070C">
      <w:pPr>
        <w:autoSpaceDE w:val="0"/>
        <w:autoSpaceDN w:val="0"/>
        <w:jc w:val="center"/>
        <w:rPr>
          <w:rFonts w:ascii="宋体" w:hAnsi="宋体" w:cs="宋体"/>
          <w:b/>
          <w:spacing w:val="6"/>
          <w:sz w:val="32"/>
          <w:szCs w:val="32"/>
          <w:highlight w:val="none"/>
        </w:rPr>
      </w:pPr>
    </w:p>
    <w:p w14:paraId="3CBE9328">
      <w:pPr>
        <w:autoSpaceDE w:val="0"/>
        <w:autoSpaceDN w:val="0"/>
        <w:jc w:val="center"/>
        <w:rPr>
          <w:rFonts w:ascii="宋体" w:hAnsi="宋体" w:cs="宋体"/>
          <w:b/>
          <w:spacing w:val="6"/>
          <w:sz w:val="32"/>
          <w:szCs w:val="32"/>
          <w:highlight w:val="none"/>
        </w:rPr>
      </w:pPr>
    </w:p>
    <w:p w14:paraId="3231AB68">
      <w:pPr>
        <w:autoSpaceDE w:val="0"/>
        <w:autoSpaceDN w:val="0"/>
        <w:jc w:val="center"/>
        <w:rPr>
          <w:rFonts w:ascii="宋体" w:hAnsi="宋体" w:cs="宋体"/>
          <w:b/>
          <w:spacing w:val="6"/>
          <w:sz w:val="32"/>
          <w:szCs w:val="32"/>
          <w:highlight w:val="none"/>
        </w:rPr>
      </w:pPr>
    </w:p>
    <w:p w14:paraId="62614AA6">
      <w:pPr>
        <w:autoSpaceDE w:val="0"/>
        <w:autoSpaceDN w:val="0"/>
        <w:jc w:val="center"/>
        <w:rPr>
          <w:rFonts w:ascii="宋体" w:hAnsi="宋体" w:cs="宋体"/>
          <w:b/>
          <w:spacing w:val="6"/>
          <w:sz w:val="32"/>
          <w:szCs w:val="32"/>
          <w:highlight w:val="none"/>
        </w:rPr>
      </w:pPr>
    </w:p>
    <w:p w14:paraId="50C94D9F">
      <w:pPr>
        <w:autoSpaceDE w:val="0"/>
        <w:autoSpaceDN w:val="0"/>
        <w:jc w:val="center"/>
        <w:rPr>
          <w:rFonts w:ascii="宋体" w:hAnsi="宋体" w:cs="宋体"/>
          <w:b/>
          <w:spacing w:val="6"/>
          <w:sz w:val="32"/>
          <w:szCs w:val="32"/>
          <w:highlight w:val="none"/>
        </w:rPr>
      </w:pPr>
    </w:p>
    <w:p w14:paraId="4152A349">
      <w:pPr>
        <w:autoSpaceDE w:val="0"/>
        <w:autoSpaceDN w:val="0"/>
        <w:jc w:val="center"/>
        <w:rPr>
          <w:rFonts w:ascii="宋体" w:hAnsi="宋体" w:cs="宋体"/>
          <w:b/>
          <w:spacing w:val="6"/>
          <w:sz w:val="32"/>
          <w:szCs w:val="32"/>
          <w:highlight w:val="none"/>
        </w:rPr>
      </w:pPr>
    </w:p>
    <w:p w14:paraId="361D0BE4">
      <w:pPr>
        <w:autoSpaceDE w:val="0"/>
        <w:autoSpaceDN w:val="0"/>
        <w:jc w:val="center"/>
        <w:rPr>
          <w:rFonts w:ascii="宋体" w:hAnsi="宋体" w:cs="宋体"/>
          <w:b/>
          <w:spacing w:val="6"/>
          <w:sz w:val="32"/>
          <w:szCs w:val="32"/>
          <w:highlight w:val="none"/>
        </w:rPr>
      </w:pPr>
    </w:p>
    <w:p w14:paraId="5151D30D">
      <w:pPr>
        <w:autoSpaceDE w:val="0"/>
        <w:autoSpaceDN w:val="0"/>
        <w:jc w:val="center"/>
        <w:rPr>
          <w:rFonts w:ascii="宋体" w:hAnsi="宋体" w:cs="宋体"/>
          <w:b/>
          <w:spacing w:val="6"/>
          <w:sz w:val="32"/>
          <w:szCs w:val="32"/>
          <w:highlight w:val="none"/>
        </w:rPr>
      </w:pPr>
    </w:p>
    <w:p w14:paraId="79E8F3BC">
      <w:pPr>
        <w:autoSpaceDE w:val="0"/>
        <w:autoSpaceDN w:val="0"/>
        <w:jc w:val="center"/>
        <w:rPr>
          <w:rFonts w:ascii="宋体" w:hAnsi="宋体" w:cs="宋体"/>
          <w:b/>
          <w:spacing w:val="6"/>
          <w:sz w:val="32"/>
          <w:szCs w:val="32"/>
          <w:highlight w:val="none"/>
        </w:rPr>
      </w:pPr>
    </w:p>
    <w:p w14:paraId="712AB34E">
      <w:pPr>
        <w:autoSpaceDE w:val="0"/>
        <w:autoSpaceDN w:val="0"/>
        <w:jc w:val="center"/>
        <w:rPr>
          <w:rFonts w:ascii="宋体" w:hAnsi="宋体" w:cs="宋体"/>
          <w:b/>
          <w:spacing w:val="6"/>
          <w:sz w:val="32"/>
          <w:szCs w:val="32"/>
          <w:highlight w:val="none"/>
        </w:rPr>
      </w:pPr>
    </w:p>
    <w:p w14:paraId="15201611">
      <w:pPr>
        <w:autoSpaceDE w:val="0"/>
        <w:autoSpaceDN w:val="0"/>
        <w:jc w:val="center"/>
        <w:rPr>
          <w:rFonts w:ascii="宋体" w:hAnsi="宋体" w:cs="宋体"/>
          <w:b/>
          <w:spacing w:val="6"/>
          <w:sz w:val="32"/>
          <w:szCs w:val="32"/>
          <w:highlight w:val="none"/>
        </w:rPr>
      </w:pPr>
    </w:p>
    <w:p w14:paraId="4D41129C">
      <w:pPr>
        <w:autoSpaceDE w:val="0"/>
        <w:autoSpaceDN w:val="0"/>
        <w:jc w:val="center"/>
        <w:rPr>
          <w:rFonts w:ascii="宋体" w:hAnsi="宋体" w:cs="宋体"/>
          <w:b/>
          <w:spacing w:val="6"/>
          <w:sz w:val="32"/>
          <w:szCs w:val="32"/>
          <w:highlight w:val="none"/>
        </w:rPr>
      </w:pPr>
    </w:p>
    <w:p w14:paraId="1E879510">
      <w:pPr>
        <w:autoSpaceDE w:val="0"/>
        <w:autoSpaceDN w:val="0"/>
        <w:jc w:val="center"/>
        <w:rPr>
          <w:rFonts w:ascii="宋体" w:hAnsi="宋体" w:cs="宋体"/>
          <w:b/>
          <w:spacing w:val="6"/>
          <w:sz w:val="32"/>
          <w:szCs w:val="32"/>
          <w:highlight w:val="none"/>
        </w:rPr>
      </w:pPr>
    </w:p>
    <w:p w14:paraId="3AE7F73F">
      <w:pPr>
        <w:autoSpaceDE w:val="0"/>
        <w:autoSpaceDN w:val="0"/>
        <w:jc w:val="center"/>
        <w:rPr>
          <w:rFonts w:ascii="宋体" w:hAnsi="宋体" w:cs="宋体"/>
          <w:b/>
          <w:spacing w:val="6"/>
          <w:sz w:val="32"/>
          <w:szCs w:val="32"/>
          <w:highlight w:val="none"/>
        </w:rPr>
      </w:pPr>
    </w:p>
    <w:p w14:paraId="6B89D961">
      <w:pPr>
        <w:autoSpaceDE w:val="0"/>
        <w:autoSpaceDN w:val="0"/>
        <w:jc w:val="center"/>
        <w:rPr>
          <w:rFonts w:ascii="宋体" w:hAnsi="宋体" w:cs="宋体"/>
          <w:b/>
          <w:spacing w:val="6"/>
          <w:sz w:val="32"/>
          <w:szCs w:val="32"/>
          <w:highlight w:val="none"/>
        </w:rPr>
      </w:pPr>
    </w:p>
    <w:p w14:paraId="7D9B4197">
      <w:pPr>
        <w:autoSpaceDE w:val="0"/>
        <w:autoSpaceDN w:val="0"/>
        <w:jc w:val="center"/>
        <w:rPr>
          <w:rFonts w:ascii="宋体" w:hAnsi="宋体" w:cs="宋体"/>
          <w:b/>
          <w:spacing w:val="6"/>
          <w:sz w:val="32"/>
          <w:szCs w:val="32"/>
          <w:highlight w:val="none"/>
        </w:rPr>
      </w:pPr>
    </w:p>
    <w:p w14:paraId="352DC582">
      <w:pPr>
        <w:autoSpaceDE w:val="0"/>
        <w:autoSpaceDN w:val="0"/>
        <w:jc w:val="center"/>
        <w:rPr>
          <w:rFonts w:ascii="宋体" w:hAnsi="宋体" w:cs="宋体"/>
          <w:b/>
          <w:spacing w:val="6"/>
          <w:sz w:val="32"/>
          <w:szCs w:val="32"/>
          <w:highlight w:val="none"/>
        </w:rPr>
      </w:pPr>
    </w:p>
    <w:p w14:paraId="7D7B7E3F">
      <w:pPr>
        <w:autoSpaceDE w:val="0"/>
        <w:autoSpaceDN w:val="0"/>
        <w:jc w:val="center"/>
        <w:rPr>
          <w:rFonts w:ascii="宋体" w:hAnsi="宋体" w:cs="宋体"/>
          <w:b/>
          <w:spacing w:val="6"/>
          <w:sz w:val="32"/>
          <w:szCs w:val="32"/>
          <w:highlight w:val="none"/>
        </w:rPr>
      </w:pPr>
    </w:p>
    <w:p w14:paraId="72CFC4B9">
      <w:pPr>
        <w:autoSpaceDE w:val="0"/>
        <w:autoSpaceDN w:val="0"/>
        <w:jc w:val="center"/>
        <w:rPr>
          <w:rFonts w:ascii="宋体" w:hAnsi="宋体" w:cs="宋体"/>
          <w:b/>
          <w:spacing w:val="6"/>
          <w:sz w:val="32"/>
          <w:szCs w:val="32"/>
          <w:highlight w:val="none"/>
        </w:rPr>
      </w:pPr>
    </w:p>
    <w:p w14:paraId="5461A1DC">
      <w:pPr>
        <w:autoSpaceDE w:val="0"/>
        <w:autoSpaceDN w:val="0"/>
        <w:jc w:val="center"/>
        <w:rPr>
          <w:rFonts w:ascii="宋体" w:hAnsi="宋体" w:cs="宋体"/>
          <w:b/>
          <w:spacing w:val="6"/>
          <w:sz w:val="32"/>
          <w:szCs w:val="32"/>
          <w:highlight w:val="none"/>
        </w:rPr>
      </w:pPr>
    </w:p>
    <w:p w14:paraId="756A813A">
      <w:pPr>
        <w:autoSpaceDE w:val="0"/>
        <w:autoSpaceDN w:val="0"/>
        <w:jc w:val="center"/>
        <w:rPr>
          <w:rFonts w:ascii="宋体" w:hAnsi="宋体" w:cs="宋体"/>
          <w:b/>
          <w:spacing w:val="6"/>
          <w:sz w:val="32"/>
          <w:szCs w:val="32"/>
          <w:highlight w:val="none"/>
        </w:rPr>
      </w:pPr>
    </w:p>
    <w:p w14:paraId="40A4798F">
      <w:pPr>
        <w:autoSpaceDE w:val="0"/>
        <w:autoSpaceDN w:val="0"/>
        <w:jc w:val="center"/>
        <w:rPr>
          <w:rFonts w:ascii="宋体" w:hAnsi="宋体" w:cs="宋体"/>
          <w:b/>
          <w:spacing w:val="6"/>
          <w:sz w:val="32"/>
          <w:szCs w:val="32"/>
          <w:highlight w:val="none"/>
        </w:rPr>
      </w:pPr>
    </w:p>
    <w:p w14:paraId="2BB084FA">
      <w:pPr>
        <w:autoSpaceDE w:val="0"/>
        <w:autoSpaceDN w:val="0"/>
        <w:jc w:val="center"/>
        <w:rPr>
          <w:rFonts w:ascii="宋体" w:hAnsi="宋体" w:cs="宋体"/>
          <w:b/>
          <w:spacing w:val="6"/>
          <w:sz w:val="32"/>
          <w:szCs w:val="32"/>
          <w:highlight w:val="none"/>
        </w:rPr>
      </w:pPr>
    </w:p>
    <w:p w14:paraId="0ED432E6">
      <w:pPr>
        <w:autoSpaceDE w:val="0"/>
        <w:autoSpaceDN w:val="0"/>
        <w:jc w:val="center"/>
        <w:rPr>
          <w:rFonts w:ascii="宋体" w:hAnsi="宋体" w:cs="宋体"/>
          <w:b/>
          <w:spacing w:val="6"/>
          <w:sz w:val="32"/>
          <w:szCs w:val="32"/>
          <w:highlight w:val="none"/>
        </w:rPr>
      </w:pPr>
    </w:p>
    <w:p w14:paraId="37B05C21">
      <w:pPr>
        <w:autoSpaceDE w:val="0"/>
        <w:autoSpaceDN w:val="0"/>
        <w:jc w:val="center"/>
        <w:rPr>
          <w:rFonts w:ascii="宋体" w:hAnsi="宋体" w:cs="宋体"/>
          <w:b/>
          <w:spacing w:val="6"/>
          <w:sz w:val="32"/>
          <w:szCs w:val="32"/>
          <w:highlight w:val="none"/>
        </w:rPr>
      </w:pPr>
    </w:p>
    <w:p w14:paraId="73AA1461">
      <w:pPr>
        <w:autoSpaceDE w:val="0"/>
        <w:autoSpaceDN w:val="0"/>
        <w:jc w:val="center"/>
        <w:rPr>
          <w:rFonts w:ascii="宋体" w:hAnsi="宋体" w:cs="宋体"/>
          <w:b/>
          <w:spacing w:val="6"/>
          <w:sz w:val="32"/>
          <w:szCs w:val="32"/>
          <w:highlight w:val="none"/>
        </w:rPr>
      </w:pPr>
    </w:p>
    <w:p w14:paraId="05F94EDB">
      <w:pPr>
        <w:widowControl/>
        <w:adjustRightInd/>
        <w:jc w:val="left"/>
        <w:rPr>
          <w:rFonts w:ascii="宋体" w:hAnsi="宋体" w:cs="宋体"/>
          <w:b/>
          <w:kern w:val="0"/>
          <w:sz w:val="32"/>
          <w:szCs w:val="32"/>
          <w:highlight w:val="none"/>
        </w:rPr>
      </w:pPr>
      <w:r>
        <w:rPr>
          <w:rFonts w:ascii="宋体" w:hAnsi="宋体" w:cs="宋体"/>
          <w:b/>
          <w:kern w:val="0"/>
          <w:sz w:val="32"/>
          <w:szCs w:val="32"/>
          <w:highlight w:val="none"/>
        </w:rPr>
        <w:br w:type="page"/>
      </w:r>
    </w:p>
    <w:p w14:paraId="394AB091">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附件7：中小企业声明函</w:t>
      </w:r>
    </w:p>
    <w:p w14:paraId="3F6893CE">
      <w:pPr>
        <w:spacing w:line="360" w:lineRule="auto"/>
        <w:jc w:val="center"/>
        <w:rPr>
          <w:rFonts w:ascii="宋体" w:hAnsi="宋体" w:cs="宋体"/>
          <w:sz w:val="24"/>
          <w:highlight w:val="none"/>
          <w:u w:val="single"/>
        </w:rPr>
      </w:pPr>
    </w:p>
    <w:p w14:paraId="546DD2B8">
      <w:pPr>
        <w:spacing w:line="360" w:lineRule="auto"/>
        <w:jc w:val="center"/>
        <w:rPr>
          <w:rFonts w:ascii="宋体" w:hAnsi="宋体" w:cs="宋体"/>
          <w:b/>
          <w:sz w:val="32"/>
          <w:szCs w:val="32"/>
          <w:highlight w:val="none"/>
        </w:rPr>
      </w:pPr>
      <w:r>
        <w:rPr>
          <w:rFonts w:hint="eastAsia" w:ascii="宋体" w:hAnsi="宋体" w:cs="宋体"/>
          <w:b/>
          <w:sz w:val="32"/>
          <w:szCs w:val="32"/>
          <w:highlight w:val="none"/>
        </w:rPr>
        <w:t>中小企业声明函（货物）</w:t>
      </w:r>
    </w:p>
    <w:p w14:paraId="6062C27D">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本公司（联合体）郑重声明，根据《政府采购促进中小企业发展管理办法》（财库﹝2020﹞46 号）的规定，本公司（联合体）参加 </w:t>
      </w:r>
      <w:r>
        <w:rPr>
          <w:rFonts w:hint="eastAsia" w:ascii="宋体" w:hAnsi="宋体" w:cs="宋体"/>
          <w:sz w:val="24"/>
          <w:highlight w:val="none"/>
          <w:u w:val="single"/>
        </w:rPr>
        <w:t xml:space="preserve">浙江同济科技职业学院 </w:t>
      </w:r>
      <w:r>
        <w:rPr>
          <w:rFonts w:hint="eastAsia" w:ascii="宋体" w:hAnsi="宋体" w:cs="宋体"/>
          <w:sz w:val="24"/>
          <w:highlight w:val="none"/>
        </w:rPr>
        <w:t xml:space="preserve">的 </w:t>
      </w:r>
      <w:r>
        <w:rPr>
          <w:rFonts w:hint="eastAsia" w:ascii="宋体" w:hAnsi="宋体" w:cs="宋体"/>
          <w:sz w:val="24"/>
          <w:highlight w:val="none"/>
          <w:u w:val="single"/>
        </w:rPr>
        <w:t>浙江同济科技职业学院图书馆家具</w:t>
      </w:r>
      <w:r>
        <w:rPr>
          <w:rFonts w:hint="eastAsia" w:ascii="宋体" w:hAnsi="宋体" w:cs="宋体"/>
          <w:sz w:val="24"/>
          <w:highlight w:val="none"/>
        </w:rPr>
        <w:t xml:space="preserve"> 采购活动，提供的货物全部由符合政策要求的中小企业制造。相关企业（含联合体中的中小企业、签订分包意向协议的中小企业）的具体情况如下：</w:t>
      </w:r>
    </w:p>
    <w:p w14:paraId="3449A7D6">
      <w:pPr>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 xml:space="preserve"> ，属于 </w:t>
      </w:r>
      <w:r>
        <w:rPr>
          <w:rFonts w:hint="eastAsia" w:ascii="宋体" w:hAnsi="宋体" w:cs="宋体"/>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14:paraId="1C3993D2">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highlight w:val="none"/>
        </w:rPr>
        <w:t xml:space="preserve"> </w:t>
      </w:r>
      <w:r>
        <w:rPr>
          <w:rFonts w:hint="eastAsia" w:ascii="宋体" w:hAnsi="宋体" w:cs="宋体"/>
          <w:sz w:val="24"/>
          <w:highlight w:val="none"/>
          <w:u w:val="single"/>
        </w:rPr>
        <w:t>（标的名称）</w:t>
      </w:r>
      <w:r>
        <w:rPr>
          <w:rFonts w:hint="eastAsia" w:ascii="宋体" w:hAnsi="宋体" w:cs="宋体"/>
          <w:sz w:val="24"/>
          <w:highlight w:val="none"/>
        </w:rPr>
        <w:t xml:space="preserve"> ，属于 </w:t>
      </w:r>
      <w:r>
        <w:rPr>
          <w:rFonts w:hint="eastAsia" w:ascii="宋体" w:hAnsi="宋体" w:cs="宋体"/>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14:paraId="5593A2A5">
      <w:pPr>
        <w:spacing w:line="360" w:lineRule="auto"/>
        <w:ind w:firstLine="480" w:firstLineChars="200"/>
        <w:rPr>
          <w:rFonts w:ascii="宋体" w:hAnsi="宋体" w:cs="宋体"/>
          <w:sz w:val="24"/>
          <w:highlight w:val="none"/>
        </w:rPr>
      </w:pPr>
      <w:r>
        <w:rPr>
          <w:rFonts w:hint="eastAsia" w:ascii="宋体" w:hAnsi="宋体" w:cs="宋体"/>
          <w:sz w:val="24"/>
          <w:highlight w:val="none"/>
        </w:rPr>
        <w:t>……</w:t>
      </w:r>
    </w:p>
    <w:p w14:paraId="32D0E21B">
      <w:pPr>
        <w:spacing w:line="360" w:lineRule="auto"/>
        <w:ind w:firstLine="480" w:firstLineChars="200"/>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14:paraId="414AA012">
      <w:pPr>
        <w:spacing w:line="360" w:lineRule="auto"/>
        <w:ind w:firstLine="480" w:firstLineChars="200"/>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14:paraId="7D1D4561">
      <w:pPr>
        <w:snapToGrid w:val="0"/>
        <w:spacing w:line="360" w:lineRule="auto"/>
        <w:ind w:firstLine="5160" w:firstLineChars="2150"/>
        <w:rPr>
          <w:rFonts w:ascii="宋体" w:hAnsi="宋体" w:cs="宋体"/>
          <w:kern w:val="0"/>
          <w:sz w:val="24"/>
          <w:highlight w:val="none"/>
        </w:rPr>
      </w:pPr>
      <w:r>
        <w:rPr>
          <w:rFonts w:hint="eastAsia" w:ascii="宋体" w:hAnsi="宋体" w:cs="宋体"/>
          <w:kern w:val="0"/>
          <w:sz w:val="24"/>
          <w:highlight w:val="none"/>
          <w:lang w:val="zh-CN"/>
        </w:rPr>
        <w:t>投标人名称(电子签名)：</w:t>
      </w:r>
    </w:p>
    <w:p w14:paraId="03E3A313">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14:paraId="03E121A3">
      <w:pPr>
        <w:spacing w:line="360" w:lineRule="auto"/>
        <w:jc w:val="left"/>
        <w:rPr>
          <w:rFonts w:ascii="宋体" w:hAnsi="宋体" w:cs="宋体"/>
          <w:sz w:val="18"/>
          <w:szCs w:val="18"/>
          <w:highlight w:val="none"/>
        </w:rPr>
      </w:pPr>
      <w:r>
        <w:rPr>
          <w:rFonts w:hint="eastAsia" w:ascii="宋体" w:hAnsi="宋体" w:cs="宋体"/>
          <w:sz w:val="18"/>
          <w:szCs w:val="18"/>
          <w:highlight w:val="none"/>
        </w:rPr>
        <w:t>从业人员、营业收入、资产总额填报上一年度数据，无上一年度数据的新成立企业可不填报。</w:t>
      </w:r>
    </w:p>
    <w:p w14:paraId="37D9D79F">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注：</w:t>
      </w:r>
    </w:p>
    <w:p w14:paraId="1940B23D">
      <w:pPr>
        <w:spacing w:line="360" w:lineRule="auto"/>
        <w:ind w:right="420" w:firstLine="480" w:firstLineChars="200"/>
        <w:rPr>
          <w:rFonts w:ascii="宋体" w:hAnsi="宋体" w:cs="宋体"/>
          <w:b/>
          <w:bCs/>
          <w:sz w:val="24"/>
          <w:highlight w:val="none"/>
        </w:rPr>
      </w:pPr>
      <w:r>
        <w:rPr>
          <w:rFonts w:hint="eastAsia" w:ascii="宋体" w:hAnsi="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w:t>
      </w:r>
      <w:r>
        <w:rPr>
          <w:rFonts w:hint="eastAsia" w:ascii="宋体" w:hAnsi="宋体" w:cs="宋体"/>
          <w:b/>
          <w:bCs/>
          <w:sz w:val="24"/>
          <w:highlight w:val="none"/>
        </w:rPr>
        <w:t>④投标人提供的《中小企业声明函》中企业类型错误的，《中小企业声明函》无效，不享受中小企业扶持政策。⑤《中小企业声明函》中填写的制造商不可使用他人授权品牌或者授权他人实际生产，否则中小企业声明函无效。</w:t>
      </w:r>
    </w:p>
    <w:p w14:paraId="32D59D85">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56F0A12">
      <w:pPr>
        <w:spacing w:line="360" w:lineRule="auto"/>
        <w:ind w:right="420" w:firstLine="482" w:firstLineChars="200"/>
        <w:rPr>
          <w:rFonts w:ascii="宋体" w:hAnsi="宋体" w:cs="宋体"/>
          <w:b/>
          <w:bCs/>
          <w:sz w:val="24"/>
          <w:highlight w:val="none"/>
        </w:rPr>
      </w:pPr>
      <w:r>
        <w:rPr>
          <w:rFonts w:hint="eastAsia" w:ascii="宋体" w:hAnsi="宋体" w:cs="宋体"/>
          <w:b/>
          <w:bCs/>
          <w:sz w:val="24"/>
          <w:highlight w:val="none"/>
        </w:rPr>
        <w:t>3、供应商填写的《中小企业声明函》中如存在数据错误，但企业类型正确的，其《中小企业声明函》有效。如存在疑义可由供应商澄清说明，供应商对填报的数据来源作出合理解释。</w:t>
      </w:r>
    </w:p>
    <w:p w14:paraId="0B37218A">
      <w:pPr>
        <w:spacing w:line="360" w:lineRule="auto"/>
        <w:ind w:right="420" w:firstLine="482" w:firstLineChars="200"/>
        <w:rPr>
          <w:rFonts w:ascii="宋体" w:hAnsi="宋体" w:cs="宋体"/>
          <w:b/>
          <w:bCs/>
          <w:sz w:val="24"/>
          <w:highlight w:val="none"/>
        </w:rPr>
      </w:pPr>
      <w:r>
        <w:rPr>
          <w:rFonts w:hint="eastAsia" w:ascii="宋体" w:hAnsi="宋体" w:cs="宋体"/>
          <w:b/>
          <w:bCs/>
          <w:sz w:val="24"/>
          <w:highlight w:val="none"/>
        </w:rPr>
        <w:t>4、《中小企业声明函》中填写行业错误或者未填写行业的，《中小企业声明函》无效。但错填为“采购文件中明确的所属行业”等类似瑕疵的，《中小企业声明函》有效。</w:t>
      </w:r>
    </w:p>
    <w:p w14:paraId="4DD272A9">
      <w:pPr>
        <w:spacing w:line="360" w:lineRule="auto"/>
        <w:ind w:right="420" w:firstLine="482" w:firstLineChars="200"/>
        <w:rPr>
          <w:rFonts w:ascii="宋体" w:hAnsi="宋体" w:cs="宋体"/>
          <w:b/>
          <w:bCs/>
          <w:sz w:val="24"/>
          <w:highlight w:val="none"/>
        </w:rPr>
      </w:pPr>
      <w:r>
        <w:rPr>
          <w:rFonts w:hint="eastAsia" w:ascii="宋体" w:hAnsi="宋体" w:cs="宋体"/>
          <w:b/>
          <w:bCs/>
          <w:sz w:val="24"/>
          <w:highlight w:val="none"/>
        </w:rPr>
        <w:t>5、如果供应商声明的类型获得了本不应获得的利益（价格扣除或者资格审查通过），则属于虚假材料；反之，没有获得非法利益，则不属于虚假材料。</w:t>
      </w:r>
    </w:p>
    <w:p w14:paraId="37D9BFB9">
      <w:pPr>
        <w:rPr>
          <w:rFonts w:ascii="宋体" w:hAnsi="宋体" w:cs="宋体"/>
          <w:b/>
          <w:sz w:val="32"/>
          <w:szCs w:val="32"/>
          <w:highlight w:val="none"/>
        </w:rPr>
      </w:pPr>
      <w:r>
        <w:rPr>
          <w:rFonts w:ascii="宋体" w:hAnsi="宋体" w:cs="宋体"/>
          <w:b/>
          <w:sz w:val="32"/>
          <w:szCs w:val="32"/>
          <w:highlight w:val="none"/>
        </w:rPr>
        <w:br w:type="page"/>
      </w:r>
    </w:p>
    <w:p w14:paraId="43D6DA31">
      <w:pPr>
        <w:snapToGrid w:val="0"/>
        <w:spacing w:line="440" w:lineRule="exact"/>
        <w:jc w:val="center"/>
        <w:rPr>
          <w:b/>
          <w:bCs/>
          <w:sz w:val="28"/>
          <w:szCs w:val="28"/>
          <w:highlight w:val="none"/>
        </w:rPr>
      </w:pPr>
      <w:r>
        <w:rPr>
          <w:rFonts w:hint="eastAsia"/>
          <w:b/>
          <w:bCs/>
          <w:sz w:val="28"/>
          <w:szCs w:val="28"/>
          <w:highlight w:val="none"/>
        </w:rPr>
        <w:t>各行业划型标准</w:t>
      </w:r>
    </w:p>
    <w:p w14:paraId="76044B9F">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（一）农、林、牧、渔业。营业收入20000万元以下的为中小微型企业。其中，营业收入500万元及以上的为中型企业，营业收入50万元及以上的为小型企业，营业收入50万元以下的为微型企业。</w:t>
      </w:r>
    </w:p>
    <w:p w14:paraId="112471E5">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17EAB62">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B10A4FE">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C50123B">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5F3383">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704BAA3">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643D4F3">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3A9D63A">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34C18FA">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33218D7">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6115EE0">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BBA0C5C">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E8E737D">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B0AD602">
      <w:pPr>
        <w:snapToGrid w:val="0"/>
        <w:spacing w:line="430" w:lineRule="exact"/>
        <w:ind w:firstLine="480" w:firstLineChars="200"/>
        <w:rPr>
          <w:rFonts w:ascii="宋体" w:hAnsi="宋体" w:cs="宋体"/>
          <w:sz w:val="24"/>
          <w:highlight w:val="none"/>
        </w:rPr>
      </w:pPr>
      <w:r>
        <w:rPr>
          <w:rFonts w:hint="eastAsia" w:ascii="宋体" w:hAnsi="宋体" w:cs="宋体"/>
          <w:sz w:val="24"/>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A78FD12">
      <w:pPr>
        <w:snapToGrid w:val="0"/>
        <w:spacing w:line="430" w:lineRule="exact"/>
        <w:ind w:firstLine="480" w:firstLineChars="200"/>
        <w:rPr>
          <w:rFonts w:ascii="宋体" w:hAnsi="宋体" w:cs="宋体"/>
          <w:bCs/>
          <w:sz w:val="24"/>
          <w:highlight w:val="none"/>
        </w:rPr>
      </w:pPr>
      <w:r>
        <w:rPr>
          <w:rFonts w:hint="eastAsia" w:ascii="宋体" w:hAnsi="宋体" w:cs="宋体"/>
          <w:sz w:val="24"/>
          <w:highlight w:val="none"/>
        </w:rPr>
        <w:t>（十六）其他未列明行业。从业人员300人以下的为中小微型企业。其中，从业人员100人及以上的为中型企业；从业人员10人及以上的为小型企业；从业人员10人以下的为微型企业。</w:t>
      </w:r>
    </w:p>
    <w:p w14:paraId="206AA241">
      <w:pPr>
        <w:rPr>
          <w:highlight w:val="none"/>
        </w:rPr>
      </w:pPr>
    </w:p>
    <w:p w14:paraId="0DC88E88">
      <w:pPr>
        <w:rPr>
          <w:highlight w:val="none"/>
        </w:rPr>
      </w:pPr>
    </w:p>
    <w:sectPr>
      <w:headerReference r:id="rId22" w:type="first"/>
      <w:footerReference r:id="rId25" w:type="first"/>
      <w:headerReference r:id="rId21" w:type="default"/>
      <w:footerReference r:id="rId23" w:type="default"/>
      <w:footerReference r:id="rId24" w:type="even"/>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2000019F" w:csb1="4F010000"/>
  </w:font>
  <w:font w:name="Cumberland">
    <w:altName w:val="Noto Serif SC"/>
    <w:panose1 w:val="00000000000000000000"/>
    <w:charset w:val="00"/>
    <w:family w:val="moder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Segoe Print"/>
    <w:panose1 w:val="00000000000000000000"/>
    <w:charset w:val="00"/>
    <w:family w:val="modern"/>
    <w:pitch w:val="default"/>
    <w:sig w:usb0="00000000" w:usb1="00000000" w:usb2="00000001" w:usb3="00000000" w:csb0="400001BF" w:csb1="DFF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87F1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964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0B4C06E7">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265B3">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3A6EE">
    <w:pPr>
      <w:pStyle w:val="39"/>
      <w:framePr w:wrap="around" w:vAnchor="text" w:hAnchor="margin" w:xAlign="right" w:y="1"/>
      <w:rPr>
        <w:rStyle w:val="74"/>
      </w:rPr>
    </w:pPr>
    <w:r>
      <w:fldChar w:fldCharType="begin"/>
    </w:r>
    <w:r>
      <w:rPr>
        <w:rStyle w:val="74"/>
      </w:rPr>
      <w:instrText xml:space="preserve">PAGE  </w:instrText>
    </w:r>
    <w:r>
      <w:fldChar w:fldCharType="end"/>
    </w:r>
  </w:p>
  <w:p w14:paraId="2FE7D8C7">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FEE2">
    <w:pPr>
      <w:pStyle w:val="39"/>
      <w:jc w:val="center"/>
      <w:rPr>
        <w:rFonts w:ascii="仿宋_GB2312" w:eastAsia="仿宋_GB2312"/>
      </w:rPr>
    </w:pPr>
    <w:bookmarkStart w:id="428" w:name="_Toc131845147"/>
    <w:bookmarkEnd w:id="428"/>
    <w:bookmarkStart w:id="429" w:name="_Toc36110187"/>
    <w:bookmarkEnd w:id="429"/>
    <w:bookmarkStart w:id="430" w:name="_Toc91899912"/>
    <w:bookmarkEnd w:id="430"/>
    <w:bookmarkStart w:id="431" w:name="_Toc164085800"/>
    <w:bookmarkEnd w:id="431"/>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9766F">
    <w:pPr>
      <w:pStyle w:val="39"/>
      <w:framePr w:wrap="around" w:vAnchor="text" w:hAnchor="margin" w:xAlign="right" w:y="1"/>
      <w:rPr>
        <w:rStyle w:val="74"/>
      </w:rPr>
    </w:pPr>
    <w:r>
      <w:fldChar w:fldCharType="begin"/>
    </w:r>
    <w:r>
      <w:rPr>
        <w:rStyle w:val="74"/>
      </w:rPr>
      <w:instrText xml:space="preserve">PAGE  </w:instrText>
    </w:r>
    <w:r>
      <w:fldChar w:fldCharType="end"/>
    </w:r>
  </w:p>
  <w:p w14:paraId="034472CB">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CE7E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E5D5">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2333E4FE">
                          <w:pPr>
                            <w:pStyle w:val="39"/>
                          </w:pPr>
                          <w:r>
                            <w:fldChar w:fldCharType="begin"/>
                          </w:r>
                          <w:r>
                            <w:instrText xml:space="preserve"> PAGE  \* MERGEFORMAT </w:instrText>
                          </w:r>
                          <w:r>
                            <w:fldChar w:fldCharType="separate"/>
                          </w:r>
                          <w:r>
                            <w:t>54</w:t>
                          </w:r>
                          <w:r>
                            <w:fldChar w:fldCharType="end"/>
                          </w:r>
                        </w:p>
                      </w:txbxContent>
                    </wps:txbx>
                    <wps:bodyPr rot="0" vert="horz" wrap="none" lIns="0" tIns="0" rIns="0" bIns="0" anchor="t" anchorCtr="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yJ92v0wAAAAUBAAAPAAAA&#10;AAAAAAEAIAAAACIAAABkcnMvZG93bnJldi54bWxQSwECFAAUAAAACACHTuJAzHKtkuEBAADEAwAA&#10;DgAAAAAAAAABACAAAAAiAQAAZHJzL2Uyb0RvYy54bWxQSwUGAAAAAAYABgBZAQAAdQUAAAAA&#10;">
              <v:fill on="f" focussize="0,0"/>
              <v:stroke on="f" weight="1pt"/>
              <v:imagedata o:title=""/>
              <o:lock v:ext="edit" aspectratio="f"/>
              <v:textbox inset="0mm,0mm,0mm,0mm" style="mso-fit-shape-to-text:t;">
                <w:txbxContent>
                  <w:p w14:paraId="2333E4FE">
                    <w:pPr>
                      <w:pStyle w:val="39"/>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85B9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69EB594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0E0E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00D5735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5C24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75240B2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88DA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30F3177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D88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4C596A3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40A3E">
    <w:pPr>
      <w:pStyle w:val="41"/>
      <w:pBdr>
        <w:bottom w:val="single" w:color="auto" w:sz="6" w:space="4"/>
      </w:pBdr>
      <w:jc w:val="right"/>
    </w:pPr>
    <w:r>
      <w:t></w:t>
    </w:r>
    <w:r>
      <w:rPr>
        <w:rFonts w:hint="eastAsia"/>
      </w:rPr>
      <w:t xml:space="preserve">             政府采购公开招标文件</w:t>
    </w:r>
  </w:p>
  <w:p w14:paraId="2FBD81BE">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FAD20">
    <w:pPr>
      <w:pStyle w:val="41"/>
    </w:pPr>
    <w:r>
      <w:t></w:t>
    </w:r>
    <w:r>
      <w:rPr>
        <w:rFonts w:hint="eastAsia"/>
      </w:rPr>
      <w:t xml:space="preserve">                                             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688AA">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rFonts w:hint="eastAsia"/>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693B2">
    <w:pPr>
      <w:pStyle w:val="41"/>
      <w:jc w:val="right"/>
      <w:rPr>
        <w:rFonts w:ascii="仿宋_GB2312"/>
        <w:b/>
        <w:i/>
        <w:u w:val="single"/>
      </w:rPr>
    </w:pPr>
    <w:r>
      <w:t></w:t>
    </w:r>
    <w:r>
      <w:rPr>
        <w:rFonts w:hint="eastAsia"/>
      </w:rPr>
      <w:t xml:space="preserve">                                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AC463">
    <w:pPr>
      <w:pStyle w:val="41"/>
    </w:pPr>
    <w:r>
      <w:t></w:t>
    </w:r>
    <w:r>
      <w:rPr>
        <w:rFonts w:hint="eastAsia"/>
      </w:rPr>
      <w:t xml:space="preserve">         </w:t>
    </w:r>
  </w:p>
  <w:p w14:paraId="066A3E8F">
    <w:pPr>
      <w:pStyle w:val="41"/>
    </w:pPr>
    <w:r>
      <w:rPr>
        <w:rFonts w:hint="eastAsia"/>
      </w:rPr>
      <w:t xml:space="preserve">                                                                  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0B9E1">
    <w:pPr>
      <w:pStyle w:val="41"/>
      <w:rPr>
        <w:rFonts w:ascii="仿宋_GB2312"/>
        <w:b/>
        <w:i/>
        <w:u w:val="single"/>
      </w:rPr>
    </w:pPr>
    <w:r>
      <w:t></w:t>
    </w:r>
    <w:r>
      <w:rPr>
        <w:rFonts w:hint="eastAsia"/>
      </w:rPr>
      <w:t xml:space="preserve">                                                </w:t>
    </w:r>
    <w:r>
      <w:t xml:space="preserve"> </w:t>
    </w:r>
    <w:r>
      <w:rPr>
        <w:rFonts w:hint="eastAsia"/>
      </w:rPr>
      <w:t>政府采购公开招标文件</w:t>
    </w:r>
  </w:p>
  <w:p w14:paraId="0ECE051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4F8C6">
    <w:pPr>
      <w:pStyle w:val="41"/>
      <w:jc w:val="right"/>
    </w:pPr>
    <w:r>
      <w:t></w:t>
    </w:r>
    <w:r>
      <w:rPr>
        <w:rFonts w:hint="eastAsia"/>
      </w:rPr>
      <w:t xml:space="preserve">                                                                    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23938">
    <w:pPr>
      <w:pStyle w:val="41"/>
      <w:jc w:val="right"/>
      <w:rPr>
        <w:rFonts w:ascii="仿宋_GB2312"/>
        <w:b/>
        <w:i/>
        <w:u w:val="single"/>
      </w:rPr>
    </w:pPr>
    <w:r>
      <w:rPr>
        <w:rFonts w:hint="eastAsia"/>
      </w:rPr>
      <w:t xml:space="preserve">                                  政府采购公开招标文件</w:t>
    </w:r>
  </w:p>
  <w:p w14:paraId="073D319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F200F">
    <w:pPr>
      <w:pStyle w:val="41"/>
      <w:jc w:val="right"/>
    </w:pPr>
    <w:r>
      <w:rPr>
        <w:rFonts w:hint="eastAsia"/>
      </w:rPr>
      <w:t xml:space="preserve">                                                                                                        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D7274">
    <w:pPr>
      <w:pStyle w:val="41"/>
      <w:jc w:val="right"/>
      <w:rPr>
        <w:rFonts w:ascii="仿宋_GB2312"/>
        <w:b/>
        <w:i/>
        <w:iCs/>
        <w:u w:val="single"/>
      </w:rPr>
    </w:pPr>
    <w:r>
      <w:t></w:t>
    </w:r>
    <w:r>
      <w:rPr>
        <w:rFonts w:hint="eastAsia"/>
      </w:rP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A345CE"/>
    <w:multiLevelType w:val="singleLevel"/>
    <w:tmpl w:val="29A345CE"/>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kNjM2NmU4MmEzYzg1MDY4MjMzNTY1YjQwMzhkMTY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49A"/>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77366"/>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27A"/>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C8D"/>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A5"/>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50"/>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7B0"/>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3864"/>
    <w:rsid w:val="004345F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CCF"/>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372"/>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E7FF1"/>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6B4"/>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BA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50F2"/>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957"/>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3DA"/>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2A57"/>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37F"/>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3DDA"/>
    <w:rsid w:val="0082427D"/>
    <w:rsid w:val="00825441"/>
    <w:rsid w:val="00826855"/>
    <w:rsid w:val="00830052"/>
    <w:rsid w:val="008300D0"/>
    <w:rsid w:val="008308D8"/>
    <w:rsid w:val="0083104D"/>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44A1"/>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3E0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B04"/>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374"/>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4F0"/>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E7BFD"/>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05F"/>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135"/>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B48"/>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4172"/>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8A0"/>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231"/>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4971"/>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9B4"/>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2EEF"/>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01"/>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6C0"/>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29A0"/>
    <w:rsid w:val="010651D9"/>
    <w:rsid w:val="011F6449"/>
    <w:rsid w:val="01236AFB"/>
    <w:rsid w:val="01546A35"/>
    <w:rsid w:val="0159497E"/>
    <w:rsid w:val="01921052"/>
    <w:rsid w:val="019F7441"/>
    <w:rsid w:val="01AE15BA"/>
    <w:rsid w:val="01B37585"/>
    <w:rsid w:val="01C725F7"/>
    <w:rsid w:val="01D55165"/>
    <w:rsid w:val="01D95F0B"/>
    <w:rsid w:val="01DF6BF8"/>
    <w:rsid w:val="01EC2C57"/>
    <w:rsid w:val="02274EC8"/>
    <w:rsid w:val="024F1E07"/>
    <w:rsid w:val="025F0711"/>
    <w:rsid w:val="026B2E25"/>
    <w:rsid w:val="026D582B"/>
    <w:rsid w:val="02824D4D"/>
    <w:rsid w:val="0283691B"/>
    <w:rsid w:val="02C0735F"/>
    <w:rsid w:val="02DC4B10"/>
    <w:rsid w:val="02DD76CE"/>
    <w:rsid w:val="02F36323"/>
    <w:rsid w:val="02F5619C"/>
    <w:rsid w:val="0326446A"/>
    <w:rsid w:val="032D5555"/>
    <w:rsid w:val="036634D2"/>
    <w:rsid w:val="03DD35E4"/>
    <w:rsid w:val="03E017D2"/>
    <w:rsid w:val="04076900"/>
    <w:rsid w:val="04170614"/>
    <w:rsid w:val="041A5A3B"/>
    <w:rsid w:val="042311BA"/>
    <w:rsid w:val="042B157A"/>
    <w:rsid w:val="048F763B"/>
    <w:rsid w:val="049F330E"/>
    <w:rsid w:val="04AA775C"/>
    <w:rsid w:val="04AF1889"/>
    <w:rsid w:val="04F66F48"/>
    <w:rsid w:val="052505E3"/>
    <w:rsid w:val="05251E14"/>
    <w:rsid w:val="05A16594"/>
    <w:rsid w:val="05A7762D"/>
    <w:rsid w:val="060E5941"/>
    <w:rsid w:val="06110FAF"/>
    <w:rsid w:val="06493CA7"/>
    <w:rsid w:val="065A6178"/>
    <w:rsid w:val="066F1CF3"/>
    <w:rsid w:val="06930BB8"/>
    <w:rsid w:val="07245D42"/>
    <w:rsid w:val="07264C62"/>
    <w:rsid w:val="073362A4"/>
    <w:rsid w:val="0768045D"/>
    <w:rsid w:val="0779354C"/>
    <w:rsid w:val="08061376"/>
    <w:rsid w:val="081A528C"/>
    <w:rsid w:val="08452D77"/>
    <w:rsid w:val="086401F8"/>
    <w:rsid w:val="08751CAA"/>
    <w:rsid w:val="087E4C40"/>
    <w:rsid w:val="08A871D0"/>
    <w:rsid w:val="08D4742C"/>
    <w:rsid w:val="08D66AD6"/>
    <w:rsid w:val="08DA33A3"/>
    <w:rsid w:val="08E80F13"/>
    <w:rsid w:val="0912665B"/>
    <w:rsid w:val="09335624"/>
    <w:rsid w:val="0944690F"/>
    <w:rsid w:val="09535675"/>
    <w:rsid w:val="09581E0B"/>
    <w:rsid w:val="095F057D"/>
    <w:rsid w:val="09642282"/>
    <w:rsid w:val="09664528"/>
    <w:rsid w:val="09733572"/>
    <w:rsid w:val="09772C16"/>
    <w:rsid w:val="098353B5"/>
    <w:rsid w:val="09A92330"/>
    <w:rsid w:val="09B06B87"/>
    <w:rsid w:val="09C13146"/>
    <w:rsid w:val="09E04166"/>
    <w:rsid w:val="0A146C33"/>
    <w:rsid w:val="0A1C0718"/>
    <w:rsid w:val="0A3E7710"/>
    <w:rsid w:val="0A5B7E05"/>
    <w:rsid w:val="0A5B7E63"/>
    <w:rsid w:val="0AA374A5"/>
    <w:rsid w:val="0AAB7649"/>
    <w:rsid w:val="0AB90547"/>
    <w:rsid w:val="0ABA4952"/>
    <w:rsid w:val="0ABC5606"/>
    <w:rsid w:val="0B14342A"/>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D85875"/>
    <w:rsid w:val="0CDA4DFB"/>
    <w:rsid w:val="0CE618DF"/>
    <w:rsid w:val="0CFB767D"/>
    <w:rsid w:val="0CFE707A"/>
    <w:rsid w:val="0D063BDA"/>
    <w:rsid w:val="0D08375F"/>
    <w:rsid w:val="0D151C27"/>
    <w:rsid w:val="0D184CFB"/>
    <w:rsid w:val="0D441A9A"/>
    <w:rsid w:val="0D4A7419"/>
    <w:rsid w:val="0D827401"/>
    <w:rsid w:val="0D84094E"/>
    <w:rsid w:val="0D8A00E9"/>
    <w:rsid w:val="0D8D589E"/>
    <w:rsid w:val="0DA01C73"/>
    <w:rsid w:val="0DD63300"/>
    <w:rsid w:val="0DF50604"/>
    <w:rsid w:val="0DF702FE"/>
    <w:rsid w:val="0E060E51"/>
    <w:rsid w:val="0E5604B2"/>
    <w:rsid w:val="0E6D5D79"/>
    <w:rsid w:val="0E794CFD"/>
    <w:rsid w:val="0E9D0089"/>
    <w:rsid w:val="0EB803EE"/>
    <w:rsid w:val="0EF94D4B"/>
    <w:rsid w:val="0F4958DC"/>
    <w:rsid w:val="0F515DF7"/>
    <w:rsid w:val="0F596BA8"/>
    <w:rsid w:val="0F6248D2"/>
    <w:rsid w:val="0F693536"/>
    <w:rsid w:val="0F7B0511"/>
    <w:rsid w:val="0F7B76D9"/>
    <w:rsid w:val="0F816ACD"/>
    <w:rsid w:val="0F9832DB"/>
    <w:rsid w:val="0FBF3FD2"/>
    <w:rsid w:val="0FBF7FF3"/>
    <w:rsid w:val="0FF7237E"/>
    <w:rsid w:val="10091E0C"/>
    <w:rsid w:val="10646583"/>
    <w:rsid w:val="107D4B15"/>
    <w:rsid w:val="108A3C80"/>
    <w:rsid w:val="10C26171"/>
    <w:rsid w:val="10F33360"/>
    <w:rsid w:val="10FC16EA"/>
    <w:rsid w:val="1102722C"/>
    <w:rsid w:val="110F1D40"/>
    <w:rsid w:val="11266F33"/>
    <w:rsid w:val="118963A1"/>
    <w:rsid w:val="11C6522A"/>
    <w:rsid w:val="11CC7B05"/>
    <w:rsid w:val="11E104CC"/>
    <w:rsid w:val="11E20309"/>
    <w:rsid w:val="12103BCB"/>
    <w:rsid w:val="12255233"/>
    <w:rsid w:val="12530213"/>
    <w:rsid w:val="127723A9"/>
    <w:rsid w:val="12862074"/>
    <w:rsid w:val="12883966"/>
    <w:rsid w:val="129E45B4"/>
    <w:rsid w:val="12D81596"/>
    <w:rsid w:val="13072A44"/>
    <w:rsid w:val="135F4BE2"/>
    <w:rsid w:val="13693F0F"/>
    <w:rsid w:val="139B1A0A"/>
    <w:rsid w:val="139D25C7"/>
    <w:rsid w:val="13BF3CE4"/>
    <w:rsid w:val="13D034DB"/>
    <w:rsid w:val="13F4299B"/>
    <w:rsid w:val="141008D8"/>
    <w:rsid w:val="14125FE6"/>
    <w:rsid w:val="146D271E"/>
    <w:rsid w:val="1493264E"/>
    <w:rsid w:val="14982588"/>
    <w:rsid w:val="149A5AD9"/>
    <w:rsid w:val="149B4199"/>
    <w:rsid w:val="14A7619D"/>
    <w:rsid w:val="14BE16BC"/>
    <w:rsid w:val="14ED3166"/>
    <w:rsid w:val="150536C3"/>
    <w:rsid w:val="150C1963"/>
    <w:rsid w:val="151447A0"/>
    <w:rsid w:val="154A6454"/>
    <w:rsid w:val="15586F9D"/>
    <w:rsid w:val="15762120"/>
    <w:rsid w:val="16266269"/>
    <w:rsid w:val="16A3500D"/>
    <w:rsid w:val="16A8729C"/>
    <w:rsid w:val="16B33777"/>
    <w:rsid w:val="16B34B25"/>
    <w:rsid w:val="16BC70A7"/>
    <w:rsid w:val="16C6339E"/>
    <w:rsid w:val="172F2D79"/>
    <w:rsid w:val="173C7E64"/>
    <w:rsid w:val="17557BEF"/>
    <w:rsid w:val="17D349C1"/>
    <w:rsid w:val="17E56525"/>
    <w:rsid w:val="18244F26"/>
    <w:rsid w:val="1830729E"/>
    <w:rsid w:val="1870062C"/>
    <w:rsid w:val="18817102"/>
    <w:rsid w:val="18830A15"/>
    <w:rsid w:val="18852B28"/>
    <w:rsid w:val="18884B0D"/>
    <w:rsid w:val="188B5321"/>
    <w:rsid w:val="196F7429"/>
    <w:rsid w:val="19932372"/>
    <w:rsid w:val="19A20DD5"/>
    <w:rsid w:val="19AE03F1"/>
    <w:rsid w:val="19CE05F3"/>
    <w:rsid w:val="1A071A03"/>
    <w:rsid w:val="1A1F16AE"/>
    <w:rsid w:val="1A3234D4"/>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7A3297"/>
    <w:rsid w:val="1C88086E"/>
    <w:rsid w:val="1D266CE1"/>
    <w:rsid w:val="1D3963AF"/>
    <w:rsid w:val="1D6A673C"/>
    <w:rsid w:val="1D9247AE"/>
    <w:rsid w:val="1DB567EC"/>
    <w:rsid w:val="1DF51A98"/>
    <w:rsid w:val="1E051CD9"/>
    <w:rsid w:val="1E394B99"/>
    <w:rsid w:val="1E3B4E1C"/>
    <w:rsid w:val="1E3D060F"/>
    <w:rsid w:val="1E3D1148"/>
    <w:rsid w:val="1E3F7D2E"/>
    <w:rsid w:val="1E4134E4"/>
    <w:rsid w:val="1E5062B3"/>
    <w:rsid w:val="1E523514"/>
    <w:rsid w:val="1E714A66"/>
    <w:rsid w:val="1E7159F1"/>
    <w:rsid w:val="1E802593"/>
    <w:rsid w:val="1E8219AC"/>
    <w:rsid w:val="1E8B6156"/>
    <w:rsid w:val="1EA01E32"/>
    <w:rsid w:val="1EA703CC"/>
    <w:rsid w:val="1EB7330C"/>
    <w:rsid w:val="1F0A0FF3"/>
    <w:rsid w:val="1F5771FF"/>
    <w:rsid w:val="1FD52574"/>
    <w:rsid w:val="1FE868A9"/>
    <w:rsid w:val="20034907"/>
    <w:rsid w:val="20173E4B"/>
    <w:rsid w:val="204E48BC"/>
    <w:rsid w:val="208921B3"/>
    <w:rsid w:val="20973DEB"/>
    <w:rsid w:val="20B26522"/>
    <w:rsid w:val="20B44310"/>
    <w:rsid w:val="211116EB"/>
    <w:rsid w:val="212354CB"/>
    <w:rsid w:val="216133FC"/>
    <w:rsid w:val="219F2875"/>
    <w:rsid w:val="21C052E3"/>
    <w:rsid w:val="21D56769"/>
    <w:rsid w:val="21E52EF3"/>
    <w:rsid w:val="21FB5D7B"/>
    <w:rsid w:val="22015E94"/>
    <w:rsid w:val="220B1C3D"/>
    <w:rsid w:val="221D1D20"/>
    <w:rsid w:val="22334A87"/>
    <w:rsid w:val="22736130"/>
    <w:rsid w:val="22BE6801"/>
    <w:rsid w:val="233500BF"/>
    <w:rsid w:val="23377FF7"/>
    <w:rsid w:val="236B425F"/>
    <w:rsid w:val="23836192"/>
    <w:rsid w:val="23901F29"/>
    <w:rsid w:val="239C0061"/>
    <w:rsid w:val="23B908A4"/>
    <w:rsid w:val="23E95BEF"/>
    <w:rsid w:val="23FD0064"/>
    <w:rsid w:val="244948BF"/>
    <w:rsid w:val="245375B0"/>
    <w:rsid w:val="24642C0A"/>
    <w:rsid w:val="24B22173"/>
    <w:rsid w:val="24B95AD9"/>
    <w:rsid w:val="24BE24DA"/>
    <w:rsid w:val="24CF5825"/>
    <w:rsid w:val="24D663E6"/>
    <w:rsid w:val="24D77F2B"/>
    <w:rsid w:val="25213DC8"/>
    <w:rsid w:val="252333DF"/>
    <w:rsid w:val="25333A00"/>
    <w:rsid w:val="258B00E2"/>
    <w:rsid w:val="25A20B86"/>
    <w:rsid w:val="25A917A6"/>
    <w:rsid w:val="25BE27CC"/>
    <w:rsid w:val="25E8774C"/>
    <w:rsid w:val="25F74A5C"/>
    <w:rsid w:val="2628662C"/>
    <w:rsid w:val="262D45DE"/>
    <w:rsid w:val="26871DC8"/>
    <w:rsid w:val="26A53EF9"/>
    <w:rsid w:val="26A94201"/>
    <w:rsid w:val="26AC274F"/>
    <w:rsid w:val="26BB3CAD"/>
    <w:rsid w:val="27044A29"/>
    <w:rsid w:val="271D34C8"/>
    <w:rsid w:val="276142BF"/>
    <w:rsid w:val="27783712"/>
    <w:rsid w:val="27907362"/>
    <w:rsid w:val="27A52F98"/>
    <w:rsid w:val="27F76F67"/>
    <w:rsid w:val="28333E1D"/>
    <w:rsid w:val="28454BD6"/>
    <w:rsid w:val="28455253"/>
    <w:rsid w:val="28551971"/>
    <w:rsid w:val="285B1C53"/>
    <w:rsid w:val="289F7086"/>
    <w:rsid w:val="28C32028"/>
    <w:rsid w:val="28CC490F"/>
    <w:rsid w:val="28DE40AA"/>
    <w:rsid w:val="29345E77"/>
    <w:rsid w:val="294C65AD"/>
    <w:rsid w:val="296C128F"/>
    <w:rsid w:val="29806583"/>
    <w:rsid w:val="298B3C4C"/>
    <w:rsid w:val="29AE0A59"/>
    <w:rsid w:val="29F26D24"/>
    <w:rsid w:val="2A15033F"/>
    <w:rsid w:val="2A1662C1"/>
    <w:rsid w:val="2A1C7367"/>
    <w:rsid w:val="2A2815FA"/>
    <w:rsid w:val="2A3C33E0"/>
    <w:rsid w:val="2A6D6092"/>
    <w:rsid w:val="2A7D76B4"/>
    <w:rsid w:val="2B437463"/>
    <w:rsid w:val="2B4F2C16"/>
    <w:rsid w:val="2B7807EE"/>
    <w:rsid w:val="2BA50BF7"/>
    <w:rsid w:val="2BBF00EC"/>
    <w:rsid w:val="2BC37CFD"/>
    <w:rsid w:val="2BD5237F"/>
    <w:rsid w:val="2BE536CE"/>
    <w:rsid w:val="2BE758D9"/>
    <w:rsid w:val="2BF346BB"/>
    <w:rsid w:val="2C09049E"/>
    <w:rsid w:val="2C0A653C"/>
    <w:rsid w:val="2C191F85"/>
    <w:rsid w:val="2CA90990"/>
    <w:rsid w:val="2CE82D6F"/>
    <w:rsid w:val="2D343236"/>
    <w:rsid w:val="2D575011"/>
    <w:rsid w:val="2DD15014"/>
    <w:rsid w:val="2DF52CAD"/>
    <w:rsid w:val="2DF71CAD"/>
    <w:rsid w:val="2DF72DE4"/>
    <w:rsid w:val="2E0220AF"/>
    <w:rsid w:val="2E4861B8"/>
    <w:rsid w:val="2E4B082A"/>
    <w:rsid w:val="2E5D4E86"/>
    <w:rsid w:val="2E5D790B"/>
    <w:rsid w:val="2E795B1F"/>
    <w:rsid w:val="2E7B1F74"/>
    <w:rsid w:val="2E9A3C18"/>
    <w:rsid w:val="2EBB0FEE"/>
    <w:rsid w:val="2EC63002"/>
    <w:rsid w:val="2F0A6B38"/>
    <w:rsid w:val="2F3E189C"/>
    <w:rsid w:val="2F683FAA"/>
    <w:rsid w:val="2F946CCB"/>
    <w:rsid w:val="2FC846CB"/>
    <w:rsid w:val="2FD25781"/>
    <w:rsid w:val="2FDC745C"/>
    <w:rsid w:val="2FFD7934"/>
    <w:rsid w:val="30676C54"/>
    <w:rsid w:val="30733ACD"/>
    <w:rsid w:val="308C3862"/>
    <w:rsid w:val="309379D8"/>
    <w:rsid w:val="30A270F7"/>
    <w:rsid w:val="30A9101A"/>
    <w:rsid w:val="30DF1478"/>
    <w:rsid w:val="30EC586F"/>
    <w:rsid w:val="30EE4C7F"/>
    <w:rsid w:val="31641283"/>
    <w:rsid w:val="3184181E"/>
    <w:rsid w:val="319C6071"/>
    <w:rsid w:val="31AC537E"/>
    <w:rsid w:val="31E3679B"/>
    <w:rsid w:val="31E732FD"/>
    <w:rsid w:val="32517576"/>
    <w:rsid w:val="327A2C6E"/>
    <w:rsid w:val="328535BD"/>
    <w:rsid w:val="32BE5C2C"/>
    <w:rsid w:val="32FB6478"/>
    <w:rsid w:val="33263B3F"/>
    <w:rsid w:val="33446DD8"/>
    <w:rsid w:val="336963EB"/>
    <w:rsid w:val="33816EEB"/>
    <w:rsid w:val="33EB55CD"/>
    <w:rsid w:val="33EC4C02"/>
    <w:rsid w:val="340D2360"/>
    <w:rsid w:val="3410665D"/>
    <w:rsid w:val="34211214"/>
    <w:rsid w:val="342E63AB"/>
    <w:rsid w:val="343355B7"/>
    <w:rsid w:val="34950E68"/>
    <w:rsid w:val="34986E94"/>
    <w:rsid w:val="34AF62C9"/>
    <w:rsid w:val="34CB4388"/>
    <w:rsid w:val="34FA6E12"/>
    <w:rsid w:val="354D7158"/>
    <w:rsid w:val="358D5588"/>
    <w:rsid w:val="35A61EB8"/>
    <w:rsid w:val="35BD4305"/>
    <w:rsid w:val="363A3B40"/>
    <w:rsid w:val="365302AE"/>
    <w:rsid w:val="36607A0A"/>
    <w:rsid w:val="366E227C"/>
    <w:rsid w:val="366F2E0D"/>
    <w:rsid w:val="367B6A5C"/>
    <w:rsid w:val="36A74ADA"/>
    <w:rsid w:val="36AD60D5"/>
    <w:rsid w:val="36B224F9"/>
    <w:rsid w:val="36DB7A54"/>
    <w:rsid w:val="36EC0CC9"/>
    <w:rsid w:val="373F410B"/>
    <w:rsid w:val="375325B8"/>
    <w:rsid w:val="375810A4"/>
    <w:rsid w:val="37DD4867"/>
    <w:rsid w:val="37EE7094"/>
    <w:rsid w:val="37FD070E"/>
    <w:rsid w:val="38296C89"/>
    <w:rsid w:val="383002EB"/>
    <w:rsid w:val="38586797"/>
    <w:rsid w:val="385D15DF"/>
    <w:rsid w:val="386642BF"/>
    <w:rsid w:val="38BC0149"/>
    <w:rsid w:val="38D87D1C"/>
    <w:rsid w:val="39636459"/>
    <w:rsid w:val="396B7F6C"/>
    <w:rsid w:val="39B417A9"/>
    <w:rsid w:val="39DA5CA1"/>
    <w:rsid w:val="39FC5695"/>
    <w:rsid w:val="3A006D8E"/>
    <w:rsid w:val="3A117902"/>
    <w:rsid w:val="3A1F0930"/>
    <w:rsid w:val="3A3000B7"/>
    <w:rsid w:val="3A3651E5"/>
    <w:rsid w:val="3A744481"/>
    <w:rsid w:val="3A7C32FC"/>
    <w:rsid w:val="3A8C7BEF"/>
    <w:rsid w:val="3A906246"/>
    <w:rsid w:val="3ABA75C9"/>
    <w:rsid w:val="3B2349B7"/>
    <w:rsid w:val="3B616CFF"/>
    <w:rsid w:val="3B6259F6"/>
    <w:rsid w:val="3B976654"/>
    <w:rsid w:val="3BC01EFC"/>
    <w:rsid w:val="3BCA786A"/>
    <w:rsid w:val="3BD31E2F"/>
    <w:rsid w:val="3BF15831"/>
    <w:rsid w:val="3C105946"/>
    <w:rsid w:val="3C471448"/>
    <w:rsid w:val="3C5F759A"/>
    <w:rsid w:val="3C6C525A"/>
    <w:rsid w:val="3C9012E0"/>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14F9"/>
    <w:rsid w:val="3EC33DFA"/>
    <w:rsid w:val="3ED61FDC"/>
    <w:rsid w:val="3F060E16"/>
    <w:rsid w:val="3F1D1096"/>
    <w:rsid w:val="3F2F0234"/>
    <w:rsid w:val="3F62107E"/>
    <w:rsid w:val="3F6363FE"/>
    <w:rsid w:val="3F756B8F"/>
    <w:rsid w:val="3F95482B"/>
    <w:rsid w:val="400B75FC"/>
    <w:rsid w:val="4019356B"/>
    <w:rsid w:val="404A10D6"/>
    <w:rsid w:val="40592157"/>
    <w:rsid w:val="406E1CAE"/>
    <w:rsid w:val="40A0133A"/>
    <w:rsid w:val="40C31A53"/>
    <w:rsid w:val="40FF545D"/>
    <w:rsid w:val="410067C8"/>
    <w:rsid w:val="418F0D2A"/>
    <w:rsid w:val="41D01505"/>
    <w:rsid w:val="41E547D8"/>
    <w:rsid w:val="42474939"/>
    <w:rsid w:val="424C3C57"/>
    <w:rsid w:val="42613FF3"/>
    <w:rsid w:val="42660D96"/>
    <w:rsid w:val="428667D2"/>
    <w:rsid w:val="42C763A1"/>
    <w:rsid w:val="42CD1CE0"/>
    <w:rsid w:val="42DA466A"/>
    <w:rsid w:val="42DC702D"/>
    <w:rsid w:val="42E1381E"/>
    <w:rsid w:val="42ED6459"/>
    <w:rsid w:val="42FE58DD"/>
    <w:rsid w:val="43174B3D"/>
    <w:rsid w:val="434B790E"/>
    <w:rsid w:val="4360274F"/>
    <w:rsid w:val="43977AB6"/>
    <w:rsid w:val="43A3342B"/>
    <w:rsid w:val="43C77C27"/>
    <w:rsid w:val="43DE09EE"/>
    <w:rsid w:val="44002FAD"/>
    <w:rsid w:val="44727EC6"/>
    <w:rsid w:val="449101DD"/>
    <w:rsid w:val="44DE1391"/>
    <w:rsid w:val="451B225C"/>
    <w:rsid w:val="452410C9"/>
    <w:rsid w:val="45317DFB"/>
    <w:rsid w:val="456D3CE4"/>
    <w:rsid w:val="4579042C"/>
    <w:rsid w:val="457F0571"/>
    <w:rsid w:val="45851176"/>
    <w:rsid w:val="45B125C3"/>
    <w:rsid w:val="45BF71F3"/>
    <w:rsid w:val="45C63B94"/>
    <w:rsid w:val="460E7DA5"/>
    <w:rsid w:val="46422483"/>
    <w:rsid w:val="4659254A"/>
    <w:rsid w:val="465B0637"/>
    <w:rsid w:val="465E3F0D"/>
    <w:rsid w:val="466A16E6"/>
    <w:rsid w:val="46893F2B"/>
    <w:rsid w:val="46AC28CE"/>
    <w:rsid w:val="46B740C0"/>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920446"/>
    <w:rsid w:val="49B64211"/>
    <w:rsid w:val="49F6167F"/>
    <w:rsid w:val="4A064FA0"/>
    <w:rsid w:val="4A16615C"/>
    <w:rsid w:val="4A4424D7"/>
    <w:rsid w:val="4AB82D0F"/>
    <w:rsid w:val="4AEB7664"/>
    <w:rsid w:val="4AFD7C19"/>
    <w:rsid w:val="4AFF7804"/>
    <w:rsid w:val="4B0567D1"/>
    <w:rsid w:val="4B236AAE"/>
    <w:rsid w:val="4B707271"/>
    <w:rsid w:val="4B9739F7"/>
    <w:rsid w:val="4BAF3531"/>
    <w:rsid w:val="4BE13907"/>
    <w:rsid w:val="4BEA4569"/>
    <w:rsid w:val="4BEE2503"/>
    <w:rsid w:val="4C245A30"/>
    <w:rsid w:val="4C9D7B91"/>
    <w:rsid w:val="4CB6685F"/>
    <w:rsid w:val="4CC367FE"/>
    <w:rsid w:val="4CE339D3"/>
    <w:rsid w:val="4D073F5E"/>
    <w:rsid w:val="4D077F3C"/>
    <w:rsid w:val="4D123355"/>
    <w:rsid w:val="4D2A3B31"/>
    <w:rsid w:val="4D312C52"/>
    <w:rsid w:val="4D3739A2"/>
    <w:rsid w:val="4D905305"/>
    <w:rsid w:val="4D964A72"/>
    <w:rsid w:val="4D9C1254"/>
    <w:rsid w:val="4E793892"/>
    <w:rsid w:val="4E800872"/>
    <w:rsid w:val="4EC569ED"/>
    <w:rsid w:val="4ED50EA1"/>
    <w:rsid w:val="4EDA4BB8"/>
    <w:rsid w:val="4EEC050C"/>
    <w:rsid w:val="4EEC05F8"/>
    <w:rsid w:val="4F104EC3"/>
    <w:rsid w:val="4F47354A"/>
    <w:rsid w:val="4F911C54"/>
    <w:rsid w:val="4F97238B"/>
    <w:rsid w:val="4FE625E0"/>
    <w:rsid w:val="500E459E"/>
    <w:rsid w:val="5021480F"/>
    <w:rsid w:val="50962ECB"/>
    <w:rsid w:val="50A42E38"/>
    <w:rsid w:val="50A4577F"/>
    <w:rsid w:val="50B73D1F"/>
    <w:rsid w:val="50BD5BC9"/>
    <w:rsid w:val="50C11EEE"/>
    <w:rsid w:val="50E97CFC"/>
    <w:rsid w:val="50FA4028"/>
    <w:rsid w:val="510D65B7"/>
    <w:rsid w:val="511157AB"/>
    <w:rsid w:val="5142540C"/>
    <w:rsid w:val="518832C8"/>
    <w:rsid w:val="518C7E71"/>
    <w:rsid w:val="519D3C50"/>
    <w:rsid w:val="519F25B5"/>
    <w:rsid w:val="51A0432A"/>
    <w:rsid w:val="51A86090"/>
    <w:rsid w:val="51B7396D"/>
    <w:rsid w:val="51E97071"/>
    <w:rsid w:val="522E4CC3"/>
    <w:rsid w:val="5244713B"/>
    <w:rsid w:val="525A1D1D"/>
    <w:rsid w:val="52615633"/>
    <w:rsid w:val="526F4DE4"/>
    <w:rsid w:val="52977FD4"/>
    <w:rsid w:val="52A25790"/>
    <w:rsid w:val="52A96B6F"/>
    <w:rsid w:val="52B45975"/>
    <w:rsid w:val="52D94AA4"/>
    <w:rsid w:val="52EA3A62"/>
    <w:rsid w:val="52F50BB8"/>
    <w:rsid w:val="53097272"/>
    <w:rsid w:val="531D3476"/>
    <w:rsid w:val="53440FCD"/>
    <w:rsid w:val="53544462"/>
    <w:rsid w:val="538D7C3A"/>
    <w:rsid w:val="5397158E"/>
    <w:rsid w:val="54013861"/>
    <w:rsid w:val="54487265"/>
    <w:rsid w:val="544D6070"/>
    <w:rsid w:val="54605E1E"/>
    <w:rsid w:val="547A48F8"/>
    <w:rsid w:val="54B3506A"/>
    <w:rsid w:val="54CA0D16"/>
    <w:rsid w:val="54DD4057"/>
    <w:rsid w:val="54E7490F"/>
    <w:rsid w:val="550764A4"/>
    <w:rsid w:val="550B2BF6"/>
    <w:rsid w:val="55214EB5"/>
    <w:rsid w:val="55364EFD"/>
    <w:rsid w:val="555D4828"/>
    <w:rsid w:val="556C5FEF"/>
    <w:rsid w:val="557A4C8B"/>
    <w:rsid w:val="558931E1"/>
    <w:rsid w:val="55923347"/>
    <w:rsid w:val="55925180"/>
    <w:rsid w:val="55983B1B"/>
    <w:rsid w:val="55A8376B"/>
    <w:rsid w:val="55DC29B6"/>
    <w:rsid w:val="55DD4241"/>
    <w:rsid w:val="56090AD6"/>
    <w:rsid w:val="566B6D1E"/>
    <w:rsid w:val="56D86E7D"/>
    <w:rsid w:val="56EB5639"/>
    <w:rsid w:val="57032A2C"/>
    <w:rsid w:val="570F5219"/>
    <w:rsid w:val="575D12B5"/>
    <w:rsid w:val="57610A87"/>
    <w:rsid w:val="57630A95"/>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8ED3BB3"/>
    <w:rsid w:val="59166304"/>
    <w:rsid w:val="595E1678"/>
    <w:rsid w:val="596D5BD4"/>
    <w:rsid w:val="597E3DD8"/>
    <w:rsid w:val="59D356A1"/>
    <w:rsid w:val="59F80043"/>
    <w:rsid w:val="59FB787D"/>
    <w:rsid w:val="5A09252F"/>
    <w:rsid w:val="5A0B2778"/>
    <w:rsid w:val="5A2A7C7B"/>
    <w:rsid w:val="5A3E2560"/>
    <w:rsid w:val="5A413225"/>
    <w:rsid w:val="5A5D3B6E"/>
    <w:rsid w:val="5A637A76"/>
    <w:rsid w:val="5A6D33BA"/>
    <w:rsid w:val="5A792B1F"/>
    <w:rsid w:val="5A874767"/>
    <w:rsid w:val="5AA85BE2"/>
    <w:rsid w:val="5AAD6F28"/>
    <w:rsid w:val="5AB325AA"/>
    <w:rsid w:val="5AD308BE"/>
    <w:rsid w:val="5AD63A24"/>
    <w:rsid w:val="5B2E1A1D"/>
    <w:rsid w:val="5B4041A6"/>
    <w:rsid w:val="5B556755"/>
    <w:rsid w:val="5B843A1C"/>
    <w:rsid w:val="5B873E3F"/>
    <w:rsid w:val="5C02690E"/>
    <w:rsid w:val="5C11169E"/>
    <w:rsid w:val="5C196DA7"/>
    <w:rsid w:val="5C2A048C"/>
    <w:rsid w:val="5C80234E"/>
    <w:rsid w:val="5C8A680C"/>
    <w:rsid w:val="5D0C4701"/>
    <w:rsid w:val="5D0F0395"/>
    <w:rsid w:val="5D221076"/>
    <w:rsid w:val="5D397964"/>
    <w:rsid w:val="5D5A391C"/>
    <w:rsid w:val="5D5F10C0"/>
    <w:rsid w:val="5D7E07CE"/>
    <w:rsid w:val="5D891B7B"/>
    <w:rsid w:val="5DAD38EE"/>
    <w:rsid w:val="5DB20C5F"/>
    <w:rsid w:val="5DB26EB1"/>
    <w:rsid w:val="5DD86807"/>
    <w:rsid w:val="5E006862"/>
    <w:rsid w:val="5E0207B9"/>
    <w:rsid w:val="5E1834A1"/>
    <w:rsid w:val="5E261785"/>
    <w:rsid w:val="5E4A7017"/>
    <w:rsid w:val="5E552BBA"/>
    <w:rsid w:val="5E611C10"/>
    <w:rsid w:val="5E745F14"/>
    <w:rsid w:val="5E7A0F3F"/>
    <w:rsid w:val="5ED94EE3"/>
    <w:rsid w:val="5EFC7377"/>
    <w:rsid w:val="5F06174D"/>
    <w:rsid w:val="5F296CFF"/>
    <w:rsid w:val="5F3A3602"/>
    <w:rsid w:val="5F45733B"/>
    <w:rsid w:val="5F6277C6"/>
    <w:rsid w:val="5F6D0B1D"/>
    <w:rsid w:val="5F8D0B82"/>
    <w:rsid w:val="5FCC5339"/>
    <w:rsid w:val="5FE34A5B"/>
    <w:rsid w:val="5FFE1E36"/>
    <w:rsid w:val="60232584"/>
    <w:rsid w:val="604858AA"/>
    <w:rsid w:val="607330CE"/>
    <w:rsid w:val="60825176"/>
    <w:rsid w:val="609F2AC4"/>
    <w:rsid w:val="60AA3E6F"/>
    <w:rsid w:val="60FA2EE8"/>
    <w:rsid w:val="61054A27"/>
    <w:rsid w:val="610A52BC"/>
    <w:rsid w:val="611D2366"/>
    <w:rsid w:val="61421856"/>
    <w:rsid w:val="615227C4"/>
    <w:rsid w:val="61654E3F"/>
    <w:rsid w:val="6182292A"/>
    <w:rsid w:val="619F7F92"/>
    <w:rsid w:val="61B80092"/>
    <w:rsid w:val="61D40CC4"/>
    <w:rsid w:val="61F94C26"/>
    <w:rsid w:val="62000E56"/>
    <w:rsid w:val="62062546"/>
    <w:rsid w:val="624F3E49"/>
    <w:rsid w:val="62632286"/>
    <w:rsid w:val="62745016"/>
    <w:rsid w:val="62885958"/>
    <w:rsid w:val="62F40B65"/>
    <w:rsid w:val="62FC2CFE"/>
    <w:rsid w:val="63024505"/>
    <w:rsid w:val="631C2EA1"/>
    <w:rsid w:val="635600A5"/>
    <w:rsid w:val="635B1DB5"/>
    <w:rsid w:val="63711FED"/>
    <w:rsid w:val="63844520"/>
    <w:rsid w:val="63880DDC"/>
    <w:rsid w:val="638D750D"/>
    <w:rsid w:val="63AC6CC0"/>
    <w:rsid w:val="63B6568A"/>
    <w:rsid w:val="64055776"/>
    <w:rsid w:val="64240056"/>
    <w:rsid w:val="643B7C00"/>
    <w:rsid w:val="643E143A"/>
    <w:rsid w:val="64491666"/>
    <w:rsid w:val="64513B18"/>
    <w:rsid w:val="648B6EEF"/>
    <w:rsid w:val="64C158BF"/>
    <w:rsid w:val="64CE2EAA"/>
    <w:rsid w:val="653C3090"/>
    <w:rsid w:val="65854376"/>
    <w:rsid w:val="658767BE"/>
    <w:rsid w:val="65892531"/>
    <w:rsid w:val="660478F9"/>
    <w:rsid w:val="66195831"/>
    <w:rsid w:val="662E75B1"/>
    <w:rsid w:val="66342C2E"/>
    <w:rsid w:val="66351FA8"/>
    <w:rsid w:val="663E784C"/>
    <w:rsid w:val="668B6A45"/>
    <w:rsid w:val="66E939DF"/>
    <w:rsid w:val="670B35FF"/>
    <w:rsid w:val="672F3F24"/>
    <w:rsid w:val="673E055F"/>
    <w:rsid w:val="67551CE3"/>
    <w:rsid w:val="67A22552"/>
    <w:rsid w:val="67B22DCC"/>
    <w:rsid w:val="67BE71AA"/>
    <w:rsid w:val="67D90273"/>
    <w:rsid w:val="67DE5875"/>
    <w:rsid w:val="67E55852"/>
    <w:rsid w:val="67E934CF"/>
    <w:rsid w:val="67EB1AB4"/>
    <w:rsid w:val="67FA1285"/>
    <w:rsid w:val="68551F4F"/>
    <w:rsid w:val="686F108A"/>
    <w:rsid w:val="687C10C9"/>
    <w:rsid w:val="68840C16"/>
    <w:rsid w:val="68876EFB"/>
    <w:rsid w:val="68884654"/>
    <w:rsid w:val="689F444F"/>
    <w:rsid w:val="68B96DBB"/>
    <w:rsid w:val="68CA2805"/>
    <w:rsid w:val="68DF7ED9"/>
    <w:rsid w:val="68E937A3"/>
    <w:rsid w:val="693E15D3"/>
    <w:rsid w:val="69627681"/>
    <w:rsid w:val="6977531D"/>
    <w:rsid w:val="69976406"/>
    <w:rsid w:val="69CC2BFF"/>
    <w:rsid w:val="69EC54F9"/>
    <w:rsid w:val="69FD55B8"/>
    <w:rsid w:val="6A0B1C62"/>
    <w:rsid w:val="6A2406C8"/>
    <w:rsid w:val="6A294057"/>
    <w:rsid w:val="6A4D7345"/>
    <w:rsid w:val="6A5118AB"/>
    <w:rsid w:val="6A914DAB"/>
    <w:rsid w:val="6AA8559A"/>
    <w:rsid w:val="6AC30A9F"/>
    <w:rsid w:val="6ADE0BD1"/>
    <w:rsid w:val="6AE96859"/>
    <w:rsid w:val="6B147746"/>
    <w:rsid w:val="6B24787C"/>
    <w:rsid w:val="6B573233"/>
    <w:rsid w:val="6B5B6274"/>
    <w:rsid w:val="6B6A0DCB"/>
    <w:rsid w:val="6B935D53"/>
    <w:rsid w:val="6C196F71"/>
    <w:rsid w:val="6C226FCB"/>
    <w:rsid w:val="6C31226F"/>
    <w:rsid w:val="6C552F0B"/>
    <w:rsid w:val="6C8C67B7"/>
    <w:rsid w:val="6C9D744C"/>
    <w:rsid w:val="6D167928"/>
    <w:rsid w:val="6D26299B"/>
    <w:rsid w:val="6D2E6DFC"/>
    <w:rsid w:val="6D4772EC"/>
    <w:rsid w:val="6D506896"/>
    <w:rsid w:val="6D9078AF"/>
    <w:rsid w:val="6DA44BC4"/>
    <w:rsid w:val="6DAA3FEF"/>
    <w:rsid w:val="6DC0172B"/>
    <w:rsid w:val="6DCB690C"/>
    <w:rsid w:val="6DD41A5B"/>
    <w:rsid w:val="6DF43C2E"/>
    <w:rsid w:val="6DF51CA3"/>
    <w:rsid w:val="6E0E5412"/>
    <w:rsid w:val="6E2C0FAA"/>
    <w:rsid w:val="6E8335BD"/>
    <w:rsid w:val="6E8E12EF"/>
    <w:rsid w:val="6E972936"/>
    <w:rsid w:val="6EAF7707"/>
    <w:rsid w:val="6ED446C5"/>
    <w:rsid w:val="6F2A7D94"/>
    <w:rsid w:val="6F8331F1"/>
    <w:rsid w:val="6F944668"/>
    <w:rsid w:val="6FAE1A09"/>
    <w:rsid w:val="6FD75BF8"/>
    <w:rsid w:val="703B63C5"/>
    <w:rsid w:val="707723D0"/>
    <w:rsid w:val="70F5661B"/>
    <w:rsid w:val="7113780F"/>
    <w:rsid w:val="71360107"/>
    <w:rsid w:val="713B688E"/>
    <w:rsid w:val="71D43752"/>
    <w:rsid w:val="71F1796A"/>
    <w:rsid w:val="72154626"/>
    <w:rsid w:val="72262B5D"/>
    <w:rsid w:val="72283FF7"/>
    <w:rsid w:val="722E7212"/>
    <w:rsid w:val="723A0474"/>
    <w:rsid w:val="725923E4"/>
    <w:rsid w:val="72864BF7"/>
    <w:rsid w:val="729023FC"/>
    <w:rsid w:val="731004AA"/>
    <w:rsid w:val="732B52E4"/>
    <w:rsid w:val="73495F19"/>
    <w:rsid w:val="73C0646E"/>
    <w:rsid w:val="74027161"/>
    <w:rsid w:val="742222F5"/>
    <w:rsid w:val="74476126"/>
    <w:rsid w:val="74706664"/>
    <w:rsid w:val="747F3682"/>
    <w:rsid w:val="749C4185"/>
    <w:rsid w:val="75067759"/>
    <w:rsid w:val="752E6DCD"/>
    <w:rsid w:val="7551380D"/>
    <w:rsid w:val="75600BE5"/>
    <w:rsid w:val="7564475C"/>
    <w:rsid w:val="7583797F"/>
    <w:rsid w:val="75D20F1D"/>
    <w:rsid w:val="75DA2C18"/>
    <w:rsid w:val="75DE488F"/>
    <w:rsid w:val="75F54412"/>
    <w:rsid w:val="761D08E0"/>
    <w:rsid w:val="765406AD"/>
    <w:rsid w:val="765D347C"/>
    <w:rsid w:val="76826699"/>
    <w:rsid w:val="76C87133"/>
    <w:rsid w:val="76CD08D5"/>
    <w:rsid w:val="76DB4B92"/>
    <w:rsid w:val="76FC657A"/>
    <w:rsid w:val="77052AA4"/>
    <w:rsid w:val="77136511"/>
    <w:rsid w:val="77340A39"/>
    <w:rsid w:val="77351FD0"/>
    <w:rsid w:val="77472422"/>
    <w:rsid w:val="775C1159"/>
    <w:rsid w:val="777F31F2"/>
    <w:rsid w:val="77D1700D"/>
    <w:rsid w:val="77EC04CC"/>
    <w:rsid w:val="78775729"/>
    <w:rsid w:val="78A42DB0"/>
    <w:rsid w:val="78A656AB"/>
    <w:rsid w:val="78B2245C"/>
    <w:rsid w:val="78E172CC"/>
    <w:rsid w:val="78EA1D1F"/>
    <w:rsid w:val="78ED0288"/>
    <w:rsid w:val="7904172F"/>
    <w:rsid w:val="790F7E27"/>
    <w:rsid w:val="79256331"/>
    <w:rsid w:val="792A231A"/>
    <w:rsid w:val="79316829"/>
    <w:rsid w:val="79481994"/>
    <w:rsid w:val="797E66A9"/>
    <w:rsid w:val="798518A4"/>
    <w:rsid w:val="79A97383"/>
    <w:rsid w:val="79E27E8B"/>
    <w:rsid w:val="79F850CE"/>
    <w:rsid w:val="79FD443C"/>
    <w:rsid w:val="7A1D1975"/>
    <w:rsid w:val="7A3E5150"/>
    <w:rsid w:val="7A4670D6"/>
    <w:rsid w:val="7A534B63"/>
    <w:rsid w:val="7A615382"/>
    <w:rsid w:val="7A67303B"/>
    <w:rsid w:val="7A9A5250"/>
    <w:rsid w:val="7AAB1D04"/>
    <w:rsid w:val="7AAC7F07"/>
    <w:rsid w:val="7ABA4368"/>
    <w:rsid w:val="7AC34054"/>
    <w:rsid w:val="7AD05746"/>
    <w:rsid w:val="7B257FFD"/>
    <w:rsid w:val="7B343476"/>
    <w:rsid w:val="7B3665D4"/>
    <w:rsid w:val="7B5A2978"/>
    <w:rsid w:val="7B5A7E4C"/>
    <w:rsid w:val="7B667AF9"/>
    <w:rsid w:val="7B7468F8"/>
    <w:rsid w:val="7BEE0103"/>
    <w:rsid w:val="7BF70459"/>
    <w:rsid w:val="7C0A0FE4"/>
    <w:rsid w:val="7C104EE0"/>
    <w:rsid w:val="7C254906"/>
    <w:rsid w:val="7C590818"/>
    <w:rsid w:val="7C7C10F6"/>
    <w:rsid w:val="7C853BEA"/>
    <w:rsid w:val="7C881368"/>
    <w:rsid w:val="7CC145C3"/>
    <w:rsid w:val="7CE27788"/>
    <w:rsid w:val="7D0C32F1"/>
    <w:rsid w:val="7D0F408D"/>
    <w:rsid w:val="7D3B52B8"/>
    <w:rsid w:val="7D3B65D0"/>
    <w:rsid w:val="7D491C6C"/>
    <w:rsid w:val="7D4B344F"/>
    <w:rsid w:val="7D5429C0"/>
    <w:rsid w:val="7D6E6D43"/>
    <w:rsid w:val="7DB57A34"/>
    <w:rsid w:val="7DE60973"/>
    <w:rsid w:val="7DEF0916"/>
    <w:rsid w:val="7DF52174"/>
    <w:rsid w:val="7DFE34EA"/>
    <w:rsid w:val="7E0429B9"/>
    <w:rsid w:val="7E1E5218"/>
    <w:rsid w:val="7E405EBE"/>
    <w:rsid w:val="7E5E47BF"/>
    <w:rsid w:val="7E7A49CB"/>
    <w:rsid w:val="7E7F64E4"/>
    <w:rsid w:val="7E891110"/>
    <w:rsid w:val="7E9A4E1F"/>
    <w:rsid w:val="7EA7723A"/>
    <w:rsid w:val="7EE064C6"/>
    <w:rsid w:val="7EF56FBB"/>
    <w:rsid w:val="7F0768EB"/>
    <w:rsid w:val="7F143BEC"/>
    <w:rsid w:val="7F4549B0"/>
    <w:rsid w:val="7F501F51"/>
    <w:rsid w:val="7F65392B"/>
    <w:rsid w:val="7F715AF2"/>
    <w:rsid w:val="7F7F5ED1"/>
    <w:rsid w:val="7F886E69"/>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99" w:semiHidden="0" w:name="index 2"/>
    <w:lsdException w:unhideWhenUsed="0" w:uiPriority="99" w:semiHidden="0" w:name="index 3"/>
    <w:lsdException w:unhideWhenUsed="0" w:uiPriority="99" w:semiHidden="0" w:name="index 4"/>
    <w:lsdException w:qFormat="1" w:unhideWhenUsed="0" w:uiPriority="0" w:semiHidden="0" w:name="index 5"/>
    <w:lsdException w:unhideWhenUsed="0" w:uiPriority="99" w:semiHidden="0" w:name="index 6"/>
    <w:lsdException w:qFormat="1" w:unhideWhenUsed="0" w:uiPriority="99" w:name="index 7"/>
    <w:lsdException w:unhideWhenUsed="0" w:uiPriority="99" w:semiHidden="0" w:name="index 8"/>
    <w:lsdException w:unhideWhenUsed="0"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99" w:semiHidden="0" w:name="table of figures"/>
    <w:lsdException w:unhideWhenUsed="0" w:uiPriority="99" w:semiHidden="0" w:name="envelope address"/>
    <w:lsdException w:qFormat="1" w:unhideWhenUsed="0" w:uiPriority="99" w:semiHidden="0" w:name="envelope return"/>
    <w:lsdException w:unhideWhenUsed="0" w:uiPriority="99"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99" w:semiHidden="0" w:name="table of authorities"/>
    <w:lsdException w:unhideWhenUsed="0" w:uiPriority="99" w:semiHidden="0" w:name="macro"/>
    <w:lsdException w:unhideWhenUsed="0" w:uiPriority="99" w:semiHidden="0" w:name="toa heading"/>
    <w:lsdException w:qFormat="1" w:unhideWhenUsed="0" w:uiPriority="0" w:semiHidden="0" w:name="List"/>
    <w:lsdException w:unhideWhenUsed="0" w:uiPriority="99" w:semiHidden="0" w:name="List Bullet"/>
    <w:lsdException w:qFormat="1" w:unhideWhenUsed="0" w:uiPriority="0" w:semiHidden="0" w:name="List Number"/>
    <w:lsdException w:qFormat="1" w:unhideWhenUsed="0" w:uiPriority="0" w:semiHidden="0" w:name="List 2"/>
    <w:lsdException w:unhideWhenUsed="0" w:uiPriority="99" w:semiHidden="0" w:name="List 3"/>
    <w:lsdException w:unhideWhenUsed="0" w:uiPriority="99"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99"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99"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99" w:semiHidden="0" w:name="E-mail Signature"/>
    <w:lsdException w:qFormat="1" w:unhideWhenUsed="0" w:uiPriority="99" w:semiHidden="0" w:name="Normal (Web)"/>
    <w:lsdException w:unhideWhenUsed="0" w:uiPriority="99" w:semiHidden="0" w:name="HTML Acronym"/>
    <w:lsdException w:qFormat="1" w:unhideWhenUsed="0" w:uiPriority="0" w:semiHidden="0" w:name="HTML Address"/>
    <w:lsdException w:unhideWhenUsed="0" w:uiPriority="99" w:semiHidden="0" w:name="HTML Cite"/>
    <w:lsdException w:qFormat="1" w:unhideWhenUsed="0" w:uiPriority="0" w:semiHidden="0" w:name="HTML Code"/>
    <w:lsdException w:unhideWhenUsed="0" w:uiPriority="99" w:semiHidden="0" w:name="HTML Definition"/>
    <w:lsdException w:unhideWhenUsed="0" w:uiPriority="99" w:semiHidden="0" w:name="HTML Keyboard"/>
    <w:lsdException w:qFormat="1" w:unhideWhenUsed="0" w:uiPriority="0" w:semiHidden="0" w:name="HTML Preformatted"/>
    <w:lsdException w:qFormat="1" w:unhideWhenUsed="0" w:uiPriority="0" w:semiHidden="0" w:name="HTML Sample"/>
    <w:lsdException w:unhideWhenUsed="0" w:uiPriority="99" w:semiHidden="0" w:name="HTML Typewriter"/>
    <w:lsdException w:unhideWhenUsed="0"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link w:val="284"/>
    <w:qFormat/>
    <w:uiPriority w:val="9"/>
    <w:pPr>
      <w:keepNext/>
      <w:keepLines/>
      <w:tabs>
        <w:tab w:val="left" w:pos="432"/>
      </w:tabs>
      <w:snapToGrid w:val="0"/>
      <w:spacing w:line="360" w:lineRule="auto"/>
      <w:jc w:val="center"/>
      <w:outlineLvl w:val="0"/>
    </w:pPr>
    <w:rPr>
      <w:b/>
      <w:bCs/>
      <w:kern w:val="44"/>
      <w:sz w:val="36"/>
      <w:szCs w:val="44"/>
    </w:rPr>
  </w:style>
  <w:style w:type="paragraph" w:styleId="4">
    <w:name w:val="heading 2"/>
    <w:basedOn w:val="1"/>
    <w:next w:val="1"/>
    <w:link w:val="966"/>
    <w:qFormat/>
    <w:uiPriority w:val="0"/>
    <w:pPr>
      <w:keepNext/>
      <w:keepLines/>
      <w:tabs>
        <w:tab w:val="left" w:pos="432"/>
      </w:tabs>
      <w:snapToGrid w:val="0"/>
      <w:spacing w:line="360" w:lineRule="auto"/>
      <w:jc w:val="left"/>
      <w:outlineLvl w:val="1"/>
    </w:pPr>
    <w:rPr>
      <w:rFonts w:ascii="宋体" w:hAnsi="宋体"/>
      <w:b/>
      <w:bCs/>
      <w:sz w:val="24"/>
      <w:szCs w:val="32"/>
      <w:lang w:val="zh-CN"/>
    </w:rPr>
  </w:style>
  <w:style w:type="paragraph" w:styleId="5">
    <w:name w:val="heading 3"/>
    <w:basedOn w:val="1"/>
    <w:link w:val="967"/>
    <w:qFormat/>
    <w:uiPriority w:val="0"/>
    <w:pPr>
      <w:keepNext/>
      <w:keepLines/>
      <w:tabs>
        <w:tab w:val="left" w:pos="900"/>
      </w:tabs>
      <w:snapToGrid w:val="0"/>
      <w:spacing w:line="360" w:lineRule="auto"/>
      <w:ind w:firstLine="482" w:firstLineChars="200"/>
      <w:jc w:val="left"/>
      <w:outlineLvl w:val="2"/>
    </w:pPr>
    <w:rPr>
      <w:rFonts w:ascii="宋体" w:hAnsi="宋体"/>
      <w:b/>
      <w:bCs/>
      <w:sz w:val="24"/>
      <w:szCs w:val="32"/>
    </w:rPr>
  </w:style>
  <w:style w:type="paragraph" w:styleId="6">
    <w:name w:val="heading 4"/>
    <w:basedOn w:val="1"/>
    <w:link w:val="328"/>
    <w:qFormat/>
    <w:uiPriority w:val="0"/>
    <w:pPr>
      <w:keepNext/>
      <w:keepLines/>
      <w:tabs>
        <w:tab w:val="left" w:pos="864"/>
      </w:tabs>
      <w:snapToGrid w:val="0"/>
      <w:spacing w:line="360" w:lineRule="auto"/>
      <w:outlineLvl w:val="3"/>
    </w:pPr>
    <w:rPr>
      <w:rFonts w:ascii="宋体" w:hAnsi="宋体"/>
      <w:b/>
      <w:bCs/>
      <w:sz w:val="24"/>
      <w:szCs w:val="28"/>
      <w:lang w:val="zh-CN"/>
    </w:rPr>
  </w:style>
  <w:style w:type="paragraph" w:styleId="7">
    <w:name w:val="heading 5"/>
    <w:basedOn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266"/>
    <w:qFormat/>
    <w:uiPriority w:val="0"/>
    <w:pPr>
      <w:spacing w:line="480" w:lineRule="exact"/>
      <w:ind w:firstLine="480" w:firstLineChars="200"/>
    </w:pPr>
    <w:rPr>
      <w:rFonts w:ascii="宋体" w:hAnsi="宋体"/>
      <w:sz w:val="24"/>
    </w:rPr>
  </w:style>
  <w:style w:type="paragraph" w:styleId="12">
    <w:name w:val="toc 7"/>
    <w:basedOn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5"/>
    <w:qFormat/>
    <w:uiPriority w:val="0"/>
    <w:pPr>
      <w:widowControl/>
      <w:snapToGrid w:val="0"/>
      <w:spacing w:line="480" w:lineRule="exact"/>
      <w:ind w:firstLine="567"/>
    </w:pPr>
    <w:rPr>
      <w:rFonts w:ascii="宋体"/>
      <w:color w:val="000000"/>
      <w:kern w:val="28"/>
      <w:sz w:val="28"/>
      <w:szCs w:val="20"/>
    </w:rPr>
  </w:style>
  <w:style w:type="paragraph" w:styleId="17">
    <w:name w:val="caption"/>
    <w:basedOn w:val="1"/>
    <w:next w:val="1"/>
    <w:link w:val="231"/>
    <w:qFormat/>
    <w:uiPriority w:val="0"/>
    <w:rPr>
      <w:b/>
      <w:sz w:val="28"/>
      <w:szCs w:val="20"/>
    </w:rPr>
  </w:style>
  <w:style w:type="paragraph" w:styleId="18">
    <w:name w:val="index 5"/>
    <w:basedOn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31"/>
    <w:qFormat/>
    <w:uiPriority w:val="0"/>
    <w:pPr>
      <w:autoSpaceDE w:val="0"/>
      <w:autoSpaceDN w:val="0"/>
      <w:spacing w:line="360" w:lineRule="auto"/>
    </w:pPr>
    <w:rPr>
      <w:rFonts w:ascii="宋体" w:hAnsi="Arial" w:cs="Arial"/>
      <w:sz w:val="24"/>
      <w:szCs w:val="21"/>
      <w:lang w:val="zh-CN"/>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toc 5"/>
    <w:basedOn w:val="1"/>
    <w:qFormat/>
    <w:uiPriority w:val="0"/>
    <w:pPr>
      <w:ind w:left="1680" w:leftChars="800"/>
    </w:pPr>
  </w:style>
  <w:style w:type="paragraph" w:styleId="31">
    <w:name w:val="toc 3"/>
    <w:basedOn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8"/>
    <w:qFormat/>
    <w:uiPriority w:val="0"/>
    <w:rPr>
      <w:rFonts w:ascii="宋体" w:hAnsi="Courier New" w:cs="Arial"/>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qFormat/>
    <w:uiPriority w:val="0"/>
    <w:pPr>
      <w:ind w:left="2940" w:leftChars="1400"/>
    </w:pPr>
  </w:style>
  <w:style w:type="paragraph" w:styleId="35">
    <w:name w:val="Date"/>
    <w:basedOn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99"/>
    <w:pPr>
      <w:snapToGrid w:val="0"/>
    </w:pPr>
    <w:rPr>
      <w:rFonts w:ascii="Arial" w:hAnsi="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pPr>
    <w:rPr>
      <w:rFonts w:eastAsia="仿宋_GB2312"/>
      <w:kern w:val="0"/>
      <w:sz w:val="24"/>
      <w:szCs w:val="20"/>
    </w:rPr>
  </w:style>
  <w:style w:type="paragraph" w:styleId="43">
    <w:name w:val="toc 1"/>
    <w:basedOn w:val="1"/>
    <w:next w:val="1"/>
    <w:qFormat/>
    <w:uiPriority w:val="0"/>
  </w:style>
  <w:style w:type="paragraph" w:styleId="44">
    <w:name w:val="toc 4"/>
    <w:basedOn w:val="1"/>
    <w:qFormat/>
    <w:uiPriority w:val="0"/>
    <w:pPr>
      <w:ind w:left="1260" w:leftChars="600"/>
    </w:pPr>
  </w:style>
  <w:style w:type="paragraph" w:styleId="45">
    <w:name w:val="index heading"/>
    <w:basedOn w:val="1"/>
    <w:qFormat/>
    <w:uiPriority w:val="0"/>
    <w:pPr>
      <w:adjustRightInd/>
      <w:ind w:firstLine="200" w:firstLineChars="200"/>
    </w:pPr>
  </w:style>
  <w:style w:type="paragraph" w:styleId="46">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6"/>
    <w:link w:val="311"/>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6"/>
    <w:qFormat/>
    <w:uiPriority w:val="0"/>
    <w:pPr>
      <w:spacing w:line="360" w:lineRule="auto"/>
      <w:ind w:firstLine="420"/>
    </w:pPr>
    <w:rPr>
      <w:sz w:val="24"/>
      <w:szCs w:val="20"/>
    </w:rPr>
  </w:style>
  <w:style w:type="paragraph" w:styleId="53">
    <w:name w:val="index 7"/>
    <w:basedOn w:val="1"/>
    <w:semiHidden/>
    <w:qFormat/>
    <w:uiPriority w:val="99"/>
    <w:pPr>
      <w:ind w:left="1200" w:leftChars="1200"/>
    </w:pPr>
  </w:style>
  <w:style w:type="paragraph" w:styleId="54">
    <w:name w:val="toc 2"/>
    <w:basedOn w:val="1"/>
    <w:qFormat/>
    <w:uiPriority w:val="0"/>
    <w:pPr>
      <w:ind w:left="420" w:leftChars="200"/>
    </w:pPr>
  </w:style>
  <w:style w:type="paragraph" w:styleId="55">
    <w:name w:val="toc 9"/>
    <w:basedOn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index 1"/>
    <w:basedOn w:val="1"/>
    <w:qFormat/>
    <w:uiPriority w:val="0"/>
    <w:pPr>
      <w:adjustRightInd/>
      <w:spacing w:line="360" w:lineRule="auto"/>
      <w:ind w:firstLine="200" w:firstLineChars="200"/>
      <w:jc w:val="center"/>
    </w:pPr>
    <w:rPr>
      <w:sz w:val="24"/>
      <w:szCs w:val="20"/>
    </w:rPr>
  </w:style>
  <w:style w:type="paragraph" w:styleId="60">
    <w:name w:val="Title"/>
    <w:basedOn w:val="1"/>
    <w:link w:val="287"/>
    <w:qFormat/>
    <w:uiPriority w:val="10"/>
    <w:pPr>
      <w:widowControl/>
      <w:overflowPunct w:val="0"/>
      <w:autoSpaceDE w:val="0"/>
      <w:autoSpaceDN w:val="0"/>
      <w:jc w:val="center"/>
    </w:pPr>
    <w:rPr>
      <w:b/>
      <w:kern w:val="0"/>
      <w:sz w:val="24"/>
      <w:szCs w:val="20"/>
      <w:lang w:val="en-GB"/>
    </w:rPr>
  </w:style>
  <w:style w:type="paragraph" w:styleId="61">
    <w:name w:val="annotation subject"/>
    <w:basedOn w:val="20"/>
    <w:link w:val="99"/>
    <w:qFormat/>
    <w:uiPriority w:val="0"/>
    <w:rPr>
      <w:b/>
      <w:bCs/>
    </w:rPr>
  </w:style>
  <w:style w:type="paragraph" w:styleId="62">
    <w:name w:val="Body Text First Indent"/>
    <w:basedOn w:val="1"/>
    <w:link w:val="322"/>
    <w:qFormat/>
    <w:uiPriority w:val="0"/>
    <w:pPr>
      <w:ind w:firstLine="420"/>
    </w:pPr>
    <w:rPr>
      <w:rFonts w:hAnsi="Calibri"/>
      <w:szCs w:val="20"/>
    </w:rPr>
  </w:style>
  <w:style w:type="paragraph" w:styleId="63">
    <w:name w:val="Body Text First Indent 2"/>
    <w:basedOn w:val="2"/>
    <w:next w:val="1"/>
    <w:link w:val="124"/>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kern w:val="0"/>
      <w:szCs w:val="21"/>
    </w:rPr>
  </w:style>
  <w:style w:type="character" w:styleId="75">
    <w:name w:val="FollowedHyperlink"/>
    <w:qFormat/>
    <w:uiPriority w:val="99"/>
    <w:rPr>
      <w:rFonts w:ascii="Arial" w:hAnsi="Arial" w:eastAsia="黑体" w:cs="Arial"/>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kern w:val="0"/>
      <w:szCs w:val="21"/>
    </w:rPr>
  </w:style>
  <w:style w:type="character" w:styleId="78">
    <w:name w:val="Hyperlink"/>
    <w:qFormat/>
    <w:uiPriority w:val="99"/>
    <w:rPr>
      <w:rFonts w:ascii="Arial" w:hAnsi="Arial" w:eastAsia="黑体" w:cs="Arial"/>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HTML Sample"/>
    <w:basedOn w:val="71"/>
    <w:qFormat/>
    <w:uiPriority w:val="0"/>
    <w:rPr>
      <w:rFonts w:ascii="Courier New" w:hAnsi="Courier New"/>
    </w:rPr>
  </w:style>
  <w:style w:type="paragraph" w:customStyle="1" w:styleId="82">
    <w:name w:val="无间隔1"/>
    <w:next w:val="17"/>
    <w:link w:val="142"/>
    <w:qFormat/>
    <w:uiPriority w:val="1"/>
    <w:rPr>
      <w:rFonts w:ascii="Times New Roman" w:hAnsi="Times New Roman" w:eastAsia="宋体" w:cs="Times New Roman"/>
      <w:sz w:val="22"/>
      <w:szCs w:val="22"/>
      <w:lang w:val="en-US" w:eastAsia="zh-CN" w:bidi="ar-SA"/>
    </w:rPr>
  </w:style>
  <w:style w:type="paragraph" w:customStyle="1" w:styleId="83">
    <w:name w:val="Default"/>
    <w:next w:val="84"/>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字符"/>
    <w:link w:val="61"/>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uiPriority w:val="0"/>
    <w:rPr>
      <w:rFonts w:ascii="Calibri" w:hAnsi="Calibri" w:eastAsia="宋体" w:cs="黑体"/>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字符"/>
    <w:link w:val="63"/>
    <w:qFormat/>
    <w:uiPriority w:val="0"/>
    <w:rPr>
      <w:rFonts w:ascii="宋体" w:hAnsi="宋体"/>
      <w:kern w:val="2"/>
      <w:sz w:val="21"/>
      <w:szCs w:val="24"/>
    </w:rPr>
  </w:style>
  <w:style w:type="character" w:customStyle="1" w:styleId="125">
    <w:name w:val="font11"/>
    <w:basedOn w:val="7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color w:val="000000"/>
      <w:kern w:val="28"/>
      <w:sz w:val="28"/>
    </w:rPr>
  </w:style>
  <w:style w:type="character" w:customStyle="1" w:styleId="127">
    <w:name w:val="blue1"/>
    <w:basedOn w:val="71"/>
    <w:qFormat/>
    <w:uiPriority w:val="0"/>
    <w:rPr>
      <w:rFonts w:ascii="Arial" w:hAnsi="Arial" w:eastAsia="黑体" w:cs="Arial"/>
      <w:kern w:val="0"/>
      <w:szCs w:val="21"/>
    </w:rPr>
  </w:style>
  <w:style w:type="character" w:customStyle="1" w:styleId="128">
    <w:name w:val="纯文本 字符1"/>
    <w:link w:val="32"/>
    <w:qFormat/>
    <w:uiPriority w:val="0"/>
    <w:rPr>
      <w:rFonts w:ascii="宋体" w:hAnsi="Courier New" w:eastAsia="宋体" w:cs="Arial"/>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字符"/>
    <w:link w:val="46"/>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82"/>
    <w:qFormat/>
    <w:uiPriority w:val="1"/>
    <w:rPr>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basedOn w:val="71"/>
    <w:qFormat/>
    <w:uiPriority w:val="0"/>
    <w:rPr>
      <w:rFonts w:hint="eastAsia" w:ascii="仿宋_GB2312" w:eastAsia="仿宋_GB2312" w:cs="仿宋_GB2312"/>
      <w:color w:val="000000"/>
      <w:sz w:val="22"/>
      <w:szCs w:val="22"/>
      <w:u w:val="none"/>
    </w:rPr>
  </w:style>
  <w:style w:type="character" w:customStyle="1" w:styleId="149">
    <w:name w:val="标题 6 字符"/>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pacing w:before="240" w:after="240" w:line="240" w:lineRule="auto"/>
      <w:jc w:val="center"/>
    </w:pPr>
    <w:rPr>
      <w:rFonts w:ascii="Calibri" w:hAnsi="Calibri"/>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5"/>
    <w:qFormat/>
    <w:uiPriority w:val="0"/>
    <w:rPr>
      <w:rFonts w:ascii="宋体"/>
      <w:kern w:val="2"/>
      <w:sz w:val="24"/>
      <w:szCs w:val="21"/>
      <w:lang w:val="zh-CN"/>
    </w:rPr>
  </w:style>
  <w:style w:type="character" w:customStyle="1" w:styleId="184">
    <w:name w:val="标题 9 字符"/>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字符1"/>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16"/>
    <w:qFormat/>
    <w:uiPriority w:val="0"/>
    <w:rPr>
      <w:rFonts w:ascii="宋体" w:eastAsia="宋体"/>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kern w:val="2"/>
      <w:sz w:val="21"/>
      <w:szCs w:val="21"/>
      <w:lang w:val="en-US" w:eastAsia="zh-CN" w:bidi="ar-SA"/>
    </w:rPr>
  </w:style>
  <w:style w:type="character" w:customStyle="1" w:styleId="200">
    <w:name w:val="3级 Char"/>
    <w:link w:val="201"/>
    <w:qFormat/>
    <w:uiPriority w:val="0"/>
    <w:rPr>
      <w:rFonts w:ascii="宋体" w:hAnsi="宋体"/>
      <w:b/>
      <w:bCs/>
      <w:sz w:val="28"/>
    </w:rPr>
  </w:style>
  <w:style w:type="paragraph" w:customStyle="1" w:styleId="201">
    <w:name w:val="3级"/>
    <w:basedOn w:val="202"/>
    <w:link w:val="200"/>
    <w:qFormat/>
    <w:uiPriority w:val="0"/>
    <w:pPr>
      <w:ind w:left="0" w:right="466" w:firstLine="288"/>
    </w:pPr>
    <w:rPr>
      <w:rFonts w:hAnsi="宋体"/>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ind w:left="851" w:right="407" w:rightChars="194" w:hanging="851"/>
    </w:pPr>
    <w:rPr>
      <w:rFonts w:hAnsi="Arial"/>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left" w:pos="851"/>
        <w:tab w:val="clear" w:pos="864"/>
      </w:tabs>
      <w:adjustRightInd/>
      <w:spacing w:line="376" w:lineRule="atLeast"/>
      <w:ind w:left="851" w:hanging="851"/>
    </w:pPr>
    <w:rPr>
      <w:rFonts w:ascii="Cambria" w:hAnsi="Cambria"/>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3"/>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rFonts w:eastAsia="宋体"/>
      <w:b/>
      <w:bCs/>
      <w:kern w:val="44"/>
      <w:sz w:val="36"/>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left" w:pos="2356"/>
        <w:tab w:val="clear" w:pos="864"/>
      </w:tabs>
      <w:adjustRightInd/>
      <w:ind w:left="1984" w:leftChars="75" w:hanging="708" w:firstLineChars="200"/>
    </w:pPr>
    <w:rPr>
      <w:rFonts w:ascii="微软雅黑" w:hAnsi="微软雅黑" w:eastAsia="微软雅黑"/>
    </w:rPr>
  </w:style>
  <w:style w:type="character" w:customStyle="1" w:styleId="307">
    <w:name w:val="正文非缩进 Char"/>
    <w:qFormat/>
    <w:uiPriority w:val="0"/>
    <w:rPr>
      <w:rFonts w:ascii="宋体" w:eastAsia="宋体"/>
      <w:color w:val="000000"/>
      <w:kern w:val="28"/>
      <w:sz w:val="28"/>
      <w:lang w:val="en-US" w:eastAsia="zh-CN" w:bidi="ar-SA"/>
    </w:rPr>
  </w:style>
  <w:style w:type="character" w:customStyle="1" w:styleId="308">
    <w:name w:val="标题 7 字符"/>
    <w:link w:val="9"/>
    <w:qFormat/>
    <w:uiPriority w:val="0"/>
    <w:rPr>
      <w:b/>
      <w:bCs/>
      <w:kern w:val="2"/>
      <w:sz w:val="24"/>
      <w:szCs w:val="24"/>
    </w:rPr>
  </w:style>
  <w:style w:type="character" w:customStyle="1" w:styleId="309">
    <w:name w:val="正文文本缩进 2 字符"/>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49"/>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color w:val="000000"/>
      <w:kern w:val="28"/>
      <w:sz w:val="28"/>
      <w:lang w:val="en-US" w:eastAsia="zh-CN" w:bidi="ar-SA"/>
    </w:rPr>
  </w:style>
  <w:style w:type="character" w:customStyle="1" w:styleId="314">
    <w:name w:val="正文缩进 Char1"/>
    <w:qFormat/>
    <w:uiPriority w:val="0"/>
    <w:rPr>
      <w:rFonts w:ascii="宋体" w:eastAsia="宋体"/>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字符"/>
    <w:link w:val="6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宋体" w:hAnsi="宋体" w:eastAsia="宋体"/>
      <w:b/>
      <w:bCs/>
      <w:kern w:val="2"/>
      <w:sz w:val="24"/>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basedOn w:val="7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2"/>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39"/>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kern w:val="44"/>
      <w:sz w:val="44"/>
      <w:szCs w:val="44"/>
    </w:rPr>
  </w:style>
  <w:style w:type="character" w:customStyle="1" w:styleId="422">
    <w:name w:val="style36"/>
    <w:basedOn w:val="71"/>
    <w:qFormat/>
    <w:uiPriority w:val="0"/>
    <w:rPr>
      <w:rFonts w:ascii="Arial" w:hAnsi="Arial" w:eastAsia="黑体" w:cs="Arial"/>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6"/>
    <w:link w:val="429"/>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正文文本 字符"/>
    <w:link w:val="24"/>
    <w:qFormat/>
    <w:uiPriority w:val="0"/>
    <w:rPr>
      <w:rFonts w:ascii="宋体" w:hAnsi="Arial" w:eastAsia="宋体" w:cs="Arial"/>
      <w:kern w:val="2"/>
      <w:sz w:val="24"/>
      <w:szCs w:val="21"/>
      <w:lang w:val="zh-CN" w:eastAsia="zh-CN" w:bidi="ar-SA"/>
    </w:rPr>
  </w:style>
  <w:style w:type="character" w:customStyle="1" w:styleId="432">
    <w:name w:val="gray6"/>
    <w:basedOn w:val="71"/>
    <w:qFormat/>
    <w:uiPriority w:val="0"/>
    <w:rPr>
      <w:rFonts w:ascii="Arial" w:hAnsi="Arial" w:eastAsia="黑体" w:cs="Arial"/>
      <w:kern w:val="0"/>
      <w:szCs w:val="21"/>
    </w:rPr>
  </w:style>
  <w:style w:type="character" w:customStyle="1" w:styleId="433">
    <w:name w:val="hui"/>
    <w:basedOn w:val="71"/>
    <w:qFormat/>
    <w:uiPriority w:val="0"/>
    <w:rPr>
      <w:rFonts w:ascii="Arial" w:hAnsi="Arial" w:eastAsia="黑体" w:cs="Arial"/>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left" w:pos="840"/>
        <w:tab w:val="clear" w:pos="432"/>
      </w:tabs>
      <w:spacing w:before="156" w:beforeLines="50" w:after="60" w:line="300" w:lineRule="auto"/>
      <w:ind w:left="840" w:hanging="420"/>
    </w:pPr>
    <w:rPr>
      <w:rFonts w:ascii="Arial Narrow" w:hAnsi="Arial Narrow"/>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spacing w:before="360" w:after="360" w:line="240" w:lineRule="atLeast"/>
    </w:pPr>
    <w:rPr>
      <w:rFonts w:hAnsi="Arial"/>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unhideWhenUsed/>
    <w:qFormat/>
    <w:uiPriority w:val="0"/>
    <w:pPr>
      <w:widowControl/>
      <w:adjustRightInd/>
      <w:spacing w:before="480" w:line="276" w:lineRule="auto"/>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firstLine="200" w:firstLineChars="200"/>
      <w:jc w:val="both"/>
    </w:pPr>
    <w:rPr>
      <w:rFonts w:hAnsi="Cambria"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3"/>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3"/>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
    <w:qFormat/>
    <w:uiPriority w:val="0"/>
    <w:pPr>
      <w:widowControl/>
      <w:tabs>
        <w:tab w:val="left" w:pos="840"/>
      </w:tabs>
      <w:overflowPunct w:val="0"/>
      <w:autoSpaceDE w:val="0"/>
      <w:autoSpaceDN w:val="0"/>
      <w:spacing w:before="156" w:beforeLines="50" w:after="120" w:line="400" w:lineRule="exact"/>
      <w:ind w:left="200" w:leftChars="200" w:firstLine="200"/>
      <w:jc w:val="left"/>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kern w:val="0"/>
      <w:sz w:val="20"/>
      <w:szCs w:val="21"/>
    </w:rPr>
  </w:style>
  <w:style w:type="paragraph" w:customStyle="1" w:styleId="599">
    <w:name w:val="gjt_2"/>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pPr>
    <w:rPr>
      <w:kern w:val="0"/>
      <w:sz w:val="24"/>
      <w:szCs w:val="20"/>
    </w:rPr>
  </w:style>
  <w:style w:type="paragraph" w:customStyle="1" w:styleId="605">
    <w:name w:val="正文文字表格居中"/>
    <w:basedOn w:val="1"/>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pPr>
    <w:rPr>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pPr>
    <w:rPr>
      <w:rFonts w:eastAsia="Times New Roman"/>
      <w:kern w:val="0"/>
      <w:szCs w:val="20"/>
    </w:rPr>
  </w:style>
  <w:style w:type="paragraph" w:customStyle="1" w:styleId="612">
    <w:name w:val="标题2"/>
    <w:basedOn w:val="4"/>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rPr>
      <w:rFonts w:ascii="黑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pacing w:line="300" w:lineRule="auto"/>
    </w:pPr>
    <w:rPr>
      <w:rFonts w:ascii="Arial Narrow" w:hAnsi="Arial Narrow" w:eastAsia="仿宋_GB2312"/>
      <w:bCs w:val="0"/>
      <w:color w:val="000000"/>
      <w:kern w:val="0"/>
      <w:szCs w:val="32"/>
      <w:lang w:val="en-US"/>
    </w:rPr>
  </w:style>
  <w:style w:type="paragraph" w:customStyle="1" w:styleId="631">
    <w:name w:val="插图题注"/>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pPr>
    <w:rPr>
      <w:kern w:val="0"/>
      <w:sz w:val="24"/>
      <w:szCs w:val="20"/>
      <w:lang w:val="en-GB"/>
    </w:rPr>
  </w:style>
  <w:style w:type="paragraph" w:customStyle="1" w:styleId="640">
    <w:name w:val="正文表标题"/>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qFormat/>
    <w:uiPriority w:val="0"/>
    <w:pPr>
      <w:tabs>
        <w:tab w:val="left" w:pos="1260"/>
        <w:tab w:val="left" w:pos="1680"/>
        <w:tab w:val="left" w:pos="2100"/>
        <w:tab w:val="left" w:pos="2520"/>
      </w:tabs>
      <w:ind w:left="2520"/>
      <w:outlineLvl w:val="4"/>
    </w:pPr>
  </w:style>
  <w:style w:type="paragraph" w:customStyle="1" w:styleId="657">
    <w:name w:val="二级条标题"/>
    <w:basedOn w:val="658"/>
    <w:qFormat/>
    <w:uiPriority w:val="0"/>
    <w:pPr>
      <w:tabs>
        <w:tab w:val="left" w:pos="1260"/>
        <w:tab w:val="left" w:pos="1680"/>
        <w:tab w:val="left" w:pos="2100"/>
      </w:tabs>
      <w:ind w:left="0"/>
      <w:outlineLvl w:val="3"/>
    </w:pPr>
  </w:style>
  <w:style w:type="paragraph" w:customStyle="1" w:styleId="658">
    <w:name w:val="一级条标题"/>
    <w:basedOn w:val="659"/>
    <w:qFormat/>
    <w:uiPriority w:val="0"/>
    <w:pPr>
      <w:tabs>
        <w:tab w:val="left" w:pos="1260"/>
        <w:tab w:val="left" w:pos="1680"/>
      </w:tabs>
      <w:spacing w:before="0" w:beforeLines="0" w:after="0" w:afterLines="0"/>
      <w:ind w:left="1680"/>
      <w:outlineLvl w:val="2"/>
    </w:pPr>
  </w:style>
  <w:style w:type="paragraph" w:customStyle="1" w:styleId="659">
    <w:name w:val="章标题"/>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qFormat/>
    <w:uiPriority w:val="0"/>
    <w:pPr>
      <w:tabs>
        <w:tab w:val="left" w:pos="480"/>
      </w:tabs>
      <w:ind w:left="480" w:hanging="480"/>
    </w:pPr>
    <w:rPr>
      <w:rFonts w:ascii="Times New Roman"/>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after="100"/>
      <w:jc w:val="left"/>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line="240" w:lineRule="auto"/>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jc w:val="both"/>
    </w:pPr>
    <w:rPr>
      <w:rFonts w:hAnsi="Arial"/>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line="240" w:lineRule="auto"/>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kern w:val="0"/>
      <w:szCs w:val="21"/>
    </w:rPr>
  </w:style>
  <w:style w:type="paragraph" w:customStyle="1" w:styleId="735">
    <w:name w:val="Picture"/>
    <w:basedOn w:val="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pPr>
    <w:rPr>
      <w:kern w:val="0"/>
      <w:sz w:val="24"/>
      <w:szCs w:val="20"/>
      <w:lang w:val="en-GB"/>
    </w:rPr>
  </w:style>
  <w:style w:type="paragraph" w:customStyle="1" w:styleId="779">
    <w:name w:val="中文标题 3"/>
    <w:basedOn w:val="2"/>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qFormat/>
    <w:uiPriority w:val="0"/>
    <w:pPr>
      <w:tabs>
        <w:tab w:val="clear" w:pos="900"/>
      </w:tabs>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line="640" w:lineRule="exact"/>
      <w:ind w:left="431" w:hanging="431"/>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left" w:pos="0"/>
        <w:tab w:val="clear" w:pos="864"/>
      </w:tabs>
      <w:ind w:left="1"/>
    </w:pPr>
    <w:rPr>
      <w:rFonts w:eastAsia="仿宋_GB2312" w:cs="Arial"/>
      <w:b w:val="0"/>
      <w:bCs w:val="0"/>
      <w:color w:val="000000"/>
      <w:kern w:val="0"/>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ind w:firstLine="0"/>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pacing w:before="120" w:after="60" w:line="300" w:lineRule="auto"/>
    </w:pPr>
    <w:rPr>
      <w:rFonts w:ascii="Arial Narrow" w:hAnsi="Arial Narrow" w:eastAsia="仿宋_GB2312"/>
      <w:b w:val="0"/>
      <w:bCs w:val="0"/>
      <w:color w:val="000000"/>
      <w:kern w:val="0"/>
      <w:sz w:val="28"/>
    </w:rPr>
  </w:style>
  <w:style w:type="paragraph" w:customStyle="1" w:styleId="892">
    <w:name w:val="TOC 标题11"/>
    <w:basedOn w:val="3"/>
    <w:unhideWhenUsed/>
    <w:qFormat/>
    <w:uiPriority w:val="4"/>
    <w:pPr>
      <w:widowControl/>
      <w:adjustRightInd/>
      <w:spacing w:before="480" w:line="276" w:lineRule="auto"/>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qFormat/>
    <w:uiPriority w:val="0"/>
    <w:pPr>
      <w:tabs>
        <w:tab w:val="left" w:pos="1080"/>
      </w:tabs>
      <w:ind w:left="1080" w:hanging="1080"/>
    </w:pPr>
  </w:style>
  <w:style w:type="paragraph" w:customStyle="1" w:styleId="898">
    <w:name w:val="数字标题1"/>
    <w:basedOn w:val="3"/>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color w:val="0000FF"/>
      <w:kern w:val="0"/>
      <w:sz w:val="20"/>
      <w:szCs w:val="21"/>
      <w:u w:val="single"/>
      <w:lang w:val="en-US" w:eastAsia="zh-CN"/>
    </w:rPr>
  </w:style>
  <w:style w:type="character" w:customStyle="1" w:styleId="930">
    <w:name w:val="正文缩进 字符1"/>
    <w:qFormat/>
    <w:uiPriority w:val="0"/>
    <w:rPr>
      <w:rFonts w:ascii="宋体" w:eastAsia="宋体"/>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7"/>
    <w:qFormat/>
    <w:uiPriority w:val="0"/>
    <w:rPr>
      <w:kern w:val="2"/>
      <w:sz w:val="21"/>
      <w:szCs w:val="24"/>
      <w:lang w:val="zh-CN"/>
    </w:rPr>
  </w:style>
  <w:style w:type="character" w:customStyle="1" w:styleId="934">
    <w:name w:val="无间隔 字符"/>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kern w:val="0"/>
      <w:szCs w:val="21"/>
    </w:rPr>
  </w:style>
  <w:style w:type="character" w:customStyle="1" w:styleId="947">
    <w:name w:val="zbggtop11 style5"/>
    <w:qFormat/>
    <w:uiPriority w:val="0"/>
    <w:rPr>
      <w:rFonts w:ascii="Arial" w:hAnsi="Arial" w:eastAsia="黑体" w:cs="Arial"/>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basedOn w:val="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semiHidden/>
    <w:qFormat/>
    <w:uiPriority w:val="99"/>
    <w:rPr>
      <w:rFonts w:ascii="Times New Roman" w:hAnsi="Times New Roman" w:eastAsia="宋体" w:cs="Times New Roman"/>
      <w:kern w:val="2"/>
      <w:sz w:val="21"/>
      <w:szCs w:val="24"/>
      <w:lang w:val="en-US" w:eastAsia="zh-CN" w:bidi="ar-SA"/>
    </w:rPr>
  </w:style>
  <w:style w:type="character" w:customStyle="1" w:styleId="966">
    <w:name w:val="标题 2 字符1"/>
    <w:link w:val="4"/>
    <w:qFormat/>
    <w:uiPriority w:val="0"/>
    <w:rPr>
      <w:rFonts w:ascii="宋体" w:hAnsi="宋体" w:eastAsia="宋体"/>
      <w:b/>
      <w:bCs/>
      <w:sz w:val="24"/>
      <w:szCs w:val="32"/>
      <w:lang w:val="zh-CN"/>
    </w:rPr>
  </w:style>
  <w:style w:type="character" w:customStyle="1" w:styleId="967">
    <w:name w:val="标题 3 字符1"/>
    <w:link w:val="5"/>
    <w:qFormat/>
    <w:uiPriority w:val="0"/>
    <w:rPr>
      <w:rFonts w:ascii="宋体" w:hAnsi="宋体" w:eastAsia="宋体"/>
      <w:b/>
      <w:bCs/>
      <w:sz w:val="24"/>
      <w:szCs w:val="32"/>
    </w:rPr>
  </w:style>
  <w:style w:type="paragraph" w:customStyle="1" w:styleId="968">
    <w:name w:val="TOC 7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69">
    <w:name w:val="TOC 72"/>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970">
    <w:name w:val="列表段落2"/>
    <w:basedOn w:val="1"/>
    <w:qFormat/>
    <w:uiPriority w:val="99"/>
    <w:pPr>
      <w:ind w:firstLine="420"/>
    </w:pPr>
    <w:rPr>
      <w:szCs w:val="22"/>
    </w:rPr>
  </w:style>
  <w:style w:type="character" w:customStyle="1" w:styleId="971">
    <w:name w:val="font201"/>
    <w:basedOn w:val="71"/>
    <w:qFormat/>
    <w:uiPriority w:val="0"/>
    <w:rPr>
      <w:rFonts w:hint="eastAsia" w:ascii="宋体" w:hAnsi="宋体" w:eastAsia="宋体" w:cs="宋体"/>
      <w:color w:val="FF0000"/>
      <w:sz w:val="16"/>
      <w:szCs w:val="16"/>
      <w:u w:val="none"/>
    </w:rPr>
  </w:style>
  <w:style w:type="character" w:customStyle="1" w:styleId="972">
    <w:name w:val="font211"/>
    <w:basedOn w:val="71"/>
    <w:qFormat/>
    <w:uiPriority w:val="0"/>
    <w:rPr>
      <w:rFonts w:hint="eastAsia" w:ascii="宋体" w:hAnsi="宋体" w:eastAsia="宋体" w:cs="宋体"/>
      <w:color w:val="000000"/>
      <w:sz w:val="22"/>
      <w:szCs w:val="22"/>
      <w:u w:val="none"/>
    </w:rPr>
  </w:style>
  <w:style w:type="paragraph" w:customStyle="1" w:styleId="973">
    <w:name w:val="图"/>
    <w:basedOn w:val="1"/>
    <w:qFormat/>
    <w:uiPriority w:val="0"/>
    <w:pPr>
      <w:keepNext/>
      <w:spacing w:before="60" w:after="60" w:line="300" w:lineRule="auto"/>
      <w:jc w:val="center"/>
    </w:pPr>
    <w:rPr>
      <w:spacing w:val="20"/>
      <w:kern w:val="0"/>
      <w:sz w:val="24"/>
      <w:szCs w:val="20"/>
    </w:rPr>
  </w:style>
  <w:style w:type="character" w:customStyle="1" w:styleId="974">
    <w:name w:val="titleb1"/>
    <w:autoRedefine/>
    <w:qFormat/>
    <w:uiPriority w:val="0"/>
    <w:rPr>
      <w:b/>
      <w:bCs/>
      <w:sz w:val="18"/>
      <w:szCs w:val="18"/>
    </w:rPr>
  </w:style>
  <w:style w:type="character" w:customStyle="1" w:styleId="975">
    <w:name w:val="NormalCharacter"/>
    <w:autoRedefine/>
    <w:semiHidden/>
    <w:qFormat/>
    <w:uiPriority w:val="0"/>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3080</Words>
  <Characters>3531</Characters>
  <Lines>504</Lines>
  <Paragraphs>142</Paragraphs>
  <TotalTime>0</TotalTime>
  <ScaleCrop>false</ScaleCrop>
  <LinksUpToDate>false</LinksUpToDate>
  <CharactersWithSpaces>3609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繁华终易逝</cp:lastModifiedBy>
  <dcterms:modified xsi:type="dcterms:W3CDTF">2025-07-14T14:43:15Z</dcterms:modified>
  <dc:title>杭州市市民卡扩大发卡工程</dc:title>
  <cp:revision>371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68D54D0B633C451BAC8DBC2A68CAC642_13</vt:lpwstr>
  </property>
  <property fmtid="{D5CDD505-2E9C-101B-9397-08002B2CF9AE}" pid="5" name="KSOTemplateDocerSaveRecord">
    <vt:lpwstr>eyJoZGlkIjoiMWJkNjM2NmU4MmEzYzg1MDY4MjMzNTY1YjQwMzhkMTYiLCJ1c2VySWQiOiIzNTc0MjA0ODEifQ==</vt:lpwstr>
  </property>
</Properties>
</file>