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250CB">
      <w:pPr>
        <w:bidi w:val="0"/>
        <w:rPr>
          <w:color w:val="auto"/>
          <w:highlight w:val="none"/>
        </w:rPr>
      </w:pPr>
    </w:p>
    <w:p w14:paraId="7E214162">
      <w:pPr>
        <w:bidi w:val="0"/>
        <w:rPr>
          <w:color w:val="auto"/>
          <w:highlight w:val="none"/>
        </w:rPr>
      </w:pPr>
    </w:p>
    <w:p w14:paraId="1799B672">
      <w:pPr>
        <w:bidi w:val="0"/>
        <w:rPr>
          <w:color w:val="auto"/>
          <w:highlight w:val="none"/>
        </w:rPr>
      </w:pPr>
    </w:p>
    <w:p w14:paraId="755F5498">
      <w:pPr>
        <w:rPr>
          <w:color w:val="auto"/>
          <w:highlight w:val="none"/>
        </w:rPr>
      </w:pPr>
    </w:p>
    <w:p w14:paraId="005362BE">
      <w:pPr>
        <w:bidi w:val="0"/>
        <w:rPr>
          <w:color w:val="auto"/>
          <w:highlight w:val="none"/>
        </w:rPr>
      </w:pPr>
    </w:p>
    <w:p w14:paraId="0351CE1A">
      <w:pPr>
        <w:rPr>
          <w:color w:val="auto"/>
          <w:highlight w:val="none"/>
        </w:rPr>
      </w:pPr>
    </w:p>
    <w:p w14:paraId="7A3000F3">
      <w:pPr>
        <w:pStyle w:val="44"/>
        <w:rPr>
          <w:rFonts w:ascii="宋体" w:hAnsi="宋体" w:cs="宋体"/>
          <w:color w:val="auto"/>
          <w:highlight w:val="none"/>
        </w:rPr>
      </w:pPr>
    </w:p>
    <w:p w14:paraId="3BB5F2D3">
      <w:pPr>
        <w:adjustRightInd/>
        <w:spacing w:line="360" w:lineRule="auto"/>
        <w:jc w:val="center"/>
        <w:outlineLvl w:val="0"/>
        <w:rPr>
          <w:rFonts w:hint="eastAsia" w:ascii="宋体" w:hAnsi="宋体" w:eastAsia="宋体" w:cs="宋体"/>
          <w:color w:val="auto"/>
          <w:sz w:val="44"/>
          <w:szCs w:val="44"/>
          <w:highlight w:val="none"/>
          <w:lang w:eastAsia="zh-CN"/>
        </w:rPr>
      </w:pPr>
      <w:r>
        <w:rPr>
          <w:rFonts w:hint="eastAsia" w:ascii="宋体" w:hAnsi="宋体" w:cs="宋体"/>
          <w:color w:val="auto"/>
          <w:sz w:val="44"/>
          <w:szCs w:val="44"/>
          <w:highlight w:val="none"/>
          <w:lang w:eastAsia="zh-CN"/>
        </w:rPr>
        <w:t>浙江同济科技职业学院</w:t>
      </w:r>
    </w:p>
    <w:p w14:paraId="7D9D079C">
      <w:pPr>
        <w:adjustRightInd/>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lang w:eastAsia="zh-CN"/>
        </w:rPr>
        <w:t>图书馆家具利旧翻新（含部分搬运）</w:t>
      </w:r>
    </w:p>
    <w:p w14:paraId="1E62E1F1">
      <w:pPr>
        <w:adjustRightInd/>
        <w:spacing w:line="360" w:lineRule="auto"/>
        <w:jc w:val="center"/>
        <w:rPr>
          <w:rFonts w:ascii="宋体" w:hAnsi="宋体" w:cs="宋体"/>
          <w:color w:val="auto"/>
          <w:sz w:val="48"/>
          <w:szCs w:val="48"/>
          <w:highlight w:val="none"/>
        </w:rPr>
      </w:pPr>
    </w:p>
    <w:p w14:paraId="4D8F7C2C">
      <w:pPr>
        <w:rPr>
          <w:rFonts w:ascii="宋体" w:hAnsi="宋体" w:cs="宋体"/>
          <w:color w:val="auto"/>
          <w:highlight w:val="none"/>
        </w:rPr>
      </w:pPr>
    </w:p>
    <w:p w14:paraId="4CF4CAE0">
      <w:pPr>
        <w:rPr>
          <w:rFonts w:ascii="宋体" w:hAnsi="宋体" w:cs="宋体"/>
          <w:color w:val="auto"/>
          <w:highlight w:val="none"/>
        </w:rPr>
      </w:pPr>
    </w:p>
    <w:p w14:paraId="26F989F5">
      <w:pPr>
        <w:adjustRightInd/>
        <w:spacing w:line="360" w:lineRule="auto"/>
        <w:jc w:val="center"/>
        <w:outlineLvl w:val="0"/>
        <w:rPr>
          <w:rFonts w:ascii="宋体" w:hAnsi="宋体" w:cs="宋体"/>
          <w:color w:val="auto"/>
          <w:sz w:val="48"/>
          <w:szCs w:val="48"/>
          <w:highlight w:val="none"/>
        </w:rPr>
      </w:pPr>
      <w:bookmarkStart w:id="0" w:name="_Toc25568"/>
      <w:r>
        <w:rPr>
          <w:rFonts w:hint="eastAsia" w:ascii="宋体" w:hAnsi="宋体" w:cs="宋体"/>
          <w:color w:val="auto"/>
          <w:sz w:val="48"/>
          <w:szCs w:val="48"/>
          <w:highlight w:val="none"/>
        </w:rPr>
        <w:t>竞争性磋商文件</w:t>
      </w:r>
      <w:bookmarkEnd w:id="0"/>
    </w:p>
    <w:p w14:paraId="05BEA634">
      <w:pPr>
        <w:adjustRightInd/>
        <w:spacing w:line="360" w:lineRule="auto"/>
        <w:jc w:val="center"/>
        <w:outlineLvl w:val="0"/>
        <w:rPr>
          <w:rFonts w:hint="eastAsia" w:ascii="宋体" w:hAnsi="宋体" w:eastAsia="宋体" w:cs="宋体"/>
          <w:b/>
          <w:color w:val="auto"/>
          <w:sz w:val="44"/>
          <w:szCs w:val="44"/>
          <w:highlight w:val="none"/>
          <w:lang w:eastAsia="zh-CN"/>
        </w:rPr>
      </w:pPr>
      <w:bookmarkStart w:id="1" w:name="_Toc24822"/>
      <w:r>
        <w:rPr>
          <w:rFonts w:hint="eastAsia" w:ascii="宋体" w:hAnsi="宋体" w:cs="宋体"/>
          <w:b/>
          <w:color w:val="auto"/>
          <w:sz w:val="44"/>
          <w:szCs w:val="44"/>
          <w:highlight w:val="none"/>
        </w:rPr>
        <w:t>（电子交易）</w:t>
      </w:r>
      <w:bookmarkEnd w:id="1"/>
    </w:p>
    <w:p w14:paraId="62125E28">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rPr>
        <w:t>编号:</w:t>
      </w:r>
      <w:bookmarkStart w:id="432" w:name="_GoBack"/>
      <w:r>
        <w:rPr>
          <w:rFonts w:hint="eastAsia" w:ascii="宋体" w:hAnsi="宋体" w:cs="宋体"/>
          <w:color w:val="auto"/>
          <w:sz w:val="32"/>
          <w:szCs w:val="32"/>
          <w:highlight w:val="none"/>
          <w:lang w:eastAsia="zh-CN"/>
        </w:rPr>
        <w:t>ZXZB-TJ-2025011C</w:t>
      </w:r>
      <w:bookmarkEnd w:id="432"/>
    </w:p>
    <w:p w14:paraId="369039C3">
      <w:pPr>
        <w:spacing w:line="360" w:lineRule="auto"/>
        <w:rPr>
          <w:rFonts w:ascii="宋体" w:hAnsi="宋体" w:cs="宋体"/>
          <w:b/>
          <w:color w:val="auto"/>
          <w:sz w:val="44"/>
          <w:szCs w:val="44"/>
          <w:highlight w:val="none"/>
        </w:rPr>
      </w:pPr>
    </w:p>
    <w:p w14:paraId="47A36D04">
      <w:pPr>
        <w:spacing w:line="360" w:lineRule="auto"/>
        <w:jc w:val="center"/>
        <w:rPr>
          <w:rFonts w:ascii="宋体" w:hAnsi="宋体" w:cs="宋体"/>
          <w:b/>
          <w:color w:val="auto"/>
          <w:sz w:val="44"/>
          <w:szCs w:val="44"/>
          <w:highlight w:val="none"/>
        </w:rPr>
      </w:pPr>
    </w:p>
    <w:p w14:paraId="013AD93A">
      <w:pPr>
        <w:spacing w:line="360" w:lineRule="auto"/>
        <w:jc w:val="center"/>
        <w:rPr>
          <w:rFonts w:ascii="宋体" w:hAnsi="宋体" w:cs="宋体"/>
          <w:color w:val="auto"/>
          <w:sz w:val="24"/>
          <w:highlight w:val="none"/>
        </w:rPr>
      </w:pPr>
    </w:p>
    <w:p w14:paraId="2D2E48B7">
      <w:pPr>
        <w:spacing w:line="360" w:lineRule="auto"/>
        <w:jc w:val="center"/>
        <w:rPr>
          <w:rFonts w:ascii="宋体" w:hAnsi="宋体" w:cs="宋体"/>
          <w:color w:val="auto"/>
          <w:sz w:val="24"/>
          <w:highlight w:val="none"/>
        </w:rPr>
      </w:pPr>
    </w:p>
    <w:p w14:paraId="65B21454">
      <w:pPr>
        <w:snapToGrid w:val="0"/>
        <w:spacing w:line="360" w:lineRule="auto"/>
        <w:jc w:val="center"/>
        <w:outlineLvl w:val="0"/>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浙江同济科技职业学院</w:t>
      </w:r>
    </w:p>
    <w:p w14:paraId="2A17E2FA">
      <w:pPr>
        <w:spacing w:line="360" w:lineRule="auto"/>
        <w:jc w:val="center"/>
        <w:outlineLvl w:val="0"/>
        <w:rPr>
          <w:rFonts w:ascii="宋体" w:hAnsi="宋体" w:cs="宋体"/>
          <w:bCs/>
          <w:color w:val="auto"/>
          <w:sz w:val="32"/>
          <w:szCs w:val="32"/>
          <w:highlight w:val="none"/>
        </w:rPr>
      </w:pPr>
      <w:bookmarkStart w:id="2" w:name="_Toc13527"/>
      <w:r>
        <w:rPr>
          <w:rFonts w:hint="eastAsia" w:ascii="宋体" w:hAnsi="宋体" w:cs="宋体"/>
          <w:bCs/>
          <w:color w:val="auto"/>
          <w:sz w:val="32"/>
          <w:szCs w:val="32"/>
          <w:highlight w:val="none"/>
        </w:rPr>
        <w:t>浙江致信招标代理有限公司</w:t>
      </w:r>
      <w:bookmarkEnd w:id="2"/>
    </w:p>
    <w:p w14:paraId="74A9C74E">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cs="宋体"/>
          <w:bCs/>
          <w:color w:val="auto"/>
          <w:sz w:val="32"/>
          <w:szCs w:val="32"/>
          <w:highlight w:val="none"/>
        </w:rPr>
        <w:t>月</w:t>
      </w:r>
    </w:p>
    <w:p w14:paraId="7ACFA78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3" w:name="_Hlt67893495"/>
      <w:bookmarkEnd w:id="3"/>
    </w:p>
    <w:sdt>
      <w:sdtPr>
        <w:rPr>
          <w:rFonts w:ascii="宋体" w:hAnsi="宋体" w:eastAsia="宋体" w:cs="Times New Roman"/>
          <w:color w:val="auto"/>
          <w:kern w:val="2"/>
          <w:szCs w:val="24"/>
          <w:highlight w:val="none"/>
          <w:lang w:val="en-US" w:eastAsia="zh-CN" w:bidi="ar-SA"/>
        </w:rPr>
        <w:id w:val="147470947"/>
        <w15:color w:val="DBDBDB"/>
        <w:docPartObj>
          <w:docPartGallery w:val="Table of Contents"/>
          <w:docPartUnique/>
        </w:docPartObj>
      </w:sdtPr>
      <w:sdtEndPr>
        <w:rPr>
          <w:rFonts w:ascii="宋体" w:hAnsi="宋体" w:eastAsia="宋体" w:cs="宋体"/>
          <w:color w:val="auto"/>
          <w:kern w:val="2"/>
          <w:sz w:val="21"/>
          <w:szCs w:val="32"/>
          <w:highlight w:val="none"/>
          <w:lang w:val="en-US" w:eastAsia="zh-CN" w:bidi="ar-SA"/>
        </w:rPr>
      </w:sdtEndPr>
      <w:sdtContent>
        <w:p w14:paraId="75A61609">
          <w:pPr>
            <w:bidi w:val="0"/>
            <w:rPr>
              <w:color w:val="auto"/>
              <w:highlight w:val="none"/>
              <w:lang w:val="en-US" w:eastAsia="zh-CN"/>
            </w:rPr>
          </w:pPr>
        </w:p>
        <w:p w14:paraId="67C87A2F">
          <w:pPr>
            <w:bidi w:val="0"/>
            <w:rPr>
              <w:color w:val="auto"/>
              <w:highlight w:val="none"/>
              <w:lang w:val="en-US" w:eastAsia="zh-CN"/>
            </w:rPr>
          </w:pPr>
        </w:p>
        <w:p w14:paraId="2EB850E0">
          <w:pPr>
            <w:spacing w:before="0" w:beforeLines="0" w:after="0" w:afterLines="0" w:line="240" w:lineRule="auto"/>
            <w:ind w:left="0" w:leftChars="0" w:right="0" w:rightChars="0" w:firstLine="0" w:firstLineChars="0"/>
            <w:jc w:val="center"/>
            <w:rPr>
              <w:b/>
              <w:bCs/>
              <w:color w:val="auto"/>
              <w:sz w:val="40"/>
              <w:szCs w:val="48"/>
              <w:highlight w:val="none"/>
            </w:rPr>
          </w:pPr>
          <w:r>
            <w:rPr>
              <w:rFonts w:ascii="宋体" w:hAnsi="宋体" w:eastAsia="宋体"/>
              <w:b/>
              <w:bCs/>
              <w:color w:val="auto"/>
              <w:sz w:val="40"/>
              <w:szCs w:val="48"/>
              <w:highlight w:val="none"/>
            </w:rPr>
            <w:t>目</w:t>
          </w:r>
          <w:r>
            <w:rPr>
              <w:rFonts w:hint="eastAsia" w:ascii="宋体" w:hAnsi="宋体" w:eastAsia="宋体"/>
              <w:b/>
              <w:bCs/>
              <w:color w:val="auto"/>
              <w:sz w:val="40"/>
              <w:szCs w:val="48"/>
              <w:highlight w:val="none"/>
              <w:lang w:val="en-US" w:eastAsia="zh-CN"/>
            </w:rPr>
            <w:t xml:space="preserve"> </w:t>
          </w:r>
          <w:r>
            <w:rPr>
              <w:rFonts w:ascii="宋体" w:hAnsi="宋体" w:eastAsia="宋体"/>
              <w:b/>
              <w:bCs/>
              <w:color w:val="auto"/>
              <w:sz w:val="40"/>
              <w:szCs w:val="48"/>
              <w:highlight w:val="none"/>
            </w:rPr>
            <w:t>录</w:t>
          </w:r>
        </w:p>
        <w:p w14:paraId="17E39CE7">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ascii="宋体" w:hAnsi="宋体" w:cs="宋体"/>
              <w:color w:val="auto"/>
              <w:sz w:val="32"/>
              <w:szCs w:val="32"/>
              <w:highlight w:val="none"/>
            </w:rPr>
            <w:fldChar w:fldCharType="begin"/>
          </w:r>
          <w:r>
            <w:rPr>
              <w:rFonts w:ascii="宋体" w:hAnsi="宋体" w:cs="宋体"/>
              <w:color w:val="auto"/>
              <w:sz w:val="32"/>
              <w:szCs w:val="32"/>
              <w:highlight w:val="none"/>
            </w:rPr>
            <w:instrText xml:space="preserve">TOC \o "1-1" \h \u </w:instrText>
          </w:r>
          <w:r>
            <w:rPr>
              <w:rFonts w:ascii="宋体" w:hAnsi="宋体" w:cs="宋体"/>
              <w:color w:val="auto"/>
              <w:sz w:val="32"/>
              <w:szCs w:val="32"/>
              <w:highlight w:val="none"/>
            </w:rPr>
            <w:fldChar w:fldCharType="separate"/>
          </w:r>
        </w:p>
        <w:p w14:paraId="0E332D02">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_Toc17429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第一部分 竞争性磋商公告</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_Toc17429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3</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384FFF4E">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_Toc8751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第二部分 供应商须知</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_Toc8751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7</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13EAF467">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_Toc12756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第三部分 采购需求</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_Toc12756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24</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4DB03663">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_Toc23741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第四部分 评审办法</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_Toc23741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32</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67D8B4C4">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_Toc10403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第五部分 拟签订的合同文本</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_Toc10403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38</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6294B7FA">
          <w:pPr>
            <w:pStyle w:val="968"/>
            <w:keepNext w:val="0"/>
            <w:keepLines w:val="0"/>
            <w:pageBreakBefore w:val="0"/>
            <w:widowControl/>
            <w:tabs>
              <w:tab w:val="right" w:leader="dot" w:pos="974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_Toc5140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第六部分</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应提交的有关格式范例</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_Toc5140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47</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064BCAB9">
          <w:pPr>
            <w:pStyle w:val="968"/>
            <w:tabs>
              <w:tab w:val="right" w:leader="dot" w:pos="9746"/>
            </w:tabs>
            <w:rPr>
              <w:color w:val="auto"/>
              <w:highlight w:val="none"/>
            </w:rPr>
          </w:pPr>
        </w:p>
        <w:p w14:paraId="5A5234CE">
          <w:pPr>
            <w:spacing w:line="360" w:lineRule="auto"/>
            <w:ind w:firstLine="840" w:firstLineChars="400"/>
            <w:rPr>
              <w:rFonts w:ascii="宋体" w:hAnsi="宋体" w:cs="宋体"/>
              <w:color w:val="auto"/>
              <w:sz w:val="24"/>
              <w:highlight w:val="none"/>
            </w:rPr>
          </w:pPr>
          <w:r>
            <w:rPr>
              <w:rFonts w:ascii="宋体" w:hAnsi="宋体" w:cs="宋体"/>
              <w:color w:val="auto"/>
              <w:szCs w:val="32"/>
              <w:highlight w:val="none"/>
            </w:rPr>
            <w:fldChar w:fldCharType="end"/>
          </w:r>
          <w:bookmarkStart w:id="4" w:name="_Hlt91233176"/>
          <w:bookmarkEnd w:id="4"/>
          <w:bookmarkStart w:id="5" w:name="_Toc91899869"/>
        </w:p>
      </w:sdtContent>
    </w:sdt>
    <w:p w14:paraId="0D2CB162">
      <w:pPr>
        <w:spacing w:line="360" w:lineRule="auto"/>
        <w:rPr>
          <w:rFonts w:ascii="宋体" w:hAnsi="宋体" w:cs="宋体"/>
          <w:color w:val="auto"/>
          <w:sz w:val="24"/>
          <w:highlight w:val="none"/>
        </w:rPr>
      </w:pPr>
    </w:p>
    <w:bookmarkEnd w:id="5"/>
    <w:p w14:paraId="23A4175B">
      <w:pPr>
        <w:adjustRightInd/>
        <w:spacing w:line="360" w:lineRule="auto"/>
        <w:jc w:val="center"/>
        <w:outlineLvl w:val="0"/>
        <w:rPr>
          <w:rFonts w:hint="eastAsia" w:ascii="宋体" w:hAnsi="宋体" w:cs="宋体"/>
          <w:b/>
          <w:color w:val="auto"/>
          <w:sz w:val="36"/>
          <w:szCs w:val="20"/>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bookmarkStart w:id="6" w:name="_Hlt74649545"/>
      <w:bookmarkEnd w:id="6"/>
      <w:bookmarkStart w:id="7" w:name="_Hlt74729822"/>
      <w:bookmarkEnd w:id="7"/>
      <w:bookmarkStart w:id="8" w:name="_Hlt74728647"/>
      <w:bookmarkEnd w:id="8"/>
      <w:bookmarkStart w:id="9" w:name="_Hlt74707423"/>
      <w:bookmarkEnd w:id="9"/>
      <w:bookmarkStart w:id="10" w:name="_Toc17429"/>
      <w:bookmarkStart w:id="11" w:name="第二部分"/>
      <w:bookmarkStart w:id="12" w:name="_Toc91899870"/>
      <w:bookmarkStart w:id="13" w:name="_Toc91899871"/>
    </w:p>
    <w:p w14:paraId="1D3805F6">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第一部分 竞争性磋商公告</w:t>
      </w:r>
      <w:bookmarkEnd w:id="10"/>
    </w:p>
    <w:p w14:paraId="009F1CF2">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项目概况</w:t>
      </w:r>
    </w:p>
    <w:p w14:paraId="74E5ED0D">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u w:val="single"/>
          <w:lang w:eastAsia="zh-CN"/>
        </w:rPr>
        <w:t>浙江同济科技职业学院图书馆家具利旧翻新（含部分搬运）</w:t>
      </w:r>
      <w:r>
        <w:rPr>
          <w:rFonts w:hint="eastAsia" w:ascii="宋体" w:hAnsi="宋体" w:cs="宋体"/>
          <w:color w:val="auto"/>
          <w:sz w:val="24"/>
          <w:highlight w:val="none"/>
        </w:rPr>
        <w:t>的潜在供应商应在政采云平台（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https://www.zcygov.cn/）获取（下载）采购文件，并于</w:t>
      </w:r>
      <w:r>
        <w:rPr>
          <w:rFonts w:hint="eastAsia" w:ascii="宋体" w:hAnsi="宋体" w:cs="宋体"/>
          <w:color w:val="auto"/>
          <w:sz w:val="24"/>
          <w:highlight w:val="none"/>
          <w:u w:val="single"/>
          <w:lang w:eastAsia="zh-CN"/>
        </w:rPr>
        <w:t>2025年07月11日09点30分</w:t>
      </w:r>
      <w:r>
        <w:rPr>
          <w:rFonts w:hint="eastAsia" w:ascii="宋体" w:hAnsi="宋体" w:cs="宋体"/>
          <w:bCs/>
          <w:color w:val="auto"/>
          <w:sz w:val="24"/>
          <w:highlight w:val="none"/>
          <w:u w:val="single"/>
        </w:rPr>
        <w:t>00秒</w:t>
      </w:r>
      <w:r>
        <w:rPr>
          <w:rFonts w:hint="eastAsia" w:ascii="宋体" w:hAnsi="宋体" w:cs="宋体"/>
          <w:bCs/>
          <w:color w:val="auto"/>
          <w:sz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提交（上传）响应文件。</w:t>
      </w:r>
    </w:p>
    <w:p w14:paraId="13C9F995">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B76F7FE">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ZXZB-TJ-2025011C</w:t>
      </w:r>
    </w:p>
    <w:p w14:paraId="6BB1457C">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Cs/>
          <w:color w:val="auto"/>
          <w:sz w:val="24"/>
          <w:highlight w:val="none"/>
          <w:lang w:eastAsia="zh-CN"/>
        </w:rPr>
      </w:pPr>
      <w:r>
        <w:rPr>
          <w:rFonts w:hint="eastAsia" w:ascii="宋体" w:hAnsi="宋体" w:cs="宋体"/>
          <w:b/>
          <w:color w:val="auto"/>
          <w:sz w:val="24"/>
          <w:highlight w:val="none"/>
        </w:rPr>
        <w:t>项目名称：</w:t>
      </w:r>
      <w:r>
        <w:rPr>
          <w:rFonts w:hint="eastAsia" w:ascii="宋体" w:hAnsi="宋体" w:cs="宋体"/>
          <w:bCs/>
          <w:color w:val="auto"/>
          <w:sz w:val="24"/>
          <w:highlight w:val="none"/>
          <w:lang w:eastAsia="zh-CN"/>
        </w:rPr>
        <w:t>浙江同济科技职业学院图书馆家具利旧翻新（含部分搬运）</w:t>
      </w:r>
    </w:p>
    <w:p w14:paraId="04DBC97F">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预算金额（元）：</w:t>
      </w:r>
      <w:r>
        <w:rPr>
          <w:rFonts w:hint="eastAsia" w:ascii="宋体" w:hAnsi="宋体" w:cs="宋体"/>
          <w:b w:val="0"/>
          <w:bCs/>
          <w:color w:val="auto"/>
          <w:sz w:val="24"/>
          <w:highlight w:val="none"/>
          <w:lang w:val="en-US" w:eastAsia="zh-CN"/>
        </w:rPr>
        <w:t>777600</w:t>
      </w:r>
    </w:p>
    <w:p w14:paraId="4ADC3675">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777600</w:t>
      </w:r>
    </w:p>
    <w:p w14:paraId="6EDD40BE">
      <w:pPr>
        <w:pStyle w:val="8"/>
        <w:keepNext w:val="0"/>
        <w:keepLines w:val="0"/>
        <w:pageBreakBefore w:val="0"/>
        <w:kinsoku/>
        <w:wordWrap/>
        <w:overflowPunct/>
        <w:topLinePunct w:val="0"/>
        <w:autoSpaceDE/>
        <w:autoSpaceDN/>
        <w:bidi w:val="0"/>
        <w:adjustRightInd w:val="0"/>
        <w:snapToGrid w:val="0"/>
        <w:spacing w:line="360" w:lineRule="auto"/>
        <w:ind w:firstLine="480"/>
        <w:textAlignment w:val="auto"/>
        <w:rPr>
          <w:rFonts w:hAnsi="宋体" w:cs="宋体"/>
          <w:b/>
          <w:color w:val="auto"/>
          <w:sz w:val="24"/>
          <w:highlight w:val="none"/>
        </w:rPr>
      </w:pPr>
      <w:r>
        <w:rPr>
          <w:rFonts w:hint="eastAsia" w:hAnsi="宋体" w:cs="宋体"/>
          <w:b/>
          <w:color w:val="auto"/>
          <w:sz w:val="24"/>
          <w:highlight w:val="none"/>
        </w:rPr>
        <w:t>采购需求：</w:t>
      </w:r>
    </w:p>
    <w:p w14:paraId="5913BED0">
      <w:pPr>
        <w:pStyle w:val="8"/>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Ansi="宋体" w:cs="宋体"/>
          <w:bCs/>
          <w:color w:val="auto"/>
          <w:sz w:val="24"/>
          <w:highlight w:val="none"/>
        </w:rPr>
      </w:pPr>
      <w:r>
        <w:rPr>
          <w:rFonts w:hint="eastAsia" w:hAnsi="宋体" w:cs="宋体"/>
          <w:bCs/>
          <w:color w:val="auto"/>
          <w:sz w:val="24"/>
          <w:highlight w:val="none"/>
        </w:rPr>
        <w:t>标项一：</w:t>
      </w:r>
    </w:p>
    <w:p w14:paraId="4EEC8350">
      <w:pPr>
        <w:pStyle w:val="8"/>
        <w:keepNext w:val="0"/>
        <w:keepLines w:val="0"/>
        <w:pageBreakBefore w:val="0"/>
        <w:kinsoku/>
        <w:wordWrap/>
        <w:overflowPunct/>
        <w:topLinePunct w:val="0"/>
        <w:autoSpaceDE/>
        <w:autoSpaceDN/>
        <w:bidi w:val="0"/>
        <w:adjustRightInd w:val="0"/>
        <w:snapToGrid w:val="0"/>
        <w:spacing w:line="360" w:lineRule="auto"/>
        <w:ind w:left="0" w:leftChars="0" w:firstLine="960" w:firstLineChars="400"/>
        <w:textAlignment w:val="auto"/>
        <w:rPr>
          <w:rFonts w:hint="eastAsia" w:hAnsi="宋体" w:eastAsia="宋体" w:cs="宋体"/>
          <w:bCs/>
          <w:color w:val="auto"/>
          <w:sz w:val="24"/>
          <w:highlight w:val="none"/>
          <w:lang w:eastAsia="zh-CN"/>
        </w:rPr>
      </w:pPr>
      <w:r>
        <w:rPr>
          <w:rFonts w:hint="eastAsia" w:hAnsi="宋体" w:cs="宋体"/>
          <w:bCs/>
          <w:color w:val="auto"/>
          <w:sz w:val="24"/>
          <w:highlight w:val="none"/>
        </w:rPr>
        <w:t xml:space="preserve">标项名称: </w:t>
      </w:r>
      <w:r>
        <w:rPr>
          <w:rFonts w:hint="eastAsia" w:hAnsi="宋体" w:cs="宋体"/>
          <w:bCs/>
          <w:color w:val="auto"/>
          <w:sz w:val="24"/>
          <w:highlight w:val="none"/>
          <w:lang w:eastAsia="zh-CN"/>
        </w:rPr>
        <w:t>浙江同济科技职业学院图书馆家具利旧翻新（含部分搬运）</w:t>
      </w:r>
    </w:p>
    <w:p w14:paraId="6F123921">
      <w:pPr>
        <w:pStyle w:val="8"/>
        <w:keepNext w:val="0"/>
        <w:keepLines w:val="0"/>
        <w:pageBreakBefore w:val="0"/>
        <w:kinsoku/>
        <w:wordWrap/>
        <w:overflowPunct/>
        <w:topLinePunct w:val="0"/>
        <w:autoSpaceDE/>
        <w:autoSpaceDN/>
        <w:bidi w:val="0"/>
        <w:adjustRightInd w:val="0"/>
        <w:snapToGrid w:val="0"/>
        <w:spacing w:line="360" w:lineRule="auto"/>
        <w:ind w:left="0" w:leftChars="0" w:firstLine="960" w:firstLineChars="400"/>
        <w:textAlignment w:val="auto"/>
        <w:rPr>
          <w:rFonts w:hint="eastAsia" w:hAnsi="宋体" w:cs="宋体"/>
          <w:bCs/>
          <w:color w:val="auto"/>
          <w:sz w:val="24"/>
          <w:highlight w:val="none"/>
        </w:rPr>
      </w:pPr>
      <w:r>
        <w:rPr>
          <w:rFonts w:hint="eastAsia" w:hAnsi="宋体" w:cs="宋体"/>
          <w:bCs/>
          <w:color w:val="auto"/>
          <w:sz w:val="24"/>
          <w:highlight w:val="none"/>
        </w:rPr>
        <w:t>数量: 1项</w:t>
      </w:r>
    </w:p>
    <w:p w14:paraId="25A47E5B">
      <w:pPr>
        <w:pStyle w:val="8"/>
        <w:keepNext w:val="0"/>
        <w:keepLines w:val="0"/>
        <w:pageBreakBefore w:val="0"/>
        <w:kinsoku/>
        <w:wordWrap/>
        <w:overflowPunct/>
        <w:topLinePunct w:val="0"/>
        <w:autoSpaceDE/>
        <w:autoSpaceDN/>
        <w:bidi w:val="0"/>
        <w:adjustRightInd w:val="0"/>
        <w:snapToGrid w:val="0"/>
        <w:spacing w:line="360" w:lineRule="auto"/>
        <w:ind w:left="0" w:leftChars="0" w:firstLine="960" w:firstLineChars="400"/>
        <w:textAlignment w:val="auto"/>
        <w:rPr>
          <w:rFonts w:hint="eastAsia" w:hAnsi="宋体" w:eastAsia="宋体" w:cs="宋体"/>
          <w:bCs/>
          <w:color w:val="auto"/>
          <w:sz w:val="24"/>
          <w:highlight w:val="none"/>
          <w:lang w:eastAsia="zh-CN"/>
        </w:rPr>
      </w:pPr>
      <w:r>
        <w:rPr>
          <w:rFonts w:hint="eastAsia" w:hAnsi="宋体" w:cs="宋体"/>
          <w:bCs/>
          <w:color w:val="auto"/>
          <w:sz w:val="24"/>
          <w:highlight w:val="none"/>
        </w:rPr>
        <w:t xml:space="preserve">预算金额（元）: </w:t>
      </w:r>
      <w:r>
        <w:rPr>
          <w:rFonts w:hint="eastAsia" w:hAnsi="宋体" w:cs="宋体"/>
          <w:b w:val="0"/>
          <w:bCs/>
          <w:color w:val="auto"/>
          <w:sz w:val="24"/>
          <w:highlight w:val="none"/>
          <w:lang w:val="en-US" w:eastAsia="zh-CN"/>
        </w:rPr>
        <w:t>777600</w:t>
      </w:r>
    </w:p>
    <w:p w14:paraId="5A6AA877">
      <w:pPr>
        <w:pStyle w:val="8"/>
        <w:keepNext w:val="0"/>
        <w:keepLines w:val="0"/>
        <w:pageBreakBefore w:val="0"/>
        <w:kinsoku/>
        <w:wordWrap/>
        <w:overflowPunct/>
        <w:topLinePunct w:val="0"/>
        <w:autoSpaceDE/>
        <w:autoSpaceDN/>
        <w:bidi w:val="0"/>
        <w:adjustRightInd w:val="0"/>
        <w:snapToGrid w:val="0"/>
        <w:spacing w:line="360" w:lineRule="auto"/>
        <w:ind w:left="0" w:leftChars="0" w:firstLine="960" w:firstLineChars="400"/>
        <w:textAlignment w:val="auto"/>
        <w:rPr>
          <w:rFonts w:hAnsi="宋体" w:cs="宋体"/>
          <w:bCs/>
          <w:color w:val="auto"/>
          <w:sz w:val="24"/>
          <w:highlight w:val="none"/>
        </w:rPr>
      </w:pPr>
      <w:r>
        <w:rPr>
          <w:rFonts w:hint="eastAsia" w:hAnsi="宋体" w:cs="宋体"/>
          <w:bCs/>
          <w:color w:val="auto"/>
          <w:sz w:val="24"/>
          <w:highlight w:val="none"/>
        </w:rPr>
        <w:t xml:space="preserve">简要规格描述或项目基本概况介绍、用途：详见竞争性磋商文件第三部分 采购需求 </w:t>
      </w:r>
    </w:p>
    <w:p w14:paraId="0D8EB99A">
      <w:pPr>
        <w:pStyle w:val="8"/>
        <w:keepNext w:val="0"/>
        <w:keepLines w:val="0"/>
        <w:pageBreakBefore w:val="0"/>
        <w:kinsoku/>
        <w:wordWrap/>
        <w:overflowPunct/>
        <w:topLinePunct w:val="0"/>
        <w:autoSpaceDE/>
        <w:autoSpaceDN/>
        <w:bidi w:val="0"/>
        <w:adjustRightInd w:val="0"/>
        <w:snapToGrid w:val="0"/>
        <w:spacing w:line="360" w:lineRule="auto"/>
        <w:ind w:left="0" w:leftChars="0" w:firstLine="960" w:firstLineChars="400"/>
        <w:textAlignment w:val="auto"/>
        <w:rPr>
          <w:rFonts w:hAnsi="宋体" w:cs="宋体"/>
          <w:bCs/>
          <w:color w:val="auto"/>
          <w:sz w:val="24"/>
          <w:highlight w:val="none"/>
        </w:rPr>
      </w:pPr>
      <w:r>
        <w:rPr>
          <w:rFonts w:hint="eastAsia" w:hAnsi="宋体" w:cs="宋体"/>
          <w:bCs/>
          <w:color w:val="auto"/>
          <w:sz w:val="24"/>
          <w:highlight w:val="none"/>
        </w:rPr>
        <w:t>备注：</w:t>
      </w:r>
    </w:p>
    <w:p w14:paraId="650C56E0">
      <w:pPr>
        <w:pStyle w:val="8"/>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Cs/>
          <w:color w:val="auto"/>
          <w:sz w:val="24"/>
          <w:highlight w:val="none"/>
          <w:lang w:eastAsia="zh-CN"/>
        </w:rPr>
      </w:pPr>
      <w:r>
        <w:rPr>
          <w:rFonts w:hint="eastAsia" w:ascii="宋体" w:hAnsi="宋体" w:eastAsia="宋体" w:cs="宋体"/>
          <w:b/>
          <w:bCs w:val="0"/>
          <w:color w:val="auto"/>
          <w:sz w:val="24"/>
          <w:highlight w:val="none"/>
        </w:rPr>
        <w:t>合同履约期限：</w:t>
      </w:r>
      <w:r>
        <w:rPr>
          <w:rFonts w:hint="eastAsia" w:hAnsi="宋体" w:cs="宋体"/>
          <w:b/>
          <w:bCs w:val="0"/>
          <w:color w:val="auto"/>
          <w:sz w:val="24"/>
          <w:highlight w:val="none"/>
          <w:lang w:val="en-US" w:eastAsia="zh-CN"/>
        </w:rPr>
        <w:t>合同签订后90天内完成</w:t>
      </w:r>
      <w:r>
        <w:rPr>
          <w:rFonts w:hint="eastAsia" w:ascii="宋体" w:hAnsi="宋体" w:eastAsia="宋体" w:cs="宋体"/>
          <w:b/>
          <w:bCs w:val="0"/>
          <w:color w:val="auto"/>
          <w:sz w:val="24"/>
          <w:highlight w:val="none"/>
        </w:rPr>
        <w:t>。</w:t>
      </w:r>
    </w:p>
    <w:p w14:paraId="02C77E54">
      <w:pPr>
        <w:pStyle w:val="8"/>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Cs/>
          <w:color w:val="auto"/>
          <w:sz w:val="24"/>
          <w:highlight w:val="none"/>
        </w:rPr>
      </w:pPr>
      <w:r>
        <w:rPr>
          <w:rFonts w:hint="eastAsia" w:ascii="宋体" w:hAnsi="宋体" w:eastAsia="宋体" w:cs="宋体"/>
          <w:b/>
          <w:bCs w:val="0"/>
          <w:color w:val="auto"/>
          <w:sz w:val="24"/>
          <w:highlight w:val="none"/>
        </w:rPr>
        <w:t>本项目接受联合体：</w:t>
      </w:r>
      <w:r>
        <w:rPr>
          <w:rFonts w:hint="eastAsia" w:ascii="宋体" w:hAnsi="宋体" w:eastAsia="宋体" w:cs="宋体"/>
          <w:bCs/>
          <w:color w:val="auto"/>
          <w:sz w:val="24"/>
          <w:highlight w:val="none"/>
          <w:lang w:val="en-US" w:eastAsia="zh-CN"/>
        </w:rPr>
        <w:t>是</w:t>
      </w:r>
      <w:r>
        <w:rPr>
          <w:rFonts w:hint="eastAsia" w:ascii="宋体" w:hAnsi="宋体" w:eastAsia="宋体" w:cs="宋体"/>
          <w:bCs/>
          <w:color w:val="auto"/>
          <w:sz w:val="24"/>
          <w:highlight w:val="none"/>
        </w:rPr>
        <w:t>。</w:t>
      </w:r>
    </w:p>
    <w:p w14:paraId="2F5BA32C">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二、</w:t>
      </w:r>
      <w:bookmarkStart w:id="14" w:name="_Hlk101132948"/>
      <w:r>
        <w:rPr>
          <w:rFonts w:hint="eastAsia" w:ascii="宋体" w:hAnsi="宋体" w:cs="宋体"/>
          <w:b/>
          <w:color w:val="auto"/>
          <w:sz w:val="24"/>
          <w:highlight w:val="none"/>
        </w:rPr>
        <w:t>申请人的资格要求</w:t>
      </w:r>
      <w:bookmarkEnd w:id="14"/>
      <w:r>
        <w:rPr>
          <w:rFonts w:hint="eastAsia" w:ascii="宋体" w:hAnsi="宋体" w:cs="宋体"/>
          <w:b/>
          <w:color w:val="auto"/>
          <w:sz w:val="24"/>
          <w:highlight w:val="none"/>
        </w:rPr>
        <w:t>：</w:t>
      </w:r>
    </w:p>
    <w:p w14:paraId="393D3FED">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28"/>
          <w:sz w:val="24"/>
          <w:szCs w:val="20"/>
          <w:highlight w:val="none"/>
          <w:lang w:eastAsia="zh-CN"/>
        </w:rPr>
      </w:pPr>
      <w:r>
        <w:rPr>
          <w:rFonts w:hint="eastAsia" w:ascii="宋体" w:hAnsi="宋体" w:cs="宋体"/>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cs="宋体"/>
          <w:snapToGrid w:val="0"/>
          <w:color w:val="auto"/>
          <w:kern w:val="28"/>
          <w:sz w:val="24"/>
          <w:szCs w:val="20"/>
          <w:highlight w:val="none"/>
          <w:lang w:eastAsia="zh-CN"/>
        </w:rPr>
        <w:t>。</w:t>
      </w:r>
    </w:p>
    <w:p w14:paraId="5404C36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snapToGrid w:val="0"/>
          <w:color w:val="auto"/>
          <w:kern w:val="28"/>
          <w:sz w:val="24"/>
          <w:szCs w:val="20"/>
          <w:highlight w:val="none"/>
        </w:rPr>
        <w:t>2.落实政府采购政策需满足的资格要求：</w:t>
      </w:r>
      <w:r>
        <w:rPr>
          <w:rFonts w:hint="eastAsia" w:asciiTheme="minorEastAsia" w:hAnsiTheme="minorEastAsia" w:eastAsiaTheme="minorEastAsia" w:cstheme="minorEastAsia"/>
          <w:snapToGrid w:val="0"/>
          <w:color w:val="auto"/>
          <w:kern w:val="28"/>
          <w:sz w:val="24"/>
          <w:szCs w:val="20"/>
          <w:highlight w:val="none"/>
        </w:rPr>
        <w:t>标项一：专门面向中小企业,服务全部由符合政策要求的中小企业承接，提供</w:t>
      </w:r>
      <w:r>
        <w:rPr>
          <w:rFonts w:hint="eastAsia" w:asciiTheme="minorEastAsia" w:hAnsiTheme="minorEastAsia" w:eastAsiaTheme="minorEastAsia" w:cstheme="minorEastAsia"/>
          <w:snapToGrid w:val="0"/>
          <w:color w:val="auto"/>
          <w:kern w:val="28"/>
          <w:sz w:val="24"/>
          <w:szCs w:val="20"/>
          <w:highlight w:val="none"/>
          <w:lang w:eastAsia="zh-CN"/>
        </w:rPr>
        <w:t>《</w:t>
      </w:r>
      <w:r>
        <w:rPr>
          <w:rFonts w:hint="eastAsia" w:asciiTheme="minorEastAsia" w:hAnsiTheme="minorEastAsia" w:eastAsiaTheme="minorEastAsia" w:cstheme="minorEastAsia"/>
          <w:snapToGrid w:val="0"/>
          <w:color w:val="auto"/>
          <w:kern w:val="28"/>
          <w:sz w:val="24"/>
          <w:szCs w:val="20"/>
          <w:highlight w:val="none"/>
        </w:rPr>
        <w:t>中小企业声明函</w:t>
      </w:r>
      <w:r>
        <w:rPr>
          <w:rFonts w:hint="eastAsia" w:asciiTheme="minorEastAsia" w:hAnsiTheme="minorEastAsia" w:eastAsiaTheme="minorEastAsia" w:cstheme="minorEastAsia"/>
          <w:snapToGrid w:val="0"/>
          <w:color w:val="auto"/>
          <w:kern w:val="28"/>
          <w:sz w:val="24"/>
          <w:szCs w:val="20"/>
          <w:highlight w:val="none"/>
          <w:lang w:eastAsia="zh-CN"/>
        </w:rPr>
        <w:t>》</w:t>
      </w:r>
      <w:r>
        <w:rPr>
          <w:rFonts w:hint="eastAsia" w:asciiTheme="minorEastAsia" w:hAnsiTheme="minorEastAsia" w:eastAsiaTheme="minorEastAsia" w:cstheme="minorEastAsia"/>
          <w:snapToGrid w:val="0"/>
          <w:color w:val="auto"/>
          <w:kern w:val="28"/>
          <w:sz w:val="24"/>
          <w:szCs w:val="20"/>
          <w:highlight w:val="none"/>
        </w:rPr>
        <w:t>。</w:t>
      </w:r>
    </w:p>
    <w:p w14:paraId="7CC923E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3.本项目的特定资格要求：</w:t>
      </w:r>
      <w:r>
        <w:rPr>
          <w:rFonts w:hint="eastAsia" w:ascii="宋体" w:hAnsi="宋体" w:cs="宋体"/>
          <w:color w:val="auto"/>
          <w:sz w:val="24"/>
          <w:highlight w:val="none"/>
          <w:lang w:val="en-US" w:eastAsia="zh-CN"/>
        </w:rPr>
        <w:t>无</w:t>
      </w:r>
      <w:r>
        <w:rPr>
          <w:rFonts w:hint="eastAsia" w:ascii="宋体" w:hAnsi="宋体" w:cs="宋体"/>
          <w:color w:val="auto"/>
          <w:sz w:val="24"/>
          <w:highlight w:val="none"/>
        </w:rPr>
        <w:t>。</w:t>
      </w:r>
    </w:p>
    <w:p w14:paraId="7CEDFD77">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三、获取采购文件 </w:t>
      </w:r>
    </w:p>
    <w:p w14:paraId="3FA3CFE1">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2025年</w:t>
      </w:r>
      <w:r>
        <w:rPr>
          <w:rFonts w:hint="eastAsia" w:ascii="宋体" w:hAnsi="宋体" w:cs="宋体"/>
          <w:color w:val="auto"/>
          <w:sz w:val="24"/>
          <w:highlight w:val="none"/>
          <w:u w:val="single"/>
          <w:lang w:val="en-US" w:eastAsia="zh-CN"/>
        </w:rPr>
        <w:t>07</w:t>
      </w:r>
      <w:r>
        <w:rPr>
          <w:rFonts w:hint="eastAsia" w:ascii="宋体" w:hAnsi="宋体" w:cs="宋体"/>
          <w:color w:val="auto"/>
          <w:sz w:val="24"/>
          <w:highlight w:val="none"/>
          <w:u w:val="single"/>
          <w:lang w:eastAsia="zh-CN"/>
        </w:rPr>
        <w:t>月</w:t>
      </w:r>
      <w:r>
        <w:rPr>
          <w:rFonts w:hint="eastAsia" w:ascii="宋体" w:hAnsi="宋体" w:cs="宋体"/>
          <w:color w:val="auto"/>
          <w:sz w:val="24"/>
          <w:highlight w:val="none"/>
          <w:u w:val="single"/>
          <w:lang w:val="en-US" w:eastAsia="zh-CN"/>
        </w:rPr>
        <w:t>11</w:t>
      </w:r>
      <w:r>
        <w:rPr>
          <w:rFonts w:hint="eastAsia" w:ascii="宋体" w:hAnsi="宋体" w:cs="宋体"/>
          <w:color w:val="auto"/>
          <w:sz w:val="24"/>
          <w:highlight w:val="none"/>
          <w:u w:val="single"/>
          <w:lang w:eastAsia="zh-CN"/>
        </w:rPr>
        <w:t>日</w:t>
      </w:r>
      <w:r>
        <w:rPr>
          <w:rFonts w:hint="eastAsia" w:ascii="宋体" w:hAnsi="宋体" w:cs="宋体"/>
          <w:color w:val="auto"/>
          <w:sz w:val="24"/>
          <w:highlight w:val="none"/>
        </w:rPr>
        <w:t>，每天上午00:00至12:00，下午12:00至23:59（北京时间，线上获取法定节假日均可，线下获取文件法定节假日除外）</w:t>
      </w:r>
    </w:p>
    <w:p w14:paraId="2910BF86">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政采云平台（https://www.zcygov.cn/）</w:t>
      </w:r>
    </w:p>
    <w:p w14:paraId="6903E1D8">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供应商登录政采云平台https://www.zcygov.cn/在线申请获取采购文件（进入“项目采购”应用，在获取采购文件菜单中选择项目，申请获取采购文件）。</w:t>
      </w:r>
    </w:p>
    <w:p w14:paraId="6A374535">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0</w:t>
      </w:r>
    </w:p>
    <w:p w14:paraId="4E0620B9">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四、响应文件提交（上传）</w:t>
      </w:r>
    </w:p>
    <w:p w14:paraId="2F518A0B">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截止时间：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2025年</w:t>
      </w:r>
      <w:r>
        <w:rPr>
          <w:rFonts w:hint="eastAsia" w:ascii="宋体" w:hAnsi="宋体" w:cs="宋体"/>
          <w:color w:val="auto"/>
          <w:sz w:val="24"/>
          <w:highlight w:val="none"/>
          <w:u w:val="single"/>
          <w:lang w:eastAsia="zh-CN"/>
        </w:rPr>
        <w:t>07月11日09点30分</w:t>
      </w:r>
      <w:r>
        <w:rPr>
          <w:rFonts w:hint="eastAsia" w:ascii="宋体" w:hAnsi="宋体" w:cs="宋体"/>
          <w:color w:val="auto"/>
          <w:sz w:val="24"/>
          <w:highlight w:val="none"/>
        </w:rPr>
        <w:t>（北京时间）</w:t>
      </w:r>
    </w:p>
    <w:p w14:paraId="469A1F35">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605A339">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color w:val="auto"/>
          <w:sz w:val="24"/>
          <w:highlight w:val="none"/>
        </w:rPr>
      </w:pPr>
      <w:r>
        <w:rPr>
          <w:rFonts w:hint="eastAsia" w:ascii="宋体" w:hAnsi="宋体" w:cs="宋体"/>
          <w:b/>
          <w:color w:val="auto"/>
          <w:sz w:val="24"/>
          <w:highlight w:val="none"/>
        </w:rPr>
        <w:t xml:space="preserve">五、响应文件开启 </w:t>
      </w:r>
    </w:p>
    <w:p w14:paraId="069CA9FB">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bCs/>
          <w:color w:val="auto"/>
          <w:sz w:val="24"/>
          <w:highlight w:val="none"/>
          <w:u w:val="single"/>
        </w:rPr>
      </w:pPr>
      <w:r>
        <w:rPr>
          <w:rFonts w:hint="eastAsia" w:ascii="宋体" w:hAnsi="宋体" w:cs="宋体"/>
          <w:b/>
          <w:color w:val="auto"/>
          <w:sz w:val="24"/>
          <w:highlight w:val="none"/>
        </w:rPr>
        <w:t>开启时间：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2025年</w:t>
      </w:r>
      <w:r>
        <w:rPr>
          <w:rFonts w:hint="eastAsia" w:ascii="宋体" w:hAnsi="宋体" w:cs="宋体"/>
          <w:color w:val="auto"/>
          <w:sz w:val="24"/>
          <w:highlight w:val="none"/>
          <w:u w:val="single"/>
          <w:lang w:eastAsia="zh-CN"/>
        </w:rPr>
        <w:t>07月11日09点30分</w:t>
      </w:r>
      <w:r>
        <w:rPr>
          <w:rFonts w:hint="eastAsia" w:ascii="宋体" w:hAnsi="宋体" w:cs="宋体"/>
          <w:color w:val="auto"/>
          <w:sz w:val="24"/>
          <w:highlight w:val="none"/>
        </w:rPr>
        <w:t>（北京时间）</w:t>
      </w:r>
    </w:p>
    <w:p w14:paraId="06CD29B2">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政采云平台（https://www.zcygov.cn/）</w:t>
      </w:r>
    </w:p>
    <w:p w14:paraId="496A2D75">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color w:val="auto"/>
          <w:sz w:val="24"/>
          <w:highlight w:val="none"/>
        </w:rPr>
      </w:pPr>
      <w:r>
        <w:rPr>
          <w:rFonts w:hint="eastAsia" w:ascii="宋体" w:hAnsi="宋体" w:cs="宋体"/>
          <w:b/>
          <w:color w:val="auto"/>
          <w:sz w:val="24"/>
          <w:highlight w:val="none"/>
        </w:rPr>
        <w:t xml:space="preserve">六、公告期限 </w:t>
      </w:r>
    </w:p>
    <w:p w14:paraId="22C4151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自本公告发布之日起3个工作日。</w:t>
      </w:r>
    </w:p>
    <w:p w14:paraId="2991A5F5">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七、其他补充事宜</w:t>
      </w:r>
    </w:p>
    <w:p w14:paraId="6568D94A">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BC4A4E9">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FD48A9C">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DD464F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4.其他事项：（1）以联合体形式参加磋商的，提供联合协议(本项目不接受联合体响应或者供应商不以联合体形式参加磋商的，则不需要提供) 。（2）单位负责人为同一人或者存在直接控股、管理关系的不同供应商，不得参加同一合同项下的政府采购活动；为采购项目提供整体设计、规范编制或者项目管理、监理、检测等服务后不得再参加该采购项目的其他采购活动。（3）需要落实的政府采购政策：包括节约资源、保护环境、支持创新、促进中小企业发展等。详见采购文件的第二部分总则。（4）电子交易的说明：①电子交易：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投标文件”、“标书关联”、“标书检查”、“电子签名”、“生成电子标书”等操作；⑤采购人、采购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响应文件的传输递交：供应商在响应文件提交（上传）截止时间前将加密的响应文件上传至政府采购云平台，还可以在响应文件提交（上传）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递交的响应文件已按时解密的，备份响应文件自动失效。供应商仅提交备份响应文件，未在电子交易平台传输递交响应文件的，响应文件无效；⑩具体操作指南：详见政采云平台“服务中心-帮助文档-项目采购-操作流程-电子招投标-政府采购项目电子交易管理操作指南-供应商”。（5）采购文件公告期限与竞争性磋商公告的公告期限一致。</w:t>
      </w:r>
    </w:p>
    <w:p w14:paraId="072618C2">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八、对本次采购提出询问、质疑、投诉，请按以下方式联系</w:t>
      </w:r>
    </w:p>
    <w:p w14:paraId="69C109F2">
      <w:pPr>
        <w:shd w:val="clear" w:color="auto" w:fill="auto"/>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1.采购人信息</w:t>
      </w:r>
    </w:p>
    <w:p w14:paraId="244150F1">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 xml:space="preserve"> </w:t>
      </w:r>
    </w:p>
    <w:p w14:paraId="7D939207">
      <w:pPr>
        <w:shd w:val="clear" w:color="auto" w:fill="auto"/>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杭州市萧山高教园区耕文路418号</w:t>
      </w:r>
    </w:p>
    <w:p w14:paraId="5E4AC72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郑老师</w:t>
      </w:r>
    </w:p>
    <w:p w14:paraId="56E6ADD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 xml:space="preserve">项目联系方式（询问）0571-82805667 </w:t>
      </w:r>
    </w:p>
    <w:p w14:paraId="68F20DB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eastAsia="zh-CN"/>
        </w:rPr>
        <w:t>马老师</w:t>
      </w:r>
    </w:p>
    <w:p w14:paraId="1E53AA6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质疑联系方式：</w:t>
      </w:r>
      <w:r>
        <w:rPr>
          <w:rFonts w:hint="eastAsia" w:ascii="宋体" w:hAnsi="宋体" w:cs="宋体"/>
          <w:color w:val="auto"/>
          <w:sz w:val="24"/>
          <w:highlight w:val="none"/>
          <w:lang w:eastAsia="zh-CN"/>
        </w:rPr>
        <w:t>0571-83518898</w:t>
      </w:r>
    </w:p>
    <w:p w14:paraId="7ADAAEEA">
      <w:pPr>
        <w:shd w:val="clear" w:color="auto" w:fill="auto"/>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2.采购代理机构信息</w:t>
      </w:r>
    </w:p>
    <w:p w14:paraId="46A58335">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称：</w:t>
      </w:r>
      <w:r>
        <w:rPr>
          <w:rFonts w:hint="eastAsia" w:ascii="宋体" w:hAnsi="宋体" w:cs="宋体"/>
          <w:color w:val="auto"/>
          <w:sz w:val="24"/>
          <w:highlight w:val="none"/>
          <w:lang w:eastAsia="zh-CN"/>
        </w:rPr>
        <w:t>浙江致信招标代理有限公司</w:t>
      </w:r>
    </w:p>
    <w:p w14:paraId="6F1CB74F">
      <w:pPr>
        <w:shd w:val="clear" w:color="auto" w:fill="auto"/>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地  址：</w:t>
      </w:r>
      <w:r>
        <w:rPr>
          <w:rFonts w:hint="eastAsia" w:ascii="宋体" w:hAnsi="宋体" w:cs="宋体"/>
          <w:color w:val="auto"/>
          <w:sz w:val="24"/>
          <w:highlight w:val="none"/>
          <w:lang w:val="en-US" w:eastAsia="zh-CN"/>
        </w:rPr>
        <w:t>浙江省杭州市西湖区天目山路7号1号楼裙楼</w:t>
      </w:r>
    </w:p>
    <w:p w14:paraId="62468697">
      <w:pPr>
        <w:shd w:val="clear" w:color="auto" w:fill="auto"/>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项目联系人（询问）：徐锦峰、俞磊、胡月月、张小燕、朱梅黎、沈诗佳</w:t>
      </w:r>
    </w:p>
    <w:p w14:paraId="1364D884">
      <w:pPr>
        <w:shd w:val="clear" w:color="auto" w:fill="auto"/>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项目联系方式（询问）：0571-85388866</w:t>
      </w:r>
    </w:p>
    <w:p w14:paraId="460724B6">
      <w:pPr>
        <w:shd w:val="clear" w:color="auto" w:fill="auto"/>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质疑联系人：</w:t>
      </w:r>
      <w:r>
        <w:rPr>
          <w:rFonts w:hint="eastAsia" w:ascii="宋体" w:hAnsi="宋体" w:cs="宋体"/>
          <w:color w:val="auto"/>
          <w:sz w:val="24"/>
          <w:highlight w:val="none"/>
          <w:lang w:val="en-US" w:eastAsia="zh-CN"/>
        </w:rPr>
        <w:t>尤依婷</w:t>
      </w:r>
    </w:p>
    <w:p w14:paraId="75B0A208">
      <w:pPr>
        <w:shd w:val="clear" w:color="auto" w:fill="auto"/>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质疑联系方式：0571-88026807</w:t>
      </w:r>
    </w:p>
    <w:p w14:paraId="36E58C70">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3.该项目由采购人处理采购争议。质疑环节，采购人委托采购代理机构处理的，可由采购代理机构答复。对质疑答复不满意的，向采购人内部设置的采购监督机构反映。</w:t>
      </w:r>
    </w:p>
    <w:p w14:paraId="44B37053">
      <w:pPr>
        <w:shd w:val="clear" w:color="auto" w:fill="auto"/>
        <w:snapToGrid w:val="0"/>
        <w:spacing w:line="360" w:lineRule="auto"/>
        <w:ind w:firstLine="480" w:firstLineChars="200"/>
        <w:rPr>
          <w:rFonts w:hint="eastAsia" w:ascii="宋体" w:hAnsi="宋体" w:cs="宋体"/>
          <w:color w:val="auto"/>
          <w:sz w:val="24"/>
          <w:highlight w:val="none"/>
        </w:rPr>
      </w:pPr>
    </w:p>
    <w:p w14:paraId="5DAC962E">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政策咨询：何一平、冯华，0571-87058424、87055741</w:t>
      </w:r>
    </w:p>
    <w:p w14:paraId="46E8D754">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预算金额未达100万元的采购项目，由采购人处理采购争议。</w:t>
      </w:r>
    </w:p>
    <w:p w14:paraId="5EB3AF56">
      <w:pPr>
        <w:shd w:val="clear" w:color="auto" w:fill="auto"/>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       </w:t>
      </w:r>
    </w:p>
    <w:p w14:paraId="499ADA9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ascii="宋体" w:hAnsi="宋体" w:cs="宋体"/>
          <w:color w:val="auto"/>
          <w:sz w:val="24"/>
          <w:highlight w:val="none"/>
        </w:rPr>
        <w:t>CA问题联系电话（人工）：汇信CA 400-888-4636；天谷CA 400-087-8198。</w:t>
      </w:r>
    </w:p>
    <w:p w14:paraId="4422AB0F">
      <w:pPr>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37C54F90">
      <w:pPr>
        <w:adjustRightInd/>
        <w:spacing w:line="360" w:lineRule="auto"/>
        <w:jc w:val="center"/>
        <w:outlineLvl w:val="0"/>
        <w:rPr>
          <w:rFonts w:ascii="宋体" w:hAnsi="宋体" w:cs="宋体"/>
          <w:b/>
          <w:color w:val="auto"/>
          <w:sz w:val="36"/>
          <w:szCs w:val="20"/>
          <w:highlight w:val="none"/>
        </w:rPr>
      </w:pPr>
      <w:bookmarkStart w:id="15" w:name="_Toc8751"/>
      <w:r>
        <w:rPr>
          <w:rFonts w:hint="eastAsia" w:ascii="宋体" w:hAnsi="宋体" w:cs="宋体"/>
          <w:b/>
          <w:color w:val="auto"/>
          <w:sz w:val="36"/>
          <w:szCs w:val="20"/>
          <w:highlight w:val="none"/>
        </w:rPr>
        <w:t>第二部分 供应商须知</w:t>
      </w:r>
      <w:bookmarkEnd w:id="15"/>
    </w:p>
    <w:bookmarkEnd w:id="11"/>
    <w:bookmarkEnd w:id="12"/>
    <w:p w14:paraId="416FB282">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2093"/>
        <w:gridCol w:w="6927"/>
      </w:tblGrid>
      <w:tr w14:paraId="32C7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tcPr>
          <w:p w14:paraId="72E08BC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093" w:type="dxa"/>
            <w:vAlign w:val="center"/>
          </w:tcPr>
          <w:p w14:paraId="49F57AC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927" w:type="dxa"/>
            <w:vAlign w:val="center"/>
          </w:tcPr>
          <w:p w14:paraId="4CECAB4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00D8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8" w:hRule="atLeast"/>
          <w:jc w:val="center"/>
        </w:trPr>
        <w:tc>
          <w:tcPr>
            <w:tcW w:w="714" w:type="dxa"/>
            <w:vAlign w:val="center"/>
          </w:tcPr>
          <w:p w14:paraId="0698783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093" w:type="dxa"/>
            <w:vAlign w:val="center"/>
          </w:tcPr>
          <w:p w14:paraId="201FC9A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927" w:type="dxa"/>
            <w:vAlign w:val="center"/>
          </w:tcPr>
          <w:p w14:paraId="2B0BAFF5">
            <w:pPr>
              <w:spacing w:line="360" w:lineRule="auto"/>
              <w:rPr>
                <w:rFonts w:ascii="宋体" w:hAnsi="宋体" w:cs="宋体"/>
                <w:color w:val="auto"/>
                <w:sz w:val="24"/>
                <w:highlight w:val="none"/>
              </w:rPr>
            </w:pPr>
            <w:r>
              <w:rPr>
                <w:rFonts w:hint="eastAsia" w:ascii="宋体" w:hAnsi="宋体" w:cs="宋体"/>
                <w:color w:val="auto"/>
                <w:sz w:val="24"/>
                <w:highlight w:val="none"/>
              </w:rPr>
              <w:t>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浙江同济科技职业学院图书馆家具利旧翻新（含部分搬运）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其他未列明行业 。</w:t>
            </w:r>
          </w:p>
        </w:tc>
      </w:tr>
      <w:tr w14:paraId="12C7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vAlign w:val="center"/>
          </w:tcPr>
          <w:p w14:paraId="184ABAED">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2093" w:type="dxa"/>
            <w:vAlign w:val="center"/>
          </w:tcPr>
          <w:p w14:paraId="65331B6C">
            <w:pPr>
              <w:snapToGrid w:val="0"/>
              <w:spacing w:line="360" w:lineRule="auto"/>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项目概况</w:t>
            </w:r>
          </w:p>
        </w:tc>
        <w:tc>
          <w:tcPr>
            <w:tcW w:w="6927" w:type="dxa"/>
            <w:vAlign w:val="center"/>
          </w:tcPr>
          <w:p w14:paraId="750D965C">
            <w:pPr>
              <w:spacing w:line="360" w:lineRule="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1.项目名称：</w:t>
            </w:r>
            <w:r>
              <w:rPr>
                <w:rFonts w:hint="eastAsia" w:ascii="宋体" w:hAnsi="宋体" w:cs="宋体"/>
                <w:color w:val="auto"/>
                <w:sz w:val="24"/>
                <w:highlight w:val="none"/>
                <w:lang w:val="en-US" w:eastAsia="zh-CN"/>
              </w:rPr>
              <w:t>浙江同济科技职业学院图书馆家具利旧翻新（含部分搬运）</w:t>
            </w:r>
          </w:p>
          <w:p w14:paraId="473413A5">
            <w:pPr>
              <w:spacing w:line="360" w:lineRule="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2.项目地点：项目地点为</w:t>
            </w:r>
            <w:r>
              <w:rPr>
                <w:rFonts w:hint="eastAsia" w:ascii="宋体" w:hAnsi="宋体" w:cs="宋体"/>
                <w:color w:val="auto"/>
                <w:sz w:val="24"/>
                <w:highlight w:val="none"/>
                <w:lang w:val="en-US" w:eastAsia="zh-CN"/>
              </w:rPr>
              <w:t>浙江同济科技职业学院</w:t>
            </w:r>
            <w:r>
              <w:rPr>
                <w:rFonts w:hint="default" w:ascii="宋体" w:hAnsi="宋体" w:eastAsia="宋体" w:cs="宋体"/>
                <w:color w:val="auto"/>
                <w:sz w:val="24"/>
                <w:highlight w:val="none"/>
                <w:lang w:val="en-US" w:eastAsia="zh-CN"/>
              </w:rPr>
              <w:t>。</w:t>
            </w:r>
          </w:p>
        </w:tc>
      </w:tr>
      <w:tr w14:paraId="370C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vAlign w:val="center"/>
          </w:tcPr>
          <w:p w14:paraId="249DF380">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2093" w:type="dxa"/>
            <w:shd w:val="clear" w:color="auto" w:fill="auto"/>
            <w:vAlign w:val="center"/>
          </w:tcPr>
          <w:p w14:paraId="52E872C1">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ascii="宋体" w:hAnsi="宋体"/>
                <w:b/>
                <w:bCs w:val="0"/>
                <w:color w:val="auto"/>
                <w:sz w:val="24"/>
                <w:highlight w:val="none"/>
              </w:rPr>
              <w:t>磋商</w:t>
            </w:r>
            <w:r>
              <w:rPr>
                <w:rFonts w:hint="eastAsia" w:ascii="宋体" w:hAnsi="宋体"/>
                <w:b/>
                <w:bCs w:val="0"/>
                <w:color w:val="auto"/>
                <w:sz w:val="24"/>
                <w:highlight w:val="none"/>
                <w:lang w:val="en-US" w:eastAsia="zh-CN"/>
              </w:rPr>
              <w:t>响应截止</w:t>
            </w:r>
            <w:r>
              <w:rPr>
                <w:rFonts w:hint="eastAsia" w:ascii="宋体" w:hAnsi="宋体"/>
                <w:b/>
                <w:bCs w:val="0"/>
                <w:color w:val="auto"/>
                <w:sz w:val="24"/>
                <w:highlight w:val="none"/>
              </w:rPr>
              <w:t>时间及地点</w:t>
            </w:r>
          </w:p>
        </w:tc>
        <w:tc>
          <w:tcPr>
            <w:tcW w:w="6927" w:type="dxa"/>
            <w:shd w:val="clear" w:color="auto" w:fill="auto"/>
            <w:vAlign w:val="center"/>
          </w:tcPr>
          <w:p w14:paraId="0CAA6EBC">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详见：“第一部分 竞争性磋商公告”</w:t>
            </w:r>
          </w:p>
        </w:tc>
      </w:tr>
      <w:tr w14:paraId="1941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vAlign w:val="center"/>
          </w:tcPr>
          <w:p w14:paraId="5E6609F9">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2093" w:type="dxa"/>
            <w:shd w:val="clear" w:color="auto" w:fill="auto"/>
            <w:vAlign w:val="center"/>
          </w:tcPr>
          <w:p w14:paraId="1F03813E">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分包</w:t>
            </w:r>
          </w:p>
        </w:tc>
        <w:tc>
          <w:tcPr>
            <w:tcW w:w="6927" w:type="dxa"/>
            <w:shd w:val="clear" w:color="auto" w:fill="auto"/>
            <w:vAlign w:val="center"/>
          </w:tcPr>
          <w:p w14:paraId="5BFBD22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475154"/>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sym w:font="Wingdings" w:char="00FE"/>
                </w:r>
              </w:sdtContent>
            </w:sdt>
            <w:sdt>
              <w:sdtPr>
                <w:rPr>
                  <w:rFonts w:hint="default" w:ascii="宋体" w:hAnsi="宋体" w:cs="宋体"/>
                  <w:color w:val="auto"/>
                  <w:kern w:val="0"/>
                  <w:sz w:val="24"/>
                  <w:highlight w:val="none"/>
                  <w:lang w:val="en-US"/>
                </w:rPr>
                <w:id w:val="147474931"/>
              </w:sdtPr>
              <w:sdtEndPr>
                <w:rPr>
                  <w:rFonts w:hint="eastAsia" w:ascii="宋体" w:hAnsi="宋体" w:cs="宋体"/>
                  <w:color w:val="auto"/>
                  <w:kern w:val="0"/>
                  <w:sz w:val="24"/>
                  <w:highlight w:val="none"/>
                  <w:lang w:val="en-US"/>
                </w:rPr>
              </w:sdtEndPr>
              <w:sdtContent>
                <w:r>
                  <w:rPr>
                    <w:rFonts w:hint="eastAsia" w:ascii="宋体" w:hAnsi="宋体" w:cs="宋体"/>
                    <w:color w:val="auto"/>
                    <w:kern w:val="0"/>
                    <w:sz w:val="24"/>
                    <w:highlight w:val="none"/>
                    <w:lang w:val="en-US" w:eastAsia="zh-CN"/>
                  </w:rPr>
                  <w:t xml:space="preserve"> </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同意将非主体、非关键性的工作分包。</w:t>
            </w:r>
          </w:p>
          <w:p w14:paraId="0AB54881">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477104"/>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sym w:font="Wingdings" w:char="00A8"/>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222160B4">
            <w:pPr>
              <w:spacing w:line="360" w:lineRule="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注：不得限制大中型企业向小微企业合理分包。</w:t>
            </w:r>
          </w:p>
        </w:tc>
      </w:tr>
      <w:tr w14:paraId="596B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714" w:type="dxa"/>
            <w:vAlign w:val="center"/>
          </w:tcPr>
          <w:p w14:paraId="631BBAEE">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2093" w:type="dxa"/>
            <w:shd w:val="clear" w:color="auto" w:fill="auto"/>
            <w:vAlign w:val="center"/>
          </w:tcPr>
          <w:p w14:paraId="37EA4DE6">
            <w:pPr>
              <w:snapToGrid w:val="0"/>
              <w:spacing w:line="360" w:lineRule="auto"/>
              <w:jc w:val="cente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磋商前答疑会或现场考察</w:t>
            </w:r>
          </w:p>
        </w:tc>
        <w:tc>
          <w:tcPr>
            <w:tcW w:w="6927" w:type="dxa"/>
            <w:shd w:val="clear" w:color="auto" w:fill="auto"/>
            <w:vAlign w:val="center"/>
          </w:tcPr>
          <w:p w14:paraId="7E51FB2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147456686"/>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sym w:font="Wingdings" w:char="F0FE"/>
                </w:r>
              </w:sdtContent>
            </w:sdt>
            <w:r>
              <w:rPr>
                <w:rFonts w:hint="eastAsia" w:asciiTheme="minorEastAsia" w:hAnsiTheme="minorEastAsia" w:eastAsiaTheme="minorEastAsia" w:cstheme="minorEastAsia"/>
                <w:color w:val="auto"/>
                <w:kern w:val="0"/>
                <w:sz w:val="24"/>
                <w:szCs w:val="24"/>
                <w:highlight w:val="none"/>
              </w:rPr>
              <w:t>A</w:t>
            </w:r>
            <w:r>
              <w:rPr>
                <w:rFonts w:hint="eastAsia" w:asciiTheme="minorEastAsia" w:hAnsiTheme="minorEastAsia" w:eastAsiaTheme="minorEastAsia" w:cstheme="minorEastAsia"/>
                <w:color w:val="auto"/>
                <w:sz w:val="24"/>
                <w:szCs w:val="24"/>
                <w:highlight w:val="none"/>
              </w:rPr>
              <w:t>不组织。</w:t>
            </w:r>
          </w:p>
          <w:p w14:paraId="40011F2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2"/>
                <w:sz w:val="24"/>
                <w:szCs w:val="24"/>
                <w:highlight w:val="none"/>
                <w:lang w:val="en-US" w:eastAsia="zh-CN" w:bidi="ar-SA"/>
              </w:rPr>
            </w:pPr>
            <w:sdt>
              <w:sdtPr>
                <w:rPr>
                  <w:rFonts w:hint="eastAsia" w:asciiTheme="minorEastAsia" w:hAnsiTheme="minorEastAsia" w:eastAsiaTheme="minorEastAsia" w:cstheme="minorEastAsia"/>
                  <w:color w:val="auto"/>
                  <w:kern w:val="0"/>
                  <w:sz w:val="24"/>
                  <w:szCs w:val="24"/>
                  <w:highlight w:val="none"/>
                </w:rPr>
                <w:id w:val="147473127"/>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t>☐</w:t>
                </w:r>
              </w:sdtContent>
            </w:sdt>
            <w:r>
              <w:rPr>
                <w:rFonts w:hint="eastAsia" w:asciiTheme="minorEastAsia" w:hAnsiTheme="minorEastAsia" w:eastAsiaTheme="minorEastAsia" w:cstheme="minorEastAsia"/>
                <w:color w:val="auto"/>
                <w:kern w:val="0"/>
                <w:sz w:val="24"/>
                <w:szCs w:val="24"/>
                <w:highlight w:val="none"/>
              </w:rPr>
              <w:t>B组织，</w:t>
            </w:r>
            <w:r>
              <w:rPr>
                <w:rFonts w:hint="eastAsia" w:asciiTheme="minorEastAsia" w:hAnsiTheme="minorEastAsia" w:eastAsiaTheme="minorEastAsia" w:cstheme="minorEastAsia"/>
                <w:color w:val="auto"/>
                <w:sz w:val="24"/>
                <w:szCs w:val="24"/>
                <w:highlight w:val="none"/>
              </w:rPr>
              <w:t>时间：,地点：，联系人：，联系方式：。</w:t>
            </w:r>
          </w:p>
        </w:tc>
      </w:tr>
      <w:tr w14:paraId="57F8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714" w:type="dxa"/>
            <w:shd w:val="clear" w:color="auto" w:fill="auto"/>
            <w:vAlign w:val="center"/>
          </w:tcPr>
          <w:p w14:paraId="7BA73B15">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2093" w:type="dxa"/>
            <w:shd w:val="clear" w:color="auto" w:fill="auto"/>
            <w:vAlign w:val="center"/>
          </w:tcPr>
          <w:p w14:paraId="218BB4B9">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方案讲解演示</w:t>
            </w:r>
          </w:p>
        </w:tc>
        <w:tc>
          <w:tcPr>
            <w:tcW w:w="6927" w:type="dxa"/>
            <w:shd w:val="clear" w:color="auto" w:fill="auto"/>
            <w:vAlign w:val="center"/>
          </w:tcPr>
          <w:p w14:paraId="2072605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147467470"/>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Wingdings" w:hAnsi="Wingdings" w:eastAsiaTheme="minorEastAsia" w:cstheme="minorEastAsia"/>
                    <w:color w:val="auto"/>
                    <w:kern w:val="0"/>
                    <w:sz w:val="24"/>
                    <w:szCs w:val="24"/>
                    <w:highlight w:val="none"/>
                    <w:lang w:val="en-US" w:eastAsia="zh-CN" w:bidi="ar-SA"/>
                  </w:rPr>
                  <w:t>þ</w:t>
                </w:r>
              </w:sdtContent>
            </w:sdt>
            <w:r>
              <w:rPr>
                <w:rFonts w:hint="eastAsia" w:asciiTheme="minorEastAsia" w:hAnsiTheme="minorEastAsia" w:eastAsiaTheme="minorEastAsia" w:cstheme="minorEastAsia"/>
                <w:color w:val="auto"/>
                <w:kern w:val="0"/>
                <w:sz w:val="24"/>
                <w:szCs w:val="24"/>
                <w:highlight w:val="none"/>
              </w:rPr>
              <w:t>A</w:t>
            </w:r>
            <w:r>
              <w:rPr>
                <w:rFonts w:hint="eastAsia" w:asciiTheme="minorEastAsia" w:hAnsiTheme="minorEastAsia" w:eastAsiaTheme="minorEastAsia" w:cstheme="minorEastAsia"/>
                <w:color w:val="auto"/>
                <w:sz w:val="24"/>
                <w:szCs w:val="24"/>
                <w:highlight w:val="none"/>
              </w:rPr>
              <w:t>不组织。</w:t>
            </w:r>
          </w:p>
          <w:p w14:paraId="0300122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szCs w:val="24"/>
                <w:highlight w:val="none"/>
              </w:rPr>
            </w:pPr>
            <w:sdt>
              <w:sdtPr>
                <w:rPr>
                  <w:rFonts w:hint="eastAsia" w:asciiTheme="minorEastAsia" w:hAnsiTheme="minorEastAsia" w:eastAsiaTheme="minorEastAsia" w:cstheme="minorEastAsia"/>
                  <w:color w:val="auto"/>
                  <w:kern w:val="0"/>
                  <w:sz w:val="24"/>
                  <w:szCs w:val="24"/>
                  <w:highlight w:val="none"/>
                </w:rPr>
                <w:id w:val="147453028"/>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MS Gothic" w:hAnsi="MS Gothic" w:eastAsiaTheme="minorEastAsia" w:cstheme="minorEastAsia"/>
                    <w:color w:val="auto"/>
                    <w:kern w:val="0"/>
                    <w:sz w:val="24"/>
                    <w:szCs w:val="24"/>
                    <w:highlight w:val="none"/>
                    <w:lang w:val="en-US" w:eastAsia="zh-CN" w:bidi="ar-SA"/>
                  </w:rPr>
                  <w:t>☐</w:t>
                </w:r>
              </w:sdtContent>
            </w:sdt>
            <w:r>
              <w:rPr>
                <w:rFonts w:hint="eastAsia" w:asciiTheme="minorEastAsia" w:hAnsiTheme="minorEastAsia" w:eastAsiaTheme="minorEastAsia" w:cstheme="minorEastAsia"/>
                <w:color w:val="auto"/>
                <w:kern w:val="0"/>
                <w:sz w:val="24"/>
                <w:szCs w:val="24"/>
                <w:highlight w:val="none"/>
              </w:rPr>
              <w:t>B组织。</w:t>
            </w:r>
          </w:p>
          <w:p w14:paraId="5C19E52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eastAsia="zh-CN"/>
              </w:rPr>
              <w:t>磋商响应供应商</w:t>
            </w:r>
            <w:r>
              <w:rPr>
                <w:rFonts w:hint="eastAsia" w:asciiTheme="minorEastAsia" w:hAnsiTheme="minorEastAsia" w:eastAsiaTheme="minorEastAsia" w:cstheme="minorEastAsia"/>
                <w:color w:val="auto"/>
                <w:kern w:val="0"/>
                <w:sz w:val="24"/>
                <w:szCs w:val="24"/>
                <w:highlight w:val="none"/>
              </w:rPr>
              <w:t>应</w:t>
            </w:r>
            <w:r>
              <w:rPr>
                <w:rFonts w:hint="eastAsia" w:asciiTheme="minorEastAsia" w:hAnsiTheme="minorEastAsia" w:eastAsiaTheme="minorEastAsia" w:cstheme="minorEastAsia"/>
                <w:color w:val="auto"/>
                <w:kern w:val="0"/>
                <w:sz w:val="24"/>
                <w:szCs w:val="24"/>
                <w:highlight w:val="none"/>
                <w:lang w:eastAsia="zh-CN"/>
              </w:rPr>
              <w:t>自备笔记本电脑和网络环境，</w:t>
            </w:r>
            <w:r>
              <w:rPr>
                <w:rFonts w:hint="eastAsia" w:asciiTheme="minorEastAsia" w:hAnsiTheme="minorEastAsia" w:eastAsiaTheme="minorEastAsia" w:cstheme="minorEastAsia"/>
                <w:color w:val="auto"/>
                <w:kern w:val="0"/>
                <w:sz w:val="24"/>
                <w:szCs w:val="24"/>
                <w:highlight w:val="none"/>
                <w:lang w:val="en-US" w:eastAsia="zh-CN"/>
              </w:rPr>
              <w:t>按演示内容要求进行演示并录制成演示视频，要求演示视频中能体现真人实际操作</w:t>
            </w:r>
            <w:r>
              <w:rPr>
                <w:rFonts w:hint="eastAsia" w:asciiTheme="minorEastAsia" w:hAnsiTheme="minorEastAsia" w:eastAsiaTheme="minorEastAsia" w:cstheme="minorEastAsia"/>
                <w:color w:val="auto"/>
                <w:kern w:val="0"/>
                <w:sz w:val="24"/>
                <w:szCs w:val="24"/>
                <w:highlight w:val="none"/>
              </w:rPr>
              <w:t>。</w:t>
            </w:r>
          </w:p>
          <w:p w14:paraId="72D64C7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）演示视频时长不超过</w:t>
            </w:r>
            <w:r>
              <w:rPr>
                <w:rFonts w:hint="eastAsia" w:asciiTheme="minorEastAsia" w:hAnsiTheme="minorEastAsia" w:eastAsiaTheme="minorEastAsia" w:cstheme="minorEastAsia"/>
                <w:color w:val="auto"/>
                <w:kern w:val="0"/>
                <w:sz w:val="24"/>
                <w:szCs w:val="24"/>
                <w:highlight w:val="none"/>
                <w:lang w:eastAsia="zh-CN"/>
              </w:rPr>
              <w:t>2</w:t>
            </w:r>
            <w:r>
              <w:rPr>
                <w:rFonts w:hint="eastAsia" w:asciiTheme="minorEastAsia" w:hAnsiTheme="minorEastAsia" w:eastAsiaTheme="minorEastAsia" w:cstheme="minorEastAsia"/>
                <w:color w:val="auto"/>
                <w:kern w:val="0"/>
                <w:sz w:val="24"/>
                <w:szCs w:val="24"/>
                <w:highlight w:val="none"/>
                <w:lang w:val="en-US" w:eastAsia="zh-CN"/>
              </w:rPr>
              <w:t>0</w:t>
            </w:r>
            <w:r>
              <w:rPr>
                <w:rFonts w:hint="eastAsia" w:asciiTheme="minorEastAsia" w:hAnsiTheme="minorEastAsia" w:eastAsiaTheme="minorEastAsia" w:cstheme="minorEastAsia"/>
                <w:color w:val="auto"/>
                <w:kern w:val="0"/>
                <w:sz w:val="24"/>
                <w:szCs w:val="24"/>
                <w:highlight w:val="none"/>
              </w:rPr>
              <w:t>分钟，视频格式要求为mp4，视频载体要求为U盘。将演示内容录制成演示视频随备份文件在投标截止前一并递交（如无备份文件的可单独递交演示视频）</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未按以上要求制作导致演示不能顺利进行的，由</w:t>
            </w:r>
            <w:r>
              <w:rPr>
                <w:rFonts w:hint="eastAsia" w:asciiTheme="minorEastAsia" w:hAnsiTheme="minorEastAsia" w:eastAsiaTheme="minorEastAsia" w:cstheme="minorEastAsia"/>
                <w:color w:val="auto"/>
                <w:kern w:val="0"/>
                <w:sz w:val="24"/>
                <w:szCs w:val="24"/>
                <w:highlight w:val="none"/>
                <w:lang w:eastAsia="zh-CN"/>
              </w:rPr>
              <w:t>磋商响应供应商</w:t>
            </w:r>
            <w:r>
              <w:rPr>
                <w:rFonts w:hint="eastAsia" w:asciiTheme="minorEastAsia" w:hAnsiTheme="minorEastAsia" w:eastAsiaTheme="minorEastAsia" w:cstheme="minorEastAsia"/>
                <w:color w:val="auto"/>
                <w:kern w:val="0"/>
                <w:sz w:val="24"/>
                <w:szCs w:val="24"/>
                <w:highlight w:val="none"/>
              </w:rPr>
              <w:t>自行承担所有责任。</w:t>
            </w:r>
          </w:p>
          <w:p w14:paraId="71DC53A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注：因</w:t>
            </w:r>
            <w:r>
              <w:rPr>
                <w:rFonts w:hint="eastAsia" w:asciiTheme="minorEastAsia" w:hAnsiTheme="minorEastAsia" w:eastAsiaTheme="minorEastAsia" w:cstheme="minorEastAsia"/>
                <w:color w:val="auto"/>
                <w:kern w:val="0"/>
                <w:sz w:val="24"/>
                <w:szCs w:val="24"/>
                <w:highlight w:val="none"/>
                <w:lang w:eastAsia="zh-CN"/>
              </w:rPr>
              <w:t>磋商响应供应商</w:t>
            </w:r>
            <w:r>
              <w:rPr>
                <w:rFonts w:hint="eastAsia" w:asciiTheme="minorEastAsia" w:hAnsiTheme="minorEastAsia" w:eastAsiaTheme="minorEastAsia" w:cstheme="minorEastAsia"/>
                <w:color w:val="auto"/>
                <w:kern w:val="0"/>
                <w:sz w:val="24"/>
                <w:szCs w:val="24"/>
                <w:highlight w:val="none"/>
              </w:rPr>
              <w:t>自身原因导致无法演示或者演示效果不理想的，责任自负。因平台原因导致本项目方案讲解演示环节无法顺利开展，按照《浙江省政府采购项目电子交易管理暂行办法》相关规定执行。</w:t>
            </w:r>
          </w:p>
        </w:tc>
      </w:tr>
      <w:tr w14:paraId="2519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714" w:type="dxa"/>
            <w:shd w:val="clear" w:color="auto" w:fill="auto"/>
            <w:vAlign w:val="center"/>
          </w:tcPr>
          <w:p w14:paraId="7D306C5F">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2093" w:type="dxa"/>
            <w:shd w:val="clear" w:color="auto" w:fill="auto"/>
            <w:vAlign w:val="center"/>
          </w:tcPr>
          <w:p w14:paraId="24465F14">
            <w:pPr>
              <w:snapToGrid w:val="0"/>
              <w:spacing w:line="360" w:lineRule="auto"/>
              <w:jc w:val="center"/>
              <w:rPr>
                <w:rFonts w:hint="default"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lang w:val="en-US" w:eastAsia="zh-CN"/>
              </w:rPr>
              <w:t>响应文件的组成及编制</w:t>
            </w:r>
          </w:p>
        </w:tc>
        <w:tc>
          <w:tcPr>
            <w:tcW w:w="6927" w:type="dxa"/>
            <w:shd w:val="clear" w:color="auto" w:fill="auto"/>
            <w:vAlign w:val="center"/>
          </w:tcPr>
          <w:p w14:paraId="0DDDDBB5">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磋商响应文件由</w:t>
            </w:r>
            <w:r>
              <w:rPr>
                <w:rFonts w:hint="eastAsia" w:ascii="宋体" w:hAnsi="宋体" w:cs="宋体"/>
                <w:color w:val="auto"/>
                <w:sz w:val="24"/>
                <w:highlight w:val="none"/>
              </w:rPr>
              <w:t>资格证明文件</w:t>
            </w:r>
            <w:r>
              <w:rPr>
                <w:rFonts w:hint="eastAsia" w:ascii="宋体" w:hAnsi="宋体" w:cs="宋体"/>
                <w:color w:val="auto"/>
                <w:sz w:val="24"/>
                <w:highlight w:val="none"/>
                <w:lang w:eastAsia="zh-CN"/>
              </w:rPr>
              <w:t>、</w:t>
            </w:r>
            <w:r>
              <w:rPr>
                <w:rFonts w:hint="eastAsia" w:ascii="宋体" w:hAnsi="宋体" w:cs="宋体"/>
                <w:color w:val="auto"/>
                <w:sz w:val="24"/>
                <w:highlight w:val="none"/>
              </w:rPr>
              <w:t>资信证明</w:t>
            </w:r>
            <w:r>
              <w:rPr>
                <w:rFonts w:hint="eastAsia" w:ascii="宋体" w:hAnsi="宋体" w:cs="宋体"/>
                <w:color w:val="auto"/>
                <w:sz w:val="24"/>
                <w:highlight w:val="none"/>
                <w:lang w:val="en-US" w:eastAsia="zh-CN"/>
              </w:rPr>
              <w:t>文件、报价文件三部分组成。</w:t>
            </w:r>
          </w:p>
          <w:p w14:paraId="0C224F77">
            <w:pPr>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注：</w:t>
            </w:r>
            <w:r>
              <w:rPr>
                <w:rFonts w:hint="eastAsia" w:ascii="宋体" w:hAnsi="宋体" w:cs="宋体"/>
                <w:color w:val="auto"/>
                <w:kern w:val="0"/>
                <w:sz w:val="24"/>
                <w:highlight w:val="none"/>
                <w:lang w:val="zh-CN"/>
              </w:rPr>
              <w:t>供应商未提供有效的资格证明文件的，视为供应商不具备采购文件中规定的资格要求，响应文件无效。</w:t>
            </w:r>
          </w:p>
          <w:p w14:paraId="6E1184E7">
            <w:pP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响应文件编制：供应商应先安装“政采云电子交易客户端”，并按照本竞争性磋商文件和“政采云平台”的要求，通过“政采云电子交易客户端”编制并加密响应文件。</w:t>
            </w:r>
          </w:p>
          <w:p w14:paraId="4E656EBB">
            <w:pP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响应文件的形式：电子响应文件（包括“电子加密投响应文件”和“备份响应文件”，在磋商响应文件编制完成后同时生成）。</w:t>
            </w:r>
          </w:p>
          <w:p w14:paraId="6D488702">
            <w:pPr>
              <w:spacing w:line="360" w:lineRule="auto"/>
              <w:rPr>
                <w:rFonts w:hint="eastAsia" w:ascii="宋体" w:hAnsi="宋体" w:cs="宋体"/>
                <w:color w:val="auto"/>
                <w:sz w:val="24"/>
                <w:highlight w:val="none"/>
              </w:rPr>
            </w:pPr>
            <w:r>
              <w:rPr>
                <w:rFonts w:hint="eastAsia" w:ascii="宋体" w:hAnsi="宋体" w:cs="宋体"/>
                <w:color w:val="auto"/>
                <w:sz w:val="24"/>
                <w:highlight w:val="none"/>
              </w:rPr>
              <w:t>“电子加密响应文件”是指通过“政采云电子交易客户端”完成磋商响应文件编制后生成并加密的数据电文形式的响应文件；“备份响应文件”是指与“电子加密响应文件”同时生成的数据电文形式的电子文件，其他方式编制的备份响应文件无效。</w:t>
            </w:r>
          </w:p>
          <w:p w14:paraId="2CB793BD">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响应文件份数：“电子加密响应文件”：在线上传递交一份，“备份响应文件”（供应商如需提供的）</w:t>
            </w:r>
          </w:p>
        </w:tc>
      </w:tr>
      <w:tr w14:paraId="54E7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714" w:type="dxa"/>
            <w:shd w:val="clear" w:color="auto" w:fill="auto"/>
            <w:vAlign w:val="center"/>
          </w:tcPr>
          <w:p w14:paraId="02A1FDE2">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8</w:t>
            </w:r>
          </w:p>
        </w:tc>
        <w:tc>
          <w:tcPr>
            <w:tcW w:w="2093" w:type="dxa"/>
            <w:shd w:val="clear" w:color="auto" w:fill="auto"/>
            <w:vAlign w:val="center"/>
          </w:tcPr>
          <w:p w14:paraId="118BC8FA">
            <w:pPr>
              <w:snapToGrid w:val="0"/>
              <w:spacing w:line="360" w:lineRule="auto"/>
              <w:jc w:val="center"/>
              <w:rPr>
                <w:rFonts w:hint="default"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lang w:val="en-US" w:eastAsia="zh-CN"/>
              </w:rPr>
              <w:t>响应文件的上传、递交</w:t>
            </w:r>
          </w:p>
        </w:tc>
        <w:tc>
          <w:tcPr>
            <w:tcW w:w="6927" w:type="dxa"/>
            <w:shd w:val="clear" w:color="auto" w:fill="auto"/>
            <w:vAlign w:val="center"/>
          </w:tcPr>
          <w:p w14:paraId="2A99EABF">
            <w:pP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本项目实行电子招投标。</w:t>
            </w:r>
          </w:p>
          <w:p w14:paraId="25807EA9">
            <w:pP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供应商应按要求提供电子响应文件：</w:t>
            </w:r>
            <w:r>
              <w:rPr>
                <w:rFonts w:hint="eastAsia" w:ascii="宋体" w:hAnsi="宋体" w:cs="宋体"/>
                <w:color w:val="auto"/>
                <w:sz w:val="24"/>
                <w:highlight w:val="none"/>
                <w:lang w:val="en-US" w:eastAsia="zh-CN"/>
              </w:rPr>
              <w:t>①</w:t>
            </w:r>
            <w:r>
              <w:rPr>
                <w:rFonts w:hint="eastAsia" w:ascii="宋体" w:hAnsi="宋体" w:cs="宋体"/>
                <w:color w:val="auto"/>
                <w:sz w:val="24"/>
                <w:highlight w:val="none"/>
              </w:rPr>
              <w:t>按政采云平台项目采购-电子交易操作指南及本磋商文件要求制作、加密并递交，超过上传时间的视为放弃投标资格，作无效标处理；通过“政采云平台”上传递交的“电子加密响应文件”无法按时解密，供应商递交了备份响应文件的，以备份响应文件为依据，否则视为磋商响应文件撤回。</w:t>
            </w:r>
          </w:p>
          <w:p w14:paraId="29DF838C">
            <w:pPr>
              <w:spacing w:line="360" w:lineRule="auto"/>
              <w:rPr>
                <w:rFonts w:hint="eastAsia" w:ascii="宋体" w:hAnsi="宋体" w:cs="宋体"/>
                <w:color w:val="auto"/>
                <w:sz w:val="24"/>
                <w:highlight w:val="none"/>
              </w:rPr>
            </w:pPr>
            <w:r>
              <w:rPr>
                <w:rFonts w:hint="eastAsia" w:ascii="宋体" w:hAnsi="宋体" w:cs="宋体"/>
                <w:color w:val="auto"/>
                <w:sz w:val="24"/>
                <w:highlight w:val="none"/>
                <w:lang w:val="en-US" w:eastAsia="zh-CN"/>
              </w:rPr>
              <w:t>②</w:t>
            </w:r>
            <w:r>
              <w:rPr>
                <w:rFonts w:hint="eastAsia" w:ascii="宋体" w:hAnsi="宋体" w:cs="宋体"/>
                <w:color w:val="auto"/>
                <w:sz w:val="24"/>
                <w:highlight w:val="none"/>
              </w:rPr>
              <w:t>供应商应当在磋商响应截止时间前完成电子响应文件的传输递交，磋商响应截止时间前可以补充、修改或者撤回电子响应文件。补充或者修改电子响应文件的，应当先行撤回原文件，补充、修改后重新传输递交。磋商响应截止时间前未完成传输的，视为撤回响应文件。磋商响应截止时间后递交的响应文件，电子交易平台将拒收。</w:t>
            </w:r>
          </w:p>
          <w:p w14:paraId="668C802C">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③</w:t>
            </w:r>
            <w:r>
              <w:rPr>
                <w:rFonts w:hint="eastAsia" w:ascii="宋体" w:hAnsi="宋体" w:cs="宋体"/>
                <w:color w:val="auto"/>
                <w:sz w:val="24"/>
                <w:highlight w:val="none"/>
              </w:rPr>
              <w:t>“电子加密响应文件”成功上传递交后，供应商可自行打印响应文件接收回执</w:t>
            </w:r>
          </w:p>
        </w:tc>
      </w:tr>
      <w:tr w14:paraId="5EB5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14" w:type="dxa"/>
            <w:shd w:val="clear" w:color="auto" w:fill="auto"/>
            <w:vAlign w:val="center"/>
          </w:tcPr>
          <w:p w14:paraId="5BD28D74">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9</w:t>
            </w:r>
          </w:p>
        </w:tc>
        <w:tc>
          <w:tcPr>
            <w:tcW w:w="2093" w:type="dxa"/>
            <w:shd w:val="clear" w:color="auto" w:fill="auto"/>
            <w:vAlign w:val="center"/>
          </w:tcPr>
          <w:p w14:paraId="12991D04">
            <w:pPr>
              <w:snapToGrid w:val="0"/>
              <w:spacing w:line="360" w:lineRule="auto"/>
              <w:jc w:val="center"/>
              <w:rPr>
                <w:rFonts w:hint="default"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备份响应文件送达地点和签收人员</w:t>
            </w:r>
          </w:p>
        </w:tc>
        <w:tc>
          <w:tcPr>
            <w:tcW w:w="6927" w:type="dxa"/>
            <w:shd w:val="clear" w:color="auto" w:fill="auto"/>
            <w:vAlign w:val="center"/>
          </w:tcPr>
          <w:p w14:paraId="74C2F1FB">
            <w:pPr>
              <w:pStyle w:val="34"/>
              <w:spacing w:line="360" w:lineRule="auto"/>
              <w:rPr>
                <w:rFonts w:hAnsi="宋体" w:cs="宋体"/>
                <w:color w:val="auto"/>
                <w:kern w:val="28"/>
                <w:sz w:val="24"/>
                <w:szCs w:val="24"/>
                <w:highlight w:val="none"/>
              </w:rPr>
            </w:pPr>
            <w:r>
              <w:rPr>
                <w:rFonts w:hint="eastAsia" w:hAnsi="宋体" w:cs="宋体"/>
                <w:color w:val="auto"/>
                <w:kern w:val="28"/>
                <w:sz w:val="24"/>
                <w:szCs w:val="24"/>
                <w:highlight w:val="none"/>
              </w:rPr>
              <w:t>备份响应文件送达地点：</w:t>
            </w:r>
            <w:r>
              <w:rPr>
                <w:rFonts w:hint="eastAsia" w:hAnsi="宋体" w:cs="宋体"/>
                <w:color w:val="auto"/>
                <w:sz w:val="24"/>
                <w:highlight w:val="none"/>
                <w:u w:val="single"/>
                <w:lang w:eastAsia="zh-CN"/>
              </w:rPr>
              <w:t>杭州市西湖区东海宾馆裙楼301室</w:t>
            </w:r>
            <w:r>
              <w:rPr>
                <w:rFonts w:hint="eastAsia" w:hAnsi="宋体" w:cs="宋体"/>
                <w:color w:val="auto"/>
                <w:kern w:val="28"/>
                <w:sz w:val="24"/>
                <w:szCs w:val="24"/>
                <w:highlight w:val="none"/>
              </w:rPr>
              <w:t>；</w:t>
            </w:r>
          </w:p>
          <w:p w14:paraId="42EC50E7">
            <w:pPr>
              <w:pStyle w:val="34"/>
              <w:spacing w:line="360" w:lineRule="auto"/>
              <w:rPr>
                <w:rFonts w:hAnsi="宋体" w:cs="宋体"/>
                <w:color w:val="auto"/>
                <w:sz w:val="24"/>
                <w:szCs w:val="24"/>
                <w:highlight w:val="none"/>
              </w:rPr>
            </w:pPr>
            <w:r>
              <w:rPr>
                <w:rFonts w:hint="eastAsia" w:hAnsi="宋体" w:cs="宋体"/>
                <w:color w:val="auto"/>
                <w:kern w:val="28"/>
                <w:sz w:val="24"/>
                <w:szCs w:val="24"/>
                <w:highlight w:val="none"/>
              </w:rPr>
              <w:t>备份响应文件签收人员联系电话：</w:t>
            </w:r>
            <w:r>
              <w:rPr>
                <w:rFonts w:hint="eastAsia" w:hAnsi="宋体" w:cs="宋体"/>
                <w:color w:val="auto"/>
                <w:sz w:val="24"/>
                <w:highlight w:val="none"/>
                <w:u w:val="single"/>
                <w:lang w:val="en-US" w:eastAsia="zh-CN"/>
              </w:rPr>
              <w:t>徐工/17706633850</w:t>
            </w:r>
            <w:r>
              <w:rPr>
                <w:rFonts w:hint="eastAsia" w:hAnsi="宋体" w:cs="宋体"/>
                <w:color w:val="auto"/>
                <w:sz w:val="24"/>
                <w:szCs w:val="24"/>
                <w:highlight w:val="none"/>
              </w:rPr>
              <w:t>。</w:t>
            </w:r>
          </w:p>
          <w:p w14:paraId="0D4F47AD">
            <w:pPr>
              <w:pStyle w:val="34"/>
              <w:spacing w:line="360" w:lineRule="auto"/>
              <w:rPr>
                <w:rFonts w:hint="eastAsia" w:ascii="宋体" w:hAnsi="宋体" w:eastAsia="宋体" w:cs="宋体"/>
                <w:snapToGrid w:val="0"/>
                <w:color w:val="auto"/>
                <w:kern w:val="2"/>
                <w:sz w:val="24"/>
                <w:szCs w:val="21"/>
                <w:highlight w:val="none"/>
                <w:lang w:val="en-US" w:eastAsia="zh-CN" w:bidi="ar-SA"/>
              </w:rPr>
            </w:pPr>
            <w:r>
              <w:rPr>
                <w:rFonts w:hint="eastAsia" w:hAnsi="宋体" w:cs="宋体"/>
                <w:b/>
                <w:color w:val="auto"/>
                <w:sz w:val="24"/>
                <w:szCs w:val="24"/>
                <w:highlight w:val="none"/>
              </w:rPr>
              <w:t>采购人、采购代理机构不强制或变相强制供应商提交备份响应文件。</w:t>
            </w:r>
          </w:p>
        </w:tc>
      </w:tr>
      <w:tr w14:paraId="2390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14" w:type="dxa"/>
            <w:shd w:val="clear" w:color="auto" w:fill="auto"/>
            <w:vAlign w:val="center"/>
          </w:tcPr>
          <w:p w14:paraId="6454F2EB">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10</w:t>
            </w:r>
          </w:p>
        </w:tc>
        <w:tc>
          <w:tcPr>
            <w:tcW w:w="2093" w:type="dxa"/>
            <w:shd w:val="clear" w:color="auto" w:fill="auto"/>
            <w:vAlign w:val="center"/>
          </w:tcPr>
          <w:p w14:paraId="5940C636">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b/>
                <w:bCs/>
                <w:color w:val="auto"/>
                <w:sz w:val="24"/>
                <w:highlight w:val="none"/>
                <w:lang w:val="en-US" w:eastAsia="zh-CN"/>
              </w:rPr>
              <w:t>电子加密响应文件的解密和异常情况处理</w:t>
            </w:r>
          </w:p>
        </w:tc>
        <w:tc>
          <w:tcPr>
            <w:tcW w:w="6927" w:type="dxa"/>
            <w:shd w:val="clear" w:color="auto" w:fill="auto"/>
            <w:vAlign w:val="center"/>
          </w:tcPr>
          <w:p w14:paraId="303A9194">
            <w:pPr>
              <w:spacing w:line="440" w:lineRule="exact"/>
              <w:rPr>
                <w:rFonts w:ascii="宋体" w:hAnsi="宋体"/>
                <w:color w:val="auto"/>
                <w:sz w:val="24"/>
                <w:highlight w:val="none"/>
              </w:rPr>
            </w:pPr>
            <w:r>
              <w:rPr>
                <w:rFonts w:hint="eastAsia" w:ascii="宋体" w:hAnsi="宋体"/>
                <w:color w:val="auto"/>
                <w:sz w:val="24"/>
                <w:highlight w:val="none"/>
              </w:rPr>
              <w:t>（1）开标后，采购组织机构将向各供应商发出“电子加密响应文件”的解密通知，各供应商代表应当在接到解密通知后30分钟内自行完成“电子加密响应文件”的在线解密。</w:t>
            </w:r>
          </w:p>
          <w:p w14:paraId="758A1829">
            <w:pPr>
              <w:spacing w:line="440" w:lineRule="exact"/>
              <w:rPr>
                <w:rFonts w:ascii="宋体" w:hAnsi="宋体"/>
                <w:color w:val="auto"/>
                <w:sz w:val="24"/>
                <w:highlight w:val="none"/>
              </w:rPr>
            </w:pPr>
            <w:r>
              <w:rPr>
                <w:rFonts w:hint="eastAsia" w:ascii="宋体" w:hAnsi="宋体"/>
                <w:color w:val="auto"/>
                <w:sz w:val="24"/>
                <w:highlight w:val="none"/>
              </w:rPr>
              <w:t>（2）通过“政采云平台”成功上传递交的“电子加密响应文件”无法按时解密的，供应商递交了备份响应文件的，以备份响应文件为依据，否则视为响应文件撤回。通过“政采云平台”上传递交的“电子加密响应文件”已按时解密的，“备份响应文件”自动失效。供应商仅递交备份响应文件的，投标无效。</w:t>
            </w:r>
          </w:p>
          <w:p w14:paraId="439F1E86">
            <w:pPr>
              <w:spacing w:line="440" w:lineRule="exac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rPr>
              <w:t xml:space="preserve">3、为保障解密成功，派授权代表出席的供应商建议携带笔记本电脑及CA数字证书至开标现场完成传输、解密等事宜。（交易中心不提供无线网络，请供应商自行解决上网问题）  </w:t>
            </w:r>
          </w:p>
        </w:tc>
      </w:tr>
      <w:tr w14:paraId="7F61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shd w:val="clear" w:color="auto" w:fill="auto"/>
            <w:vAlign w:val="center"/>
          </w:tcPr>
          <w:p w14:paraId="277FDEA1">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11</w:t>
            </w:r>
          </w:p>
        </w:tc>
        <w:tc>
          <w:tcPr>
            <w:tcW w:w="2093" w:type="dxa"/>
            <w:shd w:val="clear" w:color="auto" w:fill="auto"/>
            <w:vAlign w:val="center"/>
          </w:tcPr>
          <w:p w14:paraId="19CD0EEF">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b/>
                <w:bCs/>
                <w:color w:val="auto"/>
                <w:sz w:val="24"/>
                <w:highlight w:val="none"/>
              </w:rPr>
              <w:t>可中止电子交易</w:t>
            </w:r>
            <w:r>
              <w:rPr>
                <w:rFonts w:hint="eastAsia" w:ascii="宋体" w:hAnsi="宋体" w:cs="宋体"/>
                <w:b/>
                <w:bCs/>
                <w:color w:val="auto"/>
                <w:sz w:val="24"/>
                <w:highlight w:val="none"/>
                <w:lang w:val="en-US" w:eastAsia="zh-CN"/>
              </w:rPr>
              <w:t>活动的情形</w:t>
            </w:r>
          </w:p>
        </w:tc>
        <w:tc>
          <w:tcPr>
            <w:tcW w:w="6927" w:type="dxa"/>
            <w:shd w:val="clear" w:color="auto" w:fill="auto"/>
            <w:vAlign w:val="center"/>
          </w:tcPr>
          <w:p w14:paraId="497AD1A2">
            <w:pPr>
              <w:spacing w:line="440" w:lineRule="exact"/>
              <w:rPr>
                <w:rFonts w:ascii="宋体" w:hAnsi="宋体"/>
                <w:color w:val="auto"/>
                <w:sz w:val="24"/>
                <w:highlight w:val="none"/>
              </w:rPr>
            </w:pPr>
            <w:r>
              <w:rPr>
                <w:rFonts w:hint="eastAsia" w:ascii="宋体" w:hAnsi="宋体"/>
                <w:color w:val="auto"/>
                <w:sz w:val="24"/>
                <w:highlight w:val="none"/>
              </w:rPr>
              <w:t>采购过程中出现以下情形，导致电子交易平台无法正常运行，或者无法保证电子交易的公平、公正和安全时，采购组织机构可中止电子交易活动：</w:t>
            </w:r>
          </w:p>
          <w:p w14:paraId="757B1BAA">
            <w:pPr>
              <w:spacing w:line="440" w:lineRule="exact"/>
              <w:rPr>
                <w:rFonts w:ascii="宋体" w:hAnsi="宋体"/>
                <w:color w:val="auto"/>
                <w:sz w:val="24"/>
                <w:highlight w:val="none"/>
              </w:rPr>
            </w:pPr>
            <w:r>
              <w:rPr>
                <w:rFonts w:hint="eastAsia" w:ascii="宋体" w:hAnsi="宋体"/>
                <w:color w:val="auto"/>
                <w:sz w:val="24"/>
                <w:highlight w:val="none"/>
              </w:rPr>
              <w:t>（1）电子交易平台发生故障而无法登录访问的；</w:t>
            </w:r>
          </w:p>
          <w:p w14:paraId="76239C88">
            <w:pPr>
              <w:spacing w:line="440" w:lineRule="exact"/>
              <w:rPr>
                <w:rFonts w:ascii="宋体" w:hAnsi="宋体"/>
                <w:color w:val="auto"/>
                <w:sz w:val="24"/>
                <w:highlight w:val="none"/>
              </w:rPr>
            </w:pPr>
            <w:r>
              <w:rPr>
                <w:rFonts w:hint="eastAsia" w:ascii="宋体" w:hAnsi="宋体"/>
                <w:color w:val="auto"/>
                <w:sz w:val="24"/>
                <w:highlight w:val="none"/>
              </w:rPr>
              <w:t>（2）电子交易平台应用或数据库出现错误，不能进行正常操作的；</w:t>
            </w:r>
          </w:p>
          <w:p w14:paraId="36B52922">
            <w:pPr>
              <w:spacing w:line="440" w:lineRule="exact"/>
              <w:rPr>
                <w:rFonts w:ascii="宋体" w:hAnsi="宋体"/>
                <w:color w:val="auto"/>
                <w:sz w:val="24"/>
                <w:highlight w:val="none"/>
              </w:rPr>
            </w:pPr>
            <w:r>
              <w:rPr>
                <w:rFonts w:hint="eastAsia" w:ascii="宋体" w:hAnsi="宋体"/>
                <w:color w:val="auto"/>
                <w:sz w:val="24"/>
                <w:highlight w:val="none"/>
              </w:rPr>
              <w:t>（3）电子交易平台发现严重安全漏洞，有潜在泄密危险的；</w:t>
            </w:r>
          </w:p>
          <w:p w14:paraId="4180005C">
            <w:pPr>
              <w:spacing w:line="440" w:lineRule="exact"/>
              <w:rPr>
                <w:rFonts w:ascii="宋体" w:hAnsi="宋体"/>
                <w:color w:val="auto"/>
                <w:sz w:val="24"/>
                <w:highlight w:val="none"/>
              </w:rPr>
            </w:pPr>
            <w:r>
              <w:rPr>
                <w:rFonts w:hint="eastAsia" w:ascii="宋体" w:hAnsi="宋体"/>
                <w:color w:val="auto"/>
                <w:sz w:val="24"/>
                <w:highlight w:val="none"/>
              </w:rPr>
              <w:t>（4）病毒发作导致不能进行正常操作的；</w:t>
            </w:r>
          </w:p>
          <w:p w14:paraId="140C5DA9">
            <w:pPr>
              <w:spacing w:line="440" w:lineRule="exact"/>
              <w:rPr>
                <w:rFonts w:ascii="宋体" w:hAnsi="宋体"/>
                <w:color w:val="auto"/>
                <w:sz w:val="24"/>
                <w:highlight w:val="none"/>
              </w:rPr>
            </w:pPr>
            <w:r>
              <w:rPr>
                <w:rFonts w:hint="eastAsia" w:ascii="宋体" w:hAnsi="宋体"/>
                <w:color w:val="auto"/>
                <w:sz w:val="24"/>
                <w:highlight w:val="none"/>
              </w:rPr>
              <w:t>（5）其他无法保证电子交易的公平、公正和安全的情况。</w:t>
            </w:r>
          </w:p>
          <w:p w14:paraId="330A00B1">
            <w:pPr>
              <w:spacing w:line="440" w:lineRule="exac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rPr>
              <w:t>出现上述情形，不影响采购公平、公正性的，采购组织机构可以待上述情形消除后继续组织电子交易活动，也可以决定某些环节以纸质形式进行；影响或可能影响采购公平、公正性的，应当重新采购。</w:t>
            </w:r>
          </w:p>
        </w:tc>
      </w:tr>
      <w:tr w14:paraId="3753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shd w:val="clear" w:color="auto" w:fill="auto"/>
            <w:vAlign w:val="center"/>
          </w:tcPr>
          <w:p w14:paraId="5C66EABA">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12</w:t>
            </w:r>
          </w:p>
        </w:tc>
        <w:tc>
          <w:tcPr>
            <w:tcW w:w="2093" w:type="dxa"/>
            <w:shd w:val="clear" w:color="auto" w:fill="auto"/>
            <w:vAlign w:val="center"/>
          </w:tcPr>
          <w:p w14:paraId="59BFC189">
            <w:pPr>
              <w:spacing w:line="440" w:lineRule="exact"/>
              <w:jc w:val="center"/>
              <w:rPr>
                <w:rFonts w:hint="eastAsia" w:ascii="宋体" w:hAnsi="宋体" w:eastAsia="宋体" w:cs="Times New Roman"/>
                <w:bCs/>
                <w:color w:val="auto"/>
                <w:kern w:val="2"/>
                <w:sz w:val="24"/>
                <w:szCs w:val="24"/>
                <w:highlight w:val="none"/>
                <w:lang w:val="en-US" w:eastAsia="zh-CN" w:bidi="ar-SA"/>
              </w:rPr>
            </w:pPr>
            <w:r>
              <w:rPr>
                <w:rFonts w:hint="eastAsia" w:ascii="宋体" w:hAnsi="宋体"/>
                <w:b/>
                <w:bCs/>
                <w:color w:val="auto"/>
                <w:sz w:val="24"/>
                <w:highlight w:val="none"/>
              </w:rPr>
              <w:t>磋商有效期</w:t>
            </w:r>
          </w:p>
        </w:tc>
        <w:tc>
          <w:tcPr>
            <w:tcW w:w="6927" w:type="dxa"/>
            <w:shd w:val="clear" w:color="auto" w:fill="auto"/>
            <w:vAlign w:val="center"/>
          </w:tcPr>
          <w:p w14:paraId="48F32199">
            <w:pPr>
              <w:spacing w:line="440" w:lineRule="exac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highlight w:val="none"/>
                <w:lang w:val="en-US" w:eastAsia="zh-CN"/>
              </w:rPr>
              <w:t>9</w:t>
            </w:r>
            <w:r>
              <w:rPr>
                <w:rFonts w:hint="eastAsia" w:ascii="宋体" w:hAnsi="宋体"/>
                <w:color w:val="auto"/>
                <w:sz w:val="24"/>
                <w:highlight w:val="none"/>
              </w:rPr>
              <w:t>0天（日历天）</w:t>
            </w:r>
          </w:p>
        </w:tc>
      </w:tr>
      <w:tr w14:paraId="2405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shd w:val="clear" w:color="auto" w:fill="auto"/>
            <w:vAlign w:val="center"/>
          </w:tcPr>
          <w:p w14:paraId="2FB61677">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13</w:t>
            </w:r>
          </w:p>
        </w:tc>
        <w:tc>
          <w:tcPr>
            <w:tcW w:w="2093" w:type="dxa"/>
            <w:shd w:val="clear" w:color="auto" w:fill="auto"/>
            <w:vAlign w:val="center"/>
          </w:tcPr>
          <w:p w14:paraId="2F1D3494">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报价要求</w:t>
            </w:r>
          </w:p>
        </w:tc>
        <w:tc>
          <w:tcPr>
            <w:tcW w:w="6927" w:type="dxa"/>
            <w:shd w:val="clear" w:color="auto" w:fill="auto"/>
            <w:vAlign w:val="center"/>
          </w:tcPr>
          <w:p w14:paraId="534023D7">
            <w:pPr>
              <w:keepNext w:val="0"/>
              <w:keepLines w:val="0"/>
              <w:pageBreakBefore w:val="0"/>
              <w:kinsoku/>
              <w:wordWrap/>
              <w:overflowPunct/>
              <w:topLinePunct w:val="0"/>
              <w:autoSpaceDE/>
              <w:autoSpaceDN/>
              <w:bidi w:val="0"/>
              <w:adjustRightInd w:val="0"/>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有关本项目实施所需的所有费用（含税费）均计入最后报价。《最后报价</w:t>
            </w:r>
            <w:r>
              <w:rPr>
                <w:rFonts w:hint="eastAsia" w:cs="宋体" w:asciiTheme="minorEastAsia" w:hAnsiTheme="minorEastAsia" w:eastAsiaTheme="minorEastAsia"/>
                <w:color w:val="auto"/>
                <w:sz w:val="24"/>
                <w:highlight w:val="none"/>
              </w:rPr>
              <w:t>一览表（报价表）</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sz w:val="24"/>
                <w:highlight w:val="none"/>
              </w:rPr>
              <w:t>是最后报价的唯一载体</w:t>
            </w:r>
            <w:r>
              <w:rPr>
                <w:rFonts w:hint="eastAsia" w:cs="宋体" w:asciiTheme="minorEastAsia" w:hAnsiTheme="minorEastAsia" w:eastAsiaTheme="minorEastAsia"/>
                <w:color w:val="auto"/>
                <w:kern w:val="0"/>
                <w:sz w:val="24"/>
                <w:highlight w:val="none"/>
                <w:lang w:val="zh-CN"/>
              </w:rPr>
              <w:t>。磋商文件中价格全部采用人民币报价。磋商文件未列明，而供应商认为必需的费用也需列入报价。</w:t>
            </w:r>
            <w:r>
              <w:rPr>
                <w:rFonts w:hint="eastAsia" w:cs="宋体" w:asciiTheme="minorEastAsia" w:hAnsiTheme="minorEastAsia" w:eastAsiaTheme="minorEastAsia"/>
                <w:b/>
                <w:color w:val="auto"/>
                <w:kern w:val="0"/>
                <w:sz w:val="24"/>
                <w:highlight w:val="none"/>
                <w:lang w:val="zh-CN"/>
              </w:rPr>
              <w:t>提醒：验收时检测费用包含在</w:t>
            </w:r>
            <w:r>
              <w:rPr>
                <w:rFonts w:hint="eastAsia" w:cs="宋体" w:asciiTheme="minorEastAsia" w:hAnsiTheme="minorEastAsia" w:eastAsiaTheme="minorEastAsia"/>
                <w:b/>
                <w:color w:val="auto"/>
                <w:kern w:val="0"/>
                <w:sz w:val="24"/>
                <w:highlight w:val="none"/>
                <w:lang w:val="en-US" w:eastAsia="zh-CN"/>
              </w:rPr>
              <w:t>响应</w:t>
            </w:r>
            <w:r>
              <w:rPr>
                <w:rFonts w:hint="eastAsia" w:cs="宋体" w:asciiTheme="minorEastAsia" w:hAnsiTheme="minorEastAsia" w:eastAsiaTheme="minorEastAsia"/>
                <w:b/>
                <w:color w:val="auto"/>
                <w:kern w:val="0"/>
                <w:sz w:val="24"/>
                <w:highlight w:val="none"/>
                <w:lang w:val="zh-CN"/>
              </w:rPr>
              <w:t>总价中，由</w:t>
            </w:r>
            <w:r>
              <w:rPr>
                <w:rFonts w:hint="eastAsia" w:cs="宋体" w:asciiTheme="minorEastAsia" w:hAnsiTheme="minorEastAsia" w:eastAsiaTheme="minorEastAsia"/>
                <w:b/>
                <w:color w:val="auto"/>
                <w:kern w:val="0"/>
                <w:sz w:val="24"/>
                <w:highlight w:val="none"/>
                <w:lang w:val="en-US" w:eastAsia="zh-CN"/>
              </w:rPr>
              <w:t>成交</w:t>
            </w:r>
            <w:r>
              <w:rPr>
                <w:rFonts w:hint="eastAsia" w:cs="宋体" w:asciiTheme="minorEastAsia" w:hAnsiTheme="minorEastAsia" w:eastAsiaTheme="minorEastAsia"/>
                <w:b/>
                <w:color w:val="auto"/>
                <w:kern w:val="0"/>
                <w:sz w:val="24"/>
                <w:highlight w:val="none"/>
                <w:lang w:val="zh-CN"/>
              </w:rPr>
              <w:t>人支付。</w:t>
            </w:r>
          </w:p>
          <w:p w14:paraId="15F676A8">
            <w:pPr>
              <w:keepNext w:val="0"/>
              <w:keepLines w:val="0"/>
              <w:pageBreakBefore w:val="0"/>
              <w:kinsoku/>
              <w:wordWrap/>
              <w:overflowPunct/>
              <w:topLinePunct w:val="0"/>
              <w:autoSpaceDE/>
              <w:autoSpaceDN/>
              <w:bidi w:val="0"/>
              <w:adjustRightInd w:val="0"/>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最后报价出现下列情形的，响应无效：</w:t>
            </w:r>
          </w:p>
          <w:p w14:paraId="74FAD021">
            <w:pPr>
              <w:keepNext w:val="0"/>
              <w:keepLines w:val="0"/>
              <w:pageBreakBefore w:val="0"/>
              <w:kinsoku/>
              <w:wordWrap/>
              <w:overflowPunct/>
              <w:topLinePunct w:val="0"/>
              <w:autoSpaceDE/>
              <w:autoSpaceDN/>
              <w:bidi w:val="0"/>
              <w:adjustRightInd w:val="0"/>
              <w:snapToGrid w:val="0"/>
              <w:spacing w:line="360" w:lineRule="auto"/>
              <w:ind w:firstLine="241" w:firstLineChars="100"/>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响应文件出现不是唯一的、有选择性的最后报价的；</w:t>
            </w:r>
          </w:p>
          <w:p w14:paraId="158B1AD3">
            <w:pPr>
              <w:keepNext w:val="0"/>
              <w:keepLines w:val="0"/>
              <w:pageBreakBefore w:val="0"/>
              <w:kinsoku/>
              <w:wordWrap/>
              <w:overflowPunct/>
              <w:topLinePunct w:val="0"/>
              <w:autoSpaceDE/>
              <w:autoSpaceDN/>
              <w:bidi w:val="0"/>
              <w:adjustRightInd w:val="0"/>
              <w:snapToGrid w:val="0"/>
              <w:spacing w:line="360" w:lineRule="auto"/>
              <w:ind w:firstLine="241" w:firstLineChars="100"/>
              <w:jc w:val="left"/>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最后报价超过磋商文件中规定的预算金额或者最高限价的;</w:t>
            </w:r>
          </w:p>
          <w:p w14:paraId="0DD8E68B">
            <w:pPr>
              <w:keepNext w:val="0"/>
              <w:keepLines w:val="0"/>
              <w:pageBreakBefore w:val="0"/>
              <w:kinsoku/>
              <w:wordWrap/>
              <w:overflowPunct/>
              <w:topLinePunct w:val="0"/>
              <w:autoSpaceDE/>
              <w:autoSpaceDN/>
              <w:bidi w:val="0"/>
              <w:adjustRightInd w:val="0"/>
              <w:snapToGrid w:val="0"/>
              <w:spacing w:line="360" w:lineRule="auto"/>
              <w:ind w:firstLine="241" w:firstLineChars="1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kern w:val="0"/>
                <w:sz w:val="24"/>
                <w:highlight w:val="none"/>
              </w:rPr>
              <w:t>最后报价明显低于其他通过符合性审查供应商的报价，有可能影响产品质量或者不能诚信履约的，未能按要求提供书面说明或者提交相关证明材料证明其报价合理性的</w:t>
            </w:r>
            <w:r>
              <w:rPr>
                <w:rFonts w:hint="eastAsia" w:cs="宋体" w:asciiTheme="minorEastAsia" w:hAnsiTheme="minorEastAsia" w:eastAsiaTheme="minorEastAsia"/>
                <w:b/>
                <w:color w:val="auto"/>
                <w:sz w:val="24"/>
                <w:szCs w:val="21"/>
                <w:highlight w:val="none"/>
              </w:rPr>
              <w:t>;</w:t>
            </w:r>
          </w:p>
          <w:p w14:paraId="3945FF5F">
            <w:pPr>
              <w:spacing w:line="360" w:lineRule="auto"/>
              <w:ind w:firstLine="241" w:firstLineChars="100"/>
              <w:rPr>
                <w:rFonts w:hint="eastAsia" w:ascii="宋体" w:hAnsi="宋体" w:eastAsia="宋体" w:cs="宋体"/>
                <w:color w:val="auto"/>
                <w:kern w:val="2"/>
                <w:sz w:val="24"/>
                <w:szCs w:val="24"/>
                <w:highlight w:val="none"/>
                <w:lang w:val="en-US" w:eastAsia="zh-CN" w:bidi="ar-SA"/>
              </w:rPr>
            </w:pPr>
            <w:r>
              <w:rPr>
                <w:rFonts w:hint="eastAsia" w:cs="宋体" w:asciiTheme="minorEastAsia" w:hAnsiTheme="minorEastAsia" w:eastAsiaTheme="minorEastAsia"/>
                <w:b/>
                <w:color w:val="auto"/>
                <w:kern w:val="0"/>
                <w:sz w:val="24"/>
                <w:highlight w:val="none"/>
              </w:rPr>
              <w:t>供应商对根据修正原则修正后的报价不确认的</w:t>
            </w:r>
            <w:r>
              <w:rPr>
                <w:rFonts w:hint="eastAsia" w:cs="宋体" w:asciiTheme="minorEastAsia" w:hAnsiTheme="minorEastAsia" w:eastAsiaTheme="minorEastAsia"/>
                <w:b/>
                <w:color w:val="auto"/>
                <w:sz w:val="24"/>
                <w:highlight w:val="none"/>
              </w:rPr>
              <w:t>。</w:t>
            </w:r>
          </w:p>
        </w:tc>
      </w:tr>
      <w:tr w14:paraId="7887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shd w:val="clear" w:color="auto" w:fill="auto"/>
            <w:vAlign w:val="center"/>
          </w:tcPr>
          <w:p w14:paraId="7AEE6EBE">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14</w:t>
            </w:r>
          </w:p>
        </w:tc>
        <w:tc>
          <w:tcPr>
            <w:tcW w:w="2093" w:type="dxa"/>
            <w:shd w:val="clear" w:color="auto" w:fill="auto"/>
            <w:vAlign w:val="center"/>
          </w:tcPr>
          <w:p w14:paraId="7DDE8F95">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其它</w:t>
            </w:r>
            <w:r>
              <w:rPr>
                <w:rFonts w:hint="eastAsia" w:ascii="宋体" w:hAnsi="宋体" w:cs="宋体"/>
                <w:b/>
                <w:color w:val="auto"/>
                <w:sz w:val="24"/>
                <w:highlight w:val="none"/>
                <w:lang w:val="en-US" w:eastAsia="zh-CN"/>
              </w:rPr>
              <w:t>要求</w:t>
            </w:r>
          </w:p>
        </w:tc>
        <w:tc>
          <w:tcPr>
            <w:tcW w:w="6927" w:type="dxa"/>
            <w:shd w:val="clear" w:color="auto" w:fill="auto"/>
            <w:vAlign w:val="center"/>
          </w:tcPr>
          <w:p w14:paraId="20E390CE">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lang w:val="en-US" w:eastAsia="zh-CN"/>
              </w:rPr>
              <w:t>在确定成交供应商后，签订合同前，成交供应商须提供两份完整的纸质磋商响应文件（其中报价文件必须为含有最终报价及最终报价明细表的完整文件）给采购人及代理机构，纸质响应文件须与电子响应文件格式及内容一致。</w:t>
            </w:r>
          </w:p>
        </w:tc>
      </w:tr>
      <w:tr w14:paraId="7906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shd w:val="clear" w:color="auto" w:fill="auto"/>
            <w:vAlign w:val="center"/>
          </w:tcPr>
          <w:p w14:paraId="021A6915">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15</w:t>
            </w:r>
          </w:p>
        </w:tc>
        <w:tc>
          <w:tcPr>
            <w:tcW w:w="2093" w:type="dxa"/>
            <w:shd w:val="clear" w:color="auto" w:fill="auto"/>
            <w:vAlign w:val="center"/>
          </w:tcPr>
          <w:p w14:paraId="4E88B988">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采购代理服务费</w:t>
            </w:r>
          </w:p>
        </w:tc>
        <w:tc>
          <w:tcPr>
            <w:tcW w:w="6927" w:type="dxa"/>
            <w:shd w:val="clear" w:color="auto" w:fill="auto"/>
            <w:vAlign w:val="center"/>
          </w:tcPr>
          <w:p w14:paraId="47BE3ED9">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（1）按[2002]1980号文件规定的招标费率标准的7折收取服务费，不足</w:t>
            </w:r>
            <w:r>
              <w:rPr>
                <w:rFonts w:hint="eastAsia" w:ascii="宋体" w:hAnsi="宋体" w:cs="宋体"/>
                <w:snapToGrid w:val="0"/>
                <w:color w:val="auto"/>
                <w:kern w:val="28"/>
                <w:sz w:val="24"/>
                <w:highlight w:val="none"/>
                <w:lang w:val="en-US" w:eastAsia="zh-CN"/>
              </w:rPr>
              <w:t>5</w:t>
            </w:r>
            <w:r>
              <w:rPr>
                <w:rFonts w:hint="eastAsia" w:ascii="宋体" w:hAnsi="宋体" w:cs="宋体"/>
                <w:snapToGrid w:val="0"/>
                <w:color w:val="auto"/>
                <w:kern w:val="28"/>
                <w:sz w:val="24"/>
                <w:highlight w:val="none"/>
              </w:rPr>
              <w:t>000元按</w:t>
            </w:r>
            <w:r>
              <w:rPr>
                <w:rFonts w:hint="eastAsia" w:ascii="宋体" w:hAnsi="宋体" w:cs="宋体"/>
                <w:snapToGrid w:val="0"/>
                <w:color w:val="auto"/>
                <w:kern w:val="28"/>
                <w:sz w:val="24"/>
                <w:highlight w:val="none"/>
                <w:lang w:val="en-US" w:eastAsia="zh-CN"/>
              </w:rPr>
              <w:t>5000</w:t>
            </w:r>
            <w:r>
              <w:rPr>
                <w:rFonts w:hint="eastAsia" w:ascii="宋体" w:hAnsi="宋体" w:cs="宋体"/>
                <w:snapToGrid w:val="0"/>
                <w:color w:val="auto"/>
                <w:kern w:val="28"/>
                <w:sz w:val="24"/>
                <w:highlight w:val="none"/>
              </w:rPr>
              <w:t>元收取；</w:t>
            </w:r>
          </w:p>
          <w:p w14:paraId="3C325BA3">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（2）成交供应商在领取中标</w:t>
            </w:r>
            <w:r>
              <w:rPr>
                <w:rFonts w:hint="eastAsia" w:ascii="宋体" w:hAnsi="宋体" w:cs="宋体"/>
                <w:snapToGrid w:val="0"/>
                <w:color w:val="auto"/>
                <w:kern w:val="28"/>
                <w:sz w:val="24"/>
                <w:highlight w:val="none"/>
                <w:lang w:eastAsia="zh-CN"/>
              </w:rPr>
              <w:t>、</w:t>
            </w:r>
            <w:r>
              <w:rPr>
                <w:rFonts w:hint="eastAsia" w:ascii="宋体" w:hAnsi="宋体" w:cs="宋体"/>
                <w:snapToGrid w:val="0"/>
                <w:color w:val="auto"/>
                <w:kern w:val="28"/>
                <w:sz w:val="24"/>
                <w:highlight w:val="none"/>
                <w:lang w:val="en-US" w:eastAsia="zh-CN"/>
              </w:rPr>
              <w:t>成交</w:t>
            </w:r>
            <w:r>
              <w:rPr>
                <w:rFonts w:hint="eastAsia" w:ascii="宋体" w:hAnsi="宋体" w:cs="宋体"/>
                <w:snapToGrid w:val="0"/>
                <w:color w:val="auto"/>
                <w:kern w:val="28"/>
                <w:sz w:val="24"/>
                <w:highlight w:val="none"/>
              </w:rPr>
              <w:t>通知书前，应向代理机构交纳</w:t>
            </w:r>
            <w:r>
              <w:rPr>
                <w:rFonts w:hint="eastAsia" w:ascii="宋体" w:hAnsi="宋体" w:cs="宋体"/>
                <w:snapToGrid w:val="0"/>
                <w:color w:val="auto"/>
                <w:kern w:val="28"/>
                <w:sz w:val="24"/>
                <w:highlight w:val="none"/>
                <w:lang w:val="en-US" w:eastAsia="zh-CN"/>
              </w:rPr>
              <w:t>采购</w:t>
            </w:r>
            <w:r>
              <w:rPr>
                <w:rFonts w:hint="eastAsia" w:ascii="宋体" w:hAnsi="宋体" w:cs="宋体"/>
                <w:snapToGrid w:val="0"/>
                <w:color w:val="auto"/>
                <w:kern w:val="28"/>
                <w:sz w:val="24"/>
                <w:highlight w:val="none"/>
              </w:rPr>
              <w:t>代理服务费；</w:t>
            </w:r>
          </w:p>
          <w:p w14:paraId="53A15E1E">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（3）招标代理服务费以电汇方式支付；</w:t>
            </w:r>
          </w:p>
          <w:p w14:paraId="4DA88947">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（4）成交供应商如未按上述规定办理，本招标代理机构有权对不足部分进行追索；</w:t>
            </w:r>
          </w:p>
          <w:p w14:paraId="0FC0AF41">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（5）服务费缴纳账号：</w:t>
            </w:r>
          </w:p>
          <w:p w14:paraId="4AF61827">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户名：浙江致信招标代理有限公司嘉兴分公司</w:t>
            </w:r>
          </w:p>
          <w:p w14:paraId="57C4A824">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税号：91330411MABM992A50</w:t>
            </w:r>
          </w:p>
          <w:p w14:paraId="5FABB894">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 xml:space="preserve">地址：浙江省嘉兴市秀洲区新城街道永泰广场14幢295室 0571-85388866 </w:t>
            </w:r>
          </w:p>
          <w:p w14:paraId="7254DE93">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账号：3301041060004497230</w:t>
            </w:r>
          </w:p>
          <w:p w14:paraId="12277EAA">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cs="宋体"/>
                <w:snapToGrid w:val="0"/>
                <w:color w:val="auto"/>
                <w:kern w:val="28"/>
                <w:sz w:val="24"/>
                <w:highlight w:val="none"/>
              </w:rPr>
              <w:t>开户行：杭州银行股份有限公司四季青支行</w:t>
            </w:r>
          </w:p>
        </w:tc>
      </w:tr>
      <w:tr w14:paraId="7BE2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vMerge w:val="restart"/>
            <w:shd w:val="clear" w:color="auto" w:fill="auto"/>
            <w:vAlign w:val="center"/>
          </w:tcPr>
          <w:p w14:paraId="5C84C641">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2093" w:type="dxa"/>
            <w:vMerge w:val="restart"/>
            <w:shd w:val="clear" w:color="auto" w:fill="auto"/>
            <w:vAlign w:val="center"/>
          </w:tcPr>
          <w:p w14:paraId="519EB13B">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cs="宋体"/>
                <w:b/>
                <w:color w:val="auto"/>
                <w:sz w:val="24"/>
                <w:highlight w:val="none"/>
              </w:rPr>
            </w:pPr>
            <w:r>
              <w:rPr>
                <w:rFonts w:hint="eastAsia" w:cs="宋体" w:asciiTheme="minorEastAsia" w:hAnsiTheme="minorEastAsia" w:eastAsiaTheme="minorEastAsia"/>
                <w:b/>
                <w:color w:val="auto"/>
                <w:sz w:val="24"/>
                <w:highlight w:val="none"/>
              </w:rPr>
              <w:t>特别说明</w:t>
            </w:r>
          </w:p>
        </w:tc>
        <w:tc>
          <w:tcPr>
            <w:tcW w:w="6927" w:type="dxa"/>
            <w:shd w:val="clear" w:color="auto" w:fill="auto"/>
            <w:vAlign w:val="center"/>
          </w:tcPr>
          <w:p w14:paraId="6568DE80">
            <w:pPr>
              <w:keepNext w:val="0"/>
              <w:keepLines w:val="0"/>
              <w:pageBreakBefore w:val="0"/>
              <w:kinsoku/>
              <w:wordWrap/>
              <w:overflowPunct/>
              <w:topLinePunct w:val="0"/>
              <w:autoSpaceDE/>
              <w:autoSpaceDN/>
              <w:bidi w:val="0"/>
              <w:adjustRightInd w:val="0"/>
              <w:snapToGrid w:val="0"/>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2766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4" w:type="dxa"/>
            <w:vMerge w:val="continue"/>
            <w:shd w:val="clear" w:color="auto" w:fill="auto"/>
            <w:vAlign w:val="center"/>
          </w:tcPr>
          <w:p w14:paraId="71CD0A27">
            <w:pPr>
              <w:snapToGrid w:val="0"/>
              <w:spacing w:line="360" w:lineRule="auto"/>
              <w:jc w:val="center"/>
              <w:rPr>
                <w:rFonts w:hint="eastAsia" w:ascii="宋体" w:hAnsi="宋体" w:cs="宋体"/>
                <w:color w:val="auto"/>
                <w:sz w:val="24"/>
                <w:highlight w:val="none"/>
                <w:lang w:val="en-US" w:eastAsia="zh-CN"/>
              </w:rPr>
            </w:pPr>
          </w:p>
        </w:tc>
        <w:tc>
          <w:tcPr>
            <w:tcW w:w="2093" w:type="dxa"/>
            <w:vMerge w:val="continue"/>
            <w:shd w:val="clear" w:color="auto" w:fill="auto"/>
            <w:vAlign w:val="center"/>
          </w:tcPr>
          <w:p w14:paraId="05F3D828">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cs="宋体"/>
                <w:b/>
                <w:color w:val="auto"/>
                <w:sz w:val="24"/>
                <w:highlight w:val="none"/>
              </w:rPr>
            </w:pPr>
          </w:p>
        </w:tc>
        <w:tc>
          <w:tcPr>
            <w:tcW w:w="6927" w:type="dxa"/>
            <w:shd w:val="clear" w:color="auto" w:fill="auto"/>
            <w:vAlign w:val="center"/>
          </w:tcPr>
          <w:p w14:paraId="1E5C9CF1">
            <w:pPr>
              <w:keepNext w:val="0"/>
              <w:keepLines w:val="0"/>
              <w:pageBreakBefore w:val="0"/>
              <w:kinsoku/>
              <w:wordWrap/>
              <w:overflowPunct/>
              <w:topLinePunct w:val="0"/>
              <w:autoSpaceDE/>
              <w:autoSpaceDN/>
              <w:bidi w:val="0"/>
              <w:adjustRightInd w:val="0"/>
              <w:snapToGrid w:val="0"/>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47451315"/>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联合体响应的，联合体各方均需按磋商文件第五部分评审标准要求提供资信证明文件，否则视为不符合相关要求。</w:t>
            </w:r>
          </w:p>
          <w:p w14:paraId="1A417775">
            <w:pPr>
              <w:keepNext w:val="0"/>
              <w:keepLines w:val="0"/>
              <w:pageBreakBefore w:val="0"/>
              <w:kinsoku/>
              <w:wordWrap/>
              <w:overflowPunct/>
              <w:topLinePunct w:val="0"/>
              <w:autoSpaceDE/>
              <w:autoSpaceDN/>
              <w:bidi w:val="0"/>
              <w:adjustRightInd w:val="0"/>
              <w:snapToGrid w:val="0"/>
              <w:spacing w:line="360" w:lineRule="auto"/>
              <w:rPr>
                <w:rFonts w:hint="eastAsia"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47452271"/>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bookmarkEnd w:id="13"/>
    </w:tbl>
    <w:p w14:paraId="22A323BF">
      <w:pPr>
        <w:widowControl/>
        <w:adjustRightInd/>
        <w:jc w:val="left"/>
        <w:rPr>
          <w:rFonts w:ascii="宋体" w:hAnsi="宋体" w:cs="宋体"/>
          <w:b/>
          <w:color w:val="auto"/>
          <w:sz w:val="32"/>
          <w:szCs w:val="20"/>
          <w:highlight w:val="none"/>
        </w:rPr>
      </w:pPr>
      <w:bookmarkStart w:id="16" w:name="第三部分"/>
      <w:bookmarkStart w:id="17" w:name="_Toc164416483"/>
      <w:r>
        <w:rPr>
          <w:rFonts w:hint="eastAsia" w:ascii="宋体" w:hAnsi="宋体" w:cs="宋体"/>
          <w:b/>
          <w:color w:val="auto"/>
          <w:sz w:val="32"/>
          <w:szCs w:val="20"/>
          <w:highlight w:val="none"/>
        </w:rPr>
        <w:br w:type="page"/>
      </w:r>
    </w:p>
    <w:p w14:paraId="0697AE65">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3791A5E9">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1. 适用范围</w:t>
      </w:r>
    </w:p>
    <w:p w14:paraId="74E00C76">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本采购文件适用于该项目的采购邀请、响应文件提交、响应文件开启、资格审查及信用信息查询、磋商、评审、成交供应商确定、合同、验收等行为（法律、法规另有规定的，从其规定）。</w:t>
      </w:r>
    </w:p>
    <w:p w14:paraId="0971430D">
      <w:pPr>
        <w:numPr>
          <w:ilvl w:val="0"/>
          <w:numId w:val="1"/>
        </w:num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定义</w:t>
      </w:r>
    </w:p>
    <w:p w14:paraId="0C79F22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“采购人”系指竞争性磋商公告中载明的本项目的采购人。</w:t>
      </w:r>
    </w:p>
    <w:p w14:paraId="3B0B42A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“采购代理机构”系指竞争性磋商公告中载明的本项目的采购代理机构。</w:t>
      </w:r>
    </w:p>
    <w:p w14:paraId="659FB0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“供应商”系指是指提交响应文件和报价、参与竞争性磋商采购活动的法人、其他组织或者自然人。</w:t>
      </w:r>
    </w:p>
    <w:p w14:paraId="0BA84CC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822E0F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提交响应文件时须提供《业务专用章使用说明函》（附件4）。</w:t>
      </w:r>
    </w:p>
    <w:p w14:paraId="2856F8E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3EC9191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404888855"/>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147482651"/>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sym w:font="Wingdings" w:char="00FE"/>
              </w:r>
            </w:sdtContent>
          </w:sdt>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147473747"/>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系指不适用本项目的要求，“※”系指磋商过程中可能实质性变动的内容。</w:t>
      </w:r>
    </w:p>
    <w:p w14:paraId="69CC8BA3">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3.采购项目需要落实的政府采购政策</w:t>
      </w:r>
    </w:p>
    <w:p w14:paraId="70C667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3.1支持中小企业发展</w:t>
      </w:r>
    </w:p>
    <w:p w14:paraId="14449B9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3.1.1中小企业，是指在中华人民共和国境内依法设立，依据国务院批准的中小企业划分标准确定的中型企业、小型企业和微型企业，但与大企业的负责人为同一人，或者与大企业存在直接控股、管理关系的除外。</w:t>
      </w:r>
    </w:p>
    <w:p w14:paraId="47ABB73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7D47E589">
      <w:pPr>
        <w:widowControl/>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bCs/>
          <w:color w:val="auto"/>
          <w:sz w:val="24"/>
          <w:highlight w:val="none"/>
        </w:rPr>
        <w:t>3.1.2</w:t>
      </w:r>
      <w:r>
        <w:rPr>
          <w:rFonts w:hint="eastAsia" w:ascii="宋体" w:hAnsi="宋体" w:cs="宋体"/>
          <w:color w:val="auto"/>
          <w:kern w:val="0"/>
          <w:sz w:val="24"/>
          <w:highlight w:val="none"/>
        </w:rPr>
        <w:t>在政府采购活动中，供应商提供的工程符合下列情形的，享受中小企业扶持政策：</w:t>
      </w:r>
      <w:r>
        <w:rPr>
          <w:rFonts w:hint="eastAsia" w:ascii="宋体" w:hAnsi="宋体" w:cs="宋体"/>
          <w:color w:val="auto"/>
          <w:sz w:val="24"/>
          <w:highlight w:val="none"/>
        </w:rPr>
        <w:t>在工程采购项目中，工程由中小企业承建，即工程施工单位为中小企业</w:t>
      </w:r>
      <w:r>
        <w:rPr>
          <w:rFonts w:hint="eastAsia" w:ascii="宋体" w:hAnsi="宋体" w:cs="宋体"/>
          <w:color w:val="auto"/>
          <w:kern w:val="0"/>
          <w:sz w:val="24"/>
          <w:highlight w:val="none"/>
        </w:rPr>
        <w:t>。</w:t>
      </w:r>
    </w:p>
    <w:p w14:paraId="7D040568">
      <w:pPr>
        <w:widowControl/>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32AF34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3.1.3对于未预留份额专门面向中小企业的政府采购工程项目，以及预留份额政府采购工程项目中的非预留部分标项，对小型和微型企业的最后报价给予10%的扣除，用扣除后的价格参与评审。接受大中型企业与小微企业组成联合体或者允许大中型企业向一家或者多家小微企业分包的政府采购工程项目，对于</w:t>
      </w:r>
      <w:bookmarkStart w:id="18" w:name="_Hlk101132181"/>
      <w:r>
        <w:rPr>
          <w:rFonts w:hint="eastAsia" w:ascii="宋体" w:hAnsi="宋体" w:cs="宋体"/>
          <w:color w:val="auto"/>
          <w:sz w:val="24"/>
          <w:highlight w:val="none"/>
        </w:rPr>
        <w:t>联合协议或者分包意向协议约定小微企业的合同份额占到合同总金额30%以上的</w:t>
      </w:r>
      <w:bookmarkEnd w:id="18"/>
      <w:r>
        <w:rPr>
          <w:rFonts w:hint="eastAsia" w:ascii="宋体" w:hAnsi="宋体" w:cs="宋体"/>
          <w:color w:val="auto"/>
          <w:sz w:val="24"/>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14:paraId="212BE6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3.1.4符合《关于促进残疾人就业政府采购政策的通知》（财库〔2017〕141号）规定的条件并提供《残疾人福利性单位声明函》（附件1）的残疾人福利性单位视同小型、微型企业；</w:t>
      </w:r>
    </w:p>
    <w:p w14:paraId="0F800C3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3.1.5符合《关于政府采购支持监狱企业发展有关问题的通知》（财库[2014]68号）规定的监狱企业并提供由省级以上监狱管理局、戒毒管理局（含新疆生产建设兵团）出具的属于监狱企业证明文件的，视同为小型、微型企业。</w:t>
      </w:r>
    </w:p>
    <w:p w14:paraId="35F5011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16753D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3.1.7中小企业享受扶持政策获得政府采购合同的，小微企业不得将合同分包给大中型企业，中型企业不得将合同分包给大型企业。</w:t>
      </w:r>
    </w:p>
    <w:p w14:paraId="76DB971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3.2平等对待内外资企业和符合条件的破产重整企业：</w:t>
      </w:r>
    </w:p>
    <w:p w14:paraId="37270366">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14:paraId="6AD6E25B">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4.1在线询问、质疑、投诉</w:t>
      </w:r>
    </w:p>
    <w:p w14:paraId="1B1D1A94">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6C37100">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63B7C51C">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4F2274">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283281E0">
      <w:pPr>
        <w:pStyle w:val="34"/>
        <w:snapToGrid w:val="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.1提出质疑的供应商应当是参与所质疑项目采购活动的供应商。潜在供应商已依法获取其可质疑的采购文件的，可以对该文件提出质疑。</w:t>
      </w:r>
    </w:p>
    <w:p w14:paraId="7B986C44">
      <w:pPr>
        <w:pStyle w:val="34"/>
        <w:snapToGrid w:val="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5FD5DB6">
      <w:pPr>
        <w:pStyle w:val="8"/>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4.3.2.1对采购文件提出质疑的，质疑期限为供应商获得采购文件之日或者采购文件公告期限届满之日起计算。</w:t>
      </w:r>
    </w:p>
    <w:p w14:paraId="70B68ED1">
      <w:pPr>
        <w:pStyle w:val="34"/>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w:t>
      </w:r>
    </w:p>
    <w:p w14:paraId="65D0C75B">
      <w:pPr>
        <w:pStyle w:val="34"/>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4.3.2.3对采购结果提出质疑的，质疑期限自采购结果公告期限届满之日起计算。</w:t>
      </w:r>
    </w:p>
    <w:p w14:paraId="0F8E8FBF">
      <w:pPr>
        <w:pStyle w:val="34"/>
        <w:snapToGrid w:val="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3653212F">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4.3.3.1供应商的姓名或者名称、地址、邮编、联系人及联系电话；</w:t>
      </w:r>
    </w:p>
    <w:p w14:paraId="346EC174">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4.3.3.2质疑项目的名称、编号；</w:t>
      </w:r>
    </w:p>
    <w:p w14:paraId="7869B983">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4.3.3.3具体、明确的质疑事项和与质疑事项相关的请求；</w:t>
      </w:r>
    </w:p>
    <w:p w14:paraId="37FE6F89">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4.3.3.4事实依据；</w:t>
      </w:r>
    </w:p>
    <w:p w14:paraId="4B733C00">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4.3.3.5必要的法律依据；</w:t>
      </w:r>
    </w:p>
    <w:p w14:paraId="6555800C">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4B8DD80">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0AEA645">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质疑函范本及制作说明详见附件2。</w:t>
      </w:r>
    </w:p>
    <w:p w14:paraId="23BB2F51">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4.3.4对同一采购程序环节的质疑，供应商须在法定质疑期内一次性提出。</w:t>
      </w:r>
    </w:p>
    <w:p w14:paraId="720B66DE">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6A5DFE73">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499CDC7F">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4019922F">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2A509200">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2A58EBCC">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4.4.3供应商投诉应当有明确的请求和必要的证明材料。</w:t>
      </w:r>
    </w:p>
    <w:p w14:paraId="69D0E92B">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4.4.4以联合体形式参加政府采购活动的，其投诉应当由组成联合体的所有供应商共同提出。</w:t>
      </w:r>
    </w:p>
    <w:p w14:paraId="23FBD5D7">
      <w:pPr>
        <w:pStyle w:val="889"/>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投诉书范本及制作说明详见附件3。</w:t>
      </w:r>
    </w:p>
    <w:p w14:paraId="7A300410">
      <w:pPr>
        <w:pStyle w:val="131"/>
        <w:snapToGrid w:val="0"/>
        <w:spacing w:before="0"/>
        <w:ind w:firstLine="360"/>
        <w:rPr>
          <w:rFonts w:ascii="宋体" w:hAnsi="宋体" w:cs="宋体"/>
          <w:color w:val="auto"/>
          <w:sz w:val="18"/>
          <w:szCs w:val="18"/>
          <w:highlight w:val="none"/>
        </w:rPr>
      </w:pPr>
    </w:p>
    <w:p w14:paraId="0974037F">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二、采购文件的构成、澄清、修改</w:t>
      </w:r>
    </w:p>
    <w:p w14:paraId="20DD4FCC">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w:t>
      </w:r>
      <w:r>
        <w:rPr>
          <w:rFonts w:hint="eastAsia" w:hAnsi="宋体" w:cs="宋体"/>
          <w:b/>
          <w:color w:val="auto"/>
          <w:sz w:val="24"/>
          <w:szCs w:val="24"/>
          <w:highlight w:val="none"/>
          <w:lang w:eastAsia="zh-CN"/>
        </w:rPr>
        <w:t>.</w:t>
      </w:r>
      <w:r>
        <w:rPr>
          <w:rFonts w:hint="eastAsia" w:hAnsi="宋体" w:cs="宋体"/>
          <w:b/>
          <w:color w:val="auto"/>
          <w:sz w:val="24"/>
          <w:szCs w:val="24"/>
          <w:highlight w:val="none"/>
        </w:rPr>
        <w:t>采购文件的构成</w:t>
      </w:r>
    </w:p>
    <w:p w14:paraId="46F2DF11">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采购文件包括下列文件及附件：</w:t>
      </w:r>
    </w:p>
    <w:p w14:paraId="52C55C70">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5.1.1竞争性磋商公告；</w:t>
      </w:r>
    </w:p>
    <w:p w14:paraId="424B9A71">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5.1.2供应商须知；</w:t>
      </w:r>
    </w:p>
    <w:p w14:paraId="459A91BC">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08857938">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5.1.4评审办法；</w:t>
      </w:r>
    </w:p>
    <w:p w14:paraId="326CEF91">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92646A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85DBA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澄清或者修改的内容为采购文件的组成部分</w:t>
      </w:r>
      <w:r>
        <w:rPr>
          <w:rFonts w:hint="eastAsia" w:ascii="宋体" w:hAnsi="宋体" w:cs="宋体"/>
          <w:color w:val="auto"/>
          <w:sz w:val="24"/>
          <w:highlight w:val="none"/>
        </w:rPr>
        <w:t>。</w:t>
      </w:r>
    </w:p>
    <w:p w14:paraId="01CFF162">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采购文件的澄清、修改</w:t>
      </w:r>
    </w:p>
    <w:p w14:paraId="2F1E47D1">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6.1已获取采购文件的潜在供应商，若有问题需要澄清，应于响应文件提交（上传）截止时间前，以书面形式向采购代理机构提出。</w:t>
      </w:r>
    </w:p>
    <w:p w14:paraId="126ADAD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14:paraId="57F063CD">
      <w:pPr>
        <w:pStyle w:val="2"/>
        <w:rPr>
          <w:rFonts w:hAnsi="宋体" w:cs="宋体"/>
          <w:color w:val="auto"/>
          <w:sz w:val="18"/>
          <w:szCs w:val="18"/>
          <w:highlight w:val="none"/>
          <w:lang w:val="en-US"/>
        </w:rPr>
      </w:pPr>
    </w:p>
    <w:p w14:paraId="6A3D132B">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三、提交响应文件</w:t>
      </w:r>
    </w:p>
    <w:p w14:paraId="5A7569F3">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采购文件的获取</w:t>
      </w:r>
    </w:p>
    <w:p w14:paraId="44F47E89">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详见竞争性磋商公告中获取采购文件的时间期限、地点、方式及采购文件售价。</w:t>
      </w:r>
    </w:p>
    <w:p w14:paraId="1CA712EE">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8.磋商前答疑会或现场考察</w:t>
      </w:r>
    </w:p>
    <w:p w14:paraId="784168E1">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采购人组织潜在供应商现场考察或者召开磋商前答疑会的，潜在供应商按第二部分供应商须知前附表的规定参加现场考察或者磋商前答疑会。</w:t>
      </w:r>
    </w:p>
    <w:p w14:paraId="6C9D4F99">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9.磋商保证金</w:t>
      </w:r>
    </w:p>
    <w:p w14:paraId="2CB34F72">
      <w:pPr>
        <w:pStyle w:val="8"/>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本项目不需缴纳磋商保证金。</w:t>
      </w:r>
    </w:p>
    <w:p w14:paraId="4C817C65">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响应文件的语言</w:t>
      </w:r>
    </w:p>
    <w:p w14:paraId="3696AFB1">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响应文件及供应商与采购有关的来往通知、函件和文件均应使用中文。</w:t>
      </w:r>
    </w:p>
    <w:p w14:paraId="68190351">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响应文件的组成</w:t>
      </w:r>
    </w:p>
    <w:p w14:paraId="3212B67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7A81505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909203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0EDF6C1">
      <w:pPr>
        <w:snapToGrid w:val="0"/>
        <w:spacing w:line="360" w:lineRule="auto"/>
        <w:ind w:firstLine="960" w:firstLineChars="400"/>
        <w:rPr>
          <w:rFonts w:hint="eastAsia" w:ascii="宋体" w:hAnsi="宋体" w:cs="宋体"/>
          <w:snapToGrid w:val="0"/>
          <w:color w:val="auto"/>
          <w:kern w:val="28"/>
          <w:sz w:val="24"/>
          <w:szCs w:val="20"/>
          <w:highlight w:val="none"/>
          <w:lang w:eastAsia="zh-CN"/>
        </w:rPr>
      </w:pPr>
      <w:r>
        <w:rPr>
          <w:rFonts w:hint="eastAsia" w:ascii="宋体" w:hAnsi="宋体" w:cs="宋体"/>
          <w:color w:val="auto"/>
          <w:sz w:val="24"/>
          <w:highlight w:val="none"/>
        </w:rPr>
        <w:t>11.1.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p>
    <w:p w14:paraId="27336816">
      <w:pPr>
        <w:snapToGrid w:val="0"/>
        <w:spacing w:line="360" w:lineRule="auto"/>
        <w:ind w:firstLine="960" w:firstLineChars="400"/>
        <w:rPr>
          <w:rFonts w:ascii="宋体" w:hAnsi="宋体" w:cs="宋体"/>
          <w:color w:val="auto"/>
          <w:sz w:val="24"/>
          <w:highlight w:val="none"/>
        </w:rPr>
      </w:pPr>
      <w:r>
        <w:rPr>
          <w:rFonts w:hint="eastAsia" w:ascii="宋体" w:hAnsi="宋体" w:cs="宋体"/>
          <w:snapToGrid w:val="0"/>
          <w:color w:val="auto"/>
          <w:kern w:val="28"/>
          <w:sz w:val="24"/>
          <w:szCs w:val="20"/>
          <w:highlight w:val="none"/>
          <w:lang w:val="en-US" w:eastAsia="zh-CN"/>
        </w:rPr>
        <w:t>11.1.4营业执照</w:t>
      </w:r>
      <w:r>
        <w:rPr>
          <w:rFonts w:hint="eastAsia" w:ascii="宋体" w:hAnsi="宋体" w:cs="宋体"/>
          <w:color w:val="auto"/>
          <w:sz w:val="24"/>
          <w:highlight w:val="none"/>
        </w:rPr>
        <w:t>。</w:t>
      </w:r>
    </w:p>
    <w:p w14:paraId="4F2FE8DC">
      <w:pPr>
        <w:snapToGrid w:val="0"/>
        <w:spacing w:line="360" w:lineRule="auto"/>
        <w:ind w:firstLine="480" w:firstLineChars="200"/>
        <w:rPr>
          <w:rFonts w:ascii="宋体" w:hAnsi="宋体" w:cs="宋体"/>
          <w:b/>
          <w:bCs/>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b/>
          <w:bCs/>
          <w:color w:val="auto"/>
          <w:sz w:val="24"/>
          <w:highlight w:val="none"/>
          <w:lang w:eastAsia="zh-CN"/>
        </w:rPr>
        <w:t>资信技术</w:t>
      </w:r>
      <w:r>
        <w:rPr>
          <w:rFonts w:hint="eastAsia" w:ascii="宋体" w:hAnsi="宋体" w:cs="宋体"/>
          <w:b/>
          <w:bCs/>
          <w:color w:val="auto"/>
          <w:sz w:val="24"/>
          <w:highlight w:val="none"/>
          <w:lang w:val="zh-CN"/>
        </w:rPr>
        <w:t>文件：</w:t>
      </w:r>
    </w:p>
    <w:p w14:paraId="3984FE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11.2.1响应函；</w:t>
      </w:r>
    </w:p>
    <w:p w14:paraId="0288BC8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3FA4AE6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符合性审查资料；</w:t>
      </w:r>
    </w:p>
    <w:p w14:paraId="1294001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评审标准相应的</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资料（格式自拟，）；</w:t>
      </w:r>
    </w:p>
    <w:p w14:paraId="263E3C5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偏离表；</w:t>
      </w:r>
    </w:p>
    <w:p w14:paraId="738C6168">
      <w:pPr>
        <w:snapToGrid w:val="0"/>
        <w:spacing w:line="360" w:lineRule="auto"/>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val="zh-CN"/>
        </w:rPr>
        <w:t>政府采购供应商廉洁自律承诺书；</w:t>
      </w:r>
    </w:p>
    <w:p w14:paraId="5341D226">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lang w:val="zh-CN"/>
        </w:rPr>
        <w:t>.2.</w:t>
      </w:r>
      <w:r>
        <w:rPr>
          <w:rFonts w:hint="eastAsia" w:ascii="宋体" w:hAnsi="宋体" w:cs="宋体"/>
          <w:color w:val="auto"/>
          <w:sz w:val="24"/>
          <w:highlight w:val="none"/>
          <w:lang w:val="en-US" w:eastAsia="zh-CN"/>
        </w:rPr>
        <w:t>7供应商</w:t>
      </w:r>
      <w:r>
        <w:rPr>
          <w:rFonts w:hint="eastAsia" w:ascii="宋体" w:hAnsi="宋体" w:cs="宋体"/>
          <w:color w:val="auto"/>
          <w:sz w:val="24"/>
          <w:highlight w:val="none"/>
        </w:rPr>
        <w:t>股权信息表</w:t>
      </w:r>
      <w:r>
        <w:rPr>
          <w:rFonts w:hint="eastAsia" w:ascii="宋体" w:hAnsi="宋体" w:cs="宋体"/>
          <w:color w:val="auto"/>
          <w:sz w:val="24"/>
          <w:highlight w:val="none"/>
          <w:lang w:eastAsia="zh-CN"/>
        </w:rPr>
        <w:t>；</w:t>
      </w:r>
    </w:p>
    <w:p w14:paraId="680B4E12">
      <w:pPr>
        <w:snapToGrid w:val="0"/>
        <w:spacing w:line="360" w:lineRule="auto"/>
        <w:ind w:firstLine="720" w:firstLineChars="300"/>
        <w:rPr>
          <w:rFonts w:ascii="宋体" w:hAnsi="宋体" w:cs="宋体"/>
          <w:color w:val="auto"/>
          <w:sz w:val="24"/>
          <w:highlight w:val="none"/>
          <w:lang w:val="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11.2.8</w:t>
      </w:r>
      <w:r>
        <w:rPr>
          <w:rFonts w:hint="eastAsia" w:ascii="宋体" w:hAnsi="宋体" w:cs="宋体"/>
          <w:color w:val="auto"/>
          <w:sz w:val="24"/>
          <w:highlight w:val="none"/>
          <w:lang w:val="zh-CN"/>
        </w:rPr>
        <w:t>缴纳采购代理服务费承诺书。</w:t>
      </w:r>
    </w:p>
    <w:p w14:paraId="59E9008E">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p>
    <w:p w14:paraId="709257D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11.3.1报价单；</w:t>
      </w:r>
    </w:p>
    <w:p w14:paraId="31EFCAB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11.3.2报价明细表；</w:t>
      </w:r>
    </w:p>
    <w:p w14:paraId="4497D41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11.3.3中小企业声明函。</w:t>
      </w:r>
    </w:p>
    <w:p w14:paraId="5D962A82">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响应文件含有采购人不能接受的附加条件的，响应文件无效；</w:t>
      </w:r>
    </w:p>
    <w:p w14:paraId="03C74571">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供应商提供虚假材料的，响应文件无效。</w:t>
      </w:r>
    </w:p>
    <w:p w14:paraId="14430FB3">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响应文件的编制</w:t>
      </w:r>
    </w:p>
    <w:p w14:paraId="11BB2257">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响应文件分为资格文件、资信技术文件、报价文件三部分。各供应商在编制响应文件时请按照采购文件第六部分规定的格式进行，混乱的编排导致响应文件被误读或磋商小组查找不到有效文件是供应商的风险。</w:t>
      </w:r>
    </w:p>
    <w:p w14:paraId="18BD5E0E">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12.2供应商进行电子投标应安装客户端软件—“政采云电子交易客户端”，并按照采购文件和电子交易平台的要求编制并加密响应文件。供应商未按规定加密的响应文件，电子交易平台将拒收并提示。</w:t>
      </w:r>
    </w:p>
    <w:p w14:paraId="3FA264F4">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99DA7A8">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13.响应文件的签署、盖章</w:t>
      </w:r>
    </w:p>
    <w:p w14:paraId="4F75D2A9">
      <w:pPr>
        <w:pStyle w:val="131"/>
        <w:snapToGrid w:val="0"/>
        <w:spacing w:before="0"/>
        <w:ind w:firstLine="480"/>
        <w:rPr>
          <w:rFonts w:ascii="宋体" w:hAnsi="宋体" w:cs="宋体"/>
          <w:b/>
          <w:color w:val="auto"/>
          <w:highlight w:val="none"/>
        </w:rPr>
      </w:pPr>
      <w:r>
        <w:rPr>
          <w:rFonts w:hint="eastAsia" w:ascii="宋体" w:hAnsi="宋体" w:cs="宋体"/>
          <w:color w:val="auto"/>
          <w:szCs w:val="24"/>
          <w:highlight w:val="none"/>
        </w:rPr>
        <w:t>13.1响应文件按照采购文件第六部分格式要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▲供应商的响应文件未按照采购文件要求签署、盖章的，其响应文件无效</w:t>
      </w:r>
      <w:r>
        <w:rPr>
          <w:rFonts w:hint="eastAsia" w:ascii="宋体" w:hAnsi="宋体" w:cs="宋体"/>
          <w:color w:val="auto"/>
          <w:szCs w:val="24"/>
          <w:highlight w:val="none"/>
        </w:rPr>
        <w:t>。</w:t>
      </w:r>
    </w:p>
    <w:p w14:paraId="2EB4EBE9">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13.2为确保网上操作合法、有效和安全，供应商应当在响应文件提交（上传）截止时间前完成在“政府采购云平台”的身份认证，确保在电子投标过程中能够对相关数据电文进行加密和使用电子签名。</w:t>
      </w:r>
    </w:p>
    <w:p w14:paraId="05006880">
      <w:pPr>
        <w:pStyle w:val="131"/>
        <w:snapToGrid w:val="0"/>
        <w:spacing w:before="0"/>
        <w:ind w:firstLine="480"/>
        <w:rPr>
          <w:rFonts w:ascii="宋体" w:hAnsi="宋体" w:cs="宋体"/>
          <w:color w:val="auto"/>
          <w:szCs w:val="24"/>
          <w:highlight w:val="none"/>
        </w:rPr>
      </w:pPr>
      <w:r>
        <w:rPr>
          <w:rFonts w:hint="eastAsia" w:ascii="宋体" w:hAnsi="宋体" w:cs="宋体"/>
          <w:color w:val="auto"/>
          <w:highlight w:val="none"/>
        </w:rPr>
        <w:t>13.3采购文件对响应文件签署、盖章的要求适用于电子签名。</w:t>
      </w:r>
    </w:p>
    <w:p w14:paraId="19F5C161">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响应文件的提交、补充、修改、撤回</w:t>
      </w:r>
    </w:p>
    <w:p w14:paraId="2C482F81">
      <w:pPr>
        <w:pStyle w:val="131"/>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14.1 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14:paraId="4DB25978">
      <w:pPr>
        <w:pStyle w:val="131"/>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14.2电子交易平台收到响应文件，将妥善保存并即时向供应商发出确认回执通知。在响应文件提交（上传）截止时间前，除供应商补充、修改或者撤回响应文件外，任何单位和个人不得解密或提取响应文件。</w:t>
      </w:r>
    </w:p>
    <w:p w14:paraId="5520C2B0">
      <w:pPr>
        <w:pStyle w:val="131"/>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响应文件提交的截止时间。在上述情况下，采购代理机构与供应商以前在响应文件提交截止时间方面的全部权利、责任和义务，将适用于延长至新的响应文件提交截止时间。</w:t>
      </w:r>
    </w:p>
    <w:p w14:paraId="7F016A97">
      <w:pPr>
        <w:pStyle w:val="34"/>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15.备份响应文件</w:t>
      </w:r>
    </w:p>
    <w:p w14:paraId="6AA6431B">
      <w:pPr>
        <w:pStyle w:val="34"/>
        <w:snapToGrid w:val="0"/>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15.1供应商在电子交易平台传输递交响应文件后，还可以在响应文件提交（上传）截止时间前直接提交或者以邮政快递方式递交备份响应文件1份，</w:t>
      </w:r>
      <w:r>
        <w:rPr>
          <w:rFonts w:hint="eastAsia" w:hAnsi="宋体" w:cs="宋体"/>
          <w:b/>
          <w:color w:val="auto"/>
          <w:sz w:val="24"/>
          <w:szCs w:val="24"/>
          <w:highlight w:val="none"/>
        </w:rPr>
        <w:t>但采购人、采购代理机构不强制或变相强制供应商提交备份响应文件。</w:t>
      </w:r>
    </w:p>
    <w:p w14:paraId="332E100B">
      <w:pPr>
        <w:pStyle w:val="34"/>
        <w:snapToGrid w:val="0"/>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15.2备份响应文件须在“政采云投标客户端”制作生成，并储存在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中。备份响应文件应当密封包装并在包装上加盖公章并注明采购项目名称，供应商名称(联合体参与的，包装物封面需注明联合体，并注明联合体成员各方的名称和联合协议中约定的牵头人的名称)。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存储、密封规定的备份响应文件将被视为无效或者被拒绝接收。</w:t>
      </w:r>
    </w:p>
    <w:p w14:paraId="7E26D04A">
      <w:pPr>
        <w:pStyle w:val="3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响应文件的，供应商应于响应文件提交（上传）截止时间前在竞争性磋商公告中载明的响应文件开启地点将备份响应文件提交给采购代理机构，采购代理机构将拒绝接受逾期送达的备份响应文件。</w:t>
      </w:r>
    </w:p>
    <w:p w14:paraId="4CFFDCAA">
      <w:pPr>
        <w:pStyle w:val="3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15.4以邮政快递方式递交备份响应文件的，供应商应先将备份响应文件按要求密封和标记，再进行邮政快递包装后邮寄。备份响应文件须在响应文件提交（上传）截止时间之前送达</w:t>
      </w:r>
      <w:r>
        <w:rPr>
          <w:rFonts w:hint="eastAsia" w:hAnsi="宋体" w:cs="宋体"/>
          <w:snapToGrid/>
          <w:color w:val="auto"/>
          <w:sz w:val="24"/>
          <w:szCs w:val="24"/>
          <w:highlight w:val="none"/>
        </w:rPr>
        <w:t>采购文件第二部分供应商须知前附表规定的备份响应文件送达地点；</w:t>
      </w:r>
      <w:r>
        <w:rPr>
          <w:rFonts w:hint="eastAsia" w:hAnsi="宋体" w:cs="宋体"/>
          <w:color w:val="auto"/>
          <w:sz w:val="24"/>
          <w:szCs w:val="24"/>
          <w:highlight w:val="none"/>
        </w:rPr>
        <w:t>送达时间以签收人签收时间为准。采购代理机构将拒绝接受逾期送达的备份响应文件。邮寄过程中，电子备份响应文件发生泄露、遗失、损坏或延期送达等情况的，由供应商自行负责。</w:t>
      </w:r>
    </w:p>
    <w:p w14:paraId="79ACD705">
      <w:pPr>
        <w:pStyle w:val="34"/>
        <w:snapToGrid w:val="0"/>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15.5供应商仅提交备份响应文件，未在电子交易平台传输递交响应文件的，响应文件无效。</w:t>
      </w:r>
    </w:p>
    <w:p w14:paraId="7559C062">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16.响应文件的无效处理</w:t>
      </w:r>
    </w:p>
    <w:p w14:paraId="2C4FC21F">
      <w:pPr>
        <w:pStyle w:val="26"/>
        <w:spacing w:line="360" w:lineRule="auto"/>
        <w:ind w:firstLine="360" w:firstLineChars="150"/>
        <w:rPr>
          <w:rFonts w:cs="宋体"/>
          <w:color w:val="auto"/>
          <w:szCs w:val="21"/>
          <w:highlight w:val="none"/>
        </w:rPr>
      </w:pPr>
      <w:r>
        <w:rPr>
          <w:rFonts w:hint="eastAsia" w:cs="宋体"/>
          <w:color w:val="auto"/>
          <w:szCs w:val="21"/>
          <w:highlight w:val="none"/>
        </w:rPr>
        <w:t>有采购文件第四部分</w:t>
      </w:r>
      <w:r>
        <w:rPr>
          <w:rFonts w:hint="eastAsia" w:cs="宋体"/>
          <w:color w:val="auto"/>
          <w:highlight w:val="none"/>
        </w:rPr>
        <w:t>4.2规定</w:t>
      </w:r>
      <w:r>
        <w:rPr>
          <w:rFonts w:hint="eastAsia" w:cs="宋体"/>
          <w:color w:val="auto"/>
          <w:szCs w:val="21"/>
          <w:highlight w:val="none"/>
        </w:rPr>
        <w:t>的情形之一的，响应文件无效：</w:t>
      </w:r>
    </w:p>
    <w:p w14:paraId="5C83FA60">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17.响应文件有效期</w:t>
      </w:r>
    </w:p>
    <w:p w14:paraId="4E789584">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17.1响应文件有效期为从提交响应文件的截止之日起90天。▲</w:t>
      </w:r>
      <w:r>
        <w:rPr>
          <w:rFonts w:hint="eastAsia" w:ascii="宋体" w:hAnsi="宋体" w:cs="宋体"/>
          <w:b/>
          <w:color w:val="auto"/>
          <w:sz w:val="24"/>
          <w:szCs w:val="20"/>
          <w:highlight w:val="none"/>
        </w:rPr>
        <w:t>供应商的响应文件中承</w:t>
      </w:r>
      <w:r>
        <w:rPr>
          <w:rFonts w:hint="eastAsia" w:ascii="宋体" w:hAnsi="宋体" w:cs="宋体"/>
          <w:b/>
          <w:color w:val="auto"/>
          <w:sz w:val="24"/>
          <w:szCs w:val="21"/>
          <w:highlight w:val="none"/>
        </w:rPr>
        <w:t>诺的响应文件有效期少于采购文件中载明的响应文件有效期的，响应文件无效。</w:t>
      </w:r>
    </w:p>
    <w:p w14:paraId="64FA41E1">
      <w:pPr>
        <w:pStyle w:val="131"/>
        <w:spacing w:before="0"/>
        <w:ind w:firstLine="480"/>
        <w:rPr>
          <w:rFonts w:ascii="宋体" w:hAnsi="宋体" w:cs="宋体"/>
          <w:color w:val="auto"/>
          <w:highlight w:val="none"/>
        </w:rPr>
      </w:pPr>
      <w:r>
        <w:rPr>
          <w:rFonts w:hint="eastAsia" w:ascii="宋体" w:hAnsi="宋体" w:cs="宋体"/>
          <w:color w:val="auto"/>
          <w:highlight w:val="none"/>
        </w:rPr>
        <w:t>17.2响应文件合格投递后，自响应文件提交截止时间起，在响应文件有效期内有效。</w:t>
      </w:r>
    </w:p>
    <w:p w14:paraId="62B7205A">
      <w:pPr>
        <w:pStyle w:val="131"/>
        <w:spacing w:before="0"/>
        <w:ind w:firstLine="480"/>
        <w:rPr>
          <w:rFonts w:ascii="宋体" w:hAnsi="宋体" w:cs="宋体"/>
          <w:color w:val="auto"/>
          <w:highlight w:val="none"/>
        </w:rPr>
      </w:pPr>
      <w:r>
        <w:rPr>
          <w:rFonts w:hint="eastAsia" w:ascii="宋体" w:hAnsi="宋体" w:cs="宋体"/>
          <w:color w:val="auto"/>
          <w:highlight w:val="none"/>
        </w:rPr>
        <w:t>17.3在原定响应文件有效期满之前，如果出现特殊情况，采购代理机构可以以书面形式通知供应商延长响应文件有效期。供应商同意延长的，不得要求或被允许修改其响应文件，供应商拒绝延长的，其响应文件无效。</w:t>
      </w:r>
    </w:p>
    <w:p w14:paraId="044BAF85">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四、响应文件开启、资格审查与信用信息查询</w:t>
      </w:r>
    </w:p>
    <w:p w14:paraId="3FE88232">
      <w:pPr>
        <w:pStyle w:val="557"/>
        <w:spacing w:before="0" w:line="360" w:lineRule="auto"/>
        <w:ind w:left="0" w:firstLine="0"/>
        <w:contextualSpacing/>
        <w:rPr>
          <w:rFonts w:ascii="宋体" w:hAnsi="宋体" w:cs="宋体"/>
          <w:color w:val="auto"/>
          <w:sz w:val="24"/>
          <w:highlight w:val="none"/>
        </w:rPr>
      </w:pPr>
      <w:r>
        <w:rPr>
          <w:rFonts w:hint="eastAsia" w:ascii="宋体" w:hAnsi="宋体" w:cs="宋体"/>
          <w:b/>
          <w:color w:val="auto"/>
          <w:sz w:val="24"/>
          <w:szCs w:val="24"/>
          <w:highlight w:val="none"/>
        </w:rPr>
        <w:t>18.响应文件开启</w:t>
      </w:r>
    </w:p>
    <w:p w14:paraId="71AADAA3">
      <w:pPr>
        <w:pStyle w:val="557"/>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18.1采购代理机构按照采购文件规定的时间通过电子交易平台组织响应文件开启，所有供应商均应当准时在线参加。供应商不足3家的，不得开启。</w:t>
      </w:r>
    </w:p>
    <w:p w14:paraId="2E967105">
      <w:pPr>
        <w:pStyle w:val="557"/>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18.2响应文件开启时，电子交易平台按响应文件开启时间自动提取所有响应文件。采购代理机构依托电子交易平台发起开始解密指令，供应商按照平台提示和采购文件的规定在半小时内完成在线解密。</w:t>
      </w:r>
    </w:p>
    <w:p w14:paraId="774738D0">
      <w:pPr>
        <w:pStyle w:val="557"/>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18.3</w:t>
      </w:r>
      <w:r>
        <w:rPr>
          <w:rFonts w:hint="eastAsia" w:ascii="宋体" w:hAnsi="宋体" w:cs="宋体"/>
          <w:b/>
          <w:bCs/>
          <w:color w:val="auto"/>
          <w:sz w:val="24"/>
          <w:highlight w:val="none"/>
        </w:rPr>
        <w:t>响应文件未按时解密，供应商提供了备份响应文件的，以备份响应文件作为依据，否则视为响应文件撤回。响应文件已按时解密的，备份响应文件自动失效。</w:t>
      </w:r>
    </w:p>
    <w:p w14:paraId="1767A354">
      <w:pPr>
        <w:pStyle w:val="557"/>
        <w:spacing w:before="0" w:line="360" w:lineRule="auto"/>
        <w:ind w:left="0" w:firstLine="0"/>
        <w:contextualSpacing/>
        <w:rPr>
          <w:rFonts w:ascii="宋体" w:hAnsi="宋体" w:cs="宋体"/>
          <w:b/>
          <w:color w:val="auto"/>
          <w:sz w:val="24"/>
          <w:szCs w:val="24"/>
          <w:highlight w:val="none"/>
        </w:rPr>
      </w:pPr>
      <w:r>
        <w:rPr>
          <w:rFonts w:hint="eastAsia" w:ascii="宋体" w:hAnsi="宋体" w:cs="宋体"/>
          <w:b/>
          <w:color w:val="auto"/>
          <w:sz w:val="24"/>
          <w:szCs w:val="24"/>
          <w:highlight w:val="none"/>
        </w:rPr>
        <w:t>19、资格审查</w:t>
      </w:r>
    </w:p>
    <w:p w14:paraId="0294C6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采购人、采购代理机构或磋商小组依据法律法规和采购文件的规定，对供应商的资格进行审查。</w:t>
      </w:r>
    </w:p>
    <w:p w14:paraId="4A0EC2C8">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19.2供应商未按照采购文件要求提供与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供应商不具备采购文件中规定的资格要求，其响应文件无效。</w:t>
      </w:r>
    </w:p>
    <w:p w14:paraId="6755667B">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3对未通过资格审查的供应商，采购人或采购代理机构告知其未通过的原因。</w:t>
      </w:r>
    </w:p>
    <w:p w14:paraId="31E0649D">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4合格供应商不足3家的，不再评审。</w:t>
      </w:r>
    </w:p>
    <w:p w14:paraId="525EEDA2">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0FA85B06">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20.1信用信息查询渠道及截止时间：采购代理机构将在资格审查时通过“信用中国”网站(www.creditchina.gov.cn)、中国政府采购网(www.ccgp.gov.cn)渠道查询供应商接受资格审查时的信用记录。</w:t>
      </w:r>
    </w:p>
    <w:p w14:paraId="733169C4">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20.2信用信息查询记录和证据留存的具体方式：现场查询的供应商的信用记录、查询结果经确认后将与采购文件一起存档。</w:t>
      </w:r>
    </w:p>
    <w:p w14:paraId="64FFD793">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20.3信用信息的使用规则：经查询列入失信被执行人名单、重大税收违法案件当事人名单、政府采购严重违法失信行为记录名单的供应商将被拒绝参与政府采购活动。</w:t>
      </w:r>
    </w:p>
    <w:p w14:paraId="0D7EF94A">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34E3DEC7">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五、评审</w:t>
      </w:r>
    </w:p>
    <w:p w14:paraId="66A48702">
      <w:pPr>
        <w:spacing w:line="360" w:lineRule="auto"/>
        <w:rPr>
          <w:rFonts w:hint="default" w:ascii="宋体" w:hAnsi="宋体" w:eastAsia="宋体" w:cs="宋体"/>
          <w:b/>
          <w:color w:val="auto"/>
          <w:sz w:val="24"/>
          <w:highlight w:val="none"/>
          <w:lang w:val="en-US" w:eastAsia="zh-CN"/>
        </w:rPr>
      </w:pPr>
      <w:bookmarkStart w:id="19" w:name="_Toc91899903"/>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项目评审</w:t>
      </w:r>
    </w:p>
    <w:p w14:paraId="7BF0EC14">
      <w:pPr>
        <w:spacing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lang w:val="en-US" w:eastAsia="zh-CN"/>
        </w:rPr>
        <w:t>21.1</w:t>
      </w:r>
      <w:r>
        <w:rPr>
          <w:rFonts w:hint="eastAsia" w:hAnsi="宋体" w:cs="宋体"/>
          <w:color w:val="auto"/>
          <w:sz w:val="24"/>
          <w:szCs w:val="24"/>
          <w:highlight w:val="none"/>
        </w:rPr>
        <w:t>采购人将根据磋商项目的特点，依照</w:t>
      </w:r>
      <w:r>
        <w:rPr>
          <w:rFonts w:hint="eastAsia" w:hAnsi="宋体" w:cs="宋体"/>
          <w:color w:val="auto"/>
          <w:kern w:val="0"/>
          <w:sz w:val="24"/>
          <w:highlight w:val="none"/>
        </w:rPr>
        <w:t>《中华人民共和国政府采购法》、《政府采购竞争性磋商采购方式管理暂行办法》</w:t>
      </w:r>
      <w:r>
        <w:rPr>
          <w:rFonts w:hint="eastAsia" w:hAnsi="宋体" w:cs="宋体"/>
          <w:color w:val="auto"/>
          <w:sz w:val="24"/>
          <w:szCs w:val="24"/>
          <w:highlight w:val="none"/>
        </w:rPr>
        <w:t>的有关规定组建磋商评审小组。成员人数为三人，其成员由经济、技术等方面的评审专家组成。其中评审专家不少于成员总数的三分之二，采购人代表不超过总人数的三分之</w:t>
      </w:r>
      <w:r>
        <w:rPr>
          <w:rFonts w:hint="eastAsia" w:hAnsi="宋体" w:cs="宋体"/>
          <w:color w:val="auto"/>
          <w:sz w:val="24"/>
          <w:szCs w:val="24"/>
          <w:highlight w:val="none"/>
          <w:lang w:val="en-US" w:eastAsia="zh-CN"/>
        </w:rPr>
        <w:t>一，</w:t>
      </w:r>
      <w:r>
        <w:rPr>
          <w:rFonts w:hint="eastAsia" w:hAnsi="宋体" w:cs="宋体"/>
          <w:color w:val="auto"/>
          <w:sz w:val="24"/>
          <w:szCs w:val="24"/>
          <w:highlight w:val="none"/>
        </w:rPr>
        <w:t>并由磋商评审小组推选小组负责人</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业主代表不得作为评审组长</w:t>
      </w:r>
      <w:r>
        <w:rPr>
          <w:rFonts w:hint="eastAsia" w:hAnsi="宋体" w:cs="宋体"/>
          <w:color w:val="auto"/>
          <w:sz w:val="24"/>
          <w:szCs w:val="24"/>
          <w:highlight w:val="none"/>
          <w:lang w:eastAsia="zh-CN"/>
        </w:rPr>
        <w:t>）</w:t>
      </w:r>
      <w:r>
        <w:rPr>
          <w:rFonts w:hint="eastAsia" w:hAnsi="宋体" w:cs="宋体"/>
          <w:color w:val="auto"/>
          <w:sz w:val="24"/>
          <w:szCs w:val="24"/>
          <w:highlight w:val="none"/>
        </w:rPr>
        <w:t>。</w:t>
      </w:r>
    </w:p>
    <w:p w14:paraId="7730398C">
      <w:pPr>
        <w:pStyle w:val="724"/>
        <w:spacing w:line="360" w:lineRule="auto"/>
        <w:ind w:firstLine="42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21.2</w:t>
      </w:r>
      <w:r>
        <w:rPr>
          <w:rFonts w:hint="eastAsia" w:ascii="宋体" w:hAnsi="宋体" w:eastAsia="宋体" w:cs="宋体"/>
          <w:b/>
          <w:bCs/>
          <w:color w:val="auto"/>
          <w:szCs w:val="21"/>
          <w:highlight w:val="none"/>
        </w:rPr>
        <w:t>响应文件符合性评审</w:t>
      </w:r>
    </w:p>
    <w:p w14:paraId="4786329D">
      <w:pPr>
        <w:pStyle w:val="724"/>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.2.1磋商小组将首先审查每份响应文件是否实质上响应了竞争性磋商文件的要求，实质性响应的响应文件是指响应文件符合竞争性磋商文件规定的实质性内容、条件和规定。</w:t>
      </w:r>
    </w:p>
    <w:p w14:paraId="3FE66D26">
      <w:pPr>
        <w:pStyle w:val="724"/>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2.2重大偏离或保留是指将会影响到竞争性磋商文件规定的服务范围、质量标准，或会给合同中规定的采购人的权利和供应商的责任造成实质性限制，而纠正这些偏离或保留将对其他提交了实质性响应的响应文件的供应商产生不公平影响的。</w:t>
      </w:r>
    </w:p>
    <w:p w14:paraId="43A45CAF">
      <w:pPr>
        <w:pStyle w:val="724"/>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.2.3细微偏离是指响应文件对竞争性磋商文件的非实质性内容存在不完全响应或不响应。</w:t>
      </w:r>
    </w:p>
    <w:p w14:paraId="689644F2">
      <w:pPr>
        <w:pStyle w:val="724"/>
        <w:spacing w:line="360" w:lineRule="auto"/>
        <w:ind w:firstLine="42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2.4重大偏离和保留、细微偏离由磋商小组界定。符合性评审时如发现响应文件与竞争性磋商文件要求有重大偏离和保留，其响应文件将被作无效标处理。供应商不得通过修正或撤消不符合竞争性磋商文件要求的重大偏离和保留从而使其响应文件实质性响应竞争性磋商文件要求。但允许响应文件在实质性满足竞争性磋商文件要求的前提下出现的细微偏差，在详细评审时可按评审办法对细微偏差做出不利于该供应商的评审。</w:t>
      </w:r>
    </w:p>
    <w:p w14:paraId="11BE6160">
      <w:pPr>
        <w:spacing w:line="360" w:lineRule="auto"/>
        <w:ind w:firstLine="480" w:firstLineChars="200"/>
        <w:rPr>
          <w:rFonts w:hint="default" w:hAnsi="宋体" w:cs="宋体"/>
          <w:color w:val="auto"/>
          <w:sz w:val="24"/>
          <w:szCs w:val="24"/>
          <w:highlight w:val="none"/>
          <w:lang w:val="en-US" w:eastAsia="zh-CN"/>
        </w:rPr>
      </w:pPr>
      <w:r>
        <w:rPr>
          <w:rFonts w:hint="eastAsia" w:hAnsi="宋体" w:cs="宋体"/>
          <w:color w:val="auto"/>
          <w:sz w:val="24"/>
          <w:szCs w:val="24"/>
          <w:highlight w:val="none"/>
          <w:lang w:val="en-US" w:eastAsia="zh-CN"/>
        </w:rPr>
        <w:t>21.3响应文件的澄清</w:t>
      </w:r>
    </w:p>
    <w:p w14:paraId="28B1A58F">
      <w:pPr>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磋商小组可要求供应商对响应文件中含义不明确、同类问题表述不一致、有明显的文字和计算错误的内容等进行澄清并做出答复。澄清以通过“政府采购云平台”在线询标的形式进行。要求供应商在规定的时间内作出必要的澄清、说明或者补正，供应商人澄清、说明或补正时间为30分钟以内。</w:t>
      </w:r>
    </w:p>
    <w:p w14:paraId="7020A83B">
      <w:pPr>
        <w:spacing w:line="360" w:lineRule="auto"/>
        <w:ind w:firstLine="482" w:firstLineChars="200"/>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21.4响应文件计算错误的修正</w:t>
      </w:r>
    </w:p>
    <w:p w14:paraId="4E49D967">
      <w:pPr>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21.4.1响应文件中磋商报价一览表内容与响应文件中磋商分项报价表内容不一致的，以磋商报价一览表为准；</w:t>
      </w:r>
    </w:p>
    <w:p w14:paraId="06331BD8">
      <w:pPr>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21.4.2响应文件的大写金额和小写金额不一致的，以大写金额为准；</w:t>
      </w:r>
    </w:p>
    <w:p w14:paraId="59653578">
      <w:pPr>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21.4.3总价金额与按单价汇总金额不一致的，以单价金额计算结果为准;</w:t>
      </w:r>
    </w:p>
    <w:p w14:paraId="090077D0">
      <w:pPr>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21.4.4单价金额小数点有明显错位的，应以总价为准，并修改单价；</w:t>
      </w:r>
    </w:p>
    <w:p w14:paraId="7981929C">
      <w:pPr>
        <w:spacing w:line="360" w:lineRule="auto"/>
        <w:ind w:firstLine="480" w:firstLineChars="200"/>
        <w:rPr>
          <w:rFonts w:hint="default"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21.4.5对不同文字文本响应文件的解释发生异议的，以中文文本为准。</w:t>
      </w:r>
    </w:p>
    <w:p w14:paraId="3D1A8C08">
      <w:pPr>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21.3磋商小组根据磋商文件的内容与通过审查的各供应商分别进行磋商，各供应商应通过政采云平台在线答复。</w:t>
      </w:r>
    </w:p>
    <w:p w14:paraId="13F2DE6D">
      <w:pPr>
        <w:spacing w:line="360" w:lineRule="auto"/>
        <w:ind w:firstLine="480" w:firstLineChars="200"/>
        <w:rPr>
          <w:rFonts w:hint="eastAsia" w:ascii="宋体" w:hAnsi="宋体" w:cs="宋体"/>
          <w:b/>
          <w:color w:val="auto"/>
          <w:sz w:val="24"/>
          <w:highlight w:val="none"/>
        </w:rPr>
      </w:pPr>
      <w:r>
        <w:rPr>
          <w:rFonts w:hint="eastAsia" w:hAnsi="宋体" w:cs="宋体"/>
          <w:color w:val="auto"/>
          <w:sz w:val="24"/>
          <w:szCs w:val="24"/>
          <w:highlight w:val="none"/>
          <w:lang w:val="en-US" w:eastAsia="zh-CN"/>
        </w:rPr>
        <w:t>21.5</w:t>
      </w:r>
      <w:r>
        <w:rPr>
          <w:rFonts w:hint="eastAsia" w:hAnsi="宋体" w:cs="宋体"/>
          <w:color w:val="auto"/>
          <w:sz w:val="24"/>
          <w:szCs w:val="24"/>
          <w:highlight w:val="none"/>
        </w:rPr>
        <w:t>磋商评审小组</w:t>
      </w:r>
      <w:r>
        <w:rPr>
          <w:rFonts w:hint="eastAsia" w:ascii="宋体" w:hAnsi="宋体" w:cs="宋体"/>
          <w:color w:val="auto"/>
          <w:sz w:val="24"/>
          <w:highlight w:val="none"/>
        </w:rPr>
        <w:t>将根据采购文件和有关规定，履行评审工作职责，并按照评审方法及评分标准，全面衡量各供应商对采购文件的响应情况。对实质上响应采购文件的供应商，按照评审因素的量化指标排出推荐成交的供应商的先后顺序，并按顺序提出授标建议。</w:t>
      </w:r>
      <w:r>
        <w:rPr>
          <w:rFonts w:hint="eastAsia" w:ascii="宋体" w:hAnsi="宋体" w:cs="宋体"/>
          <w:b/>
          <w:color w:val="auto"/>
          <w:sz w:val="24"/>
          <w:highlight w:val="none"/>
        </w:rPr>
        <w:t>详见采购文件第四部分评审办法。</w:t>
      </w:r>
    </w:p>
    <w:p w14:paraId="587ED59F">
      <w:pPr>
        <w:spacing w:line="360" w:lineRule="auto"/>
        <w:ind w:firstLine="482" w:firstLineChars="200"/>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21.6磋商报价分二轮进行，首次报价在响应文件中体现；最终报价由各供应商在规定时间内通过政采云平台在线完成。各供应商应事先做好充足准备，如未能在规定的时间内提供最终报价，作自动放弃处理。</w:t>
      </w:r>
    </w:p>
    <w:p w14:paraId="43188B76">
      <w:pPr>
        <w:spacing w:line="360" w:lineRule="auto"/>
        <w:ind w:firstLine="482" w:firstLineChars="200"/>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注：最后一轮报价只允许有一个报价，不接受有选择报价的响应文件。</w:t>
      </w:r>
    </w:p>
    <w:p w14:paraId="7AA69C2D">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六、成交供应商确定</w:t>
      </w:r>
    </w:p>
    <w:p w14:paraId="1EAFB10F">
      <w:pPr>
        <w:pStyle w:val="26"/>
        <w:spacing w:line="360" w:lineRule="auto"/>
        <w:ind w:left="479" w:hanging="479" w:hangingChars="199"/>
        <w:rPr>
          <w:rFonts w:cs="宋体"/>
          <w:b/>
          <w:color w:val="auto"/>
          <w:highlight w:val="none"/>
        </w:rPr>
      </w:pPr>
      <w:r>
        <w:rPr>
          <w:rFonts w:hint="eastAsia" w:cs="宋体"/>
          <w:b/>
          <w:color w:val="auto"/>
          <w:highlight w:val="none"/>
        </w:rPr>
        <w:t>22. 确定成交供应商</w:t>
      </w:r>
    </w:p>
    <w:p w14:paraId="12BF6983">
      <w:pPr>
        <w:pStyle w:val="131"/>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2BD95113">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成交通知与成交结果公告</w:t>
      </w:r>
    </w:p>
    <w:p w14:paraId="14E5C4C7">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23.1自成交供应商确定之日起1个工作日内，采购代理机构通过电子交易平台向成交供应商发出成交通知书，同时编制发布采购结果公告。采购代理机构也可以以纸质形式进行成交通知。</w:t>
      </w:r>
    </w:p>
    <w:p w14:paraId="3A32D188">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成交结果公告内容包括采购人及其委托的采购代理机构的名称、地址、联系方式，项目名称和项目编号，成交供应商名称、地址和成交金额，主要成交标的的名称、规格型号、数量、单价、服务要求，开标记录、资格审查情况、评审专家抽取规则、符合性审查情况、未成交情况说明、成交结果公告期限以及评审专家名单、评分汇总及明细。</w:t>
      </w:r>
    </w:p>
    <w:p w14:paraId="546493BF">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14:paraId="42FA7C60">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七、合同授予</w:t>
      </w:r>
    </w:p>
    <w:p w14:paraId="7F3403E1">
      <w:pPr>
        <w:pStyle w:val="26"/>
        <w:snapToGrid w:val="0"/>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342C2887">
      <w:pPr>
        <w:pStyle w:val="26"/>
        <w:snapToGrid w:val="0"/>
        <w:spacing w:line="360" w:lineRule="auto"/>
        <w:ind w:left="479" w:hanging="479" w:hangingChars="199"/>
        <w:rPr>
          <w:rFonts w:cs="宋体"/>
          <w:b/>
          <w:color w:val="auto"/>
          <w:highlight w:val="none"/>
        </w:rPr>
      </w:pPr>
      <w:r>
        <w:rPr>
          <w:rFonts w:hint="eastAsia" w:cs="宋体"/>
          <w:b/>
          <w:color w:val="auto"/>
          <w:highlight w:val="none"/>
        </w:rPr>
        <w:t>25. 合同的签订</w:t>
      </w:r>
    </w:p>
    <w:p w14:paraId="1E68DC31">
      <w:pPr>
        <w:widowControl/>
        <w:shd w:val="clear" w:color="auto" w:fill="FFFFFF"/>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采购人与成交供应商应当通过电子交易平台在成交通知书发出之日起三十日内，按照采购文件确定的事项签订政府采购合同，并在签订之日起2个工作日内将政府采购合同在浙江政府采购网上公告。</w:t>
      </w:r>
    </w:p>
    <w:p w14:paraId="3089E89F">
      <w:pPr>
        <w:pStyle w:val="131"/>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25.2成交供应商按规定的日期、时间、地点，由法定代表人或其授权代表与采购人代表签订合同。如成交供应商为联合体的，由联合体成员各方法定代表人或其授权代表与采购人代表签订合同。</w:t>
      </w:r>
    </w:p>
    <w:p w14:paraId="475CA3BF">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50BE6658">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25.4成交供应商拒绝与采购人签订合同的，采购人可以按照评审报告推荐的成交候选人名单排序，确定下一候选人为成交供应商，也可以重新开展政府采购活动。拒绝与采购人签订合同的成交供应商应承担采购代理服务费、评审专家劳务报酬等相关费用。</w:t>
      </w:r>
    </w:p>
    <w:p w14:paraId="43274CE4">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25.5采购合同由采购人与成交供应商根据采购文件、响应文件等内容通过政府采购电子交易平台在线签订，自动备案。</w:t>
      </w:r>
    </w:p>
    <w:p w14:paraId="69B2DADE">
      <w:pPr>
        <w:pStyle w:val="26"/>
        <w:snapToGrid w:val="0"/>
        <w:spacing w:line="360" w:lineRule="auto"/>
        <w:ind w:left="479" w:hanging="479" w:hangingChars="199"/>
        <w:rPr>
          <w:rFonts w:cs="宋体"/>
          <w:b/>
          <w:color w:val="auto"/>
          <w:highlight w:val="none"/>
        </w:rPr>
      </w:pPr>
      <w:r>
        <w:rPr>
          <w:rFonts w:hint="eastAsia" w:cs="宋体"/>
          <w:b/>
          <w:color w:val="auto"/>
          <w:highlight w:val="none"/>
        </w:rPr>
        <w:t>26.履约保证金</w:t>
      </w:r>
    </w:p>
    <w:p w14:paraId="6701D70E">
      <w:pPr>
        <w:widowControl/>
        <w:autoSpaceDE w:val="0"/>
        <w:autoSpaceDN w:val="0"/>
        <w:adjustRightInd w:val="0"/>
        <w:snapToGrid w:val="0"/>
        <w:spacing w:line="360" w:lineRule="auto"/>
        <w:ind w:firstLine="480" w:firstLineChars="200"/>
        <w:textAlignment w:val="bottom"/>
        <w:rPr>
          <w:rFonts w:hint="eastAsia" w:ascii="宋体" w:hAnsi="宋体" w:eastAsia="宋体" w:cs="宋体"/>
          <w:color w:val="auto"/>
          <w:sz w:val="24"/>
          <w:szCs w:val="20"/>
          <w:highlight w:val="none"/>
          <w:lang w:eastAsia="zh-CN"/>
        </w:rPr>
      </w:pPr>
      <w:r>
        <w:rPr>
          <w:rFonts w:hint="eastAsia" w:ascii="宋体" w:hAnsi="宋体" w:cs="宋体"/>
          <w:color w:val="auto"/>
          <w:sz w:val="24"/>
          <w:highlight w:val="none"/>
        </w:rPr>
        <w:t>合同签订后一周内，</w:t>
      </w:r>
      <w:r>
        <w:rPr>
          <w:rFonts w:hint="eastAsia" w:ascii="宋体" w:hAnsi="宋体" w:cs="宋体"/>
          <w:color w:val="auto"/>
          <w:sz w:val="24"/>
          <w:highlight w:val="none"/>
          <w:lang w:eastAsia="zh-CN"/>
        </w:rPr>
        <w:t>成交人</w:t>
      </w:r>
      <w:r>
        <w:rPr>
          <w:rFonts w:hint="eastAsia" w:ascii="宋体" w:hAnsi="宋体" w:cs="宋体"/>
          <w:color w:val="auto"/>
          <w:sz w:val="24"/>
          <w:highlight w:val="none"/>
        </w:rPr>
        <w:t>向采购人提交合同金额1%的履约保证金（提交方式：支票、汇票、本票或者金融机构、担保机构出具的保函等非现金形式），履约保证金在履约完毕后无质量问题和维护问题，于15个工作日内退还（不计息）</w:t>
      </w:r>
      <w:r>
        <w:rPr>
          <w:rFonts w:hint="eastAsia" w:ascii="宋体" w:hAnsi="宋体" w:cs="宋体"/>
          <w:color w:val="auto"/>
          <w:sz w:val="24"/>
          <w:highlight w:val="none"/>
          <w:lang w:val="en-US" w:eastAsia="zh-CN"/>
        </w:rPr>
        <w:t>。</w:t>
      </w:r>
    </w:p>
    <w:p w14:paraId="551B601E">
      <w:pPr>
        <w:pStyle w:val="26"/>
        <w:snapToGrid w:val="0"/>
        <w:spacing w:line="360" w:lineRule="auto"/>
        <w:ind w:left="479" w:hanging="479" w:hangingChars="199"/>
        <w:rPr>
          <w:rFonts w:cs="宋体"/>
          <w:b/>
          <w:color w:val="auto"/>
          <w:highlight w:val="none"/>
        </w:rPr>
      </w:pPr>
      <w:r>
        <w:rPr>
          <w:rFonts w:hint="eastAsia" w:cs="宋体"/>
          <w:b/>
          <w:color w:val="auto"/>
          <w:highlight w:val="none"/>
        </w:rPr>
        <w:t>27.预付款</w:t>
      </w:r>
    </w:p>
    <w:p w14:paraId="59F5FB84">
      <w:pPr>
        <w:adjustRightInd/>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lang w:val="zh-CN"/>
        </w:rPr>
        <w:t>在合同生效以及具备实施条件后7个工作日内，采购人向成交人支付合同总额的40％作为预付款；项目履约完成经采购人验收合格后，采购人向成交人支付剩余价款；每阶段付款前需提供符合采购人要求的全额正规发票，否则采购人有权拒绝支付。预付款的支付进程不得影响合同的履行</w:t>
      </w:r>
      <w:r>
        <w:rPr>
          <w:rFonts w:hint="eastAsia" w:ascii="宋体" w:hAnsi="宋体" w:cs="宋体"/>
          <w:color w:val="auto"/>
          <w:sz w:val="24"/>
          <w:highlight w:val="none"/>
        </w:rPr>
        <w:t>。</w:t>
      </w:r>
    </w:p>
    <w:p w14:paraId="65C893D2">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八、电子交易活动的中止</w:t>
      </w:r>
    </w:p>
    <w:p w14:paraId="584651B2">
      <w:pPr>
        <w:pStyle w:val="131"/>
        <w:snapToGrid w:val="0"/>
        <w:spacing w:before="0"/>
        <w:ind w:firstLine="0" w:firstLineChars="0"/>
        <w:rPr>
          <w:rFonts w:ascii="宋体" w:hAnsi="宋体" w:cs="宋体"/>
          <w:color w:val="auto"/>
          <w:highlight w:val="none"/>
        </w:rPr>
      </w:pPr>
      <w:r>
        <w:rPr>
          <w:rFonts w:hint="eastAsia" w:ascii="宋体" w:hAnsi="宋体" w:cs="宋体"/>
          <w:b/>
          <w:bCs/>
          <w:color w:val="auto"/>
          <w:highlight w:val="none"/>
        </w:rPr>
        <w:t>2</w:t>
      </w:r>
      <w:r>
        <w:rPr>
          <w:rFonts w:hint="eastAsia"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2B108817">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696752FC">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3A6EE9CD">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1E16506C">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1C2B35E4">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1593404E">
      <w:pPr>
        <w:pStyle w:val="131"/>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EAD63AE">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九、验收</w:t>
      </w:r>
    </w:p>
    <w:p w14:paraId="0609DB6E">
      <w:pPr>
        <w:pStyle w:val="26"/>
        <w:spacing w:line="360" w:lineRule="auto"/>
        <w:ind w:firstLine="0" w:firstLineChars="0"/>
        <w:rPr>
          <w:rFonts w:cs="宋体"/>
          <w:b/>
          <w:color w:val="auto"/>
          <w:highlight w:val="none"/>
        </w:rPr>
      </w:pPr>
      <w:r>
        <w:rPr>
          <w:rFonts w:hint="eastAsia" w:cs="宋体"/>
          <w:b/>
          <w:color w:val="auto"/>
          <w:highlight w:val="none"/>
        </w:rPr>
        <w:t>30.验收</w:t>
      </w:r>
    </w:p>
    <w:p w14:paraId="16346E0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1649DB9">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30.2采购人可以邀请参加本项目的其他供应商或者第三方机构参与验收。参与验收的供应商或者第三方机构的意见作为验收书的参考资料一并存档。</w:t>
      </w:r>
    </w:p>
    <w:p w14:paraId="025361AE">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591CA9">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9"/>
    <w:p w14:paraId="635A4A8C">
      <w:pPr>
        <w:tabs>
          <w:tab w:val="left" w:pos="0"/>
        </w:tabs>
        <w:spacing w:line="360" w:lineRule="auto"/>
        <w:ind w:firstLine="480"/>
        <w:rPr>
          <w:rFonts w:ascii="宋体" w:hAnsi="宋体" w:cs="宋体"/>
          <w:color w:val="auto"/>
          <w:kern w:val="0"/>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bookmarkStart w:id="20" w:name="_Hlt68403820"/>
      <w:bookmarkEnd w:id="20"/>
      <w:bookmarkStart w:id="21" w:name="_Hlt75236011"/>
      <w:bookmarkEnd w:id="21"/>
      <w:bookmarkStart w:id="22" w:name="_Hlt68073093"/>
      <w:bookmarkEnd w:id="22"/>
      <w:bookmarkStart w:id="23" w:name="_Hlt75236290"/>
      <w:bookmarkEnd w:id="23"/>
      <w:bookmarkStart w:id="24" w:name="_Hlt74730295"/>
      <w:bookmarkEnd w:id="24"/>
      <w:bookmarkStart w:id="25" w:name="_Hlt68072998"/>
      <w:bookmarkEnd w:id="25"/>
      <w:bookmarkStart w:id="26" w:name="_Hlt74707468"/>
      <w:bookmarkEnd w:id="26"/>
      <w:bookmarkStart w:id="27" w:name="_Hlt74714665"/>
      <w:bookmarkEnd w:id="27"/>
      <w:bookmarkStart w:id="28" w:name="_Hlt68072990"/>
      <w:bookmarkEnd w:id="28"/>
      <w:bookmarkStart w:id="29" w:name="_Hlt68057669"/>
      <w:bookmarkEnd w:id="29"/>
      <w:bookmarkStart w:id="30" w:name="_Hlt75236101"/>
      <w:bookmarkEnd w:id="30"/>
      <w:bookmarkStart w:id="31" w:name="_Hlt74729768"/>
      <w:bookmarkEnd w:id="31"/>
    </w:p>
    <w:bookmarkEnd w:id="16"/>
    <w:bookmarkEnd w:id="17"/>
    <w:p w14:paraId="22CCBB69">
      <w:pPr>
        <w:adjustRightInd/>
        <w:spacing w:line="360" w:lineRule="auto"/>
        <w:jc w:val="center"/>
        <w:outlineLvl w:val="0"/>
        <w:rPr>
          <w:rFonts w:ascii="宋体" w:hAnsi="宋体" w:cs="宋体"/>
          <w:b/>
          <w:color w:val="auto"/>
          <w:sz w:val="36"/>
          <w:szCs w:val="20"/>
          <w:highlight w:val="none"/>
        </w:rPr>
      </w:pPr>
      <w:bookmarkStart w:id="32" w:name="_Toc12756"/>
      <w:bookmarkStart w:id="33" w:name="第四部分"/>
      <w:r>
        <w:rPr>
          <w:rFonts w:hint="eastAsia" w:ascii="宋体" w:hAnsi="宋体" w:cs="宋体"/>
          <w:b/>
          <w:color w:val="auto"/>
          <w:sz w:val="36"/>
          <w:szCs w:val="20"/>
          <w:highlight w:val="none"/>
        </w:rPr>
        <w:t>第三部分 采购需求</w:t>
      </w:r>
      <w:bookmarkEnd w:id="32"/>
    </w:p>
    <w:p w14:paraId="341B9639">
      <w:pPr>
        <w:pStyle w:val="6"/>
        <w:bidi w:val="0"/>
        <w:jc w:val="left"/>
        <w:rPr>
          <w:rFonts w:hint="eastAsia" w:eastAsia="宋体"/>
          <w:color w:val="auto"/>
          <w:highlight w:val="none"/>
          <w:lang w:eastAsia="zh-CN"/>
        </w:rPr>
      </w:pPr>
      <w:bookmarkStart w:id="34" w:name="_Toc6822"/>
      <w:bookmarkStart w:id="35" w:name="_Toc10673"/>
      <w:r>
        <w:rPr>
          <w:rFonts w:hint="eastAsia"/>
          <w:color w:val="auto"/>
          <w:highlight w:val="none"/>
        </w:rPr>
        <w:t>一、</w:t>
      </w:r>
      <w:r>
        <w:rPr>
          <w:rFonts w:hint="eastAsia"/>
          <w:color w:val="auto"/>
          <w:highlight w:val="none"/>
          <w:lang w:val="en-US" w:eastAsia="zh-CN"/>
        </w:rPr>
        <w:t>项目概况</w:t>
      </w:r>
    </w:p>
    <w:p w14:paraId="0485AD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本项目拟</w:t>
      </w:r>
      <w:r>
        <w:rPr>
          <w:rFonts w:hint="eastAsia" w:asciiTheme="minorEastAsia" w:hAnsiTheme="minorEastAsia" w:eastAsiaTheme="minorEastAsia" w:cstheme="minorEastAsia"/>
          <w:color w:val="auto"/>
          <w:sz w:val="24"/>
          <w:szCs w:val="24"/>
          <w:highlight w:val="none"/>
        </w:rPr>
        <w:t>对图书馆旧书架进行翻新改造，并按新馆布局完成拆卸、搬运与重装，确保安全使用、功能完善与风格协调，提升空间利用率和读者体验。</w:t>
      </w:r>
    </w:p>
    <w:p w14:paraId="3059D071">
      <w:pPr>
        <w:pStyle w:val="6"/>
        <w:bidi w:val="0"/>
        <w:rPr>
          <w:rFonts w:hint="eastAsia"/>
          <w:color w:val="auto"/>
          <w:highlight w:val="none"/>
          <w:lang w:val="en-US" w:eastAsia="zh-CN"/>
        </w:rPr>
      </w:pPr>
      <w:r>
        <w:rPr>
          <w:rFonts w:hint="eastAsia"/>
          <w:color w:val="auto"/>
          <w:highlight w:val="none"/>
        </w:rPr>
        <w:t>二、</w:t>
      </w:r>
      <w:bookmarkEnd w:id="34"/>
      <w:bookmarkEnd w:id="35"/>
      <w:r>
        <w:rPr>
          <w:rFonts w:hint="eastAsia"/>
          <w:color w:val="auto"/>
          <w:highlight w:val="none"/>
          <w:lang w:val="en-US" w:eastAsia="zh-CN"/>
        </w:rPr>
        <w:t>利旧</w:t>
      </w:r>
      <w:r>
        <w:rPr>
          <w:rStyle w:val="971"/>
          <w:rFonts w:hint="eastAsia"/>
          <w:b/>
          <w:bCs/>
          <w:color w:val="auto"/>
          <w:highlight w:val="none"/>
          <w:lang w:val="en-US" w:eastAsia="zh-CN"/>
        </w:rPr>
        <w:t>翻新清单及</w:t>
      </w:r>
      <w:r>
        <w:rPr>
          <w:rFonts w:hint="eastAsia"/>
          <w:color w:val="auto"/>
          <w:highlight w:val="none"/>
          <w:lang w:val="en-US" w:eastAsia="zh-CN"/>
        </w:rPr>
        <w:t>要求</w:t>
      </w:r>
    </w:p>
    <w:p w14:paraId="664F81B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（一）利旧翻新清单</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5"/>
        <w:gridCol w:w="1165"/>
        <w:gridCol w:w="1247"/>
        <w:gridCol w:w="1776"/>
        <w:gridCol w:w="4421"/>
        <w:gridCol w:w="695"/>
        <w:gridCol w:w="695"/>
        <w:gridCol w:w="3482"/>
      </w:tblGrid>
      <w:tr w14:paraId="67C18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CC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序号</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493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名称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2E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规格</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97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利旧产品图片</w:t>
            </w:r>
          </w:p>
        </w:tc>
        <w:tc>
          <w:tcPr>
            <w:tcW w:w="1559" w:type="pct"/>
            <w:tcBorders>
              <w:top w:val="single" w:color="000000" w:sz="4" w:space="0"/>
              <w:left w:val="single" w:color="000000" w:sz="4" w:space="0"/>
              <w:bottom w:val="single" w:color="000000" w:sz="4" w:space="0"/>
              <w:right w:val="nil"/>
            </w:tcBorders>
            <w:shd w:val="clear" w:color="auto" w:fill="auto"/>
            <w:vAlign w:val="center"/>
          </w:tcPr>
          <w:p w14:paraId="1AF984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材质要求</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18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数量</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596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单位</w:t>
            </w:r>
          </w:p>
        </w:tc>
        <w:tc>
          <w:tcPr>
            <w:tcW w:w="1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142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参考图片</w:t>
            </w:r>
          </w:p>
        </w:tc>
      </w:tr>
      <w:tr w14:paraId="31DB5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07C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082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r>
              <w:rPr>
                <w:rFonts w:hint="eastAsia" w:ascii="宋体" w:hAnsi="宋体" w:cs="宋体"/>
                <w:i w:val="0"/>
                <w:iCs w:val="0"/>
                <w:color w:val="auto"/>
                <w:kern w:val="0"/>
                <w:sz w:val="24"/>
                <w:szCs w:val="24"/>
                <w:highlight w:val="none"/>
                <w:u w:val="none"/>
                <w:lang w:val="en-US" w:eastAsia="zh-CN" w:bidi="ar"/>
              </w:rPr>
              <w:t>30</w:t>
            </w:r>
            <w:r>
              <w:rPr>
                <w:rFonts w:hint="eastAsia" w:ascii="宋体" w:hAnsi="宋体" w:eastAsia="宋体" w:cs="宋体"/>
                <w:i w:val="0"/>
                <w:iCs w:val="0"/>
                <w:color w:val="auto"/>
                <w:kern w:val="0"/>
                <w:sz w:val="24"/>
                <w:szCs w:val="24"/>
                <w:highlight w:val="none"/>
                <w:u w:val="none"/>
                <w:lang w:val="en-US" w:eastAsia="zh-CN" w:bidi="ar"/>
              </w:rPr>
              <w:t>节双面书架</w:t>
            </w:r>
            <w:r>
              <w:rPr>
                <w:rFonts w:hint="eastAsia" w:ascii="宋体" w:hAnsi="宋体" w:cs="宋体"/>
                <w:i w:val="0"/>
                <w:iCs w:val="0"/>
                <w:color w:val="auto"/>
                <w:kern w:val="0"/>
                <w:sz w:val="24"/>
                <w:szCs w:val="24"/>
                <w:highlight w:val="none"/>
                <w:u w:val="none"/>
                <w:lang w:val="en-US" w:eastAsia="zh-CN" w:bidi="ar"/>
              </w:rPr>
              <w:t>双侧护板、顶板、底板</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A3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按平方计算</w:t>
            </w:r>
          </w:p>
        </w:tc>
        <w:tc>
          <w:tcPr>
            <w:tcW w:w="626" w:type="pct"/>
            <w:vMerge w:val="restart"/>
            <w:tcBorders>
              <w:top w:val="single" w:color="000000" w:sz="4" w:space="0"/>
              <w:left w:val="single" w:color="000000" w:sz="4" w:space="0"/>
              <w:right w:val="single" w:color="000000" w:sz="4" w:space="0"/>
            </w:tcBorders>
            <w:shd w:val="clear" w:color="auto" w:fill="auto"/>
            <w:vAlign w:val="center"/>
          </w:tcPr>
          <w:p w14:paraId="78FCF8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984885" cy="1285240"/>
                  <wp:effectExtent l="0" t="0" r="5715" b="10160"/>
                  <wp:docPr id="1" name="image76.jpeg"/>
                  <wp:cNvGraphicFramePr/>
                  <a:graphic xmlns:a="http://schemas.openxmlformats.org/drawingml/2006/main">
                    <a:graphicData uri="http://schemas.openxmlformats.org/drawingml/2006/picture">
                      <pic:pic xmlns:pic="http://schemas.openxmlformats.org/drawingml/2006/picture">
                        <pic:nvPicPr>
                          <pic:cNvPr id="1" name="image76.jpeg"/>
                          <pic:cNvPicPr/>
                        </pic:nvPicPr>
                        <pic:blipFill>
                          <a:blip r:embed="rId27"/>
                          <a:stretch>
                            <a:fillRect/>
                          </a:stretch>
                        </pic:blipFill>
                        <pic:spPr>
                          <a:xfrm>
                            <a:off x="0" y="0"/>
                            <a:ext cx="984885" cy="1285240"/>
                          </a:xfrm>
                          <a:prstGeom prst="rect">
                            <a:avLst/>
                          </a:prstGeom>
                          <a:noFill/>
                          <a:ln>
                            <a:noFill/>
                          </a:ln>
                        </pic:spPr>
                      </pic:pic>
                    </a:graphicData>
                  </a:graphic>
                </wp:inline>
              </w:drawing>
            </w:r>
          </w:p>
        </w:tc>
        <w:tc>
          <w:tcPr>
            <w:tcW w:w="1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8FFC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xml:space="preserve">1、基材：采用国家标准E1级环保实木多层板，符合国家标准要求。                                                                         2、贴面：采用优质实木木皮饰面，木皮木纹流畅，色泽一致，完整干净、无瑕疵，颜色均匀平整，符合国家标准要求。                                                                                                                                                                                                                                                                                 3、油漆：采用优质水性清面漆和底漆，符合国家标准要求。                                                                          4、要求：每列外护板雕刻下采购人学校LOGO，每列外护板安装多媒体显示屏。                                                        </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4F6C">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9F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块</w:t>
            </w: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91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231140" cy="1295400"/>
                  <wp:effectExtent l="0" t="0" r="10160" b="0"/>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28"/>
                          <a:stretch>
                            <a:fillRect/>
                          </a:stretch>
                        </pic:blipFill>
                        <pic:spPr>
                          <a:xfrm>
                            <a:off x="0" y="0"/>
                            <a:ext cx="231140" cy="1295400"/>
                          </a:xfrm>
                          <a:prstGeom prst="rect">
                            <a:avLst/>
                          </a:prstGeom>
                          <a:noFill/>
                          <a:ln>
                            <a:noFill/>
                          </a:ln>
                        </pic:spPr>
                      </pic:pic>
                    </a:graphicData>
                  </a:graphic>
                </wp:inline>
              </w:drawing>
            </w:r>
          </w:p>
        </w:tc>
      </w:tr>
      <w:tr w14:paraId="5D1E4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F63D">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B19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多媒体显示屏幕</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96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显示区域：305.5*229.5 mm</w:t>
            </w:r>
          </w:p>
        </w:tc>
        <w:tc>
          <w:tcPr>
            <w:tcW w:w="626" w:type="pct"/>
            <w:vMerge w:val="continue"/>
            <w:tcBorders>
              <w:left w:val="single" w:color="000000" w:sz="4" w:space="0"/>
              <w:right w:val="single" w:color="000000" w:sz="4" w:space="0"/>
            </w:tcBorders>
            <w:shd w:val="clear" w:color="auto" w:fill="auto"/>
            <w:vAlign w:val="center"/>
          </w:tcPr>
          <w:p w14:paraId="69B9C6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pPr>
          </w:p>
        </w:tc>
        <w:tc>
          <w:tcPr>
            <w:tcW w:w="1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0DD47">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显示性能参数：分辨率：不低于1024×768；亮度：≥350 cd/m²；竖屏显示功能；高清输出功能；显示任意分区功能；LED直接控制功能。</w:t>
            </w:r>
          </w:p>
          <w:p w14:paraId="14E93667">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系统硬件配置：CPU：不低于ARM 四核 1.8GHz；存储配置：≥16G高速卡（支持编辑播放与电视播放功能）</w:t>
            </w:r>
          </w:p>
          <w:p w14:paraId="3D9B235D">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用户与权限管理功能：多级用户身份和密码管理功能；分区、分组、分控管理功能；模板预制或定制功能</w:t>
            </w:r>
          </w:p>
          <w:p w14:paraId="76369692">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信息发布与播放控制功能：实时动态信息发布功能；网络传输功能；信息紧急插播功能；编辑播放功能</w:t>
            </w:r>
          </w:p>
          <w:p w14:paraId="3995E147">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监控与管理平台功能：综合信息管理平台功能；日志管理功能；终端监控功能</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2BF2">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85</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A2CA">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套</w:t>
            </w: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E7F7">
            <w:pPr>
              <w:keepNext w:val="0"/>
              <w:keepLines w:val="0"/>
              <w:widowControl/>
              <w:suppressLineNumbers w:val="0"/>
              <w:jc w:val="center"/>
              <w:textAlignment w:val="center"/>
              <w:rPr>
                <w:color w:val="auto"/>
                <w:highlight w:val="none"/>
              </w:rPr>
            </w:pPr>
            <w:r>
              <w:rPr>
                <w:color w:val="auto"/>
                <w:highlight w:val="none"/>
              </w:rPr>
              <w:drawing>
                <wp:inline distT="0" distB="0" distL="114300" distR="114300">
                  <wp:extent cx="1290955" cy="1003300"/>
                  <wp:effectExtent l="0" t="0" r="4445"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9"/>
                          <a:stretch>
                            <a:fillRect/>
                          </a:stretch>
                        </pic:blipFill>
                        <pic:spPr>
                          <a:xfrm>
                            <a:off x="0" y="0"/>
                            <a:ext cx="1290955" cy="1003300"/>
                          </a:xfrm>
                          <a:prstGeom prst="rect">
                            <a:avLst/>
                          </a:prstGeom>
                          <a:noFill/>
                          <a:ln w="9525">
                            <a:noFill/>
                          </a:ln>
                        </pic:spPr>
                      </pic:pic>
                    </a:graphicData>
                  </a:graphic>
                </wp:inline>
              </w:drawing>
            </w:r>
            <w:r>
              <w:rPr>
                <w:color w:val="auto"/>
                <w:highlight w:val="none"/>
              </w:rPr>
              <w:drawing>
                <wp:inline distT="0" distB="0" distL="114300" distR="114300">
                  <wp:extent cx="770255" cy="998220"/>
                  <wp:effectExtent l="0" t="0" r="4445" b="508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0"/>
                          <a:stretch>
                            <a:fillRect/>
                          </a:stretch>
                        </pic:blipFill>
                        <pic:spPr>
                          <a:xfrm>
                            <a:off x="0" y="0"/>
                            <a:ext cx="770255" cy="998220"/>
                          </a:xfrm>
                          <a:prstGeom prst="rect">
                            <a:avLst/>
                          </a:prstGeom>
                          <a:noFill/>
                          <a:ln w="9525">
                            <a:noFill/>
                          </a:ln>
                        </pic:spPr>
                      </pic:pic>
                    </a:graphicData>
                  </a:graphic>
                </wp:inline>
              </w:drawing>
            </w:r>
          </w:p>
          <w:p w14:paraId="25D3A7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pPr>
            <w:r>
              <w:rPr>
                <w:color w:val="auto"/>
                <w:highlight w:val="none"/>
              </w:rPr>
              <w:drawing>
                <wp:inline distT="0" distB="0" distL="114300" distR="114300">
                  <wp:extent cx="1015365" cy="1347470"/>
                  <wp:effectExtent l="0" t="0" r="635" b="1143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31"/>
                          <a:stretch>
                            <a:fillRect/>
                          </a:stretch>
                        </pic:blipFill>
                        <pic:spPr>
                          <a:xfrm>
                            <a:off x="0" y="0"/>
                            <a:ext cx="1015365" cy="1347470"/>
                          </a:xfrm>
                          <a:prstGeom prst="rect">
                            <a:avLst/>
                          </a:prstGeom>
                          <a:noFill/>
                          <a:ln w="9525">
                            <a:noFill/>
                          </a:ln>
                        </pic:spPr>
                      </pic:pic>
                    </a:graphicData>
                  </a:graphic>
                </wp:inline>
              </w:drawing>
            </w:r>
          </w:p>
        </w:tc>
      </w:tr>
      <w:tr w14:paraId="07C5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C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576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双面书架感应灯</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280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920*25*7mm</w:t>
            </w:r>
          </w:p>
        </w:tc>
        <w:tc>
          <w:tcPr>
            <w:tcW w:w="626" w:type="pct"/>
            <w:vMerge w:val="continue"/>
            <w:tcBorders>
              <w:left w:val="single" w:color="000000" w:sz="4" w:space="0"/>
              <w:bottom w:val="single" w:color="000000" w:sz="4" w:space="0"/>
              <w:right w:val="single" w:color="000000" w:sz="4" w:space="0"/>
            </w:tcBorders>
            <w:shd w:val="clear" w:color="auto" w:fill="auto"/>
            <w:vAlign w:val="center"/>
          </w:tcPr>
          <w:p w14:paraId="314DCFB7">
            <w:pPr>
              <w:jc w:val="center"/>
              <w:rPr>
                <w:rFonts w:hint="eastAsia" w:asciiTheme="minorEastAsia" w:hAnsiTheme="minorEastAsia" w:eastAsiaTheme="minorEastAsia" w:cstheme="minorEastAsia"/>
                <w:i w:val="0"/>
                <w:iCs w:val="0"/>
                <w:color w:val="auto"/>
                <w:sz w:val="24"/>
                <w:szCs w:val="24"/>
                <w:highlight w:val="none"/>
                <w:u w:val="none"/>
              </w:rPr>
            </w:pPr>
          </w:p>
        </w:tc>
        <w:tc>
          <w:tcPr>
            <w:tcW w:w="1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FE8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每节书架灯顶板前后面嵌入LED节能感应灯，控制系统应具备人体自动感应功能，即“人来灯亮，人走灯灭”功能。安装方式：明装固定卡扣式，输入电压：12V ，产品材质：铝+PC罩，产品色温：≥6000K</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D66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860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65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根</w:t>
            </w:r>
          </w:p>
        </w:tc>
        <w:tc>
          <w:tcPr>
            <w:tcW w:w="1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15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557655" cy="671830"/>
                  <wp:effectExtent l="0" t="0" r="4445" b="1270"/>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32"/>
                          <a:stretch>
                            <a:fillRect/>
                          </a:stretch>
                        </pic:blipFill>
                        <pic:spPr>
                          <a:xfrm>
                            <a:off x="0" y="0"/>
                            <a:ext cx="1557655" cy="671830"/>
                          </a:xfrm>
                          <a:prstGeom prst="rect">
                            <a:avLst/>
                          </a:prstGeom>
                          <a:noFill/>
                          <a:ln>
                            <a:noFill/>
                          </a:ln>
                        </pic:spPr>
                      </pic:pic>
                    </a:graphicData>
                  </a:graphic>
                </wp:inline>
              </w:drawing>
            </w:r>
          </w:p>
        </w:tc>
      </w:tr>
    </w:tbl>
    <w:p w14:paraId="4FF55B4C">
      <w:pPr>
        <w:rPr>
          <w:rFonts w:hint="eastAsia" w:asciiTheme="minorEastAsia" w:hAnsiTheme="minorEastAsia" w:eastAsiaTheme="minorEastAsia" w:cstheme="minorEastAsia"/>
          <w:color w:val="auto"/>
          <w:sz w:val="24"/>
          <w:szCs w:val="24"/>
          <w:highlight w:val="none"/>
          <w:lang w:val="en-US" w:eastAsia="zh-CN"/>
        </w:rPr>
        <w:sectPr>
          <w:footerReference r:id="rId8" w:type="default"/>
          <w:pgSz w:w="16840" w:h="11907" w:orient="landscape"/>
          <w:pgMar w:top="1080" w:right="1440" w:bottom="1080" w:left="1440" w:header="851" w:footer="851" w:gutter="0"/>
          <w:pgBorders>
            <w:top w:val="none" w:sz="0" w:space="0"/>
            <w:left w:val="none" w:sz="0" w:space="0"/>
            <w:bottom w:val="none" w:sz="0" w:space="0"/>
            <w:right w:val="none" w:sz="0" w:space="0"/>
          </w:pgBorders>
          <w:cols w:space="720" w:num="1"/>
        </w:sectPr>
      </w:pPr>
    </w:p>
    <w:p w14:paraId="32CFFCE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（二）利旧翻新要求</w:t>
      </w:r>
    </w:p>
    <w:p w14:paraId="23D1D0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1.成交人需</w:t>
      </w:r>
      <w:r>
        <w:rPr>
          <w:rFonts w:hint="default" w:asciiTheme="minorEastAsia" w:hAnsiTheme="minorEastAsia" w:eastAsiaTheme="minorEastAsia" w:cstheme="minorEastAsia"/>
          <w:color w:val="auto"/>
          <w:sz w:val="24"/>
          <w:szCs w:val="24"/>
          <w:highlight w:val="none"/>
          <w:lang w:val="en-US" w:eastAsia="zh-CN"/>
        </w:rPr>
        <w:t>提供专业化的翻新处理、分类编号服务。服务过程应确保与图书馆正常办公教学不冲突，并</w:t>
      </w:r>
      <w:r>
        <w:rPr>
          <w:rFonts w:hint="eastAsia" w:asciiTheme="minorEastAsia" w:hAnsiTheme="minorEastAsia" w:eastAsiaTheme="minorEastAsia" w:cstheme="minorEastAsia"/>
          <w:color w:val="auto"/>
          <w:sz w:val="24"/>
          <w:szCs w:val="24"/>
          <w:highlight w:val="none"/>
          <w:lang w:val="en-US" w:eastAsia="zh-CN"/>
        </w:rPr>
        <w:t>对翻新后的产品</w:t>
      </w:r>
      <w:r>
        <w:rPr>
          <w:rFonts w:hint="default" w:asciiTheme="minorEastAsia" w:hAnsiTheme="minorEastAsia" w:eastAsiaTheme="minorEastAsia" w:cstheme="minorEastAsia"/>
          <w:color w:val="auto"/>
          <w:sz w:val="24"/>
          <w:szCs w:val="24"/>
          <w:highlight w:val="none"/>
          <w:lang w:val="en-US" w:eastAsia="zh-CN"/>
        </w:rPr>
        <w:t>提供三年质保服务</w:t>
      </w:r>
      <w:r>
        <w:rPr>
          <w:rFonts w:hint="eastAsia" w:asciiTheme="minorEastAsia" w:hAnsiTheme="minorEastAsia" w:eastAsiaTheme="minorEastAsia" w:cstheme="minorEastAsia"/>
          <w:color w:val="auto"/>
          <w:sz w:val="24"/>
          <w:szCs w:val="24"/>
          <w:highlight w:val="none"/>
          <w:lang w:val="en-US" w:eastAsia="zh-CN"/>
        </w:rPr>
        <w:t>。</w:t>
      </w:r>
    </w:p>
    <w:p w14:paraId="4336D5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2.翻新过程中须严格遵守安全操作规范，保障现场人员、馆舍设施和馆藏资料的安全。</w:t>
      </w:r>
    </w:p>
    <w:p w14:paraId="00BA90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3.翻新过程中使用的涂料、材料等应符合环保标准，避免释放有害物质。</w:t>
      </w:r>
      <w:r>
        <w:rPr>
          <w:rFonts w:hint="eastAsia" w:asciiTheme="minorEastAsia" w:hAnsiTheme="minorEastAsia" w:eastAsiaTheme="minorEastAsia" w:cstheme="minorEastAsia"/>
          <w:color w:val="auto"/>
          <w:sz w:val="24"/>
          <w:szCs w:val="24"/>
          <w:highlight w:val="none"/>
          <w:lang w:val="en-US" w:eastAsia="zh-CN"/>
        </w:rPr>
        <w:t>翻新完成后，家具及安装环境的空气质量应符合 GB/T 18883-2022《室内空气质量标准》。</w:t>
      </w:r>
    </w:p>
    <w:p w14:paraId="430107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p>
    <w:p w14:paraId="4991903B">
      <w:pPr>
        <w:pStyle w:val="6"/>
        <w:bidi w:val="0"/>
        <w:rPr>
          <w:rFonts w:hint="default"/>
          <w:color w:val="auto"/>
          <w:highlight w:val="none"/>
          <w:lang w:val="en-US" w:eastAsia="zh-CN"/>
        </w:rPr>
      </w:pPr>
      <w:r>
        <w:rPr>
          <w:rFonts w:hint="eastAsia"/>
          <w:color w:val="auto"/>
          <w:highlight w:val="none"/>
          <w:lang w:val="en-US" w:eastAsia="zh-CN"/>
        </w:rPr>
        <w:t>三、搬运部分</w:t>
      </w:r>
      <w:r>
        <w:rPr>
          <w:rFonts w:hint="eastAsia"/>
          <w:color w:val="auto"/>
          <w:highlight w:val="none"/>
          <w:lang w:val="en-US" w:eastAsia="zh-CN"/>
        </w:rPr>
        <w:t>及清洗</w:t>
      </w:r>
      <w:r>
        <w:rPr>
          <w:rFonts w:hint="eastAsia"/>
          <w:color w:val="auto"/>
          <w:highlight w:val="none"/>
          <w:lang w:val="en-US" w:eastAsia="zh-CN"/>
        </w:rPr>
        <w:t>清单及要求</w:t>
      </w:r>
    </w:p>
    <w:p w14:paraId="73D29E6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（一）需搬运的家具清单</w:t>
      </w:r>
    </w:p>
    <w:tbl>
      <w:tblPr>
        <w:tblStyle w:val="62"/>
        <w:tblW w:w="104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4"/>
        <w:gridCol w:w="1328"/>
        <w:gridCol w:w="895"/>
        <w:gridCol w:w="895"/>
        <w:gridCol w:w="3179"/>
        <w:gridCol w:w="2275"/>
        <w:gridCol w:w="637"/>
        <w:gridCol w:w="681"/>
      </w:tblGrid>
      <w:tr w14:paraId="7D93F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6D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序号</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DD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名称</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90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搬运前摆放区</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B1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搬运后摆放区</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90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规格</w:t>
            </w:r>
          </w:p>
        </w:tc>
        <w:tc>
          <w:tcPr>
            <w:tcW w:w="2275" w:type="dxa"/>
            <w:tcBorders>
              <w:top w:val="single" w:color="000000" w:sz="4" w:space="0"/>
              <w:left w:val="single" w:color="000000" w:sz="4" w:space="0"/>
              <w:bottom w:val="single" w:color="000000" w:sz="4" w:space="0"/>
              <w:right w:val="nil"/>
            </w:tcBorders>
            <w:shd w:val="clear" w:color="auto" w:fill="auto"/>
            <w:vAlign w:val="center"/>
          </w:tcPr>
          <w:p w14:paraId="74DF01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搬运产品图</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0E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数量</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C2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单位</w:t>
            </w:r>
          </w:p>
        </w:tc>
      </w:tr>
      <w:tr w14:paraId="0CF4C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C88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D78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书架拆装、搬运</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5E4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0CB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13F、14F、15F</w:t>
            </w:r>
          </w:p>
        </w:tc>
        <w:tc>
          <w:tcPr>
            <w:tcW w:w="3179" w:type="dxa"/>
            <w:tcBorders>
              <w:top w:val="single" w:color="000000" w:sz="4" w:space="0"/>
              <w:left w:val="single" w:color="000000" w:sz="4" w:space="0"/>
              <w:bottom w:val="nil"/>
              <w:right w:val="single" w:color="000000" w:sz="4" w:space="0"/>
            </w:tcBorders>
            <w:shd w:val="clear" w:color="auto" w:fill="auto"/>
            <w:noWrap/>
            <w:vAlign w:val="center"/>
          </w:tcPr>
          <w:p w14:paraId="59F70D6C">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0F1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895350" cy="1217295"/>
                  <wp:effectExtent l="0" t="0" r="6350" b="1905"/>
                  <wp:docPr id="16" name="image76.jpeg"/>
                  <wp:cNvGraphicFramePr/>
                  <a:graphic xmlns:a="http://schemas.openxmlformats.org/drawingml/2006/main">
                    <a:graphicData uri="http://schemas.openxmlformats.org/drawingml/2006/picture">
                      <pic:pic xmlns:pic="http://schemas.openxmlformats.org/drawingml/2006/picture">
                        <pic:nvPicPr>
                          <pic:cNvPr id="16" name="image76.jpeg"/>
                          <pic:cNvPicPr/>
                        </pic:nvPicPr>
                        <pic:blipFill>
                          <a:blip r:embed="rId33"/>
                          <a:stretch>
                            <a:fillRect/>
                          </a:stretch>
                        </pic:blipFill>
                        <pic:spPr>
                          <a:xfrm>
                            <a:off x="0" y="0"/>
                            <a:ext cx="895350" cy="121729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BD9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430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3F2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节</w:t>
            </w:r>
          </w:p>
        </w:tc>
      </w:tr>
      <w:tr w14:paraId="09F1A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17F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97B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弧形沙发组合</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3B0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三楼过道</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D73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509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弧形沙发1组，圆桌2张，圆凳5个</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7D3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263015" cy="653415"/>
                  <wp:effectExtent l="0" t="0" r="6985" b="6985"/>
                  <wp:docPr id="18" name="image78.jpeg"/>
                  <wp:cNvGraphicFramePr/>
                  <a:graphic xmlns:a="http://schemas.openxmlformats.org/drawingml/2006/main">
                    <a:graphicData uri="http://schemas.openxmlformats.org/drawingml/2006/picture">
                      <pic:pic xmlns:pic="http://schemas.openxmlformats.org/drawingml/2006/picture">
                        <pic:nvPicPr>
                          <pic:cNvPr id="18" name="image78.jpeg"/>
                          <pic:cNvPicPr/>
                        </pic:nvPicPr>
                        <pic:blipFill>
                          <a:blip r:embed="rId34"/>
                          <a:stretch>
                            <a:fillRect/>
                          </a:stretch>
                        </pic:blipFill>
                        <pic:spPr>
                          <a:xfrm>
                            <a:off x="0" y="0"/>
                            <a:ext cx="1263015" cy="65341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FDF4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F857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2EA7D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7CF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B37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双人沙发</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BB2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B5F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BA0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1700*750*700mm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0AD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139190" cy="721995"/>
                  <wp:effectExtent l="0" t="0" r="3810" b="1905"/>
                  <wp:docPr id="19" name="image80.jpeg"/>
                  <wp:cNvGraphicFramePr/>
                  <a:graphic xmlns:a="http://schemas.openxmlformats.org/drawingml/2006/main">
                    <a:graphicData uri="http://schemas.openxmlformats.org/drawingml/2006/picture">
                      <pic:pic xmlns:pic="http://schemas.openxmlformats.org/drawingml/2006/picture">
                        <pic:nvPicPr>
                          <pic:cNvPr id="19" name="image80.jpeg"/>
                          <pic:cNvPicPr/>
                        </pic:nvPicPr>
                        <pic:blipFill>
                          <a:blip r:embed="rId35"/>
                          <a:stretch>
                            <a:fillRect/>
                          </a:stretch>
                        </pic:blipFill>
                        <pic:spPr>
                          <a:xfrm>
                            <a:off x="0" y="0"/>
                            <a:ext cx="1139190" cy="72199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005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3F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27A2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F3E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9AC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实木长茶几</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67A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043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9E9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1200*600*420mm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524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078230" cy="1028700"/>
                  <wp:effectExtent l="0" t="0" r="1270" b="0"/>
                  <wp:docPr id="17" name="image79.jpeg"/>
                  <wp:cNvGraphicFramePr/>
                  <a:graphic xmlns:a="http://schemas.openxmlformats.org/drawingml/2006/main">
                    <a:graphicData uri="http://schemas.openxmlformats.org/drawingml/2006/picture">
                      <pic:pic xmlns:pic="http://schemas.openxmlformats.org/drawingml/2006/picture">
                        <pic:nvPicPr>
                          <pic:cNvPr id="17" name="image79.jpeg"/>
                          <pic:cNvPicPr/>
                        </pic:nvPicPr>
                        <pic:blipFill>
                          <a:blip r:embed="rId36"/>
                          <a:stretch>
                            <a:fillRect/>
                          </a:stretch>
                        </pic:blipFill>
                        <pic:spPr>
                          <a:xfrm>
                            <a:off x="0" y="0"/>
                            <a:ext cx="1078230" cy="102870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90E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961B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33448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29D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50A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圆桌</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DBB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2E3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C94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直径800*750mm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6FF1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090295" cy="1165225"/>
                  <wp:effectExtent l="0" t="0" r="1905" b="3175"/>
                  <wp:docPr id="20" name="image63.jpeg"/>
                  <wp:cNvGraphicFramePr/>
                  <a:graphic xmlns:a="http://schemas.openxmlformats.org/drawingml/2006/main">
                    <a:graphicData uri="http://schemas.openxmlformats.org/drawingml/2006/picture">
                      <pic:pic xmlns:pic="http://schemas.openxmlformats.org/drawingml/2006/picture">
                        <pic:nvPicPr>
                          <pic:cNvPr id="20" name="image63.jpeg"/>
                          <pic:cNvPicPr/>
                        </pic:nvPicPr>
                        <pic:blipFill>
                          <a:blip r:embed="rId37"/>
                          <a:stretch>
                            <a:fillRect/>
                          </a:stretch>
                        </pic:blipFill>
                        <pic:spPr>
                          <a:xfrm>
                            <a:off x="0" y="0"/>
                            <a:ext cx="1090295" cy="116522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45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132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23215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899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6</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8B2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单人位</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D5F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C58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FF2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单人位</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46A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972820" cy="1143635"/>
                  <wp:effectExtent l="0" t="0" r="5080" b="12065"/>
                  <wp:docPr id="21" name="image90.jpeg"/>
                  <wp:cNvGraphicFramePr/>
                  <a:graphic xmlns:a="http://schemas.openxmlformats.org/drawingml/2006/main">
                    <a:graphicData uri="http://schemas.openxmlformats.org/drawingml/2006/picture">
                      <pic:pic xmlns:pic="http://schemas.openxmlformats.org/drawingml/2006/picture">
                        <pic:nvPicPr>
                          <pic:cNvPr id="21" name="image90.jpeg"/>
                          <pic:cNvPicPr/>
                        </pic:nvPicPr>
                        <pic:blipFill>
                          <a:blip r:embed="rId38"/>
                          <a:stretch>
                            <a:fillRect/>
                          </a:stretch>
                        </pic:blipFill>
                        <pic:spPr>
                          <a:xfrm>
                            <a:off x="0" y="0"/>
                            <a:ext cx="972820" cy="114363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347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13F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2FF5C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CDF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430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组合沙发</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A00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DE8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78F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xml:space="preserve">坐凳：750*800*420mm*2组  </w:t>
            </w:r>
          </w:p>
          <w:p w14:paraId="7F28D1A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沙发：2040*800*700mm*2组</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转角沙发：1270*1270*700mm*1组</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FA5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447165" cy="1120140"/>
                  <wp:effectExtent l="0" t="0" r="635" b="10160"/>
                  <wp:docPr id="7" name="image91.jpeg"/>
                  <wp:cNvGraphicFramePr/>
                  <a:graphic xmlns:a="http://schemas.openxmlformats.org/drawingml/2006/main">
                    <a:graphicData uri="http://schemas.openxmlformats.org/drawingml/2006/picture">
                      <pic:pic xmlns:pic="http://schemas.openxmlformats.org/drawingml/2006/picture">
                        <pic:nvPicPr>
                          <pic:cNvPr id="7" name="image91.jpeg"/>
                          <pic:cNvPicPr/>
                        </pic:nvPicPr>
                        <pic:blipFill>
                          <a:blip r:embed="rId39"/>
                          <a:stretch>
                            <a:fillRect/>
                          </a:stretch>
                        </pic:blipFill>
                        <pic:spPr>
                          <a:xfrm>
                            <a:off x="0" y="0"/>
                            <a:ext cx="1447165" cy="112014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194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7DF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套</w:t>
            </w:r>
          </w:p>
        </w:tc>
      </w:tr>
      <w:tr w14:paraId="7EF2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365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308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抽屉书桌</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C45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二楼阅览室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AB8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13F、14F、15F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052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1200*600*750mm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903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649095" cy="928370"/>
                  <wp:effectExtent l="0" t="0" r="1905" b="11430"/>
                  <wp:docPr id="15" name="图片_8"/>
                  <wp:cNvGraphicFramePr/>
                  <a:graphic xmlns:a="http://schemas.openxmlformats.org/drawingml/2006/main">
                    <a:graphicData uri="http://schemas.openxmlformats.org/drawingml/2006/picture">
                      <pic:pic xmlns:pic="http://schemas.openxmlformats.org/drawingml/2006/picture">
                        <pic:nvPicPr>
                          <pic:cNvPr id="15" name="图片_8"/>
                          <pic:cNvPicPr/>
                        </pic:nvPicPr>
                        <pic:blipFill>
                          <a:blip r:embed="rId40"/>
                          <a:stretch>
                            <a:fillRect/>
                          </a:stretch>
                        </pic:blipFill>
                        <pic:spPr>
                          <a:xfrm>
                            <a:off x="0" y="0"/>
                            <a:ext cx="1649095" cy="92837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0D4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34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487A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1B3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A11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书籍展示柜1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6F5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98C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2C9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1000*600*1200mm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204A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701800" cy="1040130"/>
                  <wp:effectExtent l="0" t="0" r="0" b="1270"/>
                  <wp:docPr id="12" name="图片_9"/>
                  <wp:cNvGraphicFramePr/>
                  <a:graphic xmlns:a="http://schemas.openxmlformats.org/drawingml/2006/main">
                    <a:graphicData uri="http://schemas.openxmlformats.org/drawingml/2006/picture">
                      <pic:pic xmlns:pic="http://schemas.openxmlformats.org/drawingml/2006/picture">
                        <pic:nvPicPr>
                          <pic:cNvPr id="12" name="图片_9"/>
                          <pic:cNvPicPr/>
                        </pic:nvPicPr>
                        <pic:blipFill>
                          <a:blip r:embed="rId41"/>
                          <a:stretch>
                            <a:fillRect/>
                          </a:stretch>
                        </pic:blipFill>
                        <pic:spPr>
                          <a:xfrm>
                            <a:off x="0" y="0"/>
                            <a:ext cx="1701800" cy="104013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4AB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2A0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00052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6B6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159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书籍展示柜2</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671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2E5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D4B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1500*90*1400mm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13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031875" cy="1193800"/>
                  <wp:effectExtent l="0" t="0" r="9525" b="0"/>
                  <wp:docPr id="14" name="图片_10"/>
                  <wp:cNvGraphicFramePr/>
                  <a:graphic xmlns:a="http://schemas.openxmlformats.org/drawingml/2006/main">
                    <a:graphicData uri="http://schemas.openxmlformats.org/drawingml/2006/picture">
                      <pic:pic xmlns:pic="http://schemas.openxmlformats.org/drawingml/2006/picture">
                        <pic:nvPicPr>
                          <pic:cNvPr id="14" name="图片_10"/>
                          <pic:cNvPicPr/>
                        </pic:nvPicPr>
                        <pic:blipFill>
                          <a:blip r:embed="rId42"/>
                          <a:stretch>
                            <a:fillRect/>
                          </a:stretch>
                        </pic:blipFill>
                        <pic:spPr>
                          <a:xfrm>
                            <a:off x="0" y="0"/>
                            <a:ext cx="1031875" cy="119380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654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9EE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6A0AD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E6C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78E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实木书柜</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E26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593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3D5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1800*35*1400mm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C53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969770" cy="887730"/>
                  <wp:effectExtent l="0" t="0" r="11430" b="1270"/>
                  <wp:docPr id="9" name="图片_11"/>
                  <wp:cNvGraphicFramePr/>
                  <a:graphic xmlns:a="http://schemas.openxmlformats.org/drawingml/2006/main">
                    <a:graphicData uri="http://schemas.openxmlformats.org/drawingml/2006/picture">
                      <pic:pic xmlns:pic="http://schemas.openxmlformats.org/drawingml/2006/picture">
                        <pic:nvPicPr>
                          <pic:cNvPr id="9" name="图片_11"/>
                          <pic:cNvPicPr/>
                        </pic:nvPicPr>
                        <pic:blipFill>
                          <a:blip r:embed="rId43"/>
                          <a:stretch>
                            <a:fillRect/>
                          </a:stretch>
                        </pic:blipFill>
                        <pic:spPr>
                          <a:xfrm>
                            <a:off x="0" y="0"/>
                            <a:ext cx="1969770" cy="88773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663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F6B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7EC80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B3B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DE9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自习桌</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8CC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二楼自习室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892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93F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1000*500*1350mm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5BA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840740" cy="1149985"/>
                  <wp:effectExtent l="0" t="0" r="10160" b="5715"/>
                  <wp:docPr id="13" name="image107.jpeg"/>
                  <wp:cNvGraphicFramePr/>
                  <a:graphic xmlns:a="http://schemas.openxmlformats.org/drawingml/2006/main">
                    <a:graphicData uri="http://schemas.openxmlformats.org/drawingml/2006/picture">
                      <pic:pic xmlns:pic="http://schemas.openxmlformats.org/drawingml/2006/picture">
                        <pic:nvPicPr>
                          <pic:cNvPr id="13" name="image107.jpeg"/>
                          <pic:cNvPicPr/>
                        </pic:nvPicPr>
                        <pic:blipFill>
                          <a:blip r:embed="rId44"/>
                          <a:stretch>
                            <a:fillRect/>
                          </a:stretch>
                        </pic:blipFill>
                        <pic:spPr>
                          <a:xfrm>
                            <a:off x="0" y="0"/>
                            <a:ext cx="840740" cy="114998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567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446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6EA3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6DC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EB6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钢木阅览桌</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5F2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0B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4FA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1600*1000*750mm</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E6F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440180" cy="1114425"/>
                  <wp:effectExtent l="0" t="0" r="7620" b="3175"/>
                  <wp:docPr id="11" name="image106.jpeg"/>
                  <wp:cNvGraphicFramePr/>
                  <a:graphic xmlns:a="http://schemas.openxmlformats.org/drawingml/2006/main">
                    <a:graphicData uri="http://schemas.openxmlformats.org/drawingml/2006/picture">
                      <pic:pic xmlns:pic="http://schemas.openxmlformats.org/drawingml/2006/picture">
                        <pic:nvPicPr>
                          <pic:cNvPr id="11" name="image106.jpeg"/>
                          <pic:cNvPicPr/>
                        </pic:nvPicPr>
                        <pic:blipFill>
                          <a:blip r:embed="rId45"/>
                          <a:stretch>
                            <a:fillRect/>
                          </a:stretch>
                        </pic:blipFill>
                        <pic:spPr>
                          <a:xfrm>
                            <a:off x="0" y="0"/>
                            <a:ext cx="1440180" cy="111442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085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BA5D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4021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225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467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圆形展示架</w:t>
            </w:r>
          </w:p>
        </w:tc>
        <w:tc>
          <w:tcPr>
            <w:tcW w:w="895" w:type="dxa"/>
            <w:vMerge w:val="restart"/>
            <w:tcBorders>
              <w:top w:val="single" w:color="000000" w:sz="4" w:space="0"/>
              <w:left w:val="single" w:color="000000" w:sz="4" w:space="0"/>
              <w:right w:val="single" w:color="000000" w:sz="4" w:space="0"/>
            </w:tcBorders>
            <w:shd w:val="clear" w:color="auto" w:fill="auto"/>
            <w:vAlign w:val="center"/>
          </w:tcPr>
          <w:p w14:paraId="28FDDFF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8D2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9C3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φ1500*H1200mm</w:t>
            </w:r>
          </w:p>
        </w:tc>
        <w:tc>
          <w:tcPr>
            <w:tcW w:w="22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F22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747520" cy="1132840"/>
                  <wp:effectExtent l="0" t="0" r="5080" b="10160"/>
                  <wp:docPr id="10" name="image111.jpeg"/>
                  <wp:cNvGraphicFramePr/>
                  <a:graphic xmlns:a="http://schemas.openxmlformats.org/drawingml/2006/main">
                    <a:graphicData uri="http://schemas.openxmlformats.org/drawingml/2006/picture">
                      <pic:pic xmlns:pic="http://schemas.openxmlformats.org/drawingml/2006/picture">
                        <pic:nvPicPr>
                          <pic:cNvPr id="10" name="image111.jpeg"/>
                          <pic:cNvPicPr/>
                        </pic:nvPicPr>
                        <pic:blipFill>
                          <a:blip r:embed="rId46"/>
                          <a:stretch>
                            <a:fillRect/>
                          </a:stretch>
                        </pic:blipFill>
                        <pic:spPr>
                          <a:xfrm>
                            <a:off x="0" y="0"/>
                            <a:ext cx="1747520" cy="113284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451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01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67BCD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DDF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15</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0D5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弧形展示架</w:t>
            </w:r>
          </w:p>
        </w:tc>
        <w:tc>
          <w:tcPr>
            <w:tcW w:w="895" w:type="dxa"/>
            <w:vMerge w:val="continue"/>
            <w:tcBorders>
              <w:left w:val="single" w:color="000000" w:sz="4" w:space="0"/>
              <w:right w:val="single" w:color="000000" w:sz="4" w:space="0"/>
            </w:tcBorders>
            <w:shd w:val="clear" w:color="auto" w:fill="auto"/>
            <w:vAlign w:val="center"/>
          </w:tcPr>
          <w:p w14:paraId="36920F0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5E0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642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2300*800*900mm</w:t>
            </w:r>
          </w:p>
        </w:tc>
        <w:tc>
          <w:tcPr>
            <w:tcW w:w="2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E85E">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single"/>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604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E0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3CE8F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tcBorders>
              <w:top w:val="single" w:color="000000" w:sz="4" w:space="0"/>
              <w:left w:val="single" w:color="000000" w:sz="4" w:space="0"/>
              <w:bottom w:val="nil"/>
              <w:right w:val="single" w:color="000000" w:sz="4" w:space="0"/>
            </w:tcBorders>
            <w:shd w:val="clear" w:color="auto" w:fill="auto"/>
            <w:noWrap/>
            <w:vAlign w:val="center"/>
          </w:tcPr>
          <w:p w14:paraId="0E3EB80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16</w:t>
            </w:r>
          </w:p>
        </w:tc>
        <w:tc>
          <w:tcPr>
            <w:tcW w:w="1328" w:type="dxa"/>
            <w:tcBorders>
              <w:top w:val="single" w:color="000000" w:sz="4" w:space="0"/>
              <w:left w:val="single" w:color="000000" w:sz="4" w:space="0"/>
              <w:bottom w:val="nil"/>
              <w:right w:val="single" w:color="000000" w:sz="4" w:space="0"/>
            </w:tcBorders>
            <w:shd w:val="clear" w:color="auto" w:fill="auto"/>
            <w:noWrap/>
            <w:vAlign w:val="center"/>
          </w:tcPr>
          <w:p w14:paraId="214CEE1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新书展示架</w:t>
            </w:r>
          </w:p>
        </w:tc>
        <w:tc>
          <w:tcPr>
            <w:tcW w:w="895" w:type="dxa"/>
            <w:vMerge w:val="continue"/>
            <w:tcBorders>
              <w:left w:val="single" w:color="000000" w:sz="4" w:space="0"/>
              <w:bottom w:val="nil"/>
              <w:right w:val="single" w:color="000000" w:sz="4" w:space="0"/>
            </w:tcBorders>
            <w:shd w:val="clear" w:color="auto" w:fill="auto"/>
            <w:vAlign w:val="center"/>
          </w:tcPr>
          <w:p w14:paraId="6759C71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tc>
        <w:tc>
          <w:tcPr>
            <w:tcW w:w="895" w:type="dxa"/>
            <w:tcBorders>
              <w:top w:val="single" w:color="000000" w:sz="4" w:space="0"/>
              <w:left w:val="single" w:color="000000" w:sz="4" w:space="0"/>
              <w:bottom w:val="nil"/>
              <w:right w:val="single" w:color="000000" w:sz="4" w:space="0"/>
            </w:tcBorders>
            <w:shd w:val="clear" w:color="auto" w:fill="auto"/>
            <w:vAlign w:val="center"/>
          </w:tcPr>
          <w:p w14:paraId="345EE35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3179" w:type="dxa"/>
            <w:tcBorders>
              <w:top w:val="single" w:color="000000" w:sz="4" w:space="0"/>
              <w:left w:val="single" w:color="000000" w:sz="4" w:space="0"/>
              <w:bottom w:val="nil"/>
              <w:right w:val="single" w:color="000000" w:sz="4" w:space="0"/>
            </w:tcBorders>
            <w:shd w:val="clear" w:color="auto" w:fill="auto"/>
            <w:vAlign w:val="center"/>
          </w:tcPr>
          <w:p w14:paraId="161492F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1600*1000*1200mm</w:t>
            </w:r>
          </w:p>
        </w:tc>
        <w:tc>
          <w:tcPr>
            <w:tcW w:w="2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C42D">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single"/>
              </w:rPr>
            </w:pPr>
          </w:p>
        </w:tc>
        <w:tc>
          <w:tcPr>
            <w:tcW w:w="637" w:type="dxa"/>
            <w:tcBorders>
              <w:top w:val="single" w:color="000000" w:sz="4" w:space="0"/>
              <w:left w:val="single" w:color="000000" w:sz="4" w:space="0"/>
              <w:bottom w:val="nil"/>
              <w:right w:val="single" w:color="000000" w:sz="4" w:space="0"/>
            </w:tcBorders>
            <w:shd w:val="clear" w:color="auto" w:fill="auto"/>
            <w:noWrap/>
            <w:vAlign w:val="center"/>
          </w:tcPr>
          <w:p w14:paraId="31153E8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681" w:type="dxa"/>
            <w:tcBorders>
              <w:top w:val="single" w:color="000000" w:sz="4" w:space="0"/>
              <w:left w:val="single" w:color="000000" w:sz="4" w:space="0"/>
              <w:bottom w:val="nil"/>
              <w:right w:val="single" w:color="000000" w:sz="4" w:space="0"/>
            </w:tcBorders>
            <w:shd w:val="clear" w:color="auto" w:fill="auto"/>
            <w:noWrap/>
            <w:vAlign w:val="center"/>
          </w:tcPr>
          <w:p w14:paraId="743B771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04C52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8B0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w:t>
            </w:r>
          </w:p>
        </w:tc>
        <w:tc>
          <w:tcPr>
            <w:tcW w:w="13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0AD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双面三层杂志柜</w:t>
            </w:r>
          </w:p>
        </w:tc>
        <w:tc>
          <w:tcPr>
            <w:tcW w:w="895" w:type="dxa"/>
            <w:vMerge w:val="restart"/>
            <w:tcBorders>
              <w:top w:val="single" w:color="000000" w:sz="4" w:space="0"/>
              <w:left w:val="single" w:color="000000" w:sz="4" w:space="0"/>
              <w:right w:val="single" w:color="000000" w:sz="4" w:space="0"/>
            </w:tcBorders>
            <w:shd w:val="clear" w:color="auto" w:fill="auto"/>
            <w:vAlign w:val="center"/>
          </w:tcPr>
          <w:p w14:paraId="16176F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4EA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79F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950*650*1200</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/节</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（5节1列）</w:t>
            </w:r>
          </w:p>
        </w:tc>
        <w:tc>
          <w:tcPr>
            <w:tcW w:w="22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847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483360" cy="1065530"/>
                  <wp:effectExtent l="0" t="0" r="2540" b="1270"/>
                  <wp:docPr id="8" name="图片_15"/>
                  <wp:cNvGraphicFramePr/>
                  <a:graphic xmlns:a="http://schemas.openxmlformats.org/drawingml/2006/main">
                    <a:graphicData uri="http://schemas.openxmlformats.org/drawingml/2006/picture">
                      <pic:pic xmlns:pic="http://schemas.openxmlformats.org/drawingml/2006/picture">
                        <pic:nvPicPr>
                          <pic:cNvPr id="8" name="图片_15"/>
                          <pic:cNvPicPr/>
                        </pic:nvPicPr>
                        <pic:blipFill>
                          <a:blip r:embed="rId47"/>
                          <a:stretch>
                            <a:fillRect/>
                          </a:stretch>
                        </pic:blipFill>
                        <pic:spPr>
                          <a:xfrm>
                            <a:off x="0" y="0"/>
                            <a:ext cx="1483360" cy="1065530"/>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BCA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6AF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列</w:t>
            </w:r>
          </w:p>
        </w:tc>
      </w:tr>
      <w:tr w14:paraId="299FF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2C4C">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none"/>
              </w:rPr>
            </w:pPr>
          </w:p>
        </w:tc>
        <w:tc>
          <w:tcPr>
            <w:tcW w:w="13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76A90">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none"/>
              </w:rPr>
            </w:pPr>
          </w:p>
        </w:tc>
        <w:tc>
          <w:tcPr>
            <w:tcW w:w="895" w:type="dxa"/>
            <w:vMerge w:val="continue"/>
            <w:tcBorders>
              <w:left w:val="single" w:color="000000" w:sz="4" w:space="0"/>
              <w:bottom w:val="single" w:color="000000" w:sz="4" w:space="0"/>
              <w:right w:val="single" w:color="000000" w:sz="4" w:space="0"/>
            </w:tcBorders>
            <w:shd w:val="clear" w:color="auto" w:fill="auto"/>
            <w:vAlign w:val="center"/>
          </w:tcPr>
          <w:p w14:paraId="4764784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21A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w:t>
            </w:r>
          </w:p>
        </w:tc>
        <w:tc>
          <w:tcPr>
            <w:tcW w:w="3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5A1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950*650*1200</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/节</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（7节1列）</w:t>
            </w:r>
          </w:p>
        </w:tc>
        <w:tc>
          <w:tcPr>
            <w:tcW w:w="2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CADE">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single"/>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350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086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列</w:t>
            </w:r>
          </w:p>
        </w:tc>
      </w:tr>
    </w:tbl>
    <w:p w14:paraId="748C4C8B">
      <w:pPr>
        <w:pageBreakBefore w:val="0"/>
        <w:widowControl w:val="0"/>
        <w:kinsoku/>
        <w:wordWrap/>
        <w:overflowPunct/>
        <w:topLinePunct w:val="0"/>
        <w:autoSpaceDE/>
        <w:autoSpaceDN/>
        <w:bidi w:val="0"/>
        <w:spacing w:line="360" w:lineRule="auto"/>
        <w:textAlignment w:val="auto"/>
        <w:rPr>
          <w:rFonts w:hint="eastAsia"/>
          <w:b/>
          <w:bCs/>
          <w:color w:val="auto"/>
          <w:sz w:val="24"/>
          <w:szCs w:val="24"/>
          <w:highlight w:val="none"/>
          <w:lang w:val="en-US"/>
        </w:rPr>
      </w:pPr>
      <w:r>
        <w:rPr>
          <w:rFonts w:hint="eastAsia"/>
          <w:b/>
          <w:bCs/>
          <w:color w:val="auto"/>
          <w:sz w:val="24"/>
          <w:szCs w:val="24"/>
          <w:highlight w:val="none"/>
          <w:lang w:val="en-US"/>
        </w:rPr>
        <w:t>（</w:t>
      </w:r>
      <w:r>
        <w:rPr>
          <w:rFonts w:hint="eastAsia"/>
          <w:b/>
          <w:bCs/>
          <w:color w:val="auto"/>
          <w:sz w:val="24"/>
          <w:szCs w:val="24"/>
          <w:highlight w:val="none"/>
          <w:lang w:val="en-US" w:eastAsia="zh-CN"/>
        </w:rPr>
        <w:t>二</w:t>
      </w:r>
      <w:r>
        <w:rPr>
          <w:rFonts w:hint="eastAsia"/>
          <w:b/>
          <w:bCs/>
          <w:color w:val="auto"/>
          <w:sz w:val="24"/>
          <w:szCs w:val="24"/>
          <w:highlight w:val="none"/>
          <w:lang w:val="en-US"/>
        </w:rPr>
        <w:t>）质量要求</w:t>
      </w:r>
    </w:p>
    <w:p w14:paraId="564E0D0D">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rPr>
      </w:pPr>
      <w:r>
        <w:rPr>
          <w:rFonts w:hint="eastAsia"/>
          <w:color w:val="auto"/>
          <w:sz w:val="24"/>
          <w:szCs w:val="24"/>
          <w:highlight w:val="none"/>
          <w:lang w:val="en-US"/>
        </w:rPr>
        <w:t>1</w:t>
      </w:r>
      <w:r>
        <w:rPr>
          <w:rFonts w:hint="eastAsia"/>
          <w:color w:val="auto"/>
          <w:sz w:val="24"/>
          <w:szCs w:val="24"/>
          <w:highlight w:val="none"/>
          <w:lang w:val="en-US" w:eastAsia="zh-CN"/>
        </w:rPr>
        <w:t>.</w:t>
      </w:r>
      <w:r>
        <w:rPr>
          <w:rFonts w:hint="eastAsia"/>
          <w:color w:val="auto"/>
          <w:sz w:val="24"/>
          <w:szCs w:val="24"/>
          <w:highlight w:val="none"/>
          <w:lang w:val="en-US"/>
        </w:rPr>
        <w:t>家具拆装、运输本着实用、可靠、节俭、专业、有序、合理的原则，由专业人员负责实施，做到工作有序、合理摆放、安装牢固、符合要求，避免人为损坏和丢失，保证货物的安全；</w:t>
      </w:r>
    </w:p>
    <w:p w14:paraId="7F58B92D">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rPr>
      </w:pPr>
      <w:r>
        <w:rPr>
          <w:rFonts w:hint="eastAsia"/>
          <w:color w:val="auto"/>
          <w:sz w:val="24"/>
          <w:szCs w:val="24"/>
          <w:highlight w:val="none"/>
          <w:lang w:val="en-US"/>
        </w:rPr>
        <w:t>2</w:t>
      </w:r>
      <w:r>
        <w:rPr>
          <w:rFonts w:hint="eastAsia"/>
          <w:color w:val="auto"/>
          <w:sz w:val="24"/>
          <w:szCs w:val="24"/>
          <w:highlight w:val="none"/>
          <w:lang w:val="en-US" w:eastAsia="zh-CN"/>
        </w:rPr>
        <w:t>.</w:t>
      </w:r>
      <w:r>
        <w:rPr>
          <w:rFonts w:hint="eastAsia"/>
          <w:color w:val="auto"/>
          <w:sz w:val="24"/>
          <w:szCs w:val="24"/>
          <w:highlight w:val="none"/>
          <w:lang w:val="en-US"/>
        </w:rPr>
        <w:t>如有货物损坏或丢失，</w:t>
      </w:r>
      <w:r>
        <w:rPr>
          <w:rFonts w:hint="eastAsia"/>
          <w:color w:val="auto"/>
          <w:sz w:val="24"/>
          <w:szCs w:val="24"/>
          <w:highlight w:val="none"/>
          <w:lang w:val="en-US" w:eastAsia="zh-CN"/>
        </w:rPr>
        <w:t>成交人</w:t>
      </w:r>
      <w:r>
        <w:rPr>
          <w:rFonts w:hint="eastAsia"/>
          <w:color w:val="auto"/>
          <w:sz w:val="24"/>
          <w:szCs w:val="24"/>
          <w:highlight w:val="none"/>
          <w:lang w:val="en-US"/>
        </w:rPr>
        <w:t>按照所造成的实际损失予以赔偿；</w:t>
      </w:r>
    </w:p>
    <w:p w14:paraId="5073C75D">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rPr>
        <w:t>3</w:t>
      </w:r>
      <w:r>
        <w:rPr>
          <w:rFonts w:hint="eastAsia"/>
          <w:color w:val="auto"/>
          <w:sz w:val="24"/>
          <w:szCs w:val="24"/>
          <w:highlight w:val="none"/>
          <w:lang w:val="en-US" w:eastAsia="zh-CN"/>
        </w:rPr>
        <w:t>.</w:t>
      </w:r>
      <w:r>
        <w:rPr>
          <w:rFonts w:hint="eastAsia"/>
          <w:color w:val="auto"/>
          <w:sz w:val="24"/>
          <w:szCs w:val="24"/>
          <w:highlight w:val="none"/>
          <w:lang w:val="en-US"/>
        </w:rPr>
        <w:t>搬运所需耗材由</w:t>
      </w:r>
      <w:r>
        <w:rPr>
          <w:rFonts w:hint="eastAsia"/>
          <w:color w:val="auto"/>
          <w:sz w:val="24"/>
          <w:szCs w:val="24"/>
          <w:highlight w:val="none"/>
          <w:lang w:val="en-US" w:eastAsia="zh-CN"/>
        </w:rPr>
        <w:t>成交人</w:t>
      </w:r>
      <w:r>
        <w:rPr>
          <w:rFonts w:hint="eastAsia"/>
          <w:color w:val="auto"/>
          <w:sz w:val="24"/>
          <w:szCs w:val="24"/>
          <w:highlight w:val="none"/>
          <w:lang w:val="en-US"/>
        </w:rPr>
        <w:t>提供且满足搬运使用，价格包含在服务款中不再另行收费</w:t>
      </w:r>
      <w:r>
        <w:rPr>
          <w:rFonts w:hint="eastAsia"/>
          <w:color w:val="auto"/>
          <w:sz w:val="24"/>
          <w:szCs w:val="24"/>
          <w:highlight w:val="none"/>
          <w:lang w:val="en-US" w:eastAsia="zh-CN"/>
        </w:rPr>
        <w:t>；</w:t>
      </w:r>
    </w:p>
    <w:p w14:paraId="5AD7888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color w:val="auto"/>
          <w:sz w:val="24"/>
          <w:szCs w:val="24"/>
          <w:highlight w:val="none"/>
          <w:lang w:val="en-US" w:eastAsia="zh-CN"/>
        </w:rPr>
        <w:t>4.</w:t>
      </w:r>
      <w:r>
        <w:rPr>
          <w:rFonts w:hint="eastAsia" w:ascii="宋体" w:hAnsi="宋体" w:eastAsia="宋体" w:cs="宋体"/>
          <w:color w:val="auto"/>
          <w:sz w:val="24"/>
          <w:szCs w:val="24"/>
          <w:highlight w:val="none"/>
        </w:rPr>
        <w:t>本项目需执行的国家相关标准、行业标准、地方标准或者其他标准、规范。</w:t>
      </w:r>
    </w:p>
    <w:p w14:paraId="3F47DE69">
      <w:pPr>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rPr>
        <w:t>（</w:t>
      </w:r>
      <w:r>
        <w:rPr>
          <w:rFonts w:hint="eastAsia" w:ascii="Times New Roman" w:hAnsi="Times New Roman" w:eastAsia="宋体" w:cs="Times New Roman"/>
          <w:b/>
          <w:bCs/>
          <w:color w:val="auto"/>
          <w:sz w:val="24"/>
          <w:szCs w:val="24"/>
          <w:highlight w:val="none"/>
          <w:lang w:val="en-US" w:eastAsia="zh-CN"/>
        </w:rPr>
        <w:t>三</w:t>
      </w:r>
      <w:r>
        <w:rPr>
          <w:rFonts w:hint="eastAsia" w:ascii="Times New Roman" w:hAnsi="Times New Roman" w:eastAsia="宋体" w:cs="Times New Roman"/>
          <w:b/>
          <w:bCs/>
          <w:color w:val="auto"/>
          <w:sz w:val="24"/>
          <w:szCs w:val="24"/>
          <w:highlight w:val="none"/>
          <w:lang w:val="en-US"/>
        </w:rPr>
        <w:t>）搬运要求</w:t>
      </w:r>
    </w:p>
    <w:p w14:paraId="286E9DF4">
      <w:pPr>
        <w:pStyle w:val="4"/>
        <w:pageBreakBefore w:val="0"/>
        <w:widowControl w:val="0"/>
        <w:kinsoku/>
        <w:wordWrap/>
        <w:overflowPunct/>
        <w:topLinePunct w:val="0"/>
        <w:autoSpaceDE/>
        <w:autoSpaceDN/>
        <w:bidi w:val="0"/>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家具搬运要求</w:t>
      </w:r>
    </w:p>
    <w:p w14:paraId="2D554BB8">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前准备要求</w:t>
      </w:r>
    </w:p>
    <w:p w14:paraId="1E1FF1C0">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根据计划</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作业工期确定</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具体时间，要求</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成立</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工作领导小组；</w:t>
      </w:r>
    </w:p>
    <w:p w14:paraId="3E6CF0F8">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前，要求</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US" w:eastAsia="zh-CN"/>
        </w:rPr>
        <w:t>搬运物品及地点</w:t>
      </w:r>
      <w:r>
        <w:rPr>
          <w:rFonts w:hint="eastAsia" w:ascii="宋体" w:hAnsi="宋体" w:eastAsia="宋体" w:cs="宋体"/>
          <w:color w:val="auto"/>
          <w:sz w:val="24"/>
          <w:szCs w:val="24"/>
          <w:highlight w:val="none"/>
        </w:rPr>
        <w:t>进行确认，以便对</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物品进行</w:t>
      </w:r>
      <w:r>
        <w:rPr>
          <w:rFonts w:hint="eastAsia" w:ascii="宋体" w:hAnsi="宋体" w:eastAsia="宋体" w:cs="宋体"/>
          <w:color w:val="auto"/>
          <w:sz w:val="24"/>
          <w:szCs w:val="24"/>
          <w:highlight w:val="none"/>
          <w:lang w:val="en-US" w:eastAsia="zh-CN"/>
        </w:rPr>
        <w:t>标示</w:t>
      </w:r>
      <w:r>
        <w:rPr>
          <w:rFonts w:hint="eastAsia" w:ascii="宋体" w:hAnsi="宋体" w:eastAsia="宋体" w:cs="宋体"/>
          <w:color w:val="auto"/>
          <w:sz w:val="24"/>
          <w:szCs w:val="24"/>
          <w:highlight w:val="none"/>
        </w:rPr>
        <w:t>，跟车人员应对地点的布局做到心中有数，以便在</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时做到一步摆放到位；</w:t>
      </w:r>
    </w:p>
    <w:p w14:paraId="5095C9D5">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要求</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lang w:val="en-US" w:eastAsia="zh-CN"/>
        </w:rPr>
        <w:t>配合学校</w:t>
      </w:r>
      <w:r>
        <w:rPr>
          <w:rFonts w:hint="eastAsia" w:ascii="宋体" w:hAnsi="宋体" w:eastAsia="宋体" w:cs="宋体"/>
          <w:color w:val="auto"/>
          <w:sz w:val="24"/>
          <w:szCs w:val="24"/>
          <w:highlight w:val="none"/>
        </w:rPr>
        <w:t>拟定</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工作安排表：每日</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地址的时段安排、</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人员安排、</w:t>
      </w:r>
      <w:r>
        <w:rPr>
          <w:rFonts w:hint="eastAsia" w:ascii="宋体" w:hAnsi="宋体" w:eastAsia="宋体" w:cs="宋体"/>
          <w:color w:val="auto"/>
          <w:sz w:val="24"/>
          <w:szCs w:val="24"/>
          <w:highlight w:val="none"/>
          <w:lang w:val="en-US" w:eastAsia="zh-CN"/>
        </w:rPr>
        <w:t>校</w:t>
      </w:r>
      <w:r>
        <w:rPr>
          <w:rFonts w:hint="eastAsia" w:ascii="宋体" w:hAnsi="宋体" w:eastAsia="宋体" w:cs="宋体"/>
          <w:color w:val="auto"/>
          <w:sz w:val="24"/>
          <w:szCs w:val="24"/>
          <w:highlight w:val="none"/>
        </w:rPr>
        <w:t>方跟车监督人员安排等；</w:t>
      </w:r>
      <w:r>
        <w:rPr>
          <w:rFonts w:hint="eastAsia" w:ascii="宋体" w:hAnsi="宋体" w:eastAsia="宋体" w:cs="宋体"/>
          <w:color w:val="auto"/>
          <w:sz w:val="24"/>
          <w:szCs w:val="24"/>
          <w:highlight w:val="none"/>
          <w:lang w:val="en-US" w:eastAsia="zh-CN"/>
        </w:rPr>
        <w:t>并确保每日有充足的搬运人员。</w:t>
      </w:r>
    </w:p>
    <w:p w14:paraId="66DC8F14">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拆装打包要求</w:t>
      </w:r>
    </w:p>
    <w:p w14:paraId="02D9DC8C">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组合家具要拆卸后再搬运，以免搬运时因散架而损坏；</w:t>
      </w:r>
    </w:p>
    <w:p w14:paraId="7F33BD11">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rPr>
        <w:t>家具搬运时做好面板包装保护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防震工作，避免</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过程中不必要的损坏；</w:t>
      </w:r>
    </w:p>
    <w:p w14:paraId="270B14D4">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场地保护要求</w:t>
      </w:r>
    </w:p>
    <w:p w14:paraId="680CC23A">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墙壁转角用大纸板进行保护，确保墙面不受划伤；</w:t>
      </w:r>
    </w:p>
    <w:p w14:paraId="0AB129CA">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rPr>
        <w:t>对场地铺有地毯或木地板房间，应用彩条布或纸板进行保护性铺设，以确保地面与楼道不受污染、划伤、损伤；</w:t>
      </w:r>
    </w:p>
    <w:p w14:paraId="4FC736DB">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现场</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组织及管理要求</w:t>
      </w:r>
    </w:p>
    <w:p w14:paraId="31DB93FA">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严格按照采购人计划的</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顺序进行，并提前安排拆装组人员对家具等进行拆卸、简包</w:t>
      </w:r>
      <w:r>
        <w:rPr>
          <w:rFonts w:hint="eastAsia" w:ascii="宋体" w:hAnsi="宋体" w:eastAsia="宋体" w:cs="宋体"/>
          <w:color w:val="auto"/>
          <w:sz w:val="24"/>
          <w:szCs w:val="24"/>
          <w:highlight w:val="none"/>
          <w:lang w:eastAsia="zh-CN"/>
        </w:rPr>
        <w:t>；</w:t>
      </w:r>
    </w:p>
    <w:p w14:paraId="7350E469">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人员每天必须装备齐全，准时到达现场，按时实施</w:t>
      </w:r>
      <w:r>
        <w:rPr>
          <w:rFonts w:hint="eastAsia" w:ascii="宋体" w:hAnsi="宋体" w:eastAsia="宋体" w:cs="宋体"/>
          <w:color w:val="auto"/>
          <w:sz w:val="24"/>
          <w:szCs w:val="24"/>
          <w:highlight w:val="none"/>
          <w:lang w:eastAsia="zh-CN"/>
        </w:rPr>
        <w:t>搬运服务</w:t>
      </w:r>
      <w:r>
        <w:rPr>
          <w:rFonts w:hint="eastAsia" w:ascii="宋体" w:hAnsi="宋体" w:eastAsia="宋体" w:cs="宋体"/>
          <w:color w:val="auto"/>
          <w:sz w:val="24"/>
          <w:szCs w:val="24"/>
          <w:highlight w:val="none"/>
        </w:rPr>
        <w:t>工作</w:t>
      </w:r>
      <w:r>
        <w:rPr>
          <w:rFonts w:hint="eastAsia" w:ascii="宋体" w:hAnsi="宋体" w:eastAsia="宋体" w:cs="宋体"/>
          <w:color w:val="auto"/>
          <w:sz w:val="24"/>
          <w:szCs w:val="24"/>
          <w:highlight w:val="none"/>
          <w:lang w:eastAsia="zh-CN"/>
        </w:rPr>
        <w:t>；</w:t>
      </w:r>
    </w:p>
    <w:p w14:paraId="2305ACDD">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过程中，必须每个环节、每个现场配备专业管理及协调人员（包括拆卸现场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搬出现场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搬入现场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安装、摆放现场），以确保每件物品安全、顺利搬运到目的地指定位置；</w:t>
      </w:r>
    </w:p>
    <w:p w14:paraId="28C1307C">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搬运物品时一定要看清标签，不能损坏标签，严格按照标签指定点将物品搬运到位，并摆放好，货物搬运含上下楼层，不可因为楼层不等、摆放位置不集中等其他各种理由要求增加</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费用</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安装期间不得损坏</w:t>
      </w:r>
      <w:r>
        <w:rPr>
          <w:rFonts w:hint="eastAsia" w:ascii="宋体" w:hAnsi="宋体" w:eastAsia="宋体" w:cs="宋体"/>
          <w:color w:val="auto"/>
          <w:sz w:val="24"/>
          <w:szCs w:val="24"/>
          <w:highlight w:val="none"/>
          <w:lang w:val="en-US" w:eastAsia="zh-CN"/>
        </w:rPr>
        <w:t>学校</w:t>
      </w:r>
      <w:r>
        <w:rPr>
          <w:rFonts w:hint="eastAsia" w:ascii="宋体" w:hAnsi="宋体" w:eastAsia="宋体" w:cs="宋体"/>
          <w:color w:val="auto"/>
          <w:sz w:val="24"/>
          <w:szCs w:val="24"/>
          <w:highlight w:val="none"/>
        </w:rPr>
        <w:t>内公共设施及物品；如有遗失或损坏，</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应参照市场价给予合理赔偿；</w:t>
      </w:r>
    </w:p>
    <w:p w14:paraId="39CE6D8F">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⑤</w:t>
      </w:r>
      <w:r>
        <w:rPr>
          <w:rFonts w:hint="eastAsia" w:ascii="宋体" w:hAnsi="宋体" w:eastAsia="宋体" w:cs="宋体"/>
          <w:color w:val="auto"/>
          <w:sz w:val="24"/>
          <w:szCs w:val="24"/>
          <w:highlight w:val="none"/>
        </w:rPr>
        <w:t>现场服务管理人员、驾驶员、搬家组长保持手机畅通，无关机、无停机现象；</w:t>
      </w:r>
    </w:p>
    <w:p w14:paraId="6844281B">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⑥</w:t>
      </w:r>
      <w:r>
        <w:rPr>
          <w:rFonts w:hint="eastAsia" w:ascii="宋体" w:hAnsi="宋体" w:eastAsia="宋体" w:cs="宋体"/>
          <w:color w:val="auto"/>
          <w:sz w:val="24"/>
          <w:szCs w:val="24"/>
          <w:highlight w:val="none"/>
        </w:rPr>
        <w:t>车辆运输严格按指定路线行驶，每车装载完后请客户签字记录，到达新址卸完车货提醒客户跟车人员检查车厢并确认为空后方可返程；</w:t>
      </w:r>
    </w:p>
    <w:p w14:paraId="593407CE">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⑦</w:t>
      </w:r>
      <w:r>
        <w:rPr>
          <w:rFonts w:hint="eastAsia" w:ascii="宋体" w:hAnsi="宋体" w:eastAsia="宋体" w:cs="宋体"/>
          <w:color w:val="auto"/>
          <w:sz w:val="24"/>
          <w:szCs w:val="24"/>
          <w:highlight w:val="none"/>
        </w:rPr>
        <w:t>搬运的物品不得损坏和丢失，若有损坏和丢失的应参照市场价给予合理赔偿；</w:t>
      </w:r>
    </w:p>
    <w:p w14:paraId="52A18061">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⑧</w:t>
      </w:r>
      <w:r>
        <w:rPr>
          <w:rFonts w:hint="eastAsia" w:ascii="宋体" w:hAnsi="宋体" w:eastAsia="宋体" w:cs="宋体"/>
          <w:color w:val="auto"/>
          <w:sz w:val="24"/>
          <w:szCs w:val="24"/>
          <w:highlight w:val="none"/>
        </w:rPr>
        <w:t>清单内货物物品由</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执行人员协同采购人相关负责老师进行搬运后签字确认。</w:t>
      </w:r>
    </w:p>
    <w:p w14:paraId="444D6807">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车辆应配备防雨棚，如部分特殊设备需用到专用车辆</w:t>
      </w:r>
      <w:r>
        <w:rPr>
          <w:rFonts w:hint="eastAsia" w:ascii="宋体" w:hAnsi="宋体" w:eastAsia="宋体" w:cs="宋体"/>
          <w:color w:val="auto"/>
          <w:sz w:val="24"/>
          <w:szCs w:val="24"/>
          <w:highlight w:val="none"/>
          <w:lang w:val="en-US" w:eastAsia="zh-CN"/>
        </w:rPr>
        <w:t>由</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自行考虑。</w:t>
      </w:r>
    </w:p>
    <w:p w14:paraId="5F7BF4DA">
      <w:pPr>
        <w:pStyle w:val="4"/>
        <w:pageBreakBefore w:val="0"/>
        <w:widowControl w:val="0"/>
        <w:kinsoku/>
        <w:wordWrap/>
        <w:overflowPunct/>
        <w:topLinePunct w:val="0"/>
        <w:autoSpaceDE/>
        <w:autoSpaceDN/>
        <w:bidi w:val="0"/>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2.其它</w:t>
      </w:r>
      <w:r>
        <w:rPr>
          <w:rFonts w:hint="eastAsia" w:ascii="宋体" w:hAnsi="宋体" w:eastAsia="宋体" w:cs="宋体"/>
          <w:b/>
          <w:bCs/>
          <w:color w:val="auto"/>
          <w:sz w:val="24"/>
          <w:szCs w:val="24"/>
          <w:highlight w:val="none"/>
        </w:rPr>
        <w:t>要求</w:t>
      </w:r>
    </w:p>
    <w:p w14:paraId="07B1F6D7">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用于装运货物的车辆状况良好，具有搬运资质、通行许可、保险有效、年检合格；</w:t>
      </w:r>
    </w:p>
    <w:p w14:paraId="595DD24E">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配备足够的搬运工；</w:t>
      </w:r>
    </w:p>
    <w:p w14:paraId="484DD58C">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运输车辆随带防雨、固定和隔离器材；</w:t>
      </w:r>
    </w:p>
    <w:p w14:paraId="7F5C973A">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按采购人搬运计划搬运，如采购人需临时调整或补充搬运计划时，</w:t>
      </w:r>
      <w:r>
        <w:rPr>
          <w:rFonts w:hint="eastAsia" w:ascii="宋体" w:hAnsi="宋体" w:eastAsia="宋体" w:cs="宋体"/>
          <w:color w:val="auto"/>
          <w:sz w:val="24"/>
          <w:szCs w:val="24"/>
          <w:highlight w:val="none"/>
          <w:lang w:val="en-US" w:eastAsia="zh-CN"/>
        </w:rPr>
        <w:t>成交人</w:t>
      </w:r>
      <w:r>
        <w:rPr>
          <w:rFonts w:hint="eastAsia" w:ascii="宋体" w:hAnsi="宋体" w:eastAsia="宋体" w:cs="宋体"/>
          <w:color w:val="auto"/>
          <w:sz w:val="24"/>
          <w:szCs w:val="24"/>
          <w:highlight w:val="none"/>
        </w:rPr>
        <w:t>车辆调度、管理人员调拨应急车辆必须满足采购人搬运需求；</w:t>
      </w:r>
    </w:p>
    <w:p w14:paraId="1FC8E18B">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color w:val="auto"/>
          <w:sz w:val="24"/>
          <w:szCs w:val="24"/>
          <w:highlight w:val="none"/>
          <w:lang w:val="en-US" w:eastAsia="zh-CN"/>
        </w:rPr>
        <w:t>成交人</w:t>
      </w:r>
      <w:r>
        <w:rPr>
          <w:rFonts w:hint="eastAsia" w:ascii="宋体" w:hAnsi="宋体" w:eastAsia="宋体" w:cs="宋体"/>
          <w:color w:val="auto"/>
          <w:sz w:val="24"/>
          <w:szCs w:val="24"/>
          <w:highlight w:val="none"/>
        </w:rPr>
        <w:t>协助采购人做好搬运物品数量的统计交接、搬运计划的制订和现场管理；</w:t>
      </w:r>
    </w:p>
    <w:p w14:paraId="41065149">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专门安排经验丰富的车辆调度人员进行现场调度，相关负责人现场办公，搬运高峰期增加调度、现场管理人员；</w:t>
      </w:r>
    </w:p>
    <w:p w14:paraId="324E2723">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有异常信息第一时间向</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搬运现场管理负责人报告,不得隐瞒、虚报，不得向采购人提供虚假信息；</w:t>
      </w:r>
    </w:p>
    <w:p w14:paraId="2441D741">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特殊情况按采购人搬运管理现场负责人调度，增加搬运趟次，满足采购人搬运需求；</w:t>
      </w:r>
    </w:p>
    <w:p w14:paraId="64504204">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车辆装载物品出校门时，主动出示学校发放的出门证（物品搬运单），配合门卫检查；</w:t>
      </w:r>
    </w:p>
    <w:p w14:paraId="5ACD26E3">
      <w:pPr>
        <w:pStyle w:val="4"/>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物品交接后，物品搬运单请接收人员签字。</w:t>
      </w:r>
    </w:p>
    <w:p w14:paraId="6EBD723C">
      <w:pPr>
        <w:pStyle w:val="4"/>
        <w:pageBreakBefore w:val="0"/>
        <w:widowControl w:val="0"/>
        <w:kinsoku/>
        <w:wordWrap/>
        <w:overflowPunct/>
        <w:topLinePunct w:val="0"/>
        <w:autoSpaceDE/>
        <w:autoSpaceDN/>
        <w:bidi w:val="0"/>
        <w:spacing w:line="360" w:lineRule="auto"/>
        <w:ind w:left="0" w:leftChars="0"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成交人需提供沙发清洗服务，费用包含在本项目采购预算中。</w:t>
      </w:r>
    </w:p>
    <w:p w14:paraId="2DDAA75D">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rPr>
        <w:t>安全要求</w:t>
      </w:r>
    </w:p>
    <w:p w14:paraId="5F1A24D6">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有科学、健全的搬运安全制度和措施；</w:t>
      </w:r>
    </w:p>
    <w:p w14:paraId="02EF052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负责安全、按章搬运，保证人身、搬运车辆和货物安全的方案；</w:t>
      </w:r>
    </w:p>
    <w:p w14:paraId="531F6BA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做好搬运货物的保护，轻拿、轻放、轻装、轻摆，摆放合理，做好物品固定和隔离，平稳行车，避免搬运物品损坏和丢失，做好防雨、防水、防火、防压、防碰。</w:t>
      </w:r>
    </w:p>
    <w:p w14:paraId="71823939">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rPr>
        <w:t>车辆、人员要求</w:t>
      </w:r>
    </w:p>
    <w:p w14:paraId="05F02CEB">
      <w:pPr>
        <w:pStyle w:val="34"/>
        <w:pageBreakBefore w:val="0"/>
        <w:widowControl w:val="0"/>
        <w:kinsoku/>
        <w:wordWrap/>
        <w:overflowPunct/>
        <w:topLinePunct w:val="0"/>
        <w:autoSpaceDE/>
        <w:autoSpaceDN/>
        <w:bidi w:val="0"/>
        <w:spacing w:beforeLines="0" w:afterLines="0" w:line="360" w:lineRule="auto"/>
        <w:ind w:left="0" w:leftChars="0" w:firstLine="480" w:firstLineChars="200"/>
        <w:textAlignment w:val="auto"/>
        <w:rPr>
          <w:rFonts w:hint="eastAsia" w:ascii="宋体" w:hAnsi="宋体" w:eastAsia="宋体" w:cs="宋体"/>
          <w:b/>
          <w:color w:val="auto"/>
          <w:sz w:val="24"/>
          <w:szCs w:val="24"/>
          <w:highlight w:val="none"/>
          <w:lang w:val="en-US"/>
        </w:rPr>
      </w:pPr>
      <w:r>
        <w:rPr>
          <w:rFonts w:hint="eastAsia" w:ascii="宋体" w:hAnsi="宋体" w:eastAsia="宋体" w:cs="宋体"/>
          <w:b w:val="0"/>
          <w:bCs/>
          <w:color w:val="auto"/>
          <w:sz w:val="24"/>
          <w:szCs w:val="24"/>
          <w:highlight w:val="none"/>
          <w:lang w:val="en-US" w:eastAsia="zh-CN"/>
        </w:rPr>
        <w:t>（1）合同执行期间，成交人提供的所有车辆和人员安全由成交人负责，发生伤亡事故，或在服务过程中造成第三人伤亡的，责任全部由成交人承担。</w:t>
      </w:r>
    </w:p>
    <w:p w14:paraId="39420840">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严格按操作规程办事；</w:t>
      </w:r>
    </w:p>
    <w:p w14:paraId="5D53F8A3">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有提高搬运效率的措施；</w:t>
      </w:r>
    </w:p>
    <w:p w14:paraId="7F65CBB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严格按照调度实施搬运；</w:t>
      </w:r>
    </w:p>
    <w:p w14:paraId="5D47715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司机持证上岗，对司机、搬运工作人员进行业务培训，熟悉搬运业务；搬运工作人员必须参保人身意外伤害险</w:t>
      </w:r>
      <w:r>
        <w:rPr>
          <w:rFonts w:hint="eastAsia" w:ascii="宋体" w:hAnsi="宋体" w:eastAsia="宋体" w:cs="宋体"/>
          <w:bCs/>
          <w:color w:val="auto"/>
          <w:sz w:val="24"/>
          <w:szCs w:val="24"/>
          <w:highlight w:val="none"/>
          <w:lang w:eastAsia="zh-CN"/>
        </w:rPr>
        <w:t>；</w:t>
      </w:r>
    </w:p>
    <w:p w14:paraId="56D79DA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车辆、人员佩戴统一标志、标识；</w:t>
      </w:r>
    </w:p>
    <w:p w14:paraId="6147224C">
      <w:pPr>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（7）</w:t>
      </w:r>
      <w:r>
        <w:rPr>
          <w:rFonts w:hint="eastAsia" w:ascii="宋体" w:hAnsi="宋体" w:eastAsia="宋体" w:cs="宋体"/>
          <w:bCs/>
          <w:color w:val="auto"/>
          <w:sz w:val="24"/>
          <w:szCs w:val="24"/>
          <w:highlight w:val="none"/>
        </w:rPr>
        <w:t>工作人员认真负责、服务态度好、言行文明；</w:t>
      </w:r>
    </w:p>
    <w:p w14:paraId="6B1D7DA0">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（8）</w:t>
      </w:r>
      <w:r>
        <w:rPr>
          <w:rFonts w:hint="eastAsia" w:ascii="宋体" w:hAnsi="宋体" w:eastAsia="宋体" w:cs="宋体"/>
          <w:b w:val="0"/>
          <w:bCs/>
          <w:color w:val="auto"/>
          <w:sz w:val="24"/>
          <w:szCs w:val="24"/>
          <w:highlight w:val="none"/>
        </w:rPr>
        <w:t>做好异常气候、车辆故障、事故等应急处置工作。</w:t>
      </w:r>
    </w:p>
    <w:p w14:paraId="004B7FD8">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rPr>
        <w:t>其他要求</w:t>
      </w:r>
    </w:p>
    <w:p w14:paraId="3394156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物品装车摆放合理，装车应满载。</w:t>
      </w:r>
    </w:p>
    <w:p w14:paraId="79864E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（2）若搬运过程中，人员组织不到位，影响搬运进度，采购人有权扣除相应搬运费用。</w:t>
      </w:r>
    </w:p>
    <w:p w14:paraId="4A820786">
      <w:pPr>
        <w:pStyle w:val="6"/>
        <w:jc w:val="both"/>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四</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商务要求</w:t>
      </w:r>
    </w:p>
    <w:p w14:paraId="48AF2926">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rPr>
        <w:t>（一）服务期</w:t>
      </w:r>
    </w:p>
    <w:p w14:paraId="02CA8554">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rPr>
        <w:t>自合同签订之日起</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rPr>
        <w:t>0日。</w:t>
      </w:r>
    </w:p>
    <w:p w14:paraId="2E6997EC">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rPr>
        <w:t>（二）履约保证金</w:t>
      </w:r>
    </w:p>
    <w:p w14:paraId="23F5F941">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rPr>
      </w:pPr>
      <w:r>
        <w:rPr>
          <w:rFonts w:hint="eastAsia" w:ascii="宋体" w:hAnsi="宋体" w:cs="宋体"/>
          <w:color w:val="auto"/>
          <w:sz w:val="24"/>
          <w:highlight w:val="none"/>
        </w:rPr>
        <w:t>合同签订后一周内，</w:t>
      </w:r>
      <w:r>
        <w:rPr>
          <w:rFonts w:hint="eastAsia" w:ascii="宋体" w:hAnsi="宋体" w:cs="宋体"/>
          <w:color w:val="auto"/>
          <w:sz w:val="24"/>
          <w:highlight w:val="none"/>
          <w:lang w:eastAsia="zh-CN"/>
        </w:rPr>
        <w:t>成交人</w:t>
      </w:r>
      <w:r>
        <w:rPr>
          <w:rFonts w:hint="eastAsia" w:ascii="宋体" w:hAnsi="宋体" w:cs="宋体"/>
          <w:color w:val="auto"/>
          <w:sz w:val="24"/>
          <w:highlight w:val="none"/>
        </w:rPr>
        <w:t>向采购人提交合同金额1%的履约保证金（提交方式：支票、汇票、本票或者金融机构、担保机构出具的保函等非现金形式），履约保证金在履约完毕后无质量问题和维护问题，于15个工作日内退还（不计息）。</w:t>
      </w:r>
    </w:p>
    <w:p w14:paraId="2E67E5CA">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rPr>
        <w:t>（三）付款方式</w:t>
      </w:r>
    </w:p>
    <w:p w14:paraId="62E7528B">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zh-CN"/>
        </w:rPr>
        <w:t>在合同生效以及具备实施条件后7个工作日内，采购人向成交人支付合同总额的</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zh-CN"/>
        </w:rPr>
        <w:t>0％作为预付款；</w:t>
      </w:r>
      <w:r>
        <w:rPr>
          <w:rFonts w:hint="eastAsia" w:ascii="Times New Roman" w:hAnsi="Times New Roman" w:eastAsia="宋体" w:cs="Times New Roman"/>
          <w:color w:val="auto"/>
          <w:sz w:val="24"/>
          <w:szCs w:val="24"/>
          <w:highlight w:val="none"/>
          <w:lang w:val="en-US" w:eastAsia="zh-CN"/>
        </w:rPr>
        <w:t>项目履约完成经采购人验收合格后</w:t>
      </w:r>
      <w:r>
        <w:rPr>
          <w:rFonts w:hint="eastAsia" w:ascii="Times New Roman" w:hAnsi="Times New Roman" w:eastAsia="宋体" w:cs="Times New Roman"/>
          <w:color w:val="auto"/>
          <w:sz w:val="24"/>
          <w:szCs w:val="24"/>
          <w:highlight w:val="none"/>
          <w:lang w:val="zh-CN"/>
        </w:rPr>
        <w:t>，采购人向成交人支付剩余价款；每阶段付款前需提供符合采购人要求的全额正规发票，否则采购人有权拒绝支付。</w:t>
      </w:r>
    </w:p>
    <w:p w14:paraId="5F56885E">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rPr>
        <w:t>注：</w:t>
      </w:r>
      <w:r>
        <w:rPr>
          <w:rFonts w:hint="eastAsia" w:ascii="Times New Roman" w:hAnsi="Times New Roman" w:eastAsia="宋体" w:cs="Times New Roman"/>
          <w:color w:val="auto"/>
          <w:sz w:val="24"/>
          <w:szCs w:val="24"/>
          <w:highlight w:val="none"/>
          <w:lang w:val="zh-CN"/>
        </w:rPr>
        <w:t>若</w:t>
      </w:r>
      <w:r>
        <w:rPr>
          <w:rFonts w:hint="eastAsia" w:ascii="Times New Roman" w:hAnsi="Times New Roman" w:eastAsia="宋体" w:cs="Times New Roman"/>
          <w:color w:val="auto"/>
          <w:sz w:val="24"/>
          <w:szCs w:val="24"/>
          <w:highlight w:val="none"/>
          <w:lang w:val="en-US" w:eastAsia="zh-CN"/>
        </w:rPr>
        <w:t>成交人</w:t>
      </w:r>
      <w:r>
        <w:rPr>
          <w:rFonts w:hint="eastAsia" w:ascii="Times New Roman" w:hAnsi="Times New Roman" w:eastAsia="宋体" w:cs="Times New Roman"/>
          <w:color w:val="auto"/>
          <w:sz w:val="24"/>
          <w:szCs w:val="24"/>
          <w:highlight w:val="none"/>
          <w:lang w:val="zh-CN"/>
        </w:rPr>
        <w:t>无需预付款的可选择在验收合</w:t>
      </w:r>
      <w:r>
        <w:rPr>
          <w:rFonts w:hint="eastAsia" w:ascii="Times New Roman" w:hAnsi="Times New Roman" w:eastAsia="宋体" w:cs="Times New Roman"/>
          <w:color w:val="auto"/>
          <w:sz w:val="24"/>
          <w:szCs w:val="24"/>
          <w:highlight w:val="none"/>
          <w:lang w:val="en-US"/>
        </w:rPr>
        <w:t>格后一次性支付；预付款的支付进程不得影响合同的履行。</w:t>
      </w:r>
    </w:p>
    <w:p w14:paraId="15BA713E">
      <w:pPr>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rPr>
        <w:t>（四）项目验收</w:t>
      </w:r>
    </w:p>
    <w:p w14:paraId="41837741">
      <w:pPr>
        <w:pageBreakBefore w:val="0"/>
        <w:widowControl w:val="0"/>
        <w:kinsoku/>
        <w:wordWrap/>
        <w:overflowPunct/>
        <w:topLinePunct w:val="0"/>
        <w:autoSpaceDE/>
        <w:autoSpaceDN/>
        <w:bidi w:val="0"/>
        <w:spacing w:line="360" w:lineRule="auto"/>
        <w:ind w:firstLine="480" w:firstLineChars="200"/>
        <w:textAlignment w:val="auto"/>
        <w:rPr>
          <w:color w:val="auto"/>
          <w:highlight w:val="none"/>
        </w:rPr>
      </w:pPr>
      <w:r>
        <w:rPr>
          <w:rFonts w:hint="eastAsia" w:ascii="Times New Roman" w:hAnsi="Times New Roman" w:eastAsia="宋体" w:cs="Times New Roman"/>
          <w:color w:val="auto"/>
          <w:sz w:val="24"/>
          <w:szCs w:val="24"/>
          <w:highlight w:val="none"/>
          <w:lang w:val="en-US"/>
        </w:rPr>
        <w:t>验收要求：采购人根据采购文件和供应商提供的响应文件、</w:t>
      </w:r>
      <w:r>
        <w:rPr>
          <w:rFonts w:hint="eastAsia" w:ascii="Times New Roman" w:hAnsi="Times New Roman" w:eastAsia="宋体" w:cs="Times New Roman"/>
          <w:color w:val="auto"/>
          <w:sz w:val="24"/>
          <w:szCs w:val="24"/>
          <w:highlight w:val="none"/>
          <w:lang w:val="en-US" w:eastAsia="zh-CN"/>
        </w:rPr>
        <w:t>成交人</w:t>
      </w:r>
      <w:r>
        <w:rPr>
          <w:rFonts w:hint="eastAsia" w:ascii="Times New Roman" w:hAnsi="Times New Roman" w:eastAsia="宋体" w:cs="Times New Roman"/>
          <w:color w:val="auto"/>
          <w:sz w:val="24"/>
          <w:szCs w:val="24"/>
          <w:highlight w:val="none"/>
          <w:lang w:val="en-US"/>
        </w:rPr>
        <w:t>和采购人签订的采购合同要求，对</w:t>
      </w:r>
      <w:r>
        <w:rPr>
          <w:rFonts w:hint="eastAsia" w:ascii="Times New Roman" w:hAnsi="Times New Roman" w:eastAsia="宋体" w:cs="Times New Roman"/>
          <w:color w:val="auto"/>
          <w:sz w:val="24"/>
          <w:szCs w:val="24"/>
          <w:highlight w:val="none"/>
          <w:lang w:val="en-US" w:eastAsia="zh-CN"/>
        </w:rPr>
        <w:t>服务</w:t>
      </w:r>
      <w:r>
        <w:rPr>
          <w:rFonts w:hint="eastAsia" w:ascii="Times New Roman" w:hAnsi="Times New Roman" w:eastAsia="宋体" w:cs="Times New Roman"/>
          <w:color w:val="auto"/>
          <w:sz w:val="24"/>
          <w:szCs w:val="24"/>
          <w:highlight w:val="none"/>
          <w:lang w:val="en-US"/>
        </w:rPr>
        <w:t>进行验收。</w:t>
      </w:r>
    </w:p>
    <w:p w14:paraId="2C970B00">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rPr>
      </w:pPr>
      <w:r>
        <w:rPr>
          <w:rFonts w:hint="eastAsia" w:asciiTheme="minorEastAsia" w:hAnsiTheme="minorEastAsia" w:eastAsiaTheme="minorEastAsia" w:cstheme="minorEastAsia"/>
          <w:b w:val="0"/>
          <w:bCs w:val="0"/>
          <w:color w:val="auto"/>
          <w:sz w:val="24"/>
          <w:szCs w:val="24"/>
          <w:highlight w:val="none"/>
          <w:lang w:val="en-US" w:eastAsia="zh-CN"/>
        </w:rPr>
        <w:t>验收时，采购人有权选定第三方机构对整体环境空气情况进行检查，整体环境空气质量须符合 GB/T 18883-2022《室内空气质量标准》，未达到标准的，成交人需提供空气净化相关服务，直至达标为止。验收所需费用（包括聘请第三方监测机构、空气净化服务等所有费用）包含在本项目报价中，由成交人支付。</w:t>
      </w:r>
    </w:p>
    <w:p w14:paraId="02EF4430">
      <w:pPr>
        <w:pStyle w:val="6"/>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五、</w:t>
      </w:r>
      <w:r>
        <w:rPr>
          <w:rFonts w:hint="eastAsia" w:asciiTheme="minorEastAsia" w:hAnsiTheme="minorEastAsia" w:eastAsiaTheme="minorEastAsia" w:cstheme="minorEastAsia"/>
          <w:color w:val="auto"/>
          <w:highlight w:val="none"/>
        </w:rPr>
        <w:t>本章未尽之处见合同主要条款中的相关要求。</w:t>
      </w:r>
    </w:p>
    <w:p w14:paraId="512562CF">
      <w:pPr>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highlight w:val="none"/>
          <w:lang w:val="en-US" w:eastAsia="zh-CN"/>
        </w:rPr>
        <w:sectPr>
          <w:pgSz w:w="11907" w:h="16840"/>
          <w:pgMar w:top="1440" w:right="1080" w:bottom="1440" w:left="1080" w:header="851" w:footer="851" w:gutter="0"/>
          <w:pgBorders>
            <w:top w:val="none" w:sz="0" w:space="0"/>
            <w:left w:val="none" w:sz="0" w:space="0"/>
            <w:bottom w:val="none" w:sz="0" w:space="0"/>
            <w:right w:val="none" w:sz="0" w:space="0"/>
          </w:pgBorders>
          <w:cols w:space="720" w:num="1"/>
        </w:sectPr>
      </w:pPr>
    </w:p>
    <w:p w14:paraId="61409DA0">
      <w:pPr>
        <w:adjustRightInd/>
        <w:spacing w:line="360" w:lineRule="auto"/>
        <w:jc w:val="center"/>
        <w:outlineLvl w:val="0"/>
        <w:rPr>
          <w:rFonts w:ascii="宋体" w:hAnsi="宋体" w:cs="宋体"/>
          <w:b/>
          <w:color w:val="auto"/>
          <w:sz w:val="36"/>
          <w:szCs w:val="20"/>
          <w:highlight w:val="none"/>
        </w:rPr>
      </w:pPr>
      <w:bookmarkStart w:id="36" w:name="_Toc23741"/>
      <w:r>
        <w:rPr>
          <w:rFonts w:hint="eastAsia" w:ascii="宋体" w:hAnsi="宋体" w:cs="宋体"/>
          <w:b/>
          <w:color w:val="auto"/>
          <w:sz w:val="36"/>
          <w:szCs w:val="20"/>
          <w:highlight w:val="none"/>
        </w:rPr>
        <w:t>第四部分</w:t>
      </w:r>
      <w:bookmarkStart w:id="37" w:name="_Toc184314444"/>
      <w:bookmarkEnd w:id="37"/>
      <w:bookmarkStart w:id="38" w:name="_Toc184314455"/>
      <w:bookmarkEnd w:id="38"/>
      <w:bookmarkStart w:id="39" w:name="_Toc184308100"/>
      <w:bookmarkEnd w:id="39"/>
      <w:bookmarkStart w:id="40" w:name="_Toc184310287"/>
      <w:bookmarkEnd w:id="40"/>
      <w:bookmarkStart w:id="41" w:name="_Toc184313276"/>
      <w:bookmarkEnd w:id="41"/>
      <w:bookmarkStart w:id="42" w:name="_Toc184314447"/>
      <w:bookmarkEnd w:id="42"/>
      <w:bookmarkStart w:id="43" w:name="_Toc184310293"/>
      <w:bookmarkEnd w:id="43"/>
      <w:bookmarkStart w:id="44" w:name="_Toc184312106"/>
      <w:bookmarkEnd w:id="44"/>
      <w:bookmarkStart w:id="45" w:name="_Toc184308106"/>
      <w:bookmarkEnd w:id="45"/>
      <w:bookmarkStart w:id="46" w:name="_Toc184308069"/>
      <w:bookmarkEnd w:id="46"/>
      <w:bookmarkStart w:id="47" w:name="_Toc184308088"/>
      <w:bookmarkEnd w:id="47"/>
      <w:bookmarkStart w:id="48" w:name="_Toc184308056"/>
      <w:bookmarkEnd w:id="48"/>
      <w:bookmarkStart w:id="49" w:name="_Toc184313266"/>
      <w:bookmarkEnd w:id="49"/>
      <w:bookmarkStart w:id="50" w:name="_Toc184314445"/>
      <w:bookmarkEnd w:id="50"/>
      <w:bookmarkStart w:id="51" w:name="_Toc184312136"/>
      <w:bookmarkEnd w:id="51"/>
      <w:bookmarkStart w:id="52" w:name="_Toc184310313"/>
      <w:bookmarkEnd w:id="52"/>
      <w:bookmarkStart w:id="53" w:name="_Toc184314442"/>
      <w:bookmarkEnd w:id="53"/>
      <w:bookmarkStart w:id="54" w:name="_Toc184308079"/>
      <w:bookmarkEnd w:id="54"/>
      <w:bookmarkStart w:id="55" w:name="_Toc184308094"/>
      <w:bookmarkEnd w:id="55"/>
      <w:bookmarkStart w:id="56" w:name="_Toc184310329"/>
      <w:bookmarkEnd w:id="56"/>
      <w:bookmarkStart w:id="57" w:name="_Toc184314418"/>
      <w:bookmarkEnd w:id="57"/>
      <w:bookmarkStart w:id="58" w:name="_Toc184310322"/>
      <w:bookmarkEnd w:id="58"/>
      <w:bookmarkStart w:id="59" w:name="_Toc184313263"/>
      <w:bookmarkEnd w:id="59"/>
      <w:bookmarkStart w:id="60" w:name="_Toc184308082"/>
      <w:bookmarkEnd w:id="60"/>
      <w:bookmarkStart w:id="61" w:name="_Toc184313242"/>
      <w:bookmarkEnd w:id="61"/>
      <w:bookmarkStart w:id="62" w:name="_Toc184314412"/>
      <w:bookmarkEnd w:id="62"/>
      <w:bookmarkStart w:id="63" w:name="_Toc184313296"/>
      <w:bookmarkEnd w:id="63"/>
      <w:bookmarkStart w:id="64" w:name="_Toc184310341"/>
      <w:bookmarkEnd w:id="64"/>
      <w:bookmarkStart w:id="65" w:name="_Toc184314428"/>
      <w:bookmarkEnd w:id="65"/>
      <w:bookmarkStart w:id="66" w:name="_Toc184313293"/>
      <w:bookmarkEnd w:id="66"/>
      <w:bookmarkStart w:id="67" w:name="_Toc184308065"/>
      <w:bookmarkEnd w:id="67"/>
      <w:bookmarkStart w:id="68" w:name="_Toc184314426"/>
      <w:bookmarkEnd w:id="68"/>
      <w:bookmarkStart w:id="69" w:name="_Toc184308059"/>
      <w:bookmarkEnd w:id="69"/>
      <w:bookmarkStart w:id="70" w:name="_Toc184308101"/>
      <w:bookmarkEnd w:id="70"/>
      <w:bookmarkStart w:id="71" w:name="_Toc184310331"/>
      <w:bookmarkEnd w:id="71"/>
      <w:bookmarkStart w:id="72" w:name="_Toc184308080"/>
      <w:bookmarkEnd w:id="72"/>
      <w:bookmarkStart w:id="73" w:name="_Toc184314461"/>
      <w:bookmarkEnd w:id="73"/>
      <w:bookmarkStart w:id="74" w:name="_Toc184313287"/>
      <w:bookmarkEnd w:id="74"/>
      <w:bookmarkStart w:id="75" w:name="_Toc184313286"/>
      <w:bookmarkEnd w:id="75"/>
      <w:bookmarkStart w:id="76" w:name="_Toc184312095"/>
      <w:bookmarkEnd w:id="76"/>
      <w:bookmarkStart w:id="77" w:name="_Toc184310279"/>
      <w:bookmarkEnd w:id="77"/>
      <w:bookmarkStart w:id="78" w:name="_Toc184314420"/>
      <w:bookmarkEnd w:id="78"/>
      <w:bookmarkStart w:id="79" w:name="_Toc184310335"/>
      <w:bookmarkEnd w:id="79"/>
      <w:bookmarkStart w:id="80" w:name="_Toc184314472"/>
      <w:bookmarkEnd w:id="80"/>
      <w:bookmarkStart w:id="81" w:name="_Toc184313253"/>
      <w:bookmarkEnd w:id="81"/>
      <w:bookmarkStart w:id="82" w:name="_Toc184308078"/>
      <w:bookmarkEnd w:id="82"/>
      <w:bookmarkStart w:id="83" w:name="_Toc184308044"/>
      <w:bookmarkEnd w:id="83"/>
      <w:bookmarkStart w:id="84" w:name="_Toc184310324"/>
      <w:bookmarkEnd w:id="84"/>
      <w:bookmarkStart w:id="85" w:name="_Toc184310282"/>
      <w:bookmarkEnd w:id="85"/>
      <w:bookmarkStart w:id="86" w:name="_Toc184314450"/>
      <w:bookmarkEnd w:id="86"/>
      <w:bookmarkStart w:id="87" w:name="_Toc184310274"/>
      <w:bookmarkEnd w:id="87"/>
      <w:bookmarkStart w:id="88" w:name="_Toc184313288"/>
      <w:bookmarkEnd w:id="88"/>
      <w:bookmarkStart w:id="89" w:name="_Toc184314424"/>
      <w:bookmarkEnd w:id="89"/>
      <w:bookmarkStart w:id="90" w:name="_Toc184312094"/>
      <w:bookmarkEnd w:id="90"/>
      <w:bookmarkStart w:id="91" w:name="_Toc184308050"/>
      <w:bookmarkEnd w:id="91"/>
      <w:bookmarkStart w:id="92" w:name="_Toc184313283"/>
      <w:bookmarkEnd w:id="92"/>
      <w:bookmarkStart w:id="93" w:name="_Toc184310315"/>
      <w:bookmarkEnd w:id="93"/>
      <w:bookmarkStart w:id="94" w:name="_Toc184308074"/>
      <w:bookmarkEnd w:id="94"/>
      <w:bookmarkStart w:id="95" w:name="_Toc184310297"/>
      <w:bookmarkEnd w:id="95"/>
      <w:bookmarkStart w:id="96" w:name="_Toc184314463"/>
      <w:bookmarkEnd w:id="96"/>
      <w:bookmarkStart w:id="97" w:name="_Toc184312097"/>
      <w:bookmarkEnd w:id="97"/>
      <w:bookmarkStart w:id="98" w:name="_Toc184310283"/>
      <w:bookmarkEnd w:id="98"/>
      <w:bookmarkStart w:id="99" w:name="_Toc184308070"/>
      <w:bookmarkEnd w:id="99"/>
      <w:bookmarkStart w:id="100" w:name="_Toc184313256"/>
      <w:bookmarkEnd w:id="100"/>
      <w:bookmarkStart w:id="101" w:name="_Toc184308076"/>
      <w:bookmarkEnd w:id="101"/>
      <w:bookmarkStart w:id="102" w:name="_Toc184308072"/>
      <w:bookmarkEnd w:id="102"/>
      <w:bookmarkStart w:id="103" w:name="_Toc184312087"/>
      <w:bookmarkEnd w:id="103"/>
      <w:bookmarkStart w:id="104" w:name="_Toc184308092"/>
      <w:bookmarkEnd w:id="104"/>
      <w:bookmarkStart w:id="105" w:name="_Toc184314436"/>
      <w:bookmarkEnd w:id="105"/>
      <w:bookmarkStart w:id="106" w:name="_Toc184308097"/>
      <w:bookmarkEnd w:id="106"/>
      <w:bookmarkStart w:id="107" w:name="_Toc184314456"/>
      <w:bookmarkEnd w:id="107"/>
      <w:bookmarkStart w:id="108" w:name="_Toc184310338"/>
      <w:bookmarkEnd w:id="108"/>
      <w:bookmarkStart w:id="109" w:name="_Toc184312074"/>
      <w:bookmarkEnd w:id="109"/>
      <w:bookmarkStart w:id="110" w:name="_Toc184308066"/>
      <w:bookmarkEnd w:id="110"/>
      <w:bookmarkStart w:id="111" w:name="_Toc184308060"/>
      <w:bookmarkEnd w:id="111"/>
      <w:bookmarkStart w:id="112" w:name="_Toc184313308"/>
      <w:bookmarkEnd w:id="112"/>
      <w:bookmarkStart w:id="113" w:name="_Toc184313273"/>
      <w:bookmarkEnd w:id="113"/>
      <w:bookmarkStart w:id="114" w:name="_Toc184312093"/>
      <w:bookmarkEnd w:id="114"/>
      <w:bookmarkStart w:id="115" w:name="_Toc184313304"/>
      <w:bookmarkEnd w:id="115"/>
      <w:bookmarkStart w:id="116" w:name="_Toc184308081"/>
      <w:bookmarkEnd w:id="116"/>
      <w:bookmarkStart w:id="117" w:name="_Toc184312084"/>
      <w:bookmarkEnd w:id="117"/>
      <w:bookmarkStart w:id="118" w:name="_Toc184312122"/>
      <w:bookmarkEnd w:id="118"/>
      <w:bookmarkStart w:id="119" w:name="_Toc184308084"/>
      <w:bookmarkEnd w:id="119"/>
      <w:bookmarkStart w:id="120" w:name="_Toc184313302"/>
      <w:bookmarkEnd w:id="120"/>
      <w:bookmarkStart w:id="121" w:name="_Toc184314454"/>
      <w:bookmarkEnd w:id="121"/>
      <w:bookmarkStart w:id="122" w:name="_Toc184310301"/>
      <w:bookmarkEnd w:id="122"/>
      <w:bookmarkStart w:id="123" w:name="_Toc184308068"/>
      <w:bookmarkEnd w:id="123"/>
      <w:bookmarkStart w:id="124" w:name="_Toc184312076"/>
      <w:bookmarkEnd w:id="124"/>
      <w:bookmarkStart w:id="125" w:name="_Toc184312103"/>
      <w:bookmarkEnd w:id="125"/>
      <w:bookmarkStart w:id="126" w:name="_Toc184310276"/>
      <w:bookmarkEnd w:id="126"/>
      <w:bookmarkStart w:id="127" w:name="_Toc184314422"/>
      <w:bookmarkEnd w:id="127"/>
      <w:bookmarkStart w:id="128" w:name="_Toc184312129"/>
      <w:bookmarkEnd w:id="128"/>
      <w:bookmarkStart w:id="129" w:name="_Toc184314427"/>
      <w:bookmarkEnd w:id="129"/>
      <w:bookmarkStart w:id="130" w:name="_Toc184314414"/>
      <w:bookmarkEnd w:id="130"/>
      <w:bookmarkStart w:id="131" w:name="_Toc184310309"/>
      <w:bookmarkEnd w:id="131"/>
      <w:bookmarkStart w:id="132" w:name="_Toc184312117"/>
      <w:bookmarkEnd w:id="132"/>
      <w:bookmarkStart w:id="133" w:name="_Toc184310323"/>
      <w:bookmarkEnd w:id="133"/>
      <w:bookmarkStart w:id="134" w:name="_Toc184312078"/>
      <w:bookmarkEnd w:id="134"/>
      <w:bookmarkStart w:id="135" w:name="_Toc184312096"/>
      <w:bookmarkEnd w:id="135"/>
      <w:bookmarkStart w:id="136" w:name="_Toc184310337"/>
      <w:bookmarkEnd w:id="136"/>
      <w:bookmarkStart w:id="137" w:name="_Toc184312113"/>
      <w:bookmarkEnd w:id="137"/>
      <w:bookmarkStart w:id="138" w:name="_Toc184314421"/>
      <w:bookmarkEnd w:id="138"/>
      <w:bookmarkStart w:id="139" w:name="_Toc184310300"/>
      <w:bookmarkEnd w:id="139"/>
      <w:bookmarkStart w:id="140" w:name="_Toc184308053"/>
      <w:bookmarkEnd w:id="140"/>
      <w:bookmarkStart w:id="141" w:name="_Toc184310310"/>
      <w:bookmarkEnd w:id="141"/>
      <w:bookmarkStart w:id="142" w:name="_Toc184310291"/>
      <w:bookmarkEnd w:id="142"/>
      <w:bookmarkStart w:id="143" w:name="_Toc184310344"/>
      <w:bookmarkEnd w:id="143"/>
      <w:bookmarkStart w:id="144" w:name="_Toc184312107"/>
      <w:bookmarkEnd w:id="144"/>
      <w:bookmarkStart w:id="145" w:name="_Toc184312132"/>
      <w:bookmarkEnd w:id="145"/>
      <w:bookmarkStart w:id="146" w:name="_Toc184313279"/>
      <w:bookmarkEnd w:id="146"/>
      <w:bookmarkStart w:id="147" w:name="_Toc184308095"/>
      <w:bookmarkEnd w:id="147"/>
      <w:bookmarkStart w:id="148" w:name="_Toc184310303"/>
      <w:bookmarkEnd w:id="148"/>
      <w:bookmarkStart w:id="149" w:name="_Toc184313292"/>
      <w:bookmarkEnd w:id="149"/>
      <w:bookmarkStart w:id="150" w:name="_Toc184308048"/>
      <w:bookmarkEnd w:id="150"/>
      <w:bookmarkStart w:id="151" w:name="_Toc184313306"/>
      <w:bookmarkEnd w:id="151"/>
      <w:bookmarkStart w:id="152" w:name="_Toc184312067"/>
      <w:bookmarkEnd w:id="152"/>
      <w:bookmarkStart w:id="153" w:name="_Toc184313268"/>
      <w:bookmarkEnd w:id="153"/>
      <w:bookmarkStart w:id="154" w:name="_Toc184308054"/>
      <w:bookmarkEnd w:id="154"/>
      <w:bookmarkStart w:id="155" w:name="_Toc184308102"/>
      <w:bookmarkEnd w:id="155"/>
      <w:bookmarkStart w:id="156" w:name="_Toc184312128"/>
      <w:bookmarkEnd w:id="156"/>
      <w:bookmarkStart w:id="157" w:name="_Toc184313294"/>
      <w:bookmarkEnd w:id="157"/>
      <w:bookmarkStart w:id="158" w:name="_Toc184308103"/>
      <w:bookmarkEnd w:id="158"/>
      <w:bookmarkStart w:id="159" w:name="_Toc184314480"/>
      <w:bookmarkEnd w:id="159"/>
      <w:bookmarkStart w:id="160" w:name="_Toc184310328"/>
      <w:bookmarkEnd w:id="160"/>
      <w:bookmarkStart w:id="161" w:name="_Toc184312090"/>
      <w:bookmarkEnd w:id="161"/>
      <w:bookmarkStart w:id="162" w:name="_Toc184312070"/>
      <w:bookmarkEnd w:id="162"/>
      <w:bookmarkStart w:id="163" w:name="_Toc184310273"/>
      <w:bookmarkEnd w:id="163"/>
      <w:bookmarkStart w:id="164" w:name="_Toc184313301"/>
      <w:bookmarkEnd w:id="164"/>
      <w:bookmarkStart w:id="165" w:name="_Toc184313299"/>
      <w:bookmarkEnd w:id="165"/>
      <w:bookmarkStart w:id="166" w:name="_Toc184313271"/>
      <w:bookmarkEnd w:id="166"/>
      <w:bookmarkStart w:id="167" w:name="_Toc184312085"/>
      <w:bookmarkEnd w:id="167"/>
      <w:bookmarkStart w:id="168" w:name="_Toc184310280"/>
      <w:bookmarkEnd w:id="168"/>
      <w:bookmarkStart w:id="169" w:name="_Toc184314464"/>
      <w:bookmarkEnd w:id="169"/>
      <w:bookmarkStart w:id="170" w:name="_Toc184313257"/>
      <w:bookmarkEnd w:id="170"/>
      <w:bookmarkStart w:id="171" w:name="_Toc184314460"/>
      <w:bookmarkEnd w:id="171"/>
      <w:bookmarkStart w:id="172" w:name="_Toc184310304"/>
      <w:bookmarkEnd w:id="172"/>
      <w:bookmarkStart w:id="173" w:name="_Toc184310339"/>
      <w:bookmarkEnd w:id="173"/>
      <w:bookmarkStart w:id="174" w:name="_Toc184314423"/>
      <w:bookmarkEnd w:id="174"/>
      <w:bookmarkStart w:id="175" w:name="_Toc184312135"/>
      <w:bookmarkEnd w:id="175"/>
      <w:bookmarkStart w:id="176" w:name="_Toc184312119"/>
      <w:bookmarkEnd w:id="176"/>
      <w:bookmarkStart w:id="177" w:name="_Toc184308042"/>
      <w:bookmarkEnd w:id="177"/>
      <w:bookmarkStart w:id="178" w:name="_Toc184310334"/>
      <w:bookmarkEnd w:id="178"/>
      <w:bookmarkStart w:id="179" w:name="_Toc184308043"/>
      <w:bookmarkEnd w:id="179"/>
      <w:bookmarkStart w:id="180" w:name="_Toc184314471"/>
      <w:bookmarkEnd w:id="180"/>
      <w:bookmarkStart w:id="181" w:name="_Toc184314411"/>
      <w:bookmarkEnd w:id="181"/>
      <w:bookmarkStart w:id="182" w:name="_Toc184308039"/>
      <w:bookmarkEnd w:id="182"/>
      <w:bookmarkStart w:id="183" w:name="_Toc184314468"/>
      <w:bookmarkEnd w:id="183"/>
      <w:bookmarkStart w:id="184" w:name="_Toc184314448"/>
      <w:bookmarkEnd w:id="184"/>
      <w:bookmarkStart w:id="185" w:name="_Toc184312127"/>
      <w:bookmarkEnd w:id="185"/>
      <w:bookmarkStart w:id="186" w:name="_Toc184314437"/>
      <w:bookmarkEnd w:id="186"/>
      <w:bookmarkStart w:id="187" w:name="_Toc184308104"/>
      <w:bookmarkEnd w:id="187"/>
      <w:bookmarkStart w:id="188" w:name="_Toc184310326"/>
      <w:bookmarkEnd w:id="188"/>
      <w:bookmarkStart w:id="189" w:name="_Toc184308090"/>
      <w:bookmarkEnd w:id="189"/>
      <w:bookmarkStart w:id="190" w:name="_Toc184308061"/>
      <w:bookmarkEnd w:id="190"/>
      <w:bookmarkStart w:id="191" w:name="_Toc184308087"/>
      <w:bookmarkEnd w:id="191"/>
      <w:bookmarkStart w:id="192" w:name="_Toc184310281"/>
      <w:bookmarkEnd w:id="192"/>
      <w:bookmarkStart w:id="193" w:name="_Toc184308073"/>
      <w:bookmarkEnd w:id="193"/>
      <w:bookmarkStart w:id="194" w:name="_Toc184308086"/>
      <w:bookmarkEnd w:id="194"/>
      <w:bookmarkStart w:id="195" w:name="_Toc184310342"/>
      <w:bookmarkEnd w:id="195"/>
      <w:bookmarkStart w:id="196" w:name="_Toc184310285"/>
      <w:bookmarkEnd w:id="196"/>
      <w:bookmarkStart w:id="197" w:name="_Toc184312111"/>
      <w:bookmarkEnd w:id="197"/>
      <w:bookmarkStart w:id="198" w:name="_Toc184310278"/>
      <w:bookmarkEnd w:id="198"/>
      <w:bookmarkStart w:id="199" w:name="_Toc184312081"/>
      <w:bookmarkEnd w:id="199"/>
      <w:bookmarkStart w:id="200" w:name="_Toc184314475"/>
      <w:bookmarkEnd w:id="200"/>
      <w:bookmarkStart w:id="201" w:name="_Toc184314466"/>
      <w:bookmarkEnd w:id="201"/>
      <w:bookmarkStart w:id="202" w:name="_Toc184312099"/>
      <w:bookmarkEnd w:id="202"/>
      <w:bookmarkStart w:id="203" w:name="_Toc184312071"/>
      <w:bookmarkEnd w:id="203"/>
      <w:bookmarkStart w:id="204" w:name="_Toc184313309"/>
      <w:bookmarkEnd w:id="204"/>
      <w:bookmarkStart w:id="205" w:name="_Toc184312068"/>
      <w:bookmarkEnd w:id="205"/>
      <w:bookmarkStart w:id="206" w:name="_Toc184310299"/>
      <w:bookmarkEnd w:id="206"/>
      <w:bookmarkStart w:id="207" w:name="_Toc184314457"/>
      <w:bookmarkEnd w:id="207"/>
      <w:bookmarkStart w:id="208" w:name="_Toc184310336"/>
      <w:bookmarkEnd w:id="208"/>
      <w:bookmarkStart w:id="209" w:name="_Toc184313307"/>
      <w:bookmarkEnd w:id="209"/>
      <w:bookmarkStart w:id="210" w:name="_Toc184312139"/>
      <w:bookmarkEnd w:id="210"/>
      <w:bookmarkStart w:id="211" w:name="_Toc184310327"/>
      <w:bookmarkEnd w:id="211"/>
      <w:bookmarkStart w:id="212" w:name="_Toc184308046"/>
      <w:bookmarkEnd w:id="212"/>
      <w:bookmarkStart w:id="213" w:name="_Toc184312124"/>
      <w:bookmarkEnd w:id="213"/>
      <w:bookmarkStart w:id="214" w:name="_Toc184314410"/>
      <w:bookmarkEnd w:id="214"/>
      <w:bookmarkStart w:id="215" w:name="_Toc184310302"/>
      <w:bookmarkEnd w:id="215"/>
      <w:bookmarkStart w:id="216" w:name="_Toc184312116"/>
      <w:bookmarkEnd w:id="216"/>
      <w:bookmarkStart w:id="217" w:name="_Toc184313305"/>
      <w:bookmarkEnd w:id="217"/>
      <w:bookmarkStart w:id="218" w:name="_Toc184312108"/>
      <w:bookmarkEnd w:id="218"/>
      <w:bookmarkStart w:id="219" w:name="_Toc184310314"/>
      <w:bookmarkEnd w:id="219"/>
      <w:bookmarkStart w:id="220" w:name="_Toc184313265"/>
      <w:bookmarkEnd w:id="220"/>
      <w:bookmarkStart w:id="221" w:name="_Toc184313270"/>
      <w:bookmarkEnd w:id="221"/>
      <w:bookmarkStart w:id="222" w:name="_Toc184308098"/>
      <w:bookmarkEnd w:id="222"/>
      <w:bookmarkStart w:id="223" w:name="_Toc184314459"/>
      <w:bookmarkEnd w:id="223"/>
      <w:bookmarkStart w:id="224" w:name="_Toc184314425"/>
      <w:bookmarkEnd w:id="224"/>
      <w:bookmarkStart w:id="225" w:name="_Toc184314415"/>
      <w:bookmarkEnd w:id="225"/>
      <w:bookmarkStart w:id="226" w:name="_Toc184314419"/>
      <w:bookmarkEnd w:id="226"/>
      <w:bookmarkStart w:id="227" w:name="_Toc184314481"/>
      <w:bookmarkEnd w:id="227"/>
      <w:bookmarkStart w:id="228" w:name="_Toc184308049"/>
      <w:bookmarkEnd w:id="228"/>
      <w:bookmarkStart w:id="229" w:name="_Toc184312138"/>
      <w:bookmarkEnd w:id="229"/>
      <w:bookmarkStart w:id="230" w:name="_Toc184313239"/>
      <w:bookmarkEnd w:id="230"/>
      <w:bookmarkStart w:id="231" w:name="_Toc184314451"/>
      <w:bookmarkEnd w:id="231"/>
      <w:bookmarkStart w:id="232" w:name="_Toc184308040"/>
      <w:bookmarkEnd w:id="232"/>
      <w:bookmarkStart w:id="233" w:name="_Toc184313290"/>
      <w:bookmarkEnd w:id="233"/>
      <w:bookmarkStart w:id="234" w:name="_Toc184313267"/>
      <w:bookmarkEnd w:id="234"/>
      <w:bookmarkStart w:id="235" w:name="_Toc184310343"/>
      <w:bookmarkEnd w:id="235"/>
      <w:bookmarkStart w:id="236" w:name="_Toc184310321"/>
      <w:bookmarkEnd w:id="236"/>
      <w:bookmarkStart w:id="237" w:name="_Toc184310332"/>
      <w:bookmarkEnd w:id="237"/>
      <w:bookmarkStart w:id="238" w:name="_Toc184314473"/>
      <w:bookmarkEnd w:id="238"/>
      <w:bookmarkStart w:id="239" w:name="_Toc184313262"/>
      <w:bookmarkEnd w:id="239"/>
      <w:bookmarkStart w:id="240" w:name="_Toc184313258"/>
      <w:bookmarkEnd w:id="240"/>
      <w:bookmarkStart w:id="241" w:name="_Toc184310340"/>
      <w:bookmarkEnd w:id="241"/>
      <w:bookmarkStart w:id="242" w:name="_Toc184313284"/>
      <w:bookmarkEnd w:id="242"/>
      <w:bookmarkStart w:id="243" w:name="_Toc184312101"/>
      <w:bookmarkEnd w:id="243"/>
      <w:bookmarkStart w:id="244" w:name="_Toc184310272"/>
      <w:bookmarkEnd w:id="244"/>
      <w:bookmarkStart w:id="245" w:name="_Toc184312134"/>
      <w:bookmarkEnd w:id="245"/>
      <w:bookmarkStart w:id="246" w:name="_Toc184310325"/>
      <w:bookmarkEnd w:id="246"/>
      <w:bookmarkStart w:id="247" w:name="_Toc184310296"/>
      <w:bookmarkEnd w:id="247"/>
      <w:bookmarkStart w:id="248" w:name="_Toc184308036"/>
      <w:bookmarkEnd w:id="248"/>
      <w:bookmarkStart w:id="249" w:name="_Toc184312115"/>
      <w:bookmarkEnd w:id="249"/>
      <w:bookmarkStart w:id="250" w:name="_Toc184310311"/>
      <w:bookmarkEnd w:id="250"/>
      <w:bookmarkStart w:id="251" w:name="_Toc184313250"/>
      <w:bookmarkEnd w:id="251"/>
      <w:bookmarkStart w:id="252" w:name="_Toc184314439"/>
      <w:bookmarkEnd w:id="252"/>
      <w:bookmarkStart w:id="253" w:name="_Toc184312125"/>
      <w:bookmarkEnd w:id="253"/>
      <w:bookmarkStart w:id="254" w:name="_Toc184310320"/>
      <w:bookmarkEnd w:id="254"/>
      <w:bookmarkStart w:id="255" w:name="_Toc184313289"/>
      <w:bookmarkEnd w:id="255"/>
      <w:bookmarkStart w:id="256" w:name="_Toc184310277"/>
      <w:bookmarkEnd w:id="256"/>
      <w:bookmarkStart w:id="257" w:name="_Toc184314465"/>
      <w:bookmarkEnd w:id="257"/>
      <w:bookmarkStart w:id="258" w:name="_Toc184313275"/>
      <w:bookmarkEnd w:id="258"/>
      <w:bookmarkStart w:id="259" w:name="_Toc184313264"/>
      <w:bookmarkEnd w:id="259"/>
      <w:bookmarkStart w:id="260" w:name="_Toc184312102"/>
      <w:bookmarkEnd w:id="260"/>
      <w:bookmarkStart w:id="261" w:name="_Toc184312109"/>
      <w:bookmarkEnd w:id="261"/>
      <w:bookmarkStart w:id="262" w:name="_Toc184314417"/>
      <w:bookmarkEnd w:id="262"/>
      <w:bookmarkStart w:id="263" w:name="_Toc184314470"/>
      <w:bookmarkEnd w:id="263"/>
      <w:bookmarkStart w:id="264" w:name="_Toc184310286"/>
      <w:bookmarkEnd w:id="264"/>
      <w:bookmarkStart w:id="265" w:name="_Toc184310317"/>
      <w:bookmarkEnd w:id="265"/>
      <w:bookmarkStart w:id="266" w:name="_Toc184314438"/>
      <w:bookmarkEnd w:id="266"/>
      <w:bookmarkStart w:id="267" w:name="_Toc184314431"/>
      <w:bookmarkEnd w:id="267"/>
      <w:bookmarkStart w:id="268" w:name="_Toc184312137"/>
      <w:bookmarkEnd w:id="268"/>
      <w:bookmarkStart w:id="269" w:name="_Toc184310316"/>
      <w:bookmarkEnd w:id="269"/>
      <w:bookmarkStart w:id="270" w:name="_Toc184312083"/>
      <w:bookmarkEnd w:id="270"/>
      <w:bookmarkStart w:id="271" w:name="_Toc184313280"/>
      <w:bookmarkEnd w:id="271"/>
      <w:bookmarkStart w:id="272" w:name="_Toc184312130"/>
      <w:bookmarkEnd w:id="272"/>
      <w:bookmarkStart w:id="273" w:name="_Toc184313278"/>
      <w:bookmarkEnd w:id="273"/>
      <w:bookmarkStart w:id="274" w:name="_Toc184310319"/>
      <w:bookmarkEnd w:id="274"/>
      <w:bookmarkStart w:id="275" w:name="_Toc184314413"/>
      <w:bookmarkEnd w:id="275"/>
      <w:bookmarkStart w:id="276" w:name="_Toc184308085"/>
      <w:bookmarkEnd w:id="276"/>
      <w:bookmarkStart w:id="277" w:name="_Toc184313249"/>
      <w:bookmarkEnd w:id="277"/>
      <w:bookmarkStart w:id="278" w:name="_Toc184312075"/>
      <w:bookmarkEnd w:id="278"/>
      <w:bookmarkStart w:id="279" w:name="_Toc184314452"/>
      <w:bookmarkEnd w:id="279"/>
      <w:bookmarkStart w:id="280" w:name="_Toc184314441"/>
      <w:bookmarkEnd w:id="280"/>
      <w:bookmarkStart w:id="281" w:name="_Toc184312118"/>
      <w:bookmarkEnd w:id="281"/>
      <w:bookmarkStart w:id="282" w:name="_Toc184310312"/>
      <w:bookmarkEnd w:id="282"/>
      <w:bookmarkStart w:id="283" w:name="_Toc184313282"/>
      <w:bookmarkEnd w:id="283"/>
      <w:bookmarkStart w:id="284" w:name="_Toc184314474"/>
      <w:bookmarkEnd w:id="284"/>
      <w:bookmarkStart w:id="285" w:name="_Toc184308105"/>
      <w:bookmarkEnd w:id="285"/>
      <w:bookmarkStart w:id="286" w:name="_Toc184308052"/>
      <w:bookmarkEnd w:id="286"/>
      <w:bookmarkStart w:id="287" w:name="_Toc184312080"/>
      <w:bookmarkEnd w:id="287"/>
      <w:bookmarkStart w:id="288" w:name="_Toc184312073"/>
      <w:bookmarkEnd w:id="288"/>
      <w:bookmarkStart w:id="289" w:name="_Toc184312126"/>
      <w:bookmarkEnd w:id="289"/>
      <w:bookmarkStart w:id="290" w:name="_Toc184313241"/>
      <w:bookmarkEnd w:id="290"/>
      <w:bookmarkStart w:id="291" w:name="_Toc184314429"/>
      <w:bookmarkEnd w:id="291"/>
      <w:bookmarkStart w:id="292" w:name="_Toc184314479"/>
      <w:bookmarkEnd w:id="292"/>
      <w:bookmarkStart w:id="293" w:name="_Toc184313244"/>
      <w:bookmarkEnd w:id="293"/>
      <w:bookmarkStart w:id="294" w:name="_Toc184314476"/>
      <w:bookmarkEnd w:id="294"/>
      <w:bookmarkStart w:id="295" w:name="_Toc184313246"/>
      <w:bookmarkEnd w:id="295"/>
      <w:bookmarkStart w:id="296" w:name="_Toc184308067"/>
      <w:bookmarkEnd w:id="296"/>
      <w:bookmarkStart w:id="297" w:name="_Toc184308038"/>
      <w:bookmarkEnd w:id="297"/>
      <w:bookmarkStart w:id="298" w:name="_Toc184312105"/>
      <w:bookmarkEnd w:id="298"/>
      <w:bookmarkStart w:id="299" w:name="_Toc184310298"/>
      <w:bookmarkEnd w:id="299"/>
      <w:bookmarkStart w:id="300" w:name="_Toc184310292"/>
      <w:bookmarkEnd w:id="300"/>
      <w:bookmarkStart w:id="301" w:name="_Toc184314478"/>
      <w:bookmarkEnd w:id="301"/>
      <w:bookmarkStart w:id="302" w:name="_Toc184313240"/>
      <w:bookmarkEnd w:id="302"/>
      <w:bookmarkStart w:id="303" w:name="_Toc184310305"/>
      <w:bookmarkEnd w:id="303"/>
      <w:bookmarkStart w:id="304" w:name="_Toc184312086"/>
      <w:bookmarkEnd w:id="304"/>
      <w:bookmarkStart w:id="305" w:name="_Toc184313260"/>
      <w:bookmarkEnd w:id="305"/>
      <w:bookmarkStart w:id="306" w:name="_Toc184310289"/>
      <w:bookmarkEnd w:id="306"/>
      <w:bookmarkStart w:id="307" w:name="_Toc184313272"/>
      <w:bookmarkEnd w:id="307"/>
      <w:bookmarkStart w:id="308" w:name="_Toc184313247"/>
      <w:bookmarkEnd w:id="308"/>
      <w:bookmarkStart w:id="309" w:name="_Toc184308064"/>
      <w:bookmarkEnd w:id="309"/>
      <w:bookmarkStart w:id="310" w:name="_Toc184308058"/>
      <w:bookmarkEnd w:id="310"/>
      <w:bookmarkStart w:id="311" w:name="_Toc184308057"/>
      <w:bookmarkEnd w:id="311"/>
      <w:bookmarkStart w:id="312" w:name="_Toc184314453"/>
      <w:bookmarkEnd w:id="312"/>
      <w:bookmarkStart w:id="313" w:name="_Toc184313238"/>
      <w:bookmarkEnd w:id="313"/>
      <w:bookmarkStart w:id="314" w:name="_Toc184312098"/>
      <w:bookmarkEnd w:id="314"/>
      <w:bookmarkStart w:id="315" w:name="_Toc184314430"/>
      <w:bookmarkEnd w:id="315"/>
      <w:bookmarkStart w:id="316" w:name="_Toc184308089"/>
      <w:bookmarkEnd w:id="316"/>
      <w:bookmarkStart w:id="317" w:name="_Toc184313252"/>
      <w:bookmarkEnd w:id="317"/>
      <w:bookmarkStart w:id="318" w:name="_Toc184310275"/>
      <w:bookmarkEnd w:id="318"/>
      <w:bookmarkStart w:id="319" w:name="_Toc184308062"/>
      <w:bookmarkEnd w:id="319"/>
      <w:bookmarkStart w:id="320" w:name="_Toc184312091"/>
      <w:bookmarkEnd w:id="320"/>
      <w:bookmarkStart w:id="321" w:name="_Toc184314433"/>
      <w:bookmarkEnd w:id="321"/>
      <w:bookmarkStart w:id="322" w:name="_Toc184310318"/>
      <w:bookmarkEnd w:id="322"/>
      <w:bookmarkStart w:id="323" w:name="_Toc184308091"/>
      <w:bookmarkEnd w:id="323"/>
      <w:bookmarkStart w:id="324" w:name="_Toc184308093"/>
      <w:bookmarkEnd w:id="324"/>
      <w:bookmarkStart w:id="325" w:name="_Toc184310333"/>
      <w:bookmarkEnd w:id="325"/>
      <w:bookmarkStart w:id="326" w:name="_Toc184313269"/>
      <w:bookmarkEnd w:id="326"/>
      <w:bookmarkStart w:id="327" w:name="_Toc184314416"/>
      <w:bookmarkEnd w:id="327"/>
      <w:bookmarkStart w:id="328" w:name="_Toc184313281"/>
      <w:bookmarkEnd w:id="328"/>
      <w:bookmarkStart w:id="329" w:name="_Toc184314434"/>
      <w:bookmarkEnd w:id="329"/>
      <w:bookmarkStart w:id="330" w:name="_Toc184310295"/>
      <w:bookmarkEnd w:id="330"/>
      <w:bookmarkStart w:id="331" w:name="_Toc184310306"/>
      <w:bookmarkEnd w:id="331"/>
      <w:bookmarkStart w:id="332" w:name="_Toc184314446"/>
      <w:bookmarkEnd w:id="332"/>
      <w:bookmarkStart w:id="333" w:name="_Toc184313248"/>
      <w:bookmarkEnd w:id="333"/>
      <w:bookmarkStart w:id="334" w:name="_Toc184308108"/>
      <w:bookmarkEnd w:id="334"/>
      <w:bookmarkStart w:id="335" w:name="_Toc184313300"/>
      <w:bookmarkEnd w:id="335"/>
      <w:bookmarkStart w:id="336" w:name="_Toc184313255"/>
      <w:bookmarkEnd w:id="336"/>
      <w:bookmarkStart w:id="337" w:name="_Toc184308071"/>
      <w:bookmarkEnd w:id="337"/>
      <w:bookmarkStart w:id="338" w:name="_Toc184313245"/>
      <w:bookmarkEnd w:id="338"/>
      <w:bookmarkStart w:id="339" w:name="_Toc184312072"/>
      <w:bookmarkEnd w:id="339"/>
      <w:bookmarkStart w:id="340" w:name="_Toc184312131"/>
      <w:bookmarkEnd w:id="340"/>
      <w:bookmarkStart w:id="341" w:name="_Toc184310307"/>
      <w:bookmarkEnd w:id="341"/>
      <w:bookmarkStart w:id="342" w:name="_Toc184314462"/>
      <w:bookmarkEnd w:id="342"/>
      <w:bookmarkStart w:id="343" w:name="_Toc184312069"/>
      <w:bookmarkEnd w:id="343"/>
      <w:bookmarkStart w:id="344" w:name="_Toc184312079"/>
      <w:bookmarkEnd w:id="344"/>
      <w:bookmarkStart w:id="345" w:name="_Toc184308107"/>
      <w:bookmarkEnd w:id="345"/>
      <w:bookmarkStart w:id="346" w:name="_Toc184312110"/>
      <w:bookmarkEnd w:id="346"/>
      <w:bookmarkStart w:id="347" w:name="_Toc184312100"/>
      <w:bookmarkEnd w:id="347"/>
      <w:bookmarkStart w:id="348" w:name="_Toc184314432"/>
      <w:bookmarkEnd w:id="348"/>
      <w:bookmarkStart w:id="349" w:name="_Toc184312112"/>
      <w:bookmarkEnd w:id="349"/>
      <w:bookmarkStart w:id="350" w:name="_Toc184313295"/>
      <w:bookmarkEnd w:id="350"/>
      <w:bookmarkStart w:id="351" w:name="_Toc184313243"/>
      <w:bookmarkEnd w:id="351"/>
      <w:bookmarkStart w:id="352" w:name="_Toc184312088"/>
      <w:bookmarkEnd w:id="352"/>
      <w:bookmarkStart w:id="353" w:name="_Toc184310284"/>
      <w:bookmarkEnd w:id="353"/>
      <w:bookmarkStart w:id="354" w:name="_Toc184313277"/>
      <w:bookmarkEnd w:id="354"/>
      <w:bookmarkStart w:id="355" w:name="_Toc184310288"/>
      <w:bookmarkEnd w:id="355"/>
      <w:bookmarkStart w:id="356" w:name="_Toc184313261"/>
      <w:bookmarkEnd w:id="356"/>
      <w:bookmarkStart w:id="357" w:name="_Toc184313274"/>
      <w:bookmarkEnd w:id="357"/>
      <w:bookmarkStart w:id="358" w:name="_Toc184314477"/>
      <w:bookmarkEnd w:id="358"/>
      <w:bookmarkStart w:id="359" w:name="_Toc184312133"/>
      <w:bookmarkEnd w:id="359"/>
      <w:bookmarkStart w:id="360" w:name="_Toc184313297"/>
      <w:bookmarkEnd w:id="360"/>
      <w:bookmarkStart w:id="361" w:name="_Toc184308099"/>
      <w:bookmarkEnd w:id="361"/>
      <w:bookmarkStart w:id="362" w:name="_Toc184312077"/>
      <w:bookmarkEnd w:id="362"/>
      <w:bookmarkStart w:id="363" w:name="_Toc184308075"/>
      <w:bookmarkEnd w:id="363"/>
      <w:bookmarkStart w:id="364" w:name="_Toc184308051"/>
      <w:bookmarkEnd w:id="364"/>
      <w:bookmarkStart w:id="365" w:name="_Toc184313254"/>
      <w:bookmarkEnd w:id="365"/>
      <w:bookmarkStart w:id="366" w:name="_Toc184314482"/>
      <w:bookmarkEnd w:id="366"/>
      <w:bookmarkStart w:id="367" w:name="_Toc184314467"/>
      <w:bookmarkEnd w:id="367"/>
      <w:bookmarkStart w:id="368" w:name="_Toc184313259"/>
      <w:bookmarkEnd w:id="368"/>
      <w:bookmarkStart w:id="369" w:name="_Toc184308055"/>
      <w:bookmarkEnd w:id="369"/>
      <w:bookmarkStart w:id="370" w:name="_Toc184308063"/>
      <w:bookmarkEnd w:id="370"/>
      <w:bookmarkStart w:id="371" w:name="_Toc184312089"/>
      <w:bookmarkEnd w:id="371"/>
      <w:bookmarkStart w:id="372" w:name="_Toc184314443"/>
      <w:bookmarkEnd w:id="372"/>
      <w:bookmarkStart w:id="373" w:name="_Toc184308083"/>
      <w:bookmarkEnd w:id="373"/>
      <w:bookmarkStart w:id="374" w:name="_Toc184312121"/>
      <w:bookmarkEnd w:id="374"/>
      <w:bookmarkStart w:id="375" w:name="_Toc184312104"/>
      <w:bookmarkEnd w:id="375"/>
      <w:bookmarkStart w:id="376" w:name="_Toc184313285"/>
      <w:bookmarkEnd w:id="376"/>
      <w:bookmarkStart w:id="377" w:name="_Toc184312120"/>
      <w:bookmarkEnd w:id="377"/>
      <w:bookmarkStart w:id="378" w:name="_Toc184308041"/>
      <w:bookmarkEnd w:id="378"/>
      <w:bookmarkStart w:id="379" w:name="_Toc184314458"/>
      <w:bookmarkEnd w:id="379"/>
      <w:bookmarkStart w:id="380" w:name="_Toc184310290"/>
      <w:bookmarkEnd w:id="380"/>
      <w:bookmarkStart w:id="381" w:name="_Toc184308096"/>
      <w:bookmarkEnd w:id="381"/>
      <w:bookmarkStart w:id="382" w:name="_Toc184314469"/>
      <w:bookmarkEnd w:id="382"/>
      <w:bookmarkStart w:id="383" w:name="_Toc184308077"/>
      <w:bookmarkEnd w:id="383"/>
      <w:bookmarkStart w:id="384" w:name="_Toc184310330"/>
      <w:bookmarkEnd w:id="384"/>
      <w:bookmarkStart w:id="385" w:name="_Toc184313310"/>
      <w:bookmarkEnd w:id="385"/>
      <w:bookmarkStart w:id="386" w:name="_Toc184310308"/>
      <w:bookmarkEnd w:id="386"/>
      <w:bookmarkStart w:id="387" w:name="_Toc184313303"/>
      <w:bookmarkEnd w:id="387"/>
      <w:bookmarkStart w:id="388" w:name="_Toc184313291"/>
      <w:bookmarkEnd w:id="388"/>
      <w:bookmarkStart w:id="389" w:name="_Toc184313251"/>
      <w:bookmarkEnd w:id="389"/>
      <w:bookmarkStart w:id="390" w:name="_Toc184313298"/>
      <w:bookmarkEnd w:id="390"/>
      <w:bookmarkStart w:id="391" w:name="_Toc184314449"/>
      <w:bookmarkEnd w:id="391"/>
      <w:bookmarkStart w:id="392" w:name="_Toc184308037"/>
      <w:bookmarkEnd w:id="392"/>
      <w:bookmarkStart w:id="393" w:name="_Toc184312123"/>
      <w:bookmarkEnd w:id="393"/>
      <w:bookmarkStart w:id="394" w:name="_Toc184312114"/>
      <w:bookmarkEnd w:id="394"/>
      <w:bookmarkStart w:id="395" w:name="_Toc184312092"/>
      <w:bookmarkEnd w:id="395"/>
      <w:bookmarkStart w:id="396" w:name="_Toc184310294"/>
      <w:bookmarkEnd w:id="396"/>
      <w:bookmarkStart w:id="397" w:name="_Toc184308045"/>
      <w:bookmarkEnd w:id="397"/>
      <w:bookmarkStart w:id="398" w:name="_Toc184308047"/>
      <w:bookmarkEnd w:id="398"/>
      <w:bookmarkStart w:id="399" w:name="_Toc184314435"/>
      <w:bookmarkEnd w:id="399"/>
      <w:bookmarkStart w:id="400" w:name="_Toc184312082"/>
      <w:bookmarkEnd w:id="400"/>
      <w:bookmarkStart w:id="401" w:name="_Toc184314440"/>
      <w:bookmarkEnd w:id="401"/>
      <w:r>
        <w:rPr>
          <w:rFonts w:hint="eastAsia" w:ascii="宋体" w:hAnsi="宋体" w:cs="宋体"/>
          <w:b/>
          <w:color w:val="auto"/>
          <w:sz w:val="36"/>
          <w:szCs w:val="20"/>
          <w:highlight w:val="none"/>
        </w:rPr>
        <w:t xml:space="preserve"> 评审办法</w:t>
      </w:r>
      <w:bookmarkEnd w:id="36"/>
    </w:p>
    <w:p w14:paraId="2126F3F3">
      <w:pPr>
        <w:snapToGrid w:val="0"/>
        <w:spacing w:line="360" w:lineRule="auto"/>
        <w:jc w:val="center"/>
        <w:rPr>
          <w:rFonts w:hint="eastAsia" w:ascii="宋体" w:hAnsi="宋体" w:cs="宋体"/>
          <w:b/>
          <w:color w:val="auto"/>
          <w:sz w:val="24"/>
          <w:szCs w:val="16"/>
          <w:highlight w:val="none"/>
        </w:rPr>
      </w:pPr>
      <w:r>
        <w:rPr>
          <w:rFonts w:hint="eastAsia" w:ascii="宋体" w:hAnsi="宋体" w:cs="宋体"/>
          <w:b/>
          <w:color w:val="auto"/>
          <w:sz w:val="24"/>
          <w:szCs w:val="16"/>
          <w:highlight w:val="none"/>
        </w:rPr>
        <w:t>评审办法前附表</w:t>
      </w:r>
    </w:p>
    <w:tbl>
      <w:tblPr>
        <w:tblStyle w:val="63"/>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044"/>
        <w:gridCol w:w="820"/>
        <w:gridCol w:w="1347"/>
      </w:tblGrid>
      <w:tr w14:paraId="235E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3191E18F">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541" w:type="pct"/>
            <w:noWrap w:val="0"/>
            <w:vAlign w:val="center"/>
          </w:tcPr>
          <w:p w14:paraId="005C8551">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412" w:type="pct"/>
            <w:noWrap w:val="0"/>
            <w:vAlign w:val="center"/>
          </w:tcPr>
          <w:p w14:paraId="3DADE627">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675" w:type="pct"/>
            <w:noWrap w:val="0"/>
            <w:vAlign w:val="center"/>
          </w:tcPr>
          <w:p w14:paraId="05802599">
            <w:pPr>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r>
      <w:tr w14:paraId="4941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3BD3C344">
            <w:pPr>
              <w:snapToGrid w:val="0"/>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商务技术分（80分）</w:t>
            </w:r>
          </w:p>
        </w:tc>
      </w:tr>
      <w:tr w14:paraId="0214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noWrap w:val="0"/>
            <w:vAlign w:val="center"/>
          </w:tcPr>
          <w:p w14:paraId="46C28FEF">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541" w:type="pct"/>
            <w:noWrap w:val="0"/>
            <w:vAlign w:val="center"/>
          </w:tcPr>
          <w:p w14:paraId="3FEDA7C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年1月以来（以合同签订时间为准）同类项目业绩（以提供的合同扫描件为准），每提供</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份合同业绩得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分（最高得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412" w:type="pct"/>
            <w:noWrap w:val="0"/>
            <w:vAlign w:val="center"/>
          </w:tcPr>
          <w:p w14:paraId="3900B0B6">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675" w:type="pct"/>
            <w:noWrap w:val="0"/>
            <w:vAlign w:val="center"/>
          </w:tcPr>
          <w:p w14:paraId="050523FB">
            <w:pPr>
              <w:snapToGrid w:val="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客观分</w:t>
            </w:r>
          </w:p>
        </w:tc>
      </w:tr>
      <w:tr w14:paraId="5BE2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7ED20F51">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541" w:type="pct"/>
            <w:noWrap w:val="0"/>
            <w:vAlign w:val="top"/>
          </w:tcPr>
          <w:p w14:paraId="06463C8B">
            <w:pPr>
              <w:snapToGrid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kern w:val="2"/>
                <w:sz w:val="24"/>
                <w:szCs w:val="24"/>
                <w:highlight w:val="none"/>
              </w:rPr>
              <w:t>具有</w:t>
            </w:r>
            <w:r>
              <w:rPr>
                <w:rFonts w:hint="eastAsia" w:ascii="宋体" w:hAnsi="宋体" w:eastAsia="宋体" w:cs="宋体"/>
                <w:color w:val="auto"/>
                <w:kern w:val="2"/>
                <w:sz w:val="24"/>
                <w:szCs w:val="24"/>
                <w:highlight w:val="none"/>
                <w:lang w:val="en-US" w:eastAsia="zh-CN"/>
              </w:rPr>
              <w:t>有效期内的</w:t>
            </w:r>
            <w:r>
              <w:rPr>
                <w:rFonts w:hint="eastAsia" w:ascii="宋体" w:hAnsi="宋体" w:eastAsia="宋体" w:cs="宋体"/>
                <w:color w:val="auto"/>
                <w:kern w:val="2"/>
                <w:sz w:val="24"/>
                <w:szCs w:val="24"/>
                <w:highlight w:val="none"/>
              </w:rPr>
              <w:t>质量管理体系认证证书、环境管理体系认证证书、职业健康安全管理体系认证证书，每提供一项得1分，最高得</w:t>
            </w:r>
            <w:r>
              <w:rPr>
                <w:rFonts w:hint="eastAsia" w:ascii="宋体" w:hAnsi="宋体" w:eastAsia="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分（</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文件中提供证书</w:t>
            </w:r>
            <w:r>
              <w:rPr>
                <w:rFonts w:hint="eastAsia" w:ascii="宋体" w:hAnsi="宋体" w:eastAsia="宋体" w:cs="宋体"/>
                <w:color w:val="auto"/>
                <w:kern w:val="2"/>
                <w:sz w:val="24"/>
                <w:szCs w:val="24"/>
                <w:highlight w:val="none"/>
                <w:lang w:val="en-US" w:eastAsia="zh-CN"/>
              </w:rPr>
              <w:t>扫描</w:t>
            </w:r>
            <w:r>
              <w:rPr>
                <w:rFonts w:hint="eastAsia" w:ascii="宋体" w:hAnsi="宋体" w:eastAsia="宋体" w:cs="宋体"/>
                <w:color w:val="auto"/>
                <w:kern w:val="2"/>
                <w:sz w:val="24"/>
                <w:szCs w:val="24"/>
                <w:highlight w:val="none"/>
              </w:rPr>
              <w:t>件并加盖公章）。</w:t>
            </w:r>
          </w:p>
        </w:tc>
        <w:tc>
          <w:tcPr>
            <w:tcW w:w="412" w:type="pct"/>
            <w:noWrap w:val="0"/>
            <w:vAlign w:val="center"/>
          </w:tcPr>
          <w:p w14:paraId="6E87A7FF">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675" w:type="pct"/>
            <w:noWrap w:val="0"/>
            <w:vAlign w:val="center"/>
          </w:tcPr>
          <w:p w14:paraId="2F07A4B8">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客观分</w:t>
            </w:r>
          </w:p>
        </w:tc>
      </w:tr>
      <w:tr w14:paraId="6B75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139CFCB4">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541" w:type="pct"/>
            <w:noWrap w:val="0"/>
            <w:vAlign w:val="top"/>
          </w:tcPr>
          <w:p w14:paraId="1F01E2D2">
            <w:pPr>
              <w:snapToGrid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采购需求响应情况。对采购文件“第三部分 采购需求”的响应情况，全部满足的得满分25分，每项负偏离扣1分（其中标注“▲”的为实质性条款，负偏离做无效标处理）扣完为止。</w:t>
            </w:r>
          </w:p>
          <w:p w14:paraId="70DA0F00">
            <w:pPr>
              <w:snapToGrid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根据第六部分《应提交的有关格式范例》中《商务技术偏离表》格式提供。采购文件中技术指标若有要求供应商提供相应佐证材料的，供应商未提供相应佐证材料或者供应商的响应承诺与其佐证材料不一致的，评标委员会将以不利于供应商的内容为准进行评审（负偏离）。</w:t>
            </w:r>
          </w:p>
        </w:tc>
        <w:tc>
          <w:tcPr>
            <w:tcW w:w="412" w:type="pct"/>
            <w:noWrap w:val="0"/>
            <w:vAlign w:val="center"/>
          </w:tcPr>
          <w:p w14:paraId="2938FD98">
            <w:pPr>
              <w:snapToGrid w:val="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675" w:type="pct"/>
            <w:noWrap w:val="0"/>
            <w:vAlign w:val="center"/>
          </w:tcPr>
          <w:p w14:paraId="0D30CFEA">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客观分</w:t>
            </w:r>
          </w:p>
        </w:tc>
      </w:tr>
      <w:tr w14:paraId="165F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37B9F5DD">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3541" w:type="pct"/>
            <w:shd w:val="clear" w:color="auto" w:fill="auto"/>
            <w:noWrap w:val="0"/>
            <w:vAlign w:val="top"/>
          </w:tcPr>
          <w:p w14:paraId="342DFCDB">
            <w:pPr>
              <w:snapToGrid w:val="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根据供应商对本项目的重点难点分析进行评分：对项目现场的环境条件、场地限制等重点难点问题分析是否全面、到位，解决方案是否合理、有效，能否有效推进项目实施。（评审范围：4，3，2，1，0）</w:t>
            </w:r>
          </w:p>
        </w:tc>
        <w:tc>
          <w:tcPr>
            <w:tcW w:w="412" w:type="pct"/>
            <w:shd w:val="clear" w:color="auto" w:fill="auto"/>
            <w:noWrap w:val="0"/>
            <w:vAlign w:val="center"/>
          </w:tcPr>
          <w:p w14:paraId="08B4D602">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64066254">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6607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2078F8B0">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541" w:type="pct"/>
            <w:shd w:val="clear" w:color="auto" w:fill="auto"/>
            <w:noWrap w:val="0"/>
            <w:vAlign w:val="top"/>
          </w:tcPr>
          <w:p w14:paraId="4A41D09D">
            <w:pPr>
              <w:snapToGrid w:val="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根据供应商提供的整体翻新实施方案进行评分：翻新方案是否完整、合理、有针对性，能否满足采购人需求。（评审范围：4，3，2，1，0）</w:t>
            </w:r>
          </w:p>
        </w:tc>
        <w:tc>
          <w:tcPr>
            <w:tcW w:w="412" w:type="pct"/>
            <w:shd w:val="clear" w:color="auto" w:fill="auto"/>
            <w:noWrap w:val="0"/>
            <w:vAlign w:val="center"/>
          </w:tcPr>
          <w:p w14:paraId="622F4EDD">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487DEC01">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12B9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201393AD">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541" w:type="pct"/>
            <w:shd w:val="clear" w:color="auto" w:fill="auto"/>
            <w:noWrap w:val="0"/>
            <w:vAlign w:val="top"/>
          </w:tcPr>
          <w:p w14:paraId="7FCB8377">
            <w:pPr>
              <w:snapToGrid w:val="0"/>
              <w:spacing w:line="24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根据供应商提供的翻新所用材料、设备的选择情况进行评分：包括所选材料适配性、针对性、环保性等。（评审范围：4，3，2，1，0）</w:t>
            </w:r>
          </w:p>
        </w:tc>
        <w:tc>
          <w:tcPr>
            <w:tcW w:w="412" w:type="pct"/>
            <w:shd w:val="clear" w:color="auto" w:fill="auto"/>
            <w:noWrap w:val="0"/>
            <w:vAlign w:val="center"/>
          </w:tcPr>
          <w:p w14:paraId="7E98E331">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1F77EA7E">
            <w:pPr>
              <w:snapToGrid w:val="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5980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70" w:type="pct"/>
            <w:noWrap w:val="0"/>
            <w:vAlign w:val="center"/>
          </w:tcPr>
          <w:p w14:paraId="061306D1">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541" w:type="pct"/>
            <w:shd w:val="clear" w:color="auto" w:fill="auto"/>
            <w:noWrap w:val="0"/>
            <w:vAlign w:val="top"/>
          </w:tcPr>
          <w:p w14:paraId="66D0431D">
            <w:pPr>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根据供应商提供的</w:t>
            </w:r>
            <w:r>
              <w:rPr>
                <w:rFonts w:hint="eastAsia" w:ascii="宋体" w:hAnsi="宋体" w:eastAsia="宋体" w:cs="宋体"/>
                <w:color w:val="auto"/>
                <w:sz w:val="24"/>
                <w:szCs w:val="24"/>
                <w:highlight w:val="none"/>
              </w:rPr>
              <w:t>搬运服务方案内容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包括拆卸、包装、安装等全流程方案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评分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方案是否完整、合理、有针对性，能否满足采购人需求。（评审范围：4，3，2，1，0）</w:t>
            </w:r>
          </w:p>
        </w:tc>
        <w:tc>
          <w:tcPr>
            <w:tcW w:w="412" w:type="pct"/>
            <w:noWrap w:val="0"/>
            <w:vAlign w:val="center"/>
          </w:tcPr>
          <w:p w14:paraId="1CE21A30">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75" w:type="pct"/>
            <w:noWrap w:val="0"/>
            <w:vAlign w:val="center"/>
          </w:tcPr>
          <w:p w14:paraId="5950F1E0">
            <w:pPr>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w:t>
            </w:r>
          </w:p>
        </w:tc>
      </w:tr>
      <w:tr w14:paraId="0636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67441F9E">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541" w:type="pct"/>
            <w:noWrap w:val="0"/>
            <w:vAlign w:val="top"/>
          </w:tcPr>
          <w:p w14:paraId="6E62FB5B">
            <w:pPr>
              <w:pStyle w:val="85"/>
              <w:spacing w:line="24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提供的</w:t>
            </w:r>
            <w:r>
              <w:rPr>
                <w:rFonts w:hint="eastAsia" w:eastAsia="宋体" w:cs="宋体"/>
                <w:color w:val="auto"/>
                <w:kern w:val="0"/>
                <w:sz w:val="24"/>
                <w:szCs w:val="24"/>
                <w:highlight w:val="none"/>
                <w:lang w:eastAsia="zh-CN"/>
              </w:rPr>
              <w:t>搬运</w:t>
            </w:r>
            <w:r>
              <w:rPr>
                <w:rFonts w:hint="eastAsia" w:ascii="宋体" w:hAnsi="宋体" w:eastAsia="宋体" w:cs="宋体"/>
                <w:color w:val="auto"/>
                <w:kern w:val="0"/>
                <w:sz w:val="24"/>
                <w:szCs w:val="24"/>
                <w:highlight w:val="none"/>
              </w:rPr>
              <w:t>路线场地及设施保护措施</w:t>
            </w:r>
            <w:r>
              <w:rPr>
                <w:rFonts w:hint="eastAsia" w:ascii="宋体" w:hAnsi="宋体" w:eastAsia="宋体" w:cs="宋体"/>
                <w:color w:val="auto"/>
                <w:kern w:val="0"/>
                <w:sz w:val="24"/>
                <w:szCs w:val="24"/>
                <w:highlight w:val="none"/>
                <w:lang w:val="en-US" w:eastAsia="zh-CN"/>
              </w:rPr>
              <w:t>方案</w:t>
            </w:r>
            <w:r>
              <w:rPr>
                <w:rFonts w:hint="eastAsia" w:eastAsia="宋体" w:cs="宋体"/>
                <w:color w:val="auto"/>
                <w:kern w:val="0"/>
                <w:sz w:val="24"/>
                <w:szCs w:val="24"/>
                <w:highlight w:val="none"/>
                <w:lang w:val="en-US" w:eastAsia="zh-CN"/>
              </w:rPr>
              <w:t>进行评分：</w:t>
            </w:r>
            <w:r>
              <w:rPr>
                <w:rFonts w:hint="eastAsia" w:ascii="宋体" w:hAnsi="宋体" w:eastAsia="宋体" w:cs="宋体"/>
                <w:color w:val="auto"/>
                <w:sz w:val="24"/>
                <w:szCs w:val="24"/>
                <w:highlight w:val="none"/>
                <w:lang w:val="en-US" w:eastAsia="zh-CN"/>
              </w:rPr>
              <w:t>方案是否完整、合理、有针对性，能否满足采购人需求。（评审范围：4，3，2，1，0）</w:t>
            </w:r>
          </w:p>
        </w:tc>
        <w:tc>
          <w:tcPr>
            <w:tcW w:w="412" w:type="pct"/>
            <w:noWrap w:val="0"/>
            <w:vAlign w:val="center"/>
          </w:tcPr>
          <w:p w14:paraId="25C9C754">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75" w:type="pct"/>
            <w:noWrap w:val="0"/>
            <w:vAlign w:val="center"/>
          </w:tcPr>
          <w:p w14:paraId="29E8DCAF">
            <w:pPr>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w:t>
            </w:r>
          </w:p>
        </w:tc>
      </w:tr>
      <w:tr w14:paraId="1327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7C8E6020">
            <w:pPr>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541" w:type="pct"/>
            <w:noWrap w:val="0"/>
            <w:vAlign w:val="top"/>
          </w:tcPr>
          <w:p w14:paraId="4CA5A633">
            <w:pPr>
              <w:pStyle w:val="85"/>
              <w:spacing w:line="240" w:lineRule="auto"/>
              <w:ind w:left="0" w:leftChars="0"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提供的工作进度控制计划和</w:t>
            </w:r>
            <w:r>
              <w:rPr>
                <w:rFonts w:hint="eastAsia" w:ascii="宋体" w:hAnsi="宋体" w:eastAsia="宋体" w:cs="宋体"/>
                <w:color w:val="auto"/>
                <w:kern w:val="0"/>
                <w:sz w:val="24"/>
                <w:szCs w:val="24"/>
                <w:highlight w:val="none"/>
              </w:rPr>
              <w:t>质量</w:t>
            </w:r>
            <w:r>
              <w:rPr>
                <w:rFonts w:hint="eastAsia" w:ascii="宋体" w:hAnsi="宋体" w:eastAsia="宋体" w:cs="宋体"/>
                <w:color w:val="auto"/>
                <w:sz w:val="24"/>
                <w:szCs w:val="24"/>
                <w:highlight w:val="none"/>
              </w:rPr>
              <w:t>保障措施</w:t>
            </w:r>
            <w:r>
              <w:rPr>
                <w:rFonts w:hint="eastAsia" w:ascii="宋体" w:hAnsi="宋体" w:eastAsia="宋体" w:cs="宋体"/>
                <w:color w:val="auto"/>
                <w:sz w:val="24"/>
                <w:szCs w:val="24"/>
                <w:highlight w:val="none"/>
                <w:lang w:val="en-US" w:eastAsia="zh-CN"/>
              </w:rPr>
              <w:t>方案</w:t>
            </w:r>
            <w:r>
              <w:rPr>
                <w:rFonts w:hint="eastAsia"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评分</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方案是否完整、合理、有针对性，能否满足采购人需求。（评审范围：4，3，2，1，0）</w:t>
            </w:r>
          </w:p>
        </w:tc>
        <w:tc>
          <w:tcPr>
            <w:tcW w:w="412" w:type="pct"/>
            <w:noWrap w:val="0"/>
            <w:vAlign w:val="center"/>
          </w:tcPr>
          <w:p w14:paraId="19CFC4AD">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675" w:type="pct"/>
            <w:noWrap w:val="0"/>
            <w:vAlign w:val="center"/>
          </w:tcPr>
          <w:p w14:paraId="3DF6CCD2">
            <w:pPr>
              <w:snapToGrid w:val="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主观分</w:t>
            </w:r>
          </w:p>
        </w:tc>
      </w:tr>
      <w:tr w14:paraId="620E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6D6410CA">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p>
        </w:tc>
        <w:tc>
          <w:tcPr>
            <w:tcW w:w="3541" w:type="pct"/>
            <w:shd w:val="clear" w:color="auto" w:fill="auto"/>
            <w:noWrap w:val="0"/>
            <w:vAlign w:val="center"/>
          </w:tcPr>
          <w:p w14:paraId="1AF3DA1F">
            <w:pPr>
              <w:snapToGrid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投入本项目翻新人员、搬运人员情况，包括但不限于同类项目实施经验、可投入搬运人员数量、人员素质等进行评分。</w:t>
            </w:r>
            <w:r>
              <w:rPr>
                <w:rFonts w:hint="eastAsia" w:ascii="宋体" w:hAnsi="宋体" w:eastAsia="宋体" w:cs="宋体"/>
                <w:color w:val="auto"/>
                <w:sz w:val="24"/>
                <w:szCs w:val="24"/>
                <w:highlight w:val="none"/>
                <w:lang w:val="en-US" w:eastAsia="zh-CN"/>
              </w:rPr>
              <w:t>（评审范围：4，3，2，1，0）</w:t>
            </w:r>
          </w:p>
        </w:tc>
        <w:tc>
          <w:tcPr>
            <w:tcW w:w="412" w:type="pct"/>
            <w:shd w:val="clear" w:color="auto" w:fill="auto"/>
            <w:noWrap w:val="0"/>
            <w:vAlign w:val="center"/>
          </w:tcPr>
          <w:p w14:paraId="0F892B9C">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4B9D5BB5">
            <w:pPr>
              <w:snapToGrid w:val="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3198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749E1D0E">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p>
        </w:tc>
        <w:tc>
          <w:tcPr>
            <w:tcW w:w="3541" w:type="pct"/>
            <w:shd w:val="clear" w:color="auto" w:fill="auto"/>
            <w:noWrap w:val="0"/>
            <w:vAlign w:val="center"/>
          </w:tcPr>
          <w:p w14:paraId="72105A53">
            <w:pPr>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拟投入本项目的设备设施配置情况（须有详细的品牌规格等说明）：</w:t>
            </w:r>
          </w:p>
          <w:p w14:paraId="64A49BFF">
            <w:pPr>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运输车辆配置情况</w:t>
            </w:r>
            <w:r>
              <w:rPr>
                <w:rFonts w:hint="eastAsia" w:ascii="宋体" w:hAnsi="宋体" w:eastAsia="宋体" w:cs="宋体"/>
                <w:color w:val="auto"/>
                <w:sz w:val="24"/>
                <w:szCs w:val="24"/>
                <w:highlight w:val="none"/>
                <w:lang w:val="en-US" w:eastAsia="zh-CN"/>
              </w:rPr>
              <w:t>（评审范围：4，3，2，1，0）</w:t>
            </w:r>
            <w:r>
              <w:rPr>
                <w:rFonts w:hint="eastAsia" w:ascii="宋体" w:hAnsi="宋体" w:eastAsia="宋体" w:cs="宋体"/>
                <w:color w:val="auto"/>
                <w:sz w:val="24"/>
                <w:szCs w:val="24"/>
                <w:highlight w:val="none"/>
              </w:rPr>
              <w:t>；</w:t>
            </w:r>
          </w:p>
          <w:p w14:paraId="36813993">
            <w:pPr>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（须提供行驶证、有效保险、年检合格及车辆的购置、租赁等凭证，无车辆的购置、租赁凭证的不得分）</w:t>
            </w:r>
          </w:p>
          <w:p w14:paraId="7627646F">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吊车、叉车配置情况</w:t>
            </w:r>
            <w:r>
              <w:rPr>
                <w:rFonts w:hint="eastAsia" w:ascii="宋体" w:hAnsi="宋体" w:eastAsia="宋体" w:cs="宋体"/>
                <w:color w:val="auto"/>
                <w:sz w:val="24"/>
                <w:szCs w:val="24"/>
                <w:highlight w:val="none"/>
                <w:lang w:val="en-US" w:eastAsia="zh-CN"/>
              </w:rPr>
              <w:t>（评审范围：4，3，2，1，0）</w:t>
            </w:r>
            <w:r>
              <w:rPr>
                <w:rFonts w:hint="eastAsia" w:ascii="宋体" w:hAnsi="宋体" w:eastAsia="宋体" w:cs="宋体"/>
                <w:color w:val="auto"/>
                <w:sz w:val="24"/>
                <w:szCs w:val="24"/>
                <w:highlight w:val="none"/>
              </w:rPr>
              <w:t>。</w:t>
            </w:r>
          </w:p>
        </w:tc>
        <w:tc>
          <w:tcPr>
            <w:tcW w:w="412" w:type="pct"/>
            <w:shd w:val="clear" w:color="auto" w:fill="auto"/>
            <w:noWrap w:val="0"/>
            <w:vAlign w:val="center"/>
          </w:tcPr>
          <w:p w14:paraId="541B1B91">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675" w:type="pct"/>
            <w:shd w:val="clear" w:color="auto" w:fill="auto"/>
            <w:noWrap w:val="0"/>
            <w:vAlign w:val="center"/>
          </w:tcPr>
          <w:p w14:paraId="5C7FB5B4">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主观</w:t>
            </w:r>
            <w:r>
              <w:rPr>
                <w:rFonts w:hint="eastAsia" w:ascii="宋体" w:hAnsi="宋体" w:eastAsia="宋体" w:cs="宋体"/>
                <w:bCs/>
                <w:color w:val="auto"/>
                <w:sz w:val="24"/>
                <w:szCs w:val="24"/>
                <w:highlight w:val="none"/>
              </w:rPr>
              <w:t>分</w:t>
            </w:r>
          </w:p>
        </w:tc>
      </w:tr>
      <w:tr w14:paraId="4146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5F6750AA">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p>
        </w:tc>
        <w:tc>
          <w:tcPr>
            <w:tcW w:w="3541" w:type="pct"/>
            <w:shd w:val="clear" w:color="auto" w:fill="auto"/>
            <w:noWrap w:val="0"/>
            <w:vAlign w:val="center"/>
          </w:tcPr>
          <w:p w14:paraId="4168C771">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供应商对可能的突发事件进行分析并制定相应特殊情况应急方案，包括采购人紧急临时任务、遇上恶劣天气等情况的应对措施、物品丢失损毁赔偿等进行评分。（评审范围：4，3，2，1，0）</w:t>
            </w:r>
          </w:p>
        </w:tc>
        <w:tc>
          <w:tcPr>
            <w:tcW w:w="412" w:type="pct"/>
            <w:shd w:val="clear" w:color="auto" w:fill="auto"/>
            <w:noWrap w:val="0"/>
            <w:vAlign w:val="center"/>
          </w:tcPr>
          <w:p w14:paraId="094B713A">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4596F974">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619B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29A7FC8C">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p>
        </w:tc>
        <w:tc>
          <w:tcPr>
            <w:tcW w:w="3541" w:type="pct"/>
            <w:shd w:val="clear" w:color="auto" w:fill="auto"/>
            <w:noWrap w:val="0"/>
            <w:vAlign w:val="center"/>
          </w:tcPr>
          <w:p w14:paraId="2FE8F699">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供应商对搬运过程中安全方面的承诺及保障措施等进行评分。（评审范围：4，3，2，1，0）</w:t>
            </w:r>
          </w:p>
        </w:tc>
        <w:tc>
          <w:tcPr>
            <w:tcW w:w="412" w:type="pct"/>
            <w:shd w:val="clear" w:color="auto" w:fill="auto"/>
            <w:noWrap w:val="0"/>
            <w:vAlign w:val="center"/>
          </w:tcPr>
          <w:p w14:paraId="29161E9A">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3F99770E">
            <w:pPr>
              <w:snapToGrid w:val="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1737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4115B3EB">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4</w:t>
            </w:r>
          </w:p>
        </w:tc>
        <w:tc>
          <w:tcPr>
            <w:tcW w:w="3541" w:type="pct"/>
            <w:shd w:val="clear" w:color="auto" w:fill="auto"/>
            <w:noWrap w:val="0"/>
            <w:vAlign w:val="center"/>
          </w:tcPr>
          <w:p w14:paraId="2909D91E">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供应商关于搬运物品运输险及搬运人员意外险等进行评分（投标文件中提供保险协议扫描件，不提供不得分）（评审范围：4，3，2，1，0）</w:t>
            </w:r>
          </w:p>
        </w:tc>
        <w:tc>
          <w:tcPr>
            <w:tcW w:w="412" w:type="pct"/>
            <w:shd w:val="clear" w:color="auto" w:fill="auto"/>
            <w:noWrap w:val="0"/>
            <w:vAlign w:val="center"/>
          </w:tcPr>
          <w:p w14:paraId="7FDAB676">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675" w:type="pct"/>
            <w:shd w:val="clear" w:color="auto" w:fill="auto"/>
            <w:noWrap w:val="0"/>
            <w:vAlign w:val="center"/>
          </w:tcPr>
          <w:p w14:paraId="75E43FEB">
            <w:pPr>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主观分</w:t>
            </w:r>
          </w:p>
        </w:tc>
      </w:tr>
      <w:tr w14:paraId="31EA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70" w:type="pct"/>
            <w:noWrap w:val="0"/>
            <w:vAlign w:val="center"/>
          </w:tcPr>
          <w:p w14:paraId="7D6AC082">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p>
        </w:tc>
        <w:tc>
          <w:tcPr>
            <w:tcW w:w="3541" w:type="pct"/>
            <w:shd w:val="clear" w:color="auto" w:fill="auto"/>
            <w:noWrap w:val="0"/>
            <w:vAlign w:val="center"/>
          </w:tcPr>
          <w:p w14:paraId="4B912606">
            <w:pPr>
              <w:spacing w:line="240" w:lineRule="auto"/>
              <w:ind w:firstLine="0" w:firstLineChars="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质保期承诺：翻新后产品质保期满足采购文件要求（3年）的本项不得分，每延长1年得1分，最高得2分（延长不足1年的不计入得分）</w:t>
            </w:r>
          </w:p>
        </w:tc>
        <w:tc>
          <w:tcPr>
            <w:tcW w:w="412" w:type="pct"/>
            <w:shd w:val="clear" w:color="auto" w:fill="auto"/>
            <w:noWrap w:val="0"/>
            <w:vAlign w:val="center"/>
          </w:tcPr>
          <w:p w14:paraId="4816AAC8">
            <w:pPr>
              <w:snapToGrid w:val="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675" w:type="pct"/>
            <w:shd w:val="clear" w:color="auto" w:fill="auto"/>
            <w:noWrap w:val="0"/>
            <w:vAlign w:val="center"/>
          </w:tcPr>
          <w:p w14:paraId="38932901">
            <w:pPr>
              <w:snapToGrid w:val="0"/>
              <w:jc w:val="center"/>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客观分</w:t>
            </w:r>
          </w:p>
        </w:tc>
      </w:tr>
      <w:tr w14:paraId="48D7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000" w:type="pct"/>
            <w:gridSpan w:val="4"/>
            <w:noWrap w:val="0"/>
            <w:vAlign w:val="center"/>
          </w:tcPr>
          <w:p w14:paraId="0410B8E1">
            <w:pPr>
              <w:snapToGrid w:val="0"/>
              <w:jc w:val="center"/>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报价分（20分）</w:t>
            </w:r>
          </w:p>
        </w:tc>
      </w:tr>
      <w:tr w14:paraId="40DA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70" w:type="pct"/>
            <w:noWrap w:val="0"/>
            <w:vAlign w:val="center"/>
          </w:tcPr>
          <w:p w14:paraId="00A9ABD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1</w:t>
            </w:r>
          </w:p>
        </w:tc>
        <w:tc>
          <w:tcPr>
            <w:tcW w:w="3541" w:type="pct"/>
            <w:shd w:val="clear" w:color="auto" w:fill="auto"/>
            <w:noWrap w:val="0"/>
            <w:vAlign w:val="center"/>
          </w:tcPr>
          <w:p w14:paraId="291F0EBF">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价格分计算，满足磋商文件要求且投标费率最低的最终磋商响应报价为评标基准价，磋商响应供应商的价格分按照下列公式计算：</w:t>
            </w:r>
          </w:p>
          <w:p w14:paraId="69CC0BDA">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价格分=（评标基准价/最终磋商响应报价）×20%×100</w:t>
            </w:r>
          </w:p>
          <w:p w14:paraId="5022E327">
            <w:pPr>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磋商响应供应商的最终磋商响应报价超过预算金额或最高限价（不含本数）的为无效报价。评审过程中，不得去掉报价中的最高报价和最低报价。因落实政府采购政策需要进行价格调整的，以调整后的价格计算评标基准价和投标报价。</w:t>
            </w:r>
          </w:p>
        </w:tc>
        <w:tc>
          <w:tcPr>
            <w:tcW w:w="412" w:type="pct"/>
            <w:shd w:val="clear" w:color="auto" w:fill="auto"/>
            <w:noWrap w:val="0"/>
            <w:vAlign w:val="center"/>
          </w:tcPr>
          <w:p w14:paraId="4ED10A28">
            <w:pPr>
              <w:snapToGrid w:val="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w:t>
            </w:r>
          </w:p>
        </w:tc>
        <w:tc>
          <w:tcPr>
            <w:tcW w:w="675" w:type="pct"/>
            <w:shd w:val="clear" w:color="auto" w:fill="auto"/>
            <w:noWrap w:val="0"/>
            <w:vAlign w:val="center"/>
          </w:tcPr>
          <w:p w14:paraId="20795B70">
            <w:pPr>
              <w:snapToGrid w:val="0"/>
              <w:jc w:val="center"/>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w:t>
            </w:r>
          </w:p>
        </w:tc>
      </w:tr>
    </w:tbl>
    <w:p w14:paraId="2BC4DCBA">
      <w:pPr>
        <w:snapToGrid w:val="0"/>
        <w:spacing w:line="360" w:lineRule="auto"/>
        <w:jc w:val="center"/>
        <w:rPr>
          <w:rFonts w:hint="eastAsia" w:ascii="宋体" w:hAnsi="宋体" w:cs="宋体"/>
          <w:b/>
          <w:color w:val="auto"/>
          <w:sz w:val="24"/>
          <w:szCs w:val="16"/>
          <w:highlight w:val="none"/>
        </w:rPr>
      </w:pPr>
    </w:p>
    <w:p w14:paraId="1BB8C387">
      <w:pPr>
        <w:snapToGrid w:val="0"/>
        <w:spacing w:line="360" w:lineRule="auto"/>
        <w:jc w:val="center"/>
        <w:rPr>
          <w:rFonts w:hint="eastAsia" w:ascii="宋体" w:hAnsi="宋体" w:cs="宋体"/>
          <w:b/>
          <w:color w:val="auto"/>
          <w:sz w:val="24"/>
          <w:szCs w:val="16"/>
          <w:highlight w:val="none"/>
        </w:rPr>
      </w:pPr>
    </w:p>
    <w:p w14:paraId="225370B6">
      <w:pPr>
        <w:pStyle w:val="6"/>
        <w:bidi w:val="0"/>
        <w:rPr>
          <w:color w:val="auto"/>
          <w:highlight w:val="none"/>
        </w:rPr>
      </w:pPr>
      <w:bookmarkStart w:id="402" w:name="_Toc1486"/>
      <w:r>
        <w:rPr>
          <w:rFonts w:hint="eastAsia"/>
          <w:color w:val="auto"/>
          <w:highlight w:val="none"/>
        </w:rPr>
        <w:t>一、评审方法</w:t>
      </w:r>
      <w:bookmarkEnd w:id="402"/>
    </w:p>
    <w:p w14:paraId="53460C2E">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综合评分法，是指响应文件满足磋商文件全部实质性要求且按评审因素的量化指标评审得分最高的供应商为成交候选供应商的评审方法。</w:t>
      </w:r>
    </w:p>
    <w:p w14:paraId="4DE4875F">
      <w:pPr>
        <w:pStyle w:val="6"/>
        <w:bidi w:val="0"/>
        <w:rPr>
          <w:color w:val="auto"/>
          <w:highlight w:val="none"/>
        </w:rPr>
      </w:pPr>
      <w:bookmarkStart w:id="403" w:name="_Toc2352"/>
      <w:r>
        <w:rPr>
          <w:rFonts w:hint="eastAsia"/>
          <w:color w:val="auto"/>
          <w:highlight w:val="none"/>
        </w:rPr>
        <w:t>二、评审标准</w:t>
      </w:r>
      <w:bookmarkEnd w:id="403"/>
    </w:p>
    <w:p w14:paraId="5752A746">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评审标准：</w:t>
      </w:r>
      <w:r>
        <w:rPr>
          <w:rFonts w:hint="eastAsia" w:ascii="宋体" w:hAnsi="宋体" w:cs="宋体"/>
          <w:color w:val="auto"/>
          <w:kern w:val="0"/>
          <w:sz w:val="24"/>
          <w:highlight w:val="none"/>
        </w:rPr>
        <w:t>见评审办法前附表。</w:t>
      </w:r>
    </w:p>
    <w:p w14:paraId="13CA35BF">
      <w:pPr>
        <w:pStyle w:val="6"/>
        <w:bidi w:val="0"/>
        <w:rPr>
          <w:color w:val="auto"/>
          <w:highlight w:val="none"/>
        </w:rPr>
      </w:pPr>
      <w:bookmarkStart w:id="404" w:name="_Toc10358"/>
      <w:r>
        <w:rPr>
          <w:rFonts w:hint="eastAsia"/>
          <w:color w:val="auto"/>
          <w:highlight w:val="none"/>
        </w:rPr>
        <w:t>三、评审程序</w:t>
      </w:r>
      <w:bookmarkEnd w:id="404"/>
    </w:p>
    <w:p w14:paraId="0A2272CB">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磋商小组应当对符合资格的供应商的响应文件进行符合性审查，以确定其是否满足采购文件的实质性要求。不满足采购文件的实质性要求的，响应文件无效。</w:t>
      </w:r>
    </w:p>
    <w:p w14:paraId="23321F8B">
      <w:pPr>
        <w:spacing w:line="360" w:lineRule="auto"/>
        <w:ind w:firstLine="472" w:firstLineChars="196"/>
        <w:rPr>
          <w:rFonts w:ascii="宋体" w:hAnsi="宋体" w:cs="宋体"/>
          <w:color w:val="auto"/>
          <w:sz w:val="24"/>
          <w:highlight w:val="none"/>
        </w:rPr>
      </w:pPr>
      <w:r>
        <w:rPr>
          <w:rFonts w:hint="eastAsia" w:ascii="宋体" w:hAnsi="宋体" w:cs="宋体"/>
          <w:b/>
          <w:color w:val="auto"/>
          <w:kern w:val="0"/>
          <w:sz w:val="24"/>
          <w:highlight w:val="none"/>
        </w:rPr>
        <w:t>3.2磋商。</w:t>
      </w:r>
      <w:r>
        <w:rPr>
          <w:rFonts w:hint="eastAsia" w:ascii="宋体" w:hAnsi="宋体" w:cs="宋体"/>
          <w:color w:val="auto"/>
          <w:sz w:val="24"/>
          <w:highlight w:val="none"/>
        </w:rPr>
        <w:t>磋商小组将对确定为实质性响应本采购文件的响应文件进行详细评价和比较，主要就资信、服务方案内容、服务承诺等磋商小组认为与本次采购有关的因素与</w:t>
      </w:r>
      <w:r>
        <w:rPr>
          <w:rFonts w:hint="eastAsia" w:ascii="宋体" w:hAnsi="宋体" w:cs="宋体"/>
          <w:color w:val="auto"/>
          <w:kern w:val="0"/>
          <w:sz w:val="24"/>
          <w:highlight w:val="none"/>
        </w:rPr>
        <w:t>符合性审查合格的</w:t>
      </w:r>
      <w:r>
        <w:rPr>
          <w:rFonts w:hint="eastAsia" w:ascii="宋体" w:hAnsi="宋体" w:cs="宋体"/>
          <w:color w:val="auto"/>
          <w:sz w:val="24"/>
          <w:highlight w:val="none"/>
        </w:rPr>
        <w:t>供应商逐一进行磋商。</w:t>
      </w:r>
    </w:p>
    <w:p w14:paraId="405500F8">
      <w:pPr>
        <w:spacing w:line="360" w:lineRule="auto"/>
        <w:ind w:firstLine="470" w:firstLineChars="196"/>
        <w:rPr>
          <w:rFonts w:ascii="宋体" w:hAnsi="宋体" w:cs="宋体"/>
          <w:b/>
          <w:color w:val="auto"/>
          <w:sz w:val="24"/>
          <w:highlight w:val="none"/>
        </w:rPr>
      </w:pPr>
      <w:r>
        <w:rPr>
          <w:rFonts w:hint="eastAsia" w:ascii="宋体" w:hAnsi="宋体" w:cs="宋体"/>
          <w:bCs/>
          <w:color w:val="auto"/>
          <w:sz w:val="24"/>
          <w:highlight w:val="none"/>
        </w:rPr>
        <w:t>3.2.1</w:t>
      </w:r>
      <w:r>
        <w:rPr>
          <w:rFonts w:hint="eastAsia" w:ascii="宋体" w:hAnsi="宋体" w:cs="宋体"/>
          <w:color w:val="auto"/>
          <w:sz w:val="24"/>
          <w:highlight w:val="none"/>
        </w:rPr>
        <w:t>供应商逐家回答磋商小组的提问；</w:t>
      </w:r>
      <w:r>
        <w:rPr>
          <w:rFonts w:hint="eastAsia" w:ascii="宋体" w:hAnsi="宋体" w:cs="宋体"/>
          <w:b/>
          <w:color w:val="auto"/>
          <w:sz w:val="24"/>
          <w:highlight w:val="none"/>
        </w:rPr>
        <w:t>逐家磋商一次为一个轮次，磋商轮次根据实际情况进行。</w:t>
      </w:r>
    </w:p>
    <w:p w14:paraId="2BFB69ED">
      <w:pPr>
        <w:spacing w:line="360" w:lineRule="auto"/>
        <w:ind w:firstLine="470" w:firstLineChars="196"/>
        <w:rPr>
          <w:rFonts w:ascii="宋体" w:hAnsi="宋体" w:cs="宋体"/>
          <w:color w:val="auto"/>
          <w:sz w:val="24"/>
          <w:highlight w:val="none"/>
        </w:rPr>
      </w:pPr>
      <w:r>
        <w:rPr>
          <w:rFonts w:hint="eastAsia" w:ascii="宋体" w:hAnsi="宋体" w:cs="宋体"/>
          <w:bCs/>
          <w:color w:val="auto"/>
          <w:sz w:val="24"/>
          <w:highlight w:val="none"/>
        </w:rPr>
        <w:t>3.2.2</w:t>
      </w:r>
      <w:r>
        <w:rPr>
          <w:rFonts w:hint="eastAsia" w:ascii="宋体" w:hAnsi="宋体" w:cs="宋体"/>
          <w:color w:val="auto"/>
          <w:sz w:val="24"/>
          <w:highlight w:val="none"/>
        </w:rPr>
        <w:t>供应商应按磋商小组通知的时间在线或以邮件回复做出承诺或回复，承诺或回复的内容须由供应商法定代表人或授权代表签署，并作为响应文件的补充部分。</w:t>
      </w:r>
    </w:p>
    <w:p w14:paraId="2BCB096A">
      <w:pPr>
        <w:spacing w:line="360" w:lineRule="auto"/>
        <w:ind w:firstLine="470" w:firstLineChars="196"/>
        <w:rPr>
          <w:rFonts w:ascii="宋体" w:hAnsi="宋体" w:cs="宋体"/>
          <w:bCs/>
          <w:color w:val="auto"/>
          <w:kern w:val="0"/>
          <w:sz w:val="24"/>
          <w:highlight w:val="none"/>
        </w:rPr>
      </w:pPr>
      <w:r>
        <w:rPr>
          <w:rFonts w:hint="eastAsia" w:ascii="宋体" w:hAnsi="宋体" w:cs="宋体"/>
          <w:color w:val="auto"/>
          <w:sz w:val="24"/>
          <w:highlight w:val="none"/>
        </w:rPr>
        <w:t>3.2.3</w:t>
      </w:r>
      <w:r>
        <w:rPr>
          <w:rFonts w:hint="eastAsia" w:ascii="宋体" w:hAnsi="宋体" w:cs="宋体"/>
          <w:b/>
          <w:bCs/>
          <w:color w:val="auto"/>
          <w:sz w:val="24"/>
          <w:highlight w:val="none"/>
        </w:rPr>
        <w:t>在磋商过程中，磋商小组可以根据磋商文件和磋商情况实质性变动采购需求。</w:t>
      </w:r>
      <w:r>
        <w:rPr>
          <w:rFonts w:hint="eastAsia" w:ascii="宋体" w:hAnsi="宋体" w:cs="宋体"/>
          <w:color w:val="auto"/>
          <w:sz w:val="24"/>
          <w:highlight w:val="none"/>
        </w:rPr>
        <w:t>实质性变动的内容，须经采购人代表确认。磋商文件有实质性变动的，磋商小组将以书面形式通知所有</w:t>
      </w:r>
      <w:r>
        <w:rPr>
          <w:rFonts w:hint="eastAsia" w:ascii="宋体" w:hAnsi="宋体" w:cs="宋体"/>
          <w:color w:val="auto"/>
          <w:kern w:val="0"/>
          <w:sz w:val="24"/>
          <w:highlight w:val="none"/>
        </w:rPr>
        <w:t>符合性审查合格的</w:t>
      </w:r>
      <w:r>
        <w:rPr>
          <w:rFonts w:hint="eastAsia" w:ascii="宋体" w:hAnsi="宋体" w:cs="宋体"/>
          <w:color w:val="auto"/>
          <w:sz w:val="24"/>
          <w:highlight w:val="none"/>
        </w:rPr>
        <w:t xml:space="preserve">供应商。 </w:t>
      </w:r>
    </w:p>
    <w:p w14:paraId="638FD1F6">
      <w:pPr>
        <w:spacing w:line="360" w:lineRule="auto"/>
        <w:ind w:firstLine="472" w:firstLineChars="196"/>
        <w:rPr>
          <w:rFonts w:ascii="宋体" w:hAnsi="宋体" w:cs="宋体"/>
          <w:b/>
          <w:bCs/>
          <w:color w:val="auto"/>
          <w:kern w:val="0"/>
          <w:sz w:val="24"/>
          <w:highlight w:val="none"/>
        </w:rPr>
      </w:pPr>
      <w:r>
        <w:rPr>
          <w:rFonts w:hint="eastAsia" w:ascii="宋体" w:hAnsi="宋体" w:cs="宋体"/>
          <w:b/>
          <w:bCs/>
          <w:color w:val="auto"/>
          <w:kern w:val="0"/>
          <w:sz w:val="24"/>
          <w:highlight w:val="none"/>
        </w:rPr>
        <w:t>3.3最后报价</w:t>
      </w:r>
    </w:p>
    <w:p w14:paraId="700A68F0">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3.3.1磋商文件能够详细列明采购标的的技术、服务要求的，磋商结束后，磋商小组应当要求所有符合性审查合格的供应商在规定时间内提交最后报价，提交最后报价的供应商不得少于3家。</w:t>
      </w:r>
    </w:p>
    <w:p w14:paraId="197A09EB">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3.3.2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5F604C66">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3.3.3已提交响应文件的供应商，在提交最后报价之前，可以根据磋商情况退出磋商</w:t>
      </w:r>
    </w:p>
    <w:p w14:paraId="5212BEE5">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3.4综合评分。</w:t>
      </w:r>
      <w:r>
        <w:rPr>
          <w:rFonts w:hint="eastAsia" w:ascii="宋体" w:hAnsi="宋体" w:cs="宋体"/>
          <w:bCs/>
          <w:color w:val="auto"/>
          <w:kern w:val="0"/>
          <w:sz w:val="24"/>
          <w:highlight w:val="none"/>
        </w:rPr>
        <w:t>经磋商确定最终采购需求和提交最后报价的供应商后，</w:t>
      </w:r>
      <w:r>
        <w:rPr>
          <w:rFonts w:hint="eastAsia" w:ascii="宋体" w:hAnsi="宋体" w:cs="宋体"/>
          <w:color w:val="auto"/>
          <w:kern w:val="0"/>
          <w:sz w:val="24"/>
          <w:highlight w:val="none"/>
        </w:rPr>
        <w:t>磋商小组应当按照采购文件中规定的评审标准，对符合性审查合格的响应文件进行综合评分。磋商文件中没有规定的评审标准不得作为评审依据。</w:t>
      </w:r>
    </w:p>
    <w:p w14:paraId="1F4F9911">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3.5汇总商务技术得分。</w:t>
      </w:r>
      <w:r>
        <w:rPr>
          <w:rFonts w:hint="eastAsia" w:ascii="宋体" w:hAnsi="宋体" w:cs="宋体"/>
          <w:color w:val="auto"/>
          <w:kern w:val="0"/>
          <w:sz w:val="24"/>
          <w:highlight w:val="none"/>
        </w:rPr>
        <w:t>磋商小组各成员应当独立对每个供应商的商务和技术文件进行评价，并汇总商务技术得分情况。磋商小组成员总评分偏离平均分30%以上的，以及个人主观打分偏离所有磋商小组成员主观打分平均值</w:t>
      </w:r>
      <w:r>
        <w:rPr>
          <w:rFonts w:ascii="宋体" w:hAnsi="宋体" w:cs="宋体"/>
          <w:color w:val="auto"/>
          <w:kern w:val="0"/>
          <w:sz w:val="24"/>
          <w:highlight w:val="none"/>
        </w:rPr>
        <w:t>30%以上的，由</w:t>
      </w:r>
      <w:r>
        <w:rPr>
          <w:rFonts w:hint="eastAsia" w:ascii="宋体" w:hAnsi="宋体" w:cs="宋体"/>
          <w:color w:val="auto"/>
          <w:kern w:val="0"/>
          <w:sz w:val="24"/>
          <w:highlight w:val="none"/>
        </w:rPr>
        <w:t>磋商小组</w:t>
      </w:r>
      <w:r>
        <w:rPr>
          <w:rFonts w:ascii="宋体" w:hAnsi="宋体" w:cs="宋体"/>
          <w:color w:val="auto"/>
          <w:kern w:val="0"/>
          <w:sz w:val="24"/>
          <w:highlight w:val="none"/>
        </w:rPr>
        <w:t>启动评分畸高、畸低行为认定程序</w:t>
      </w:r>
      <w:r>
        <w:rPr>
          <w:rFonts w:hint="eastAsia" w:ascii="宋体" w:hAnsi="宋体" w:cs="宋体"/>
          <w:color w:val="auto"/>
          <w:kern w:val="0"/>
          <w:sz w:val="24"/>
          <w:highlight w:val="none"/>
        </w:rPr>
        <w:t>，磋商小组组长应提醒相关评审人员进行复核或书面说明理由，评审人员拒绝说明的，由现场监督员据实记录；评审人员的评审、修改记录应保留原件，随项目其他资料一并存档。</w:t>
      </w:r>
    </w:p>
    <w:p w14:paraId="0955BF46">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3.6报价评审。</w:t>
      </w:r>
    </w:p>
    <w:p w14:paraId="6FCC52AD">
      <w:pPr>
        <w:pStyle w:val="131"/>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3.6.1响应文件报价出现前后不一致的，按照下列规定修正：</w:t>
      </w:r>
    </w:p>
    <w:p w14:paraId="7176A4D1">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3.6.1.1响应文件中已标价工程量清单内容与响应文件中相应内容不一致的，以已标价工程量清单为准;</w:t>
      </w:r>
    </w:p>
    <w:p w14:paraId="4CD312ED">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3.6.1.2大写金额和小写金额不一致的，以大写金额为准;</w:t>
      </w:r>
    </w:p>
    <w:p w14:paraId="28DB28D1">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3.6.1.3单价金额小数点或者百分比有明显错位的，以已标价工程量清单的总价为准，并修改单价;</w:t>
      </w:r>
    </w:p>
    <w:p w14:paraId="6F31463D">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3.6.1.4总价金额与按单价汇总金额不一致的，以单价金额计算结果为准。</w:t>
      </w:r>
    </w:p>
    <w:p w14:paraId="76300E08">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3.6.1.5同时出现两种以上不一致的，按照3.6.1规定的顺序修正。修正后的报价经供应商确认后产生约束力。</w:t>
      </w:r>
    </w:p>
    <w:p w14:paraId="469E0663">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3.6.2响应文件出现不是唯一的、有选择性最后报价的，响应文件无效。</w:t>
      </w:r>
    </w:p>
    <w:p w14:paraId="2304AFF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3.6.3最后报价超过采购文件中规定的预算金额或者最高限价的，响应文件无效。</w:t>
      </w:r>
    </w:p>
    <w:p w14:paraId="07710B44">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3.6.4</w:t>
      </w:r>
      <w:r>
        <w:rPr>
          <w:rFonts w:hint="eastAsia" w:asciiTheme="minorEastAsia" w:hAnsiTheme="minorEastAsia" w:eastAsiaTheme="minorEastAsia" w:cstheme="minorEastAsia"/>
          <w:color w:val="auto"/>
          <w:kern w:val="0"/>
          <w:szCs w:val="24"/>
          <w:highlight w:val="none"/>
        </w:rPr>
        <w:t>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r>
        <w:rPr>
          <w:rFonts w:hint="eastAsia" w:ascii="宋体" w:hAnsi="宋体" w:cs="宋体"/>
          <w:color w:val="auto"/>
          <w:kern w:val="0"/>
          <w:szCs w:val="24"/>
          <w:highlight w:val="none"/>
        </w:rPr>
        <w:t>。</w:t>
      </w:r>
    </w:p>
    <w:p w14:paraId="7F382C58">
      <w:pPr>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3.7排序与推荐。</w:t>
      </w:r>
      <w:r>
        <w:rPr>
          <w:rFonts w:hint="eastAsia" w:ascii="宋体" w:hAnsi="宋体" w:cs="宋体"/>
          <w:color w:val="auto"/>
          <w:kern w:val="0"/>
          <w:sz w:val="24"/>
          <w:highlight w:val="none"/>
        </w:rPr>
        <w:t>评审结果按评审后得分由高到低顺序排列。得分相同的，按最后报价由低到高顺序排列。得分且最后报价相同的并列。响应文件满足采购文件全部实质性要求，且按照评审因素的量化指标评审得分由高到低顺序推荐3名以上成交候选供应商</w:t>
      </w:r>
    </w:p>
    <w:p w14:paraId="22DA95F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3.8编写评审报告。</w:t>
      </w:r>
      <w:r>
        <w:rPr>
          <w:rFonts w:hint="eastAsia" w:ascii="宋体" w:hAnsi="宋体" w:cs="宋体"/>
          <w:color w:val="auto"/>
          <w:kern w:val="0"/>
          <w:sz w:val="24"/>
          <w:highlight w:val="none"/>
        </w:rPr>
        <w:t>磋商小组根据全体评审成员签字的原始评审记录和评审结果编写评审报告。磋商小组成员对需要共同认定的事项存在争议的，应当按照少数服从多数的原则作出结论。持不同意见的磋商小组成员应当在评审报告上签署不同意见及理由，否则视为同意评审报告。</w:t>
      </w:r>
    </w:p>
    <w:p w14:paraId="7CC77C96">
      <w:pPr>
        <w:pStyle w:val="6"/>
        <w:bidi w:val="0"/>
        <w:rPr>
          <w:color w:val="auto"/>
          <w:highlight w:val="none"/>
        </w:rPr>
      </w:pPr>
      <w:bookmarkStart w:id="405" w:name="_Toc29624"/>
      <w:r>
        <w:rPr>
          <w:rFonts w:hint="eastAsia"/>
          <w:color w:val="auto"/>
          <w:highlight w:val="none"/>
        </w:rPr>
        <w:t>四、评审中的其他事项</w:t>
      </w:r>
      <w:bookmarkEnd w:id="405"/>
    </w:p>
    <w:p w14:paraId="345477BF">
      <w:pPr>
        <w:pStyle w:val="131"/>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4.1供应商澄清、说明或者补正。</w:t>
      </w:r>
      <w:r>
        <w:rPr>
          <w:rFonts w:hint="eastAsia" w:ascii="宋体" w:hAnsi="宋体" w:cs="宋体"/>
          <w:color w:val="auto"/>
          <w:kern w:val="0"/>
          <w:szCs w:val="24"/>
          <w:highlight w:val="none"/>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7121F9D3">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4.2响应文件无效。</w:t>
      </w:r>
      <w:r>
        <w:rPr>
          <w:rFonts w:hint="eastAsia" w:cs="宋体"/>
          <w:color w:val="auto"/>
          <w:szCs w:val="21"/>
          <w:highlight w:val="none"/>
        </w:rPr>
        <w:t>有下列情形之一的，响应文件无效：</w:t>
      </w:r>
    </w:p>
    <w:p w14:paraId="2C71F34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4.2.1供应商不具备采购文件中规定的资格要求的（供应商未提供有效的资格文件的，视为供应商不具备采购文件中规定的资格要求）；</w:t>
      </w:r>
    </w:p>
    <w:p w14:paraId="44C6B64E">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4.2.2响应文件未按照采购文件要求签署、盖章的；</w:t>
      </w:r>
    </w:p>
    <w:p w14:paraId="162CBE7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4.2.3采购人拟采购的产品属于政府强制采购的节能产品品目清单范围的，供应商未按采购文件要求提供国家确定的认证机构出具的、处于有效期之内的节能产品认证证书的；</w:t>
      </w:r>
    </w:p>
    <w:p w14:paraId="7CF82BA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4.2.4响应文件含有采购人不能接受的附加条件的；</w:t>
      </w:r>
    </w:p>
    <w:p w14:paraId="29AEEBD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4.2.5响应文件中承诺的响应文件有效期少于采购文件中载明的响应文件有效期的；</w:t>
      </w:r>
    </w:p>
    <w:p w14:paraId="7E0B3BA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4.2.6响应文件出现不是唯一的、有选择性最后报价的;</w:t>
      </w:r>
    </w:p>
    <w:p w14:paraId="2CF5349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4.2.7最后报价超过采购文件中规定的预算金额或者最高限价的;</w:t>
      </w:r>
    </w:p>
    <w:p w14:paraId="08C4067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4.2.8报价明显低于其他通过符合性审查供应商的报价，有可能影响产品质量或者不能诚信履约的，未能按要求提供书面说明或者提交相关证明材料，不能证明其报价合理性的;</w:t>
      </w:r>
    </w:p>
    <w:p w14:paraId="45E7484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4.2.9供应商对根据修正原则修正后的报价不确认的；</w:t>
      </w:r>
    </w:p>
    <w:p w14:paraId="517B97B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4.2.10供应商提供虚假材料响应的；</w:t>
      </w:r>
    </w:p>
    <w:p w14:paraId="0947B29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4.2.11供应商有恶意串通、妨碍其他供应商的竞争行为、损害采购人或者其他供应商的合法权益情形的。除政府采购法律法规规章规定的属于恶意串通、视为串通投标情形外，在不影响公平竞争的前提下，参与同一个采购包(标段)的供应商存在下列情形之一且无法合理解释的，其投标(响应)文件无效：（1）不同供应商的电子投标(响应)文件上传IP地址相同的；（2）不同供应商的电子投标(响应)文件上传计算机的网卡MAC地址或硬盘序列号等硬件信息相同的；（3）上传的电子投标(响应)文件若出现使用本项目其他投标(响应)供应商的数字证书加密的，或者加盖本项目其他投标(响应)供应商的电子印章的；（4）不同供应商的投标(响应)文件的内容存在3处(含)以上错误一致的；（5）不同供应商联系人为同一人或不同联系人的联系电话一致的；</w:t>
      </w:r>
    </w:p>
    <w:p w14:paraId="674181D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4.2.12供应商仅提交备份响应文件，未在电子交易平台传输递交响应文件的，响应文件无效；</w:t>
      </w:r>
    </w:p>
    <w:p w14:paraId="3E6A5E3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4.2.13响应文件不满足采购文件的其它实质性要求的；</w:t>
      </w:r>
    </w:p>
    <w:p w14:paraId="4D41366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14:paraId="6DB7607F">
      <w:pPr>
        <w:pStyle w:val="26"/>
        <w:snapToGrid w:val="0"/>
        <w:spacing w:line="360" w:lineRule="auto"/>
        <w:ind w:firstLine="472" w:firstLineChars="196"/>
        <w:rPr>
          <w:rFonts w:cs="宋体"/>
          <w:color w:val="auto"/>
          <w:highlight w:val="none"/>
        </w:rPr>
      </w:pPr>
      <w:r>
        <w:rPr>
          <w:rFonts w:hint="eastAsia" w:cs="宋体"/>
          <w:b/>
          <w:color w:val="auto"/>
          <w:highlight w:val="none"/>
        </w:rPr>
        <w:t>5.终止竞争性磋商采购活动。</w:t>
      </w:r>
      <w:r>
        <w:rPr>
          <w:rFonts w:hint="eastAsia" w:cs="宋体"/>
          <w:color w:val="auto"/>
          <w:highlight w:val="none"/>
        </w:rPr>
        <w:t>出现下列情形之一的，采购人或者采购代理机构应当终止竞争性磋商采购活动，发布项目终止公告并说明原因，重新开展采购活动：</w:t>
      </w:r>
    </w:p>
    <w:p w14:paraId="33B6F327">
      <w:pPr>
        <w:pStyle w:val="26"/>
        <w:snapToGrid w:val="0"/>
        <w:spacing w:line="360" w:lineRule="auto"/>
        <w:rPr>
          <w:rFonts w:cs="宋体"/>
          <w:color w:val="auto"/>
          <w:highlight w:val="none"/>
        </w:rPr>
      </w:pPr>
      <w:r>
        <w:rPr>
          <w:rFonts w:hint="eastAsia" w:cs="宋体"/>
          <w:color w:val="auto"/>
          <w:highlight w:val="none"/>
        </w:rPr>
        <w:t>5.1因情况变化，不再符合规定的竞争性磋商采购方式适用情形的；</w:t>
      </w:r>
    </w:p>
    <w:p w14:paraId="20F3F070">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14:paraId="6F4E0722">
      <w:pPr>
        <w:pStyle w:val="26"/>
        <w:snapToGrid w:val="0"/>
        <w:spacing w:line="360" w:lineRule="auto"/>
        <w:rPr>
          <w:rFonts w:cs="宋体"/>
          <w:color w:val="auto"/>
          <w:highlight w:val="none"/>
        </w:rPr>
      </w:pPr>
      <w:r>
        <w:rPr>
          <w:rFonts w:hint="eastAsia" w:cs="宋体"/>
          <w:color w:val="auto"/>
          <w:highlight w:val="none"/>
        </w:rPr>
        <w:t>5.3除本办法第二十一条第三款规定的情形外，在采购过程中符合要求的供应商或者报价未超过采购预算的供应商不足3家的。</w:t>
      </w:r>
    </w:p>
    <w:p w14:paraId="46A63F58">
      <w:pPr>
        <w:pStyle w:val="26"/>
        <w:snapToGrid w:val="0"/>
        <w:spacing w:line="360" w:lineRule="auto"/>
        <w:rPr>
          <w:rFonts w:cs="宋体"/>
          <w:color w:val="auto"/>
          <w:highlight w:val="none"/>
        </w:rPr>
      </w:pPr>
      <w:r>
        <w:rPr>
          <w:rFonts w:hint="eastAsia" w:cs="宋体"/>
          <w:color w:val="auto"/>
          <w:highlight w:val="none"/>
        </w:rPr>
        <w:t>5.4在采购活动中因重大变故，采购任务取消的，采购人或者采购代理机构应当终止采购活动，通知所有参加采购活动的供应商，并将项目实施情况和采购任务取消原因报送本级财政部门。</w:t>
      </w:r>
    </w:p>
    <w:p w14:paraId="667C989D">
      <w:pPr>
        <w:pStyle w:val="26"/>
        <w:snapToGrid w:val="0"/>
        <w:spacing w:line="360" w:lineRule="auto"/>
        <w:ind w:firstLine="482"/>
        <w:rPr>
          <w:rFonts w:cs="宋体"/>
          <w:color w:val="auto"/>
          <w:highlight w:val="none"/>
        </w:rPr>
      </w:pPr>
      <w:r>
        <w:rPr>
          <w:rFonts w:hint="eastAsia" w:cs="宋体"/>
          <w:b/>
          <w:color w:val="auto"/>
          <w:kern w:val="0"/>
          <w:highlight w:val="none"/>
        </w:rPr>
        <w:t>6.重新开展采购。</w:t>
      </w:r>
      <w:r>
        <w:rPr>
          <w:rFonts w:hint="eastAsia" w:cs="宋体"/>
          <w:color w:val="auto"/>
          <w:highlight w:val="none"/>
        </w:rPr>
        <w:t>有政府采购法第七十一条、第七十二条规定的违法行为之一，影响或者可能影响成交结果的，依照下列规定处理：</w:t>
      </w:r>
    </w:p>
    <w:p w14:paraId="417CEB54">
      <w:pPr>
        <w:pStyle w:val="26"/>
        <w:snapToGrid w:val="0"/>
        <w:spacing w:line="360" w:lineRule="auto"/>
        <w:rPr>
          <w:rFonts w:cs="宋体"/>
          <w:color w:val="auto"/>
          <w:highlight w:val="none"/>
        </w:rPr>
      </w:pPr>
      <w:r>
        <w:rPr>
          <w:rFonts w:hint="eastAsia" w:cs="宋体"/>
          <w:color w:val="auto"/>
          <w:highlight w:val="none"/>
        </w:rPr>
        <w:t>6.1未确定成交供应商的，终止本次政府采购活动，重新开展政府采购活动。</w:t>
      </w:r>
    </w:p>
    <w:p w14:paraId="62A09D9A">
      <w:pPr>
        <w:pStyle w:val="26"/>
        <w:snapToGrid w:val="0"/>
        <w:spacing w:line="360" w:lineRule="auto"/>
        <w:rPr>
          <w:rFonts w:cs="宋体"/>
          <w:color w:val="auto"/>
          <w:highlight w:val="none"/>
        </w:rPr>
      </w:pPr>
      <w:r>
        <w:rPr>
          <w:rFonts w:hint="eastAsia" w:cs="宋体"/>
          <w:color w:val="auto"/>
          <w:highlight w:val="none"/>
        </w:rPr>
        <w:t>6.2已确定成交供应商但尚未签订政府采购合同的，成交结果无效，从合格的成交候选供应商中另行确定成交供应商；没有合格的成交候选供应商的，重新开展政府采购活动。</w:t>
      </w:r>
    </w:p>
    <w:p w14:paraId="44222C35">
      <w:pPr>
        <w:pStyle w:val="26"/>
        <w:snapToGrid w:val="0"/>
        <w:spacing w:line="360" w:lineRule="auto"/>
        <w:rPr>
          <w:rFonts w:cs="宋体"/>
          <w:color w:val="auto"/>
          <w:highlight w:val="none"/>
        </w:rPr>
      </w:pPr>
      <w:r>
        <w:rPr>
          <w:rFonts w:hint="eastAsia" w:cs="宋体"/>
          <w:color w:val="auto"/>
          <w:highlight w:val="none"/>
        </w:rPr>
        <w:t>6.3政府采购合同已签订但尚未履行的，撤销合同，从合格的成交候选供应商中另行确定成交供应商；没有合格的成交候选供应商的，重新开展政府采购活动。</w:t>
      </w:r>
    </w:p>
    <w:p w14:paraId="3FEB4773">
      <w:pPr>
        <w:pStyle w:val="26"/>
        <w:snapToGrid w:val="0"/>
        <w:spacing w:line="360" w:lineRule="auto"/>
        <w:rPr>
          <w:rFonts w:cs="宋体"/>
          <w:color w:val="auto"/>
          <w:highlight w:val="none"/>
        </w:rPr>
      </w:pPr>
      <w:r>
        <w:rPr>
          <w:rFonts w:hint="eastAsia" w:cs="宋体"/>
          <w:color w:val="auto"/>
          <w:highlight w:val="none"/>
        </w:rPr>
        <w:t>6.4政府采购合同已经履行，给采购人、供应商造成损失的，由责任人承担赔偿责任。</w:t>
      </w:r>
    </w:p>
    <w:p w14:paraId="0C792084">
      <w:pPr>
        <w:pStyle w:val="26"/>
        <w:snapToGrid w:val="0"/>
        <w:spacing w:line="360" w:lineRule="auto"/>
        <w:rPr>
          <w:rFonts w:cs="宋体"/>
          <w:color w:val="auto"/>
          <w:highlight w:val="none"/>
        </w:rPr>
      </w:pPr>
      <w:r>
        <w:rPr>
          <w:rFonts w:hint="eastAsia" w:cs="宋体"/>
          <w:color w:val="auto"/>
          <w:highlight w:val="none"/>
        </w:rPr>
        <w:t>6.5政府采购当事人有其他违反政府采购法或者政府采购法实施条例等法律法规规定的行为，经改正后仍然影响或者可能影响成交结果或者依法被认定为成交无效的，依照6.1-6.4规定处理。</w:t>
      </w:r>
    </w:p>
    <w:p w14:paraId="6893632B">
      <w:pPr>
        <w:rPr>
          <w:rFonts w:hint="eastAsia" w:ascii="宋体" w:hAnsi="宋体" w:cs="宋体"/>
          <w:b/>
          <w:color w:val="auto"/>
          <w:sz w:val="24"/>
          <w:szCs w:val="16"/>
          <w:highlight w:val="none"/>
        </w:rPr>
      </w:pPr>
    </w:p>
    <w:p w14:paraId="7A895B74">
      <w:pPr>
        <w:pStyle w:val="2"/>
        <w:rPr>
          <w:color w:val="auto"/>
          <w:highlight w:val="none"/>
        </w:rPr>
      </w:pPr>
    </w:p>
    <w:p w14:paraId="7A2A9623">
      <w:pPr>
        <w:snapToGrid w:val="0"/>
        <w:spacing w:line="360" w:lineRule="auto"/>
        <w:rPr>
          <w:rFonts w:ascii="宋体" w:hAnsi="宋体" w:cs="宋体"/>
          <w:color w:val="auto"/>
          <w:sz w:val="20"/>
          <w:szCs w:val="20"/>
          <w:highlight w:val="none"/>
          <w:shd w:val="clear" w:color="auto" w:fill="FFFFFF"/>
        </w:rPr>
      </w:pPr>
    </w:p>
    <w:p w14:paraId="51ED930E">
      <w:pPr>
        <w:pStyle w:val="6"/>
        <w:outlineLvl w:val="9"/>
        <w:rPr>
          <w:rFonts w:ascii="宋体" w:hAnsi="宋体" w:cs="宋体"/>
          <w:color w:val="auto"/>
          <w:highlight w:val="none"/>
          <w:lang w:val="en-US"/>
        </w:rPr>
        <w:sectPr>
          <w:pgSz w:w="11907" w:h="16840"/>
          <w:pgMar w:top="1440" w:right="1080" w:bottom="1440" w:left="1080" w:header="851" w:footer="851" w:gutter="0"/>
          <w:pgBorders>
            <w:top w:val="none" w:sz="0" w:space="0"/>
            <w:left w:val="none" w:sz="0" w:space="0"/>
            <w:bottom w:val="none" w:sz="0" w:space="0"/>
            <w:right w:val="none" w:sz="0" w:space="0"/>
          </w:pgBorders>
          <w:cols w:space="720" w:num="1"/>
        </w:sectPr>
      </w:pPr>
    </w:p>
    <w:bookmarkEnd w:id="33"/>
    <w:p w14:paraId="63065449">
      <w:pPr>
        <w:spacing w:line="360" w:lineRule="auto"/>
        <w:jc w:val="center"/>
        <w:outlineLvl w:val="0"/>
        <w:rPr>
          <w:rFonts w:ascii="宋体" w:hAnsi="宋体" w:cs="宋体"/>
          <w:b/>
          <w:color w:val="auto"/>
          <w:sz w:val="36"/>
          <w:szCs w:val="36"/>
          <w:highlight w:val="none"/>
        </w:rPr>
      </w:pPr>
      <w:bookmarkStart w:id="406" w:name="_Toc10403"/>
      <w:bookmarkStart w:id="407" w:name="_Toc86217003"/>
      <w:bookmarkStart w:id="408" w:name="第五部分"/>
      <w:r>
        <w:rPr>
          <w:rFonts w:hint="eastAsia" w:ascii="宋体" w:hAnsi="宋体" w:cs="宋体"/>
          <w:b/>
          <w:color w:val="auto"/>
          <w:sz w:val="36"/>
          <w:szCs w:val="36"/>
          <w:highlight w:val="none"/>
        </w:rPr>
        <w:t>第五部分 拟签订的合同文本</w:t>
      </w:r>
      <w:bookmarkEnd w:id="406"/>
    </w:p>
    <w:p w14:paraId="46DAD54B">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b/>
          <w:bCs/>
          <w:color w:val="auto"/>
          <w:spacing w:val="-6"/>
          <w:sz w:val="24"/>
          <w:szCs w:val="24"/>
          <w:highlight w:val="none"/>
        </w:rPr>
      </w:pPr>
      <w:r>
        <w:rPr>
          <w:rFonts w:hint="eastAsia" w:ascii="宋体" w:hAnsi="宋体" w:eastAsia="宋体" w:cs="宋体"/>
          <w:color w:val="auto"/>
          <w:spacing w:val="-6"/>
          <w:sz w:val="24"/>
          <w:szCs w:val="24"/>
          <w:highlight w:val="none"/>
        </w:rPr>
        <w:t>（本合同为合同样稿，最终稿由双方协商后确定，合同实质性内容不得更改；签订合同时删除此行）</w:t>
      </w:r>
    </w:p>
    <w:p w14:paraId="71537F52">
      <w:pPr>
        <w:keepNext w:val="0"/>
        <w:keepLines w:val="0"/>
        <w:pageBreakBefore w:val="0"/>
        <w:kinsoku/>
        <w:wordWrap/>
        <w:overflowPunct/>
        <w:topLinePunct w:val="0"/>
        <w:autoSpaceDE/>
        <w:autoSpaceDN/>
        <w:bidi w:val="0"/>
        <w:adjustRightInd w:val="0"/>
        <w:snapToGrid w:val="0"/>
        <w:spacing w:line="360" w:lineRule="auto"/>
        <w:ind w:firstLine="48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w:t>
      </w:r>
      <w:r>
        <w:rPr>
          <w:rFonts w:hint="eastAsia" w:ascii="宋体" w:hAnsi="宋体" w:eastAsia="宋体" w:cs="宋体"/>
          <w:bCs/>
          <w:color w:val="auto"/>
          <w:sz w:val="24"/>
          <w:szCs w:val="24"/>
          <w:highlight w:val="none"/>
          <w:u w:val="dotted"/>
          <w:lang w:eastAsia="zh-CN"/>
        </w:rPr>
        <w:t>浙江同济科技职业学院</w:t>
      </w:r>
      <w:r>
        <w:rPr>
          <w:rFonts w:hint="eastAsia" w:ascii="宋体" w:hAnsi="宋体" w:eastAsia="宋体" w:cs="宋体"/>
          <w:bCs/>
          <w:color w:val="auto"/>
          <w:sz w:val="24"/>
          <w:szCs w:val="24"/>
          <w:highlight w:val="none"/>
          <w:u w:val="dotted"/>
        </w:rPr>
        <w:tab/>
      </w:r>
      <w:r>
        <w:rPr>
          <w:rFonts w:hint="eastAsia" w:ascii="宋体" w:hAnsi="宋体" w:eastAsia="宋体" w:cs="宋体"/>
          <w:bCs/>
          <w:color w:val="auto"/>
          <w:sz w:val="24"/>
          <w:szCs w:val="24"/>
          <w:highlight w:val="none"/>
          <w:u w:val="dotted"/>
        </w:rPr>
        <w:t xml:space="preserve">                    </w:t>
      </w:r>
      <w:r>
        <w:rPr>
          <w:rFonts w:hint="eastAsia" w:ascii="宋体" w:hAnsi="宋体" w:eastAsia="宋体" w:cs="宋体"/>
          <w:bCs/>
          <w:color w:val="auto"/>
          <w:sz w:val="24"/>
          <w:szCs w:val="24"/>
          <w:highlight w:val="none"/>
        </w:rPr>
        <w:t>签订日期：</w:t>
      </w:r>
      <w:r>
        <w:rPr>
          <w:rFonts w:hint="eastAsia" w:ascii="宋体" w:hAnsi="宋体" w:eastAsia="宋体" w:cs="宋体"/>
          <w:bCs/>
          <w:color w:val="auto"/>
          <w:sz w:val="24"/>
          <w:szCs w:val="24"/>
          <w:highlight w:val="none"/>
          <w:u w:val="dotted"/>
        </w:rPr>
        <w:t xml:space="preserve">                </w:t>
      </w:r>
    </w:p>
    <w:p w14:paraId="6E460CBA">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bCs/>
          <w:color w:val="auto"/>
          <w:sz w:val="24"/>
          <w:szCs w:val="24"/>
          <w:highlight w:val="none"/>
          <w:u w:val="dotted"/>
          <w:lang w:eastAsia="zh-CN"/>
        </w:rPr>
      </w:pPr>
      <w:r>
        <w:rPr>
          <w:rFonts w:hint="eastAsia" w:ascii="宋体" w:hAnsi="宋体" w:eastAsia="宋体" w:cs="宋体"/>
          <w:bCs/>
          <w:color w:val="auto"/>
          <w:sz w:val="24"/>
          <w:szCs w:val="24"/>
          <w:highlight w:val="none"/>
        </w:rPr>
        <w:t>乙方：</w:t>
      </w:r>
      <w:r>
        <w:rPr>
          <w:rFonts w:hint="eastAsia" w:ascii="宋体" w:hAnsi="宋体" w:eastAsia="宋体" w:cs="宋体"/>
          <w:bCs/>
          <w:color w:val="auto"/>
          <w:sz w:val="24"/>
          <w:szCs w:val="24"/>
          <w:highlight w:val="none"/>
          <w:u w:val="dotted"/>
        </w:rPr>
        <w:tab/>
      </w:r>
      <w:r>
        <w:rPr>
          <w:rFonts w:hint="eastAsia" w:ascii="宋体" w:hAnsi="宋体" w:eastAsia="宋体" w:cs="宋体"/>
          <w:bCs/>
          <w:color w:val="auto"/>
          <w:sz w:val="24"/>
          <w:szCs w:val="24"/>
          <w:highlight w:val="none"/>
          <w:u w:val="dotted"/>
        </w:rPr>
        <w:t xml:space="preserve">                                         </w:t>
      </w:r>
      <w:r>
        <w:rPr>
          <w:rFonts w:hint="eastAsia" w:ascii="宋体" w:hAnsi="宋体" w:eastAsia="宋体" w:cs="宋体"/>
          <w:bCs/>
          <w:color w:val="auto"/>
          <w:sz w:val="24"/>
          <w:szCs w:val="24"/>
          <w:highlight w:val="none"/>
        </w:rPr>
        <w:t>签订地点：</w:t>
      </w:r>
      <w:r>
        <w:rPr>
          <w:rFonts w:hint="eastAsia" w:ascii="宋体" w:hAnsi="宋体" w:eastAsia="宋体" w:cs="宋体"/>
          <w:bCs/>
          <w:color w:val="auto"/>
          <w:sz w:val="24"/>
          <w:szCs w:val="24"/>
          <w:highlight w:val="none"/>
          <w:u w:val="dotted"/>
          <w:lang w:eastAsia="zh-CN"/>
        </w:rPr>
        <w:t>浙江同济科技职业学院</w:t>
      </w:r>
    </w:p>
    <w:p w14:paraId="3B56DE6A">
      <w:pPr>
        <w:keepNext w:val="0"/>
        <w:keepLines w:val="0"/>
        <w:pageBreakBefore w:val="0"/>
        <w:kinsoku/>
        <w:wordWrap/>
        <w:overflowPunct/>
        <w:topLinePunct w:val="0"/>
        <w:autoSpaceDE/>
        <w:autoSpaceDN/>
        <w:bidi w:val="0"/>
        <w:adjustRightInd w:val="0"/>
        <w:snapToGrid w:val="0"/>
        <w:spacing w:line="360" w:lineRule="auto"/>
        <w:ind w:firstLine="480"/>
        <w:jc w:val="left"/>
        <w:rPr>
          <w:rFonts w:hint="eastAsia" w:ascii="宋体" w:hAnsi="宋体" w:eastAsia="宋体" w:cs="宋体"/>
          <w:bCs/>
          <w:color w:val="auto"/>
          <w:kern w:val="0"/>
          <w:sz w:val="24"/>
          <w:szCs w:val="24"/>
          <w:highlight w:val="none"/>
        </w:rPr>
      </w:pPr>
      <w:r>
        <w:rPr>
          <w:rFonts w:hint="eastAsia" w:ascii="宋体" w:hAnsi="宋体" w:cs="宋体"/>
          <w:color w:val="auto"/>
          <w:kern w:val="0"/>
          <w:sz w:val="24"/>
          <w:highlight w:val="none"/>
        </w:rPr>
        <w:t>浙江同济科技职业学院委托浙江致信招标代理有限公司</w:t>
      </w:r>
      <w:r>
        <w:rPr>
          <w:rFonts w:hint="eastAsia" w:ascii="宋体" w:hAnsi="宋体" w:eastAsia="宋体" w:cs="宋体"/>
          <w:color w:val="auto"/>
          <w:kern w:val="0"/>
          <w:sz w:val="24"/>
          <w:szCs w:val="24"/>
          <w:highlight w:val="none"/>
        </w:rPr>
        <w:t>通过</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竞争性磋商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方式采购</w:t>
      </w:r>
      <w:r>
        <w:rPr>
          <w:rFonts w:hint="eastAsia" w:ascii="宋体" w:hAnsi="宋体" w:cs="宋体"/>
          <w:color w:val="auto"/>
          <w:kern w:val="0"/>
          <w:sz w:val="24"/>
          <w:szCs w:val="24"/>
          <w:highlight w:val="none"/>
          <w:lang w:eastAsia="zh-CN"/>
        </w:rPr>
        <w:t>浙江同济科技职业学院</w:t>
      </w:r>
      <w:r>
        <w:rPr>
          <w:rFonts w:hint="eastAsia" w:ascii="宋体" w:hAnsi="宋体" w:cs="宋体"/>
          <w:color w:val="auto"/>
          <w:kern w:val="0"/>
          <w:sz w:val="24"/>
          <w:szCs w:val="24"/>
          <w:highlight w:val="none"/>
          <w:u w:val="single"/>
          <w:lang w:eastAsia="zh-CN"/>
        </w:rPr>
        <w:t>图书馆家具</w:t>
      </w:r>
      <w:r>
        <w:rPr>
          <w:rFonts w:hint="eastAsia" w:ascii="宋体" w:hAnsi="宋体" w:cs="宋体"/>
          <w:color w:val="auto"/>
          <w:kern w:val="0"/>
          <w:sz w:val="24"/>
          <w:szCs w:val="24"/>
          <w:highlight w:val="none"/>
          <w:u w:val="single"/>
          <w:lang w:val="en-US" w:eastAsia="zh-CN"/>
        </w:rPr>
        <w:t>利旧翻新（含部分搬运）</w:t>
      </w:r>
      <w:r>
        <w:rPr>
          <w:rFonts w:hint="eastAsia" w:ascii="宋体" w:hAnsi="宋体" w:eastAsia="宋体" w:cs="宋体"/>
          <w:color w:val="auto"/>
          <w:kern w:val="0"/>
          <w:sz w:val="24"/>
          <w:szCs w:val="24"/>
          <w:highlight w:val="none"/>
        </w:rPr>
        <w:t>项目（</w:t>
      </w:r>
      <w:r>
        <w:rPr>
          <w:rFonts w:hint="eastAsia" w:ascii="宋体" w:hAnsi="宋体" w:eastAsia="宋体" w:cs="宋体"/>
          <w:bCs/>
          <w:color w:val="auto"/>
          <w:kern w:val="0"/>
          <w:sz w:val="24"/>
          <w:szCs w:val="24"/>
          <w:highlight w:val="none"/>
        </w:rPr>
        <w:t>编号：</w:t>
      </w:r>
      <w:r>
        <w:rPr>
          <w:rFonts w:hint="eastAsia" w:ascii="宋体" w:hAnsi="宋体" w:eastAsia="宋体" w:cs="宋体"/>
          <w:bCs/>
          <w:color w:val="auto"/>
          <w:kern w:val="0"/>
          <w:sz w:val="24"/>
          <w:szCs w:val="24"/>
          <w:highlight w:val="none"/>
          <w:u w:val="single"/>
          <w:lang w:val="en-US" w:eastAsia="zh-CN"/>
        </w:rPr>
        <w:t>ZXZB-TJ-</w:t>
      </w:r>
      <w:r>
        <w:rPr>
          <w:rFonts w:hint="eastAsia" w:ascii="宋体" w:hAnsi="宋体" w:cs="宋体"/>
          <w:bCs/>
          <w:color w:val="auto"/>
          <w:kern w:val="0"/>
          <w:sz w:val="24"/>
          <w:szCs w:val="24"/>
          <w:highlight w:val="none"/>
          <w:u w:val="single"/>
          <w:lang w:val="en-US" w:eastAsia="zh-CN"/>
        </w:rPr>
        <w:t>2025011C</w:t>
      </w:r>
      <w:r>
        <w:rPr>
          <w:rFonts w:hint="eastAsia" w:ascii="宋体" w:hAnsi="宋体" w:eastAsia="宋体" w:cs="宋体"/>
          <w:bCs/>
          <w:color w:val="auto"/>
          <w:kern w:val="0"/>
          <w:sz w:val="24"/>
          <w:szCs w:val="24"/>
          <w:highlight w:val="none"/>
        </w:rPr>
        <w:t>）。</w:t>
      </w:r>
      <w:r>
        <w:rPr>
          <w:rFonts w:hint="eastAsia" w:ascii="宋体" w:hAnsi="宋体" w:eastAsia="宋体" w:cs="宋体"/>
          <w:color w:val="auto"/>
          <w:sz w:val="24"/>
          <w:szCs w:val="24"/>
          <w:highlight w:val="none"/>
        </w:rPr>
        <w:t>经评审由</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为</w:t>
      </w:r>
      <w:r>
        <w:rPr>
          <w:rFonts w:hint="eastAsia" w:cs="宋体"/>
          <w:color w:val="auto"/>
          <w:kern w:val="0"/>
          <w:sz w:val="24"/>
          <w:szCs w:val="24"/>
          <w:highlight w:val="none"/>
          <w:lang w:val="en-US" w:eastAsia="zh-CN"/>
        </w:rPr>
        <w:t>成交单位</w:t>
      </w:r>
      <w:r>
        <w:rPr>
          <w:rFonts w:hint="eastAsia" w:ascii="宋体" w:hAnsi="宋体" w:eastAsia="宋体" w:cs="宋体"/>
          <w:color w:val="auto"/>
          <w:kern w:val="0"/>
          <w:sz w:val="24"/>
          <w:szCs w:val="24"/>
          <w:highlight w:val="none"/>
        </w:rPr>
        <w:t>。根据相关法律法规之规定，按照平等、自愿、公平和诚实信用的原则，经甲、乙双方协商一致，约定以下合同条款，以兹共同遵守、全面履行。</w:t>
      </w:r>
    </w:p>
    <w:p w14:paraId="0C2CDA5E">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一、服务</w:t>
      </w:r>
      <w:r>
        <w:rPr>
          <w:rFonts w:hint="eastAsia" w:ascii="宋体" w:hAnsi="宋体" w:eastAsia="宋体" w:cs="宋体"/>
          <w:b/>
          <w:bCs/>
          <w:color w:val="auto"/>
          <w:kern w:val="0"/>
          <w:sz w:val="24"/>
          <w:szCs w:val="24"/>
          <w:highlight w:val="none"/>
          <w:lang w:val="en-US" w:eastAsia="zh-CN"/>
        </w:rPr>
        <w:t>内容</w:t>
      </w:r>
      <w:r>
        <w:rPr>
          <w:rFonts w:hint="eastAsia" w:ascii="宋体" w:hAnsi="宋体" w:eastAsia="宋体" w:cs="宋体"/>
          <w:b/>
          <w:bCs/>
          <w:color w:val="auto"/>
          <w:kern w:val="0"/>
          <w:sz w:val="24"/>
          <w:szCs w:val="24"/>
          <w:highlight w:val="none"/>
        </w:rPr>
        <w:t>及金额：</w:t>
      </w:r>
    </w:p>
    <w:tbl>
      <w:tblPr>
        <w:tblStyle w:val="62"/>
        <w:tblW w:w="9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3331"/>
        <w:gridCol w:w="3258"/>
        <w:gridCol w:w="2427"/>
      </w:tblGrid>
      <w:tr w14:paraId="26AE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942" w:type="dxa"/>
            <w:vAlign w:val="center"/>
          </w:tcPr>
          <w:p w14:paraId="04900D72">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331" w:type="dxa"/>
            <w:vAlign w:val="center"/>
          </w:tcPr>
          <w:p w14:paraId="10D271AD">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3258" w:type="dxa"/>
            <w:vAlign w:val="center"/>
          </w:tcPr>
          <w:p w14:paraId="76A4DB1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服务内容</w:t>
            </w:r>
          </w:p>
        </w:tc>
        <w:tc>
          <w:tcPr>
            <w:tcW w:w="2427" w:type="dxa"/>
            <w:vAlign w:val="center"/>
          </w:tcPr>
          <w:p w14:paraId="3772C1E2">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成交</w:t>
            </w:r>
            <w:r>
              <w:rPr>
                <w:rFonts w:hint="eastAsia" w:ascii="宋体" w:hAnsi="宋体" w:eastAsia="宋体" w:cs="宋体"/>
                <w:color w:val="auto"/>
                <w:kern w:val="0"/>
                <w:sz w:val="24"/>
                <w:szCs w:val="24"/>
                <w:highlight w:val="none"/>
              </w:rPr>
              <w:t>金额</w:t>
            </w:r>
          </w:p>
          <w:p w14:paraId="1DCB6246">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（元）</w:t>
            </w:r>
          </w:p>
        </w:tc>
      </w:tr>
      <w:tr w14:paraId="3C9E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942" w:type="dxa"/>
            <w:vAlign w:val="center"/>
          </w:tcPr>
          <w:p w14:paraId="7154604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331" w:type="dxa"/>
            <w:vAlign w:val="center"/>
          </w:tcPr>
          <w:p w14:paraId="1B8513E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lang w:eastAsia="zh-CN"/>
              </w:rPr>
            </w:pPr>
          </w:p>
        </w:tc>
        <w:tc>
          <w:tcPr>
            <w:tcW w:w="3258" w:type="dxa"/>
            <w:vAlign w:val="center"/>
          </w:tcPr>
          <w:p w14:paraId="52538412">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详见</w:t>
            </w:r>
            <w:r>
              <w:rPr>
                <w:rFonts w:hint="eastAsia" w:ascii="宋体" w:hAnsi="宋体" w:eastAsia="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文件第</w:t>
            </w:r>
            <w:r>
              <w:rPr>
                <w:rFonts w:hint="eastAsia" w:ascii="宋体" w:hAnsi="宋体" w:eastAsia="宋体" w:cs="宋体"/>
                <w:color w:val="auto"/>
                <w:kern w:val="0"/>
                <w:sz w:val="24"/>
                <w:szCs w:val="24"/>
                <w:highlight w:val="none"/>
                <w:lang w:val="en-US" w:eastAsia="zh-CN"/>
              </w:rPr>
              <w:t>三部分</w:t>
            </w:r>
            <w:r>
              <w:rPr>
                <w:rFonts w:hint="eastAsia" w:ascii="宋体" w:hAnsi="宋体" w:eastAsia="宋体" w:cs="宋体"/>
                <w:color w:val="auto"/>
                <w:kern w:val="0"/>
                <w:sz w:val="24"/>
                <w:szCs w:val="24"/>
                <w:highlight w:val="none"/>
              </w:rPr>
              <w:t>“采购需求”</w:t>
            </w:r>
          </w:p>
        </w:tc>
        <w:tc>
          <w:tcPr>
            <w:tcW w:w="2427" w:type="dxa"/>
            <w:vAlign w:val="center"/>
          </w:tcPr>
          <w:p w14:paraId="4881F9F9">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eastAsia" w:ascii="宋体" w:hAnsi="宋体" w:eastAsia="宋体" w:cs="宋体"/>
                <w:color w:val="auto"/>
                <w:kern w:val="0"/>
                <w:sz w:val="24"/>
                <w:szCs w:val="24"/>
                <w:highlight w:val="none"/>
              </w:rPr>
            </w:pPr>
          </w:p>
        </w:tc>
      </w:tr>
    </w:tbl>
    <w:p w14:paraId="6307CD57">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具体如下：</w:t>
      </w:r>
    </w:p>
    <w:p w14:paraId="355E0271">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（一）利旧翻新清单</w:t>
      </w:r>
    </w:p>
    <w:tbl>
      <w:tblPr>
        <w:tblStyle w:val="6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180"/>
        <w:gridCol w:w="1080"/>
        <w:gridCol w:w="5561"/>
        <w:gridCol w:w="696"/>
        <w:gridCol w:w="696"/>
      </w:tblGrid>
      <w:tr w14:paraId="51E9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1"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7A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序号</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8E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A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规格</w:t>
            </w:r>
          </w:p>
        </w:tc>
        <w:tc>
          <w:tcPr>
            <w:tcW w:w="5561" w:type="dxa"/>
            <w:tcBorders>
              <w:top w:val="single" w:color="000000" w:sz="4" w:space="0"/>
              <w:left w:val="single" w:color="000000" w:sz="4" w:space="0"/>
              <w:bottom w:val="single" w:color="000000" w:sz="4" w:space="0"/>
              <w:right w:val="nil"/>
            </w:tcBorders>
            <w:shd w:val="clear" w:color="auto" w:fill="auto"/>
            <w:vAlign w:val="center"/>
          </w:tcPr>
          <w:p w14:paraId="0D5E86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材质要求</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D5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数量</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35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单位</w:t>
            </w:r>
          </w:p>
        </w:tc>
      </w:tr>
      <w:tr w14:paraId="539DB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6B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24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r>
              <w:rPr>
                <w:rFonts w:hint="eastAsia" w:ascii="宋体" w:hAnsi="宋体" w:cs="宋体"/>
                <w:i w:val="0"/>
                <w:iCs w:val="0"/>
                <w:color w:val="auto"/>
                <w:kern w:val="0"/>
                <w:sz w:val="24"/>
                <w:szCs w:val="24"/>
                <w:highlight w:val="none"/>
                <w:u w:val="none"/>
                <w:lang w:val="en-US" w:eastAsia="zh-CN" w:bidi="ar"/>
              </w:rPr>
              <w:t>30</w:t>
            </w:r>
            <w:r>
              <w:rPr>
                <w:rFonts w:hint="eastAsia" w:ascii="宋体" w:hAnsi="宋体" w:eastAsia="宋体" w:cs="宋体"/>
                <w:i w:val="0"/>
                <w:iCs w:val="0"/>
                <w:color w:val="auto"/>
                <w:kern w:val="0"/>
                <w:sz w:val="24"/>
                <w:szCs w:val="24"/>
                <w:highlight w:val="none"/>
                <w:u w:val="none"/>
                <w:lang w:val="en-US" w:eastAsia="zh-CN" w:bidi="ar"/>
              </w:rPr>
              <w:t>节双面书架</w:t>
            </w:r>
            <w:r>
              <w:rPr>
                <w:rFonts w:hint="eastAsia" w:ascii="宋体" w:hAnsi="宋体" w:cs="宋体"/>
                <w:i w:val="0"/>
                <w:iCs w:val="0"/>
                <w:color w:val="auto"/>
                <w:kern w:val="0"/>
                <w:sz w:val="24"/>
                <w:szCs w:val="24"/>
                <w:highlight w:val="none"/>
                <w:u w:val="none"/>
                <w:lang w:val="en-US" w:eastAsia="zh-CN" w:bidi="ar"/>
              </w:rPr>
              <w:t>双侧护板、顶板、底板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D6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按平方计算</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B9E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xml:space="preserve">1、基材：采用国家标准E1级环保实木多层板，符合国家标准要求。                                                                         2、贴面：采用优质实木木皮饰面，木皮木纹流畅，色泽一致，完整干净、无瑕疵，颜色均匀平整，符合国家标准要求。                                                                                                                                                                                                                                                                                 3、油漆：采用优质水性清面漆和底漆，符合国家标准要求。                                                                          4、要求：每列外护板雕刻下采购人学校LOGO，每列外护板安装多媒体显示屏。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319B">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6C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块</w:t>
            </w:r>
          </w:p>
        </w:tc>
      </w:tr>
      <w:tr w14:paraId="46F9A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D88A">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7CA3">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多媒体显示屏幕</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0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显示区域：305.5*229.5 mm</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2041">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显示性能参数：分辨率：不低于1024×768；亮度：≥350 cd/m²；竖屏显示功能；高清输出功能；显示任意分区功能；LED直接控制功能。</w:t>
            </w:r>
          </w:p>
          <w:p w14:paraId="43A97DCC">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系统硬件配置：CPU：不低于ARM 四核 1.8GHz；存储配置：≥16G高速卡（支持编辑播放与电视播放功能）</w:t>
            </w:r>
          </w:p>
          <w:p w14:paraId="7B5E8229">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用户与权限管理功能：多级用户身份和密码管理功能；分区、分组、分控管理功能；模板预制或定制功能</w:t>
            </w:r>
          </w:p>
          <w:p w14:paraId="729B1BF2">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信息发布与播放控制功能：实时动态信息发布功能；网络传输功能；信息紧急插播功能；编辑播放功能</w:t>
            </w:r>
          </w:p>
          <w:p w14:paraId="5A9FEF82">
            <w:pPr>
              <w:pStyle w:val="58"/>
              <w:keepNext w:val="0"/>
              <w:keepLines w:val="0"/>
              <w:pageBreakBefore w:val="0"/>
              <w:widowControl/>
              <w:numPr>
                <w:ilvl w:val="0"/>
                <w:numId w:val="2"/>
              </w:numPr>
              <w:suppressLineNumbers w:val="0"/>
              <w:kinsoku/>
              <w:wordWrap/>
              <w:overflowPunct/>
              <w:topLinePunct w:val="0"/>
              <w:autoSpaceDE/>
              <w:autoSpaceDN/>
              <w:bidi w:val="0"/>
              <w:adjustRightInd w:val="0"/>
              <w:snapToGrid/>
              <w:textAlignment w:val="auto"/>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监控与管理平台功能：综合信息管理平台功能；日志管理功能；终端监控功能</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32D8">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85</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1B97">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套</w:t>
            </w:r>
          </w:p>
        </w:tc>
      </w:tr>
      <w:tr w14:paraId="51647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CA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DF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双面书架感应灯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59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920*25*7mm</w:t>
            </w:r>
          </w:p>
        </w:tc>
        <w:tc>
          <w:tcPr>
            <w:tcW w:w="5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D11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每节书架灯顶板前后面嵌入LED节能感应灯，控制系统应具备人体自动感应功能，即“人来灯亮，人走灯灭”功能。安装方式：明装固定卡扣式，输入电压：12V ，产品材质：铝+PC罩，产品色温：≥6000K</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92EA">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860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8B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根</w:t>
            </w:r>
          </w:p>
        </w:tc>
      </w:tr>
    </w:tbl>
    <w:p w14:paraId="60B08D09">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（二）利旧翻新要求</w:t>
      </w:r>
    </w:p>
    <w:p w14:paraId="12A166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1.乙方需</w:t>
      </w:r>
      <w:r>
        <w:rPr>
          <w:rFonts w:hint="default" w:asciiTheme="minorEastAsia" w:hAnsiTheme="minorEastAsia" w:eastAsiaTheme="minorEastAsia" w:cstheme="minorEastAsia"/>
          <w:color w:val="auto"/>
          <w:sz w:val="24"/>
          <w:szCs w:val="24"/>
          <w:highlight w:val="none"/>
          <w:lang w:val="en-US" w:eastAsia="zh-CN"/>
        </w:rPr>
        <w:t>提供专业化的翻新处理、分类编号服务。服务过程应确保与图书馆正常办公教学不冲突，并</w:t>
      </w:r>
      <w:r>
        <w:rPr>
          <w:rFonts w:hint="eastAsia" w:asciiTheme="minorEastAsia" w:hAnsiTheme="minorEastAsia" w:eastAsiaTheme="minorEastAsia" w:cstheme="minorEastAsia"/>
          <w:color w:val="auto"/>
          <w:sz w:val="24"/>
          <w:szCs w:val="24"/>
          <w:highlight w:val="none"/>
          <w:lang w:val="en-US" w:eastAsia="zh-CN"/>
        </w:rPr>
        <w:t>对翻新后的产品</w:t>
      </w:r>
      <w:r>
        <w:rPr>
          <w:rFonts w:hint="default" w:asciiTheme="minorEastAsia" w:hAnsiTheme="minorEastAsia" w:eastAsiaTheme="minorEastAsia" w:cstheme="minorEastAsia"/>
          <w:color w:val="auto"/>
          <w:sz w:val="24"/>
          <w:szCs w:val="24"/>
          <w:highlight w:val="none"/>
          <w:lang w:val="en-US" w:eastAsia="zh-CN"/>
        </w:rPr>
        <w:t>提供三年质保服务</w:t>
      </w:r>
      <w:r>
        <w:rPr>
          <w:rFonts w:hint="eastAsia" w:asciiTheme="minorEastAsia" w:hAnsiTheme="minorEastAsia" w:eastAsiaTheme="minorEastAsia" w:cstheme="minorEastAsia"/>
          <w:color w:val="auto"/>
          <w:sz w:val="24"/>
          <w:szCs w:val="24"/>
          <w:highlight w:val="none"/>
          <w:lang w:val="en-US" w:eastAsia="zh-CN"/>
        </w:rPr>
        <w:t>。</w:t>
      </w:r>
    </w:p>
    <w:p w14:paraId="5D0D26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2.翻新过程中须严格遵守安全操作规范，保障现场人员、馆舍设施和馆藏资料的安全。</w:t>
      </w:r>
    </w:p>
    <w:p w14:paraId="694554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3.翻新过程中使用的涂料、材料等应符合环保标准，避免释放有害物质。翻新完成后，家具及安装环境的空气质量应符合 GB/T 18883-2022《室内空气质量标准》。</w:t>
      </w:r>
    </w:p>
    <w:p w14:paraId="6AAC9987">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（三）需搬运的家具清单</w:t>
      </w:r>
    </w:p>
    <w:tbl>
      <w:tblPr>
        <w:tblStyle w:val="6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8"/>
        <w:gridCol w:w="1431"/>
        <w:gridCol w:w="736"/>
        <w:gridCol w:w="758"/>
        <w:gridCol w:w="2058"/>
        <w:gridCol w:w="3035"/>
        <w:gridCol w:w="648"/>
        <w:gridCol w:w="648"/>
      </w:tblGrid>
      <w:tr w14:paraId="75C56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E0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序号</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0B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名称</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112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搬运前摆放区</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829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搬运后摆放区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787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规格</w:t>
            </w:r>
          </w:p>
        </w:tc>
        <w:tc>
          <w:tcPr>
            <w:tcW w:w="1523" w:type="pct"/>
            <w:tcBorders>
              <w:top w:val="single" w:color="000000" w:sz="4" w:space="0"/>
              <w:left w:val="single" w:color="000000" w:sz="4" w:space="0"/>
              <w:bottom w:val="single" w:color="000000" w:sz="4" w:space="0"/>
              <w:right w:val="nil"/>
            </w:tcBorders>
            <w:shd w:val="clear" w:color="auto" w:fill="auto"/>
            <w:vAlign w:val="center"/>
          </w:tcPr>
          <w:p w14:paraId="6AB650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搬运产品图</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47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数量</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A3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单位</w:t>
            </w:r>
          </w:p>
        </w:tc>
      </w:tr>
      <w:tr w14:paraId="4B9C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8BF4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DC58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书架拆装、搬运</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BBCC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409A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13F、14F、15F</w:t>
            </w:r>
          </w:p>
        </w:tc>
        <w:tc>
          <w:tcPr>
            <w:tcW w:w="1032" w:type="pct"/>
            <w:tcBorders>
              <w:top w:val="single" w:color="000000" w:sz="4" w:space="0"/>
              <w:left w:val="single" w:color="000000" w:sz="4" w:space="0"/>
              <w:bottom w:val="nil"/>
              <w:right w:val="single" w:color="000000" w:sz="4" w:space="0"/>
            </w:tcBorders>
            <w:shd w:val="clear" w:color="auto" w:fill="auto"/>
            <w:noWrap/>
            <w:vAlign w:val="center"/>
          </w:tcPr>
          <w:p w14:paraId="567E75D9">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none"/>
              </w:rPr>
            </w:pPr>
          </w:p>
        </w:tc>
        <w:tc>
          <w:tcPr>
            <w:tcW w:w="1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3F7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895350" cy="1217295"/>
                  <wp:effectExtent l="0" t="0" r="6350" b="1905"/>
                  <wp:docPr id="22" name="image76.jpeg"/>
                  <wp:cNvGraphicFramePr/>
                  <a:graphic xmlns:a="http://schemas.openxmlformats.org/drawingml/2006/main">
                    <a:graphicData uri="http://schemas.openxmlformats.org/drawingml/2006/picture">
                      <pic:pic xmlns:pic="http://schemas.openxmlformats.org/drawingml/2006/picture">
                        <pic:nvPicPr>
                          <pic:cNvPr id="22" name="image76.jpeg"/>
                          <pic:cNvPicPr/>
                        </pic:nvPicPr>
                        <pic:blipFill>
                          <a:blip r:embed="rId33"/>
                          <a:stretch>
                            <a:fillRect/>
                          </a:stretch>
                        </pic:blipFill>
                        <pic:spPr>
                          <a:xfrm>
                            <a:off x="0" y="0"/>
                            <a:ext cx="895350" cy="121729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009C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430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827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节</w:t>
            </w:r>
          </w:p>
        </w:tc>
      </w:tr>
      <w:tr w14:paraId="6679D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668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7DA8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弧形沙发组合</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645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三楼过道</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5F5E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CDAB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弧形沙发1组，圆桌2张，圆凳5个</w:t>
            </w:r>
          </w:p>
        </w:tc>
        <w:tc>
          <w:tcPr>
            <w:tcW w:w="1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39A1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263015" cy="653415"/>
                  <wp:effectExtent l="0" t="0" r="6985" b="6985"/>
                  <wp:docPr id="23" name="image78.jpeg"/>
                  <wp:cNvGraphicFramePr/>
                  <a:graphic xmlns:a="http://schemas.openxmlformats.org/drawingml/2006/main">
                    <a:graphicData uri="http://schemas.openxmlformats.org/drawingml/2006/picture">
                      <pic:pic xmlns:pic="http://schemas.openxmlformats.org/drawingml/2006/picture">
                        <pic:nvPicPr>
                          <pic:cNvPr id="23" name="image78.jpeg"/>
                          <pic:cNvPicPr/>
                        </pic:nvPicPr>
                        <pic:blipFill>
                          <a:blip r:embed="rId34"/>
                          <a:stretch>
                            <a:fillRect/>
                          </a:stretch>
                        </pic:blipFill>
                        <pic:spPr>
                          <a:xfrm>
                            <a:off x="0" y="0"/>
                            <a:ext cx="1263015" cy="65341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A08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52B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7860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558E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927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双人沙发</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9E0E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13EA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53C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1700*750*700mm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967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139190" cy="721995"/>
                  <wp:effectExtent l="0" t="0" r="3810" b="1905"/>
                  <wp:docPr id="24" name="image80.jpeg"/>
                  <wp:cNvGraphicFramePr/>
                  <a:graphic xmlns:a="http://schemas.openxmlformats.org/drawingml/2006/main">
                    <a:graphicData uri="http://schemas.openxmlformats.org/drawingml/2006/picture">
                      <pic:pic xmlns:pic="http://schemas.openxmlformats.org/drawingml/2006/picture">
                        <pic:nvPicPr>
                          <pic:cNvPr id="24" name="image80.jpeg"/>
                          <pic:cNvPicPr/>
                        </pic:nvPicPr>
                        <pic:blipFill>
                          <a:blip r:embed="rId35"/>
                          <a:stretch>
                            <a:fillRect/>
                          </a:stretch>
                        </pic:blipFill>
                        <pic:spPr>
                          <a:xfrm>
                            <a:off x="0" y="0"/>
                            <a:ext cx="1139190" cy="72199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1BC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123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2D50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6B1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3E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实木长茶几</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ECB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102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41D8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1200*600*420mm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8060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078230" cy="1028700"/>
                  <wp:effectExtent l="0" t="0" r="1270" b="0"/>
                  <wp:docPr id="25" name="image79.jpeg"/>
                  <wp:cNvGraphicFramePr/>
                  <a:graphic xmlns:a="http://schemas.openxmlformats.org/drawingml/2006/main">
                    <a:graphicData uri="http://schemas.openxmlformats.org/drawingml/2006/picture">
                      <pic:pic xmlns:pic="http://schemas.openxmlformats.org/drawingml/2006/picture">
                        <pic:nvPicPr>
                          <pic:cNvPr id="25" name="image79.jpeg"/>
                          <pic:cNvPicPr/>
                        </pic:nvPicPr>
                        <pic:blipFill>
                          <a:blip r:embed="rId36"/>
                          <a:stretch>
                            <a:fillRect/>
                          </a:stretch>
                        </pic:blipFill>
                        <pic:spPr>
                          <a:xfrm>
                            <a:off x="0" y="0"/>
                            <a:ext cx="1078230" cy="102870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F68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203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54582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3DB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73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圆桌</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BB2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F4C5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DEA4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直径800*750mm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884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090295" cy="1165225"/>
                  <wp:effectExtent l="0" t="0" r="1905" b="3175"/>
                  <wp:docPr id="26" name="image63.jpeg"/>
                  <wp:cNvGraphicFramePr/>
                  <a:graphic xmlns:a="http://schemas.openxmlformats.org/drawingml/2006/main">
                    <a:graphicData uri="http://schemas.openxmlformats.org/drawingml/2006/picture">
                      <pic:pic xmlns:pic="http://schemas.openxmlformats.org/drawingml/2006/picture">
                        <pic:nvPicPr>
                          <pic:cNvPr id="26" name="image63.jpeg"/>
                          <pic:cNvPicPr/>
                        </pic:nvPicPr>
                        <pic:blipFill>
                          <a:blip r:embed="rId37"/>
                          <a:stretch>
                            <a:fillRect/>
                          </a:stretch>
                        </pic:blipFill>
                        <pic:spPr>
                          <a:xfrm>
                            <a:off x="0" y="0"/>
                            <a:ext cx="1090295" cy="116522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BC5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6A92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5CF38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F5B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6</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7F7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单人位</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480E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8F4D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D334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单人位</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695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972820" cy="1143635"/>
                  <wp:effectExtent l="0" t="0" r="5080" b="12065"/>
                  <wp:docPr id="27" name="image90.jpeg"/>
                  <wp:cNvGraphicFramePr/>
                  <a:graphic xmlns:a="http://schemas.openxmlformats.org/drawingml/2006/main">
                    <a:graphicData uri="http://schemas.openxmlformats.org/drawingml/2006/picture">
                      <pic:pic xmlns:pic="http://schemas.openxmlformats.org/drawingml/2006/picture">
                        <pic:nvPicPr>
                          <pic:cNvPr id="27" name="image90.jpeg"/>
                          <pic:cNvPicPr/>
                        </pic:nvPicPr>
                        <pic:blipFill>
                          <a:blip r:embed="rId38"/>
                          <a:stretch>
                            <a:fillRect/>
                          </a:stretch>
                        </pic:blipFill>
                        <pic:spPr>
                          <a:xfrm>
                            <a:off x="0" y="0"/>
                            <a:ext cx="972820" cy="114363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989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B05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08F6C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A81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625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组合沙发</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6A94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3E3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93B9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xml:space="preserve">坐凳：750*800*420mm*2组  </w:t>
            </w:r>
          </w:p>
          <w:p w14:paraId="2777375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沙发：2040*800*700mm*2组</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转角沙发：1270*1270*700mm*1组</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B5E8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bdr w:val="single" w:color="000000" w:sz="4" w:space="0"/>
                <w:lang w:val="en-US" w:eastAsia="zh-CN" w:bidi="ar"/>
              </w:rPr>
              <w:drawing>
                <wp:inline distT="0" distB="0" distL="114300" distR="114300">
                  <wp:extent cx="1447165" cy="1120140"/>
                  <wp:effectExtent l="0" t="0" r="635" b="10160"/>
                  <wp:docPr id="28" name="image91.jpeg"/>
                  <wp:cNvGraphicFramePr/>
                  <a:graphic xmlns:a="http://schemas.openxmlformats.org/drawingml/2006/main">
                    <a:graphicData uri="http://schemas.openxmlformats.org/drawingml/2006/picture">
                      <pic:pic xmlns:pic="http://schemas.openxmlformats.org/drawingml/2006/picture">
                        <pic:nvPicPr>
                          <pic:cNvPr id="28" name="image91.jpeg"/>
                          <pic:cNvPicPr/>
                        </pic:nvPicPr>
                        <pic:blipFill>
                          <a:blip r:embed="rId39"/>
                          <a:stretch>
                            <a:fillRect/>
                          </a:stretch>
                        </pic:blipFill>
                        <pic:spPr>
                          <a:xfrm>
                            <a:off x="0" y="0"/>
                            <a:ext cx="1447165" cy="112014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B970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5D2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套</w:t>
            </w:r>
          </w:p>
        </w:tc>
      </w:tr>
      <w:tr w14:paraId="1E1C6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F4B1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4A8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抽屉书桌</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D27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二楼阅览室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B6BC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13F、14F、15F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EB4B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1200*600*750mm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2EB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649095" cy="928370"/>
                  <wp:effectExtent l="0" t="0" r="1905" b="11430"/>
                  <wp:docPr id="29" name="图片_8"/>
                  <wp:cNvGraphicFramePr/>
                  <a:graphic xmlns:a="http://schemas.openxmlformats.org/drawingml/2006/main">
                    <a:graphicData uri="http://schemas.openxmlformats.org/drawingml/2006/picture">
                      <pic:pic xmlns:pic="http://schemas.openxmlformats.org/drawingml/2006/picture">
                        <pic:nvPicPr>
                          <pic:cNvPr id="29" name="图片_8"/>
                          <pic:cNvPicPr/>
                        </pic:nvPicPr>
                        <pic:blipFill>
                          <a:blip r:embed="rId40"/>
                          <a:stretch>
                            <a:fillRect/>
                          </a:stretch>
                        </pic:blipFill>
                        <pic:spPr>
                          <a:xfrm>
                            <a:off x="0" y="0"/>
                            <a:ext cx="1649095" cy="92837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FDC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B96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1F986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07F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463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书籍展示柜1</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371B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C5F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C4D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1000*600*1200mm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FA3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701800" cy="1040130"/>
                  <wp:effectExtent l="0" t="0" r="0" b="1270"/>
                  <wp:docPr id="30" name="图片_9"/>
                  <wp:cNvGraphicFramePr/>
                  <a:graphic xmlns:a="http://schemas.openxmlformats.org/drawingml/2006/main">
                    <a:graphicData uri="http://schemas.openxmlformats.org/drawingml/2006/picture">
                      <pic:pic xmlns:pic="http://schemas.openxmlformats.org/drawingml/2006/picture">
                        <pic:nvPicPr>
                          <pic:cNvPr id="30" name="图片_9"/>
                          <pic:cNvPicPr/>
                        </pic:nvPicPr>
                        <pic:blipFill>
                          <a:blip r:embed="rId41"/>
                          <a:stretch>
                            <a:fillRect/>
                          </a:stretch>
                        </pic:blipFill>
                        <pic:spPr>
                          <a:xfrm>
                            <a:off x="0" y="0"/>
                            <a:ext cx="1701800" cy="104013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E2C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2D0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789B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98D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636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书籍展示柜2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758A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F087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E23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1500*90*1400mm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ABB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031875" cy="1193800"/>
                  <wp:effectExtent l="0" t="0" r="9525" b="0"/>
                  <wp:docPr id="31" name="图片_10"/>
                  <wp:cNvGraphicFramePr/>
                  <a:graphic xmlns:a="http://schemas.openxmlformats.org/drawingml/2006/main">
                    <a:graphicData uri="http://schemas.openxmlformats.org/drawingml/2006/picture">
                      <pic:pic xmlns:pic="http://schemas.openxmlformats.org/drawingml/2006/picture">
                        <pic:nvPicPr>
                          <pic:cNvPr id="31" name="图片_10"/>
                          <pic:cNvPicPr/>
                        </pic:nvPicPr>
                        <pic:blipFill>
                          <a:blip r:embed="rId42"/>
                          <a:stretch>
                            <a:fillRect/>
                          </a:stretch>
                        </pic:blipFill>
                        <pic:spPr>
                          <a:xfrm>
                            <a:off x="0" y="0"/>
                            <a:ext cx="1031875" cy="119380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47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A1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7CF8D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B02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926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实木书柜</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9DF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一楼大厅</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B0A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A57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1800*35*1400mm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9B4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969770" cy="887730"/>
                  <wp:effectExtent l="0" t="0" r="11430" b="1270"/>
                  <wp:docPr id="32" name="图片_11"/>
                  <wp:cNvGraphicFramePr/>
                  <a:graphic xmlns:a="http://schemas.openxmlformats.org/drawingml/2006/main">
                    <a:graphicData uri="http://schemas.openxmlformats.org/drawingml/2006/picture">
                      <pic:pic xmlns:pic="http://schemas.openxmlformats.org/drawingml/2006/picture">
                        <pic:nvPicPr>
                          <pic:cNvPr id="32" name="图片_11"/>
                          <pic:cNvPicPr/>
                        </pic:nvPicPr>
                        <pic:blipFill>
                          <a:blip r:embed="rId43"/>
                          <a:stretch>
                            <a:fillRect/>
                          </a:stretch>
                        </pic:blipFill>
                        <pic:spPr>
                          <a:xfrm>
                            <a:off x="0" y="0"/>
                            <a:ext cx="1969770" cy="88773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A0E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9EE2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组</w:t>
            </w:r>
          </w:p>
        </w:tc>
      </w:tr>
      <w:tr w14:paraId="06361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C9B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68E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自习桌</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3000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二楼自习室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A0C2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01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1000*500*1350mm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B9B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840740" cy="1149985"/>
                  <wp:effectExtent l="0" t="0" r="10160" b="5715"/>
                  <wp:docPr id="33" name="image107.jpeg"/>
                  <wp:cNvGraphicFramePr/>
                  <a:graphic xmlns:a="http://schemas.openxmlformats.org/drawingml/2006/main">
                    <a:graphicData uri="http://schemas.openxmlformats.org/drawingml/2006/picture">
                      <pic:pic xmlns:pic="http://schemas.openxmlformats.org/drawingml/2006/picture">
                        <pic:nvPicPr>
                          <pic:cNvPr id="33" name="image107.jpeg"/>
                          <pic:cNvPicPr/>
                        </pic:nvPicPr>
                        <pic:blipFill>
                          <a:blip r:embed="rId44"/>
                          <a:stretch>
                            <a:fillRect/>
                          </a:stretch>
                        </pic:blipFill>
                        <pic:spPr>
                          <a:xfrm>
                            <a:off x="0" y="0"/>
                            <a:ext cx="840740" cy="114998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DA6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A42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7CF15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6B1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A27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钢木阅览桌</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9102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F1A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EEB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1600*1000*750mm</w:t>
            </w:r>
          </w:p>
        </w:tc>
        <w:tc>
          <w:tcPr>
            <w:tcW w:w="1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1E7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440180" cy="1114425"/>
                  <wp:effectExtent l="0" t="0" r="7620" b="3175"/>
                  <wp:docPr id="34" name="image106.jpeg"/>
                  <wp:cNvGraphicFramePr/>
                  <a:graphic xmlns:a="http://schemas.openxmlformats.org/drawingml/2006/main">
                    <a:graphicData uri="http://schemas.openxmlformats.org/drawingml/2006/picture">
                      <pic:pic xmlns:pic="http://schemas.openxmlformats.org/drawingml/2006/picture">
                        <pic:nvPicPr>
                          <pic:cNvPr id="34" name="image106.jpeg"/>
                          <pic:cNvPicPr/>
                        </pic:nvPicPr>
                        <pic:blipFill>
                          <a:blip r:embed="rId45"/>
                          <a:stretch>
                            <a:fillRect/>
                          </a:stretch>
                        </pic:blipFill>
                        <pic:spPr>
                          <a:xfrm>
                            <a:off x="0" y="0"/>
                            <a:ext cx="1440180" cy="1114425"/>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4DC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EF8B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1C38C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9C3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535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圆形展示架</w:t>
            </w:r>
          </w:p>
        </w:tc>
        <w:tc>
          <w:tcPr>
            <w:tcW w:w="369" w:type="pct"/>
            <w:vMerge w:val="restart"/>
            <w:tcBorders>
              <w:top w:val="single" w:color="000000" w:sz="4" w:space="0"/>
              <w:left w:val="single" w:color="000000" w:sz="4" w:space="0"/>
              <w:right w:val="single" w:color="000000" w:sz="4" w:space="0"/>
            </w:tcBorders>
            <w:shd w:val="clear" w:color="auto" w:fill="auto"/>
            <w:vAlign w:val="center"/>
          </w:tcPr>
          <w:p w14:paraId="2E39FF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75CB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227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φ1500*H1200mm</w:t>
            </w:r>
          </w:p>
        </w:tc>
        <w:tc>
          <w:tcPr>
            <w:tcW w:w="15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65E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747520" cy="1132840"/>
                  <wp:effectExtent l="0" t="0" r="5080" b="10160"/>
                  <wp:docPr id="35" name="image111.jpeg"/>
                  <wp:cNvGraphicFramePr/>
                  <a:graphic xmlns:a="http://schemas.openxmlformats.org/drawingml/2006/main">
                    <a:graphicData uri="http://schemas.openxmlformats.org/drawingml/2006/picture">
                      <pic:pic xmlns:pic="http://schemas.openxmlformats.org/drawingml/2006/picture">
                        <pic:nvPicPr>
                          <pic:cNvPr id="35" name="image111.jpeg"/>
                          <pic:cNvPicPr/>
                        </pic:nvPicPr>
                        <pic:blipFill>
                          <a:blip r:embed="rId46"/>
                          <a:stretch>
                            <a:fillRect/>
                          </a:stretch>
                        </pic:blipFill>
                        <pic:spPr>
                          <a:xfrm>
                            <a:off x="0" y="0"/>
                            <a:ext cx="1747520" cy="113284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0A6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EC8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38F3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C15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15</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520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弧形展示架</w:t>
            </w:r>
          </w:p>
        </w:tc>
        <w:tc>
          <w:tcPr>
            <w:tcW w:w="369" w:type="pct"/>
            <w:vMerge w:val="continue"/>
            <w:tcBorders>
              <w:left w:val="single" w:color="000000" w:sz="4" w:space="0"/>
              <w:right w:val="single" w:color="000000" w:sz="4" w:space="0"/>
            </w:tcBorders>
            <w:shd w:val="clear" w:color="auto" w:fill="auto"/>
            <w:vAlign w:val="center"/>
          </w:tcPr>
          <w:p w14:paraId="203E13F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5196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BC70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2300*800*900mm</w:t>
            </w:r>
          </w:p>
        </w:tc>
        <w:tc>
          <w:tcPr>
            <w:tcW w:w="15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BBB9">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singl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2F3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1F8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1404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tcBorders>
              <w:top w:val="single" w:color="000000" w:sz="4" w:space="0"/>
              <w:left w:val="single" w:color="000000" w:sz="4" w:space="0"/>
              <w:bottom w:val="nil"/>
              <w:right w:val="single" w:color="000000" w:sz="4" w:space="0"/>
            </w:tcBorders>
            <w:shd w:val="clear" w:color="auto" w:fill="auto"/>
            <w:noWrap/>
            <w:vAlign w:val="center"/>
          </w:tcPr>
          <w:p w14:paraId="170E920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16</w:t>
            </w:r>
          </w:p>
        </w:tc>
        <w:tc>
          <w:tcPr>
            <w:tcW w:w="718" w:type="pct"/>
            <w:tcBorders>
              <w:top w:val="single" w:color="000000" w:sz="4" w:space="0"/>
              <w:left w:val="single" w:color="000000" w:sz="4" w:space="0"/>
              <w:bottom w:val="nil"/>
              <w:right w:val="single" w:color="000000" w:sz="4" w:space="0"/>
            </w:tcBorders>
            <w:shd w:val="clear" w:color="auto" w:fill="auto"/>
            <w:noWrap/>
            <w:vAlign w:val="center"/>
          </w:tcPr>
          <w:p w14:paraId="3E50CB1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新书展示架</w:t>
            </w:r>
          </w:p>
        </w:tc>
        <w:tc>
          <w:tcPr>
            <w:tcW w:w="369" w:type="pct"/>
            <w:vMerge w:val="continue"/>
            <w:tcBorders>
              <w:left w:val="single" w:color="000000" w:sz="4" w:space="0"/>
              <w:bottom w:val="nil"/>
              <w:right w:val="single" w:color="000000" w:sz="4" w:space="0"/>
            </w:tcBorders>
            <w:shd w:val="clear" w:color="auto" w:fill="auto"/>
            <w:vAlign w:val="center"/>
          </w:tcPr>
          <w:p w14:paraId="4709B6E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tc>
        <w:tc>
          <w:tcPr>
            <w:tcW w:w="380" w:type="pct"/>
            <w:tcBorders>
              <w:top w:val="single" w:color="000000" w:sz="4" w:space="0"/>
              <w:left w:val="single" w:color="000000" w:sz="4" w:space="0"/>
              <w:bottom w:val="nil"/>
              <w:right w:val="single" w:color="000000" w:sz="4" w:space="0"/>
            </w:tcBorders>
            <w:shd w:val="clear" w:color="auto" w:fill="auto"/>
            <w:vAlign w:val="center"/>
          </w:tcPr>
          <w:p w14:paraId="67D69E3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14F</w:t>
            </w:r>
          </w:p>
        </w:tc>
        <w:tc>
          <w:tcPr>
            <w:tcW w:w="1032" w:type="pct"/>
            <w:tcBorders>
              <w:top w:val="single" w:color="000000" w:sz="4" w:space="0"/>
              <w:left w:val="single" w:color="000000" w:sz="4" w:space="0"/>
              <w:bottom w:val="nil"/>
              <w:right w:val="single" w:color="000000" w:sz="4" w:space="0"/>
            </w:tcBorders>
            <w:shd w:val="clear" w:color="auto" w:fill="auto"/>
            <w:vAlign w:val="center"/>
          </w:tcPr>
          <w:p w14:paraId="72A68C3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1600*1000*1200mm</w:t>
            </w:r>
          </w:p>
        </w:tc>
        <w:tc>
          <w:tcPr>
            <w:tcW w:w="15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70E7">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single"/>
              </w:rPr>
            </w:pPr>
          </w:p>
        </w:tc>
        <w:tc>
          <w:tcPr>
            <w:tcW w:w="325" w:type="pct"/>
            <w:tcBorders>
              <w:top w:val="single" w:color="000000" w:sz="4" w:space="0"/>
              <w:left w:val="single" w:color="000000" w:sz="4" w:space="0"/>
              <w:bottom w:val="nil"/>
              <w:right w:val="single" w:color="000000" w:sz="4" w:space="0"/>
            </w:tcBorders>
            <w:shd w:val="clear" w:color="auto" w:fill="auto"/>
            <w:noWrap/>
            <w:vAlign w:val="center"/>
          </w:tcPr>
          <w:p w14:paraId="313930D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325" w:type="pct"/>
            <w:tcBorders>
              <w:top w:val="single" w:color="000000" w:sz="4" w:space="0"/>
              <w:left w:val="single" w:color="000000" w:sz="4" w:space="0"/>
              <w:bottom w:val="nil"/>
              <w:right w:val="single" w:color="000000" w:sz="4" w:space="0"/>
            </w:tcBorders>
            <w:shd w:val="clear" w:color="auto" w:fill="auto"/>
            <w:noWrap/>
            <w:vAlign w:val="center"/>
          </w:tcPr>
          <w:p w14:paraId="3EA0BB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3F6E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69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17</w:t>
            </w:r>
          </w:p>
        </w:tc>
        <w:tc>
          <w:tcPr>
            <w:tcW w:w="7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E25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双面三层杂志柜</w:t>
            </w:r>
          </w:p>
        </w:tc>
        <w:tc>
          <w:tcPr>
            <w:tcW w:w="369" w:type="pct"/>
            <w:vMerge w:val="restart"/>
            <w:tcBorders>
              <w:top w:val="single" w:color="000000" w:sz="4" w:space="0"/>
              <w:left w:val="single" w:color="000000" w:sz="4" w:space="0"/>
              <w:right w:val="single" w:color="000000" w:sz="4" w:space="0"/>
            </w:tcBorders>
            <w:shd w:val="clear" w:color="auto" w:fill="auto"/>
            <w:vAlign w:val="center"/>
          </w:tcPr>
          <w:p w14:paraId="67E7B2F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三楼期刊阅览室</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6AC6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CE52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950*650*1200</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/节</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（5节1列）</w:t>
            </w:r>
          </w:p>
        </w:tc>
        <w:tc>
          <w:tcPr>
            <w:tcW w:w="15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07A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single"/>
              </w:rPr>
            </w:pPr>
            <w:r>
              <w:rPr>
                <w:rFonts w:hint="eastAsia" w:asciiTheme="minorEastAsia" w:hAnsiTheme="minorEastAsia" w:eastAsiaTheme="minorEastAsia" w:cstheme="minorEastAsia"/>
                <w:i w:val="0"/>
                <w:iCs w:val="0"/>
                <w:color w:val="auto"/>
                <w:kern w:val="0"/>
                <w:sz w:val="24"/>
                <w:szCs w:val="24"/>
                <w:highlight w:val="none"/>
                <w:u w:val="single"/>
                <w:bdr w:val="single" w:color="000000" w:sz="4" w:space="0"/>
                <w:lang w:val="en-US" w:eastAsia="zh-CN" w:bidi="ar"/>
              </w:rPr>
              <w:drawing>
                <wp:inline distT="0" distB="0" distL="114300" distR="114300">
                  <wp:extent cx="1483360" cy="1065530"/>
                  <wp:effectExtent l="0" t="0" r="2540" b="1270"/>
                  <wp:docPr id="36" name="图片_15"/>
                  <wp:cNvGraphicFramePr/>
                  <a:graphic xmlns:a="http://schemas.openxmlformats.org/drawingml/2006/main">
                    <a:graphicData uri="http://schemas.openxmlformats.org/drawingml/2006/picture">
                      <pic:pic xmlns:pic="http://schemas.openxmlformats.org/drawingml/2006/picture">
                        <pic:nvPicPr>
                          <pic:cNvPr id="36" name="图片_15"/>
                          <pic:cNvPicPr/>
                        </pic:nvPicPr>
                        <pic:blipFill>
                          <a:blip r:embed="rId47"/>
                          <a:stretch>
                            <a:fillRect/>
                          </a:stretch>
                        </pic:blipFill>
                        <pic:spPr>
                          <a:xfrm>
                            <a:off x="0" y="0"/>
                            <a:ext cx="1483360" cy="1065530"/>
                          </a:xfrm>
                          <a:prstGeom prst="rect">
                            <a:avLst/>
                          </a:prstGeom>
                          <a:noFill/>
                          <a:ln>
                            <a:noFill/>
                          </a:ln>
                        </pic:spPr>
                      </pic:pic>
                    </a:graphicData>
                  </a:graphic>
                </wp:inline>
              </w:drawing>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502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DB4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列</w:t>
            </w:r>
          </w:p>
        </w:tc>
      </w:tr>
      <w:tr w14:paraId="6AFC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79B1">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none"/>
              </w:rPr>
            </w:pPr>
          </w:p>
        </w:tc>
        <w:tc>
          <w:tcPr>
            <w:tcW w:w="7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8B8B">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none"/>
              </w:rPr>
            </w:pPr>
          </w:p>
        </w:tc>
        <w:tc>
          <w:tcPr>
            <w:tcW w:w="369" w:type="pct"/>
            <w:vMerge w:val="continue"/>
            <w:tcBorders>
              <w:left w:val="single" w:color="000000" w:sz="4" w:space="0"/>
              <w:bottom w:val="single" w:color="000000" w:sz="4" w:space="0"/>
              <w:right w:val="single" w:color="000000" w:sz="4" w:space="0"/>
            </w:tcBorders>
            <w:shd w:val="clear" w:color="auto" w:fill="auto"/>
            <w:vAlign w:val="center"/>
          </w:tcPr>
          <w:p w14:paraId="11ED09B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698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13F</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ADD0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950*650*1200</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/节</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（7节1列）</w:t>
            </w:r>
          </w:p>
        </w:tc>
        <w:tc>
          <w:tcPr>
            <w:tcW w:w="15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B10F">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i w:val="0"/>
                <w:iCs w:val="0"/>
                <w:color w:val="auto"/>
                <w:sz w:val="24"/>
                <w:szCs w:val="24"/>
                <w:highlight w:val="none"/>
                <w:u w:val="singl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9A9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50E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列</w:t>
            </w:r>
          </w:p>
        </w:tc>
      </w:tr>
    </w:tbl>
    <w:p w14:paraId="53D2B379">
      <w:pPr>
        <w:pageBreakBefore w:val="0"/>
        <w:widowControl w:val="0"/>
        <w:kinsoku/>
        <w:wordWrap/>
        <w:overflowPunct/>
        <w:topLinePunct w:val="0"/>
        <w:autoSpaceDE/>
        <w:autoSpaceDN/>
        <w:bidi w:val="0"/>
        <w:spacing w:line="360" w:lineRule="auto"/>
        <w:textAlignment w:val="auto"/>
        <w:rPr>
          <w:rFonts w:hint="eastAsia"/>
          <w:b/>
          <w:bCs/>
          <w:color w:val="auto"/>
          <w:sz w:val="24"/>
          <w:szCs w:val="24"/>
          <w:highlight w:val="none"/>
          <w:lang w:val="en-US"/>
        </w:rPr>
      </w:pPr>
    </w:p>
    <w:p w14:paraId="35980A0A">
      <w:pPr>
        <w:pageBreakBefore w:val="0"/>
        <w:widowControl w:val="0"/>
        <w:kinsoku/>
        <w:wordWrap/>
        <w:overflowPunct/>
        <w:topLinePunct w:val="0"/>
        <w:autoSpaceDE/>
        <w:autoSpaceDN/>
        <w:bidi w:val="0"/>
        <w:spacing w:line="360" w:lineRule="auto"/>
        <w:textAlignment w:val="auto"/>
        <w:rPr>
          <w:rFonts w:hint="eastAsia"/>
          <w:b/>
          <w:bCs/>
          <w:color w:val="auto"/>
          <w:sz w:val="24"/>
          <w:szCs w:val="24"/>
          <w:highlight w:val="none"/>
          <w:lang w:val="en-US"/>
        </w:rPr>
      </w:pPr>
      <w:r>
        <w:rPr>
          <w:rFonts w:hint="eastAsia"/>
          <w:b/>
          <w:bCs/>
          <w:color w:val="auto"/>
          <w:sz w:val="24"/>
          <w:szCs w:val="24"/>
          <w:highlight w:val="none"/>
          <w:lang w:val="en-US"/>
        </w:rPr>
        <w:t>（</w:t>
      </w:r>
      <w:r>
        <w:rPr>
          <w:rFonts w:hint="eastAsia"/>
          <w:b/>
          <w:bCs/>
          <w:color w:val="auto"/>
          <w:sz w:val="24"/>
          <w:szCs w:val="24"/>
          <w:highlight w:val="none"/>
          <w:lang w:val="en-US" w:eastAsia="zh-CN"/>
        </w:rPr>
        <w:t>四</w:t>
      </w:r>
      <w:r>
        <w:rPr>
          <w:rFonts w:hint="eastAsia"/>
          <w:b/>
          <w:bCs/>
          <w:color w:val="auto"/>
          <w:sz w:val="24"/>
          <w:szCs w:val="24"/>
          <w:highlight w:val="none"/>
          <w:lang w:val="en-US"/>
        </w:rPr>
        <w:t>）质量要求</w:t>
      </w:r>
    </w:p>
    <w:p w14:paraId="364B7673">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rPr>
      </w:pPr>
      <w:r>
        <w:rPr>
          <w:rFonts w:hint="eastAsia"/>
          <w:color w:val="auto"/>
          <w:sz w:val="24"/>
          <w:szCs w:val="24"/>
          <w:highlight w:val="none"/>
          <w:lang w:val="en-US"/>
        </w:rPr>
        <w:t>1</w:t>
      </w:r>
      <w:r>
        <w:rPr>
          <w:rFonts w:hint="eastAsia"/>
          <w:color w:val="auto"/>
          <w:sz w:val="24"/>
          <w:szCs w:val="24"/>
          <w:highlight w:val="none"/>
          <w:lang w:val="en-US" w:eastAsia="zh-CN"/>
        </w:rPr>
        <w:t>.</w:t>
      </w:r>
      <w:r>
        <w:rPr>
          <w:rFonts w:hint="eastAsia"/>
          <w:color w:val="auto"/>
          <w:sz w:val="24"/>
          <w:szCs w:val="24"/>
          <w:highlight w:val="none"/>
          <w:lang w:val="en-US"/>
        </w:rPr>
        <w:t>家具拆装、运输本着实用、可靠、节俭、专业、有序、合理的原则，由专业人员负责实施，做到工作有序、合理摆放、安装牢固、符合要求，避免人为损坏和丢失，保证货物的安全；</w:t>
      </w:r>
    </w:p>
    <w:p w14:paraId="6236FAB1">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rPr>
      </w:pPr>
      <w:r>
        <w:rPr>
          <w:rFonts w:hint="eastAsia"/>
          <w:color w:val="auto"/>
          <w:sz w:val="24"/>
          <w:szCs w:val="24"/>
          <w:highlight w:val="none"/>
          <w:lang w:val="en-US"/>
        </w:rPr>
        <w:t>2</w:t>
      </w:r>
      <w:r>
        <w:rPr>
          <w:rFonts w:hint="eastAsia"/>
          <w:color w:val="auto"/>
          <w:sz w:val="24"/>
          <w:szCs w:val="24"/>
          <w:highlight w:val="none"/>
          <w:lang w:val="en-US" w:eastAsia="zh-CN"/>
        </w:rPr>
        <w:t>.</w:t>
      </w:r>
      <w:r>
        <w:rPr>
          <w:rFonts w:hint="eastAsia"/>
          <w:color w:val="auto"/>
          <w:sz w:val="24"/>
          <w:szCs w:val="24"/>
          <w:highlight w:val="none"/>
          <w:lang w:val="en-US"/>
        </w:rPr>
        <w:t>如有货物损坏或丢失，</w:t>
      </w:r>
      <w:r>
        <w:rPr>
          <w:rFonts w:hint="eastAsia"/>
          <w:color w:val="auto"/>
          <w:sz w:val="24"/>
          <w:szCs w:val="24"/>
          <w:highlight w:val="none"/>
          <w:lang w:val="en-US" w:eastAsia="zh-CN"/>
        </w:rPr>
        <w:t>乙方</w:t>
      </w:r>
      <w:r>
        <w:rPr>
          <w:rFonts w:hint="eastAsia"/>
          <w:color w:val="auto"/>
          <w:sz w:val="24"/>
          <w:szCs w:val="24"/>
          <w:highlight w:val="none"/>
          <w:lang w:val="en-US"/>
        </w:rPr>
        <w:t>按照所造成的实际损失予以赔偿；</w:t>
      </w:r>
    </w:p>
    <w:p w14:paraId="6C07DB4E">
      <w:pPr>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rPr>
        <w:t>3</w:t>
      </w:r>
      <w:r>
        <w:rPr>
          <w:rFonts w:hint="eastAsia"/>
          <w:color w:val="auto"/>
          <w:sz w:val="24"/>
          <w:szCs w:val="24"/>
          <w:highlight w:val="none"/>
          <w:lang w:val="en-US" w:eastAsia="zh-CN"/>
        </w:rPr>
        <w:t>.</w:t>
      </w:r>
      <w:r>
        <w:rPr>
          <w:rFonts w:hint="eastAsia"/>
          <w:color w:val="auto"/>
          <w:sz w:val="24"/>
          <w:szCs w:val="24"/>
          <w:highlight w:val="none"/>
          <w:lang w:val="en-US"/>
        </w:rPr>
        <w:t>搬运所需耗材由</w:t>
      </w:r>
      <w:r>
        <w:rPr>
          <w:rFonts w:hint="eastAsia"/>
          <w:color w:val="auto"/>
          <w:sz w:val="24"/>
          <w:szCs w:val="24"/>
          <w:highlight w:val="none"/>
          <w:lang w:val="en-US" w:eastAsia="zh-CN"/>
        </w:rPr>
        <w:t>乙方</w:t>
      </w:r>
      <w:r>
        <w:rPr>
          <w:rFonts w:hint="eastAsia"/>
          <w:color w:val="auto"/>
          <w:sz w:val="24"/>
          <w:szCs w:val="24"/>
          <w:highlight w:val="none"/>
          <w:lang w:val="en-US"/>
        </w:rPr>
        <w:t>提供且满足搬运使用，价格包含在服务款中不再另行收费</w:t>
      </w:r>
      <w:r>
        <w:rPr>
          <w:rFonts w:hint="eastAsia"/>
          <w:color w:val="auto"/>
          <w:sz w:val="24"/>
          <w:szCs w:val="24"/>
          <w:highlight w:val="none"/>
          <w:lang w:val="en-US" w:eastAsia="zh-CN"/>
        </w:rPr>
        <w:t>；</w:t>
      </w:r>
    </w:p>
    <w:p w14:paraId="7B56B8E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color w:val="auto"/>
          <w:sz w:val="24"/>
          <w:szCs w:val="24"/>
          <w:highlight w:val="none"/>
          <w:lang w:val="en-US" w:eastAsia="zh-CN"/>
        </w:rPr>
        <w:t>4.</w:t>
      </w:r>
      <w:r>
        <w:rPr>
          <w:rFonts w:hint="eastAsia" w:ascii="宋体" w:hAnsi="宋体" w:eastAsia="宋体" w:cs="宋体"/>
          <w:color w:val="auto"/>
          <w:sz w:val="24"/>
          <w:szCs w:val="24"/>
          <w:highlight w:val="none"/>
        </w:rPr>
        <w:t>本项目需执行的国家相关标准、行业标准、地方标准或者其他标准、规范。</w:t>
      </w:r>
    </w:p>
    <w:p w14:paraId="7593E13D">
      <w:pPr>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rPr>
        <w:t>（</w:t>
      </w:r>
      <w:r>
        <w:rPr>
          <w:rFonts w:hint="eastAsia" w:ascii="Times New Roman" w:hAnsi="Times New Roman" w:eastAsia="宋体" w:cs="Times New Roman"/>
          <w:b/>
          <w:bCs/>
          <w:color w:val="auto"/>
          <w:sz w:val="24"/>
          <w:szCs w:val="24"/>
          <w:highlight w:val="none"/>
          <w:lang w:val="en-US" w:eastAsia="zh-CN"/>
        </w:rPr>
        <w:t>五</w:t>
      </w:r>
      <w:r>
        <w:rPr>
          <w:rFonts w:hint="eastAsia" w:ascii="Times New Roman" w:hAnsi="Times New Roman" w:eastAsia="宋体" w:cs="Times New Roman"/>
          <w:b/>
          <w:bCs/>
          <w:color w:val="auto"/>
          <w:sz w:val="24"/>
          <w:szCs w:val="24"/>
          <w:highlight w:val="none"/>
          <w:lang w:val="en-US"/>
        </w:rPr>
        <w:t>）搬运要求</w:t>
      </w:r>
    </w:p>
    <w:p w14:paraId="408FD3F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家具搬运要求</w:t>
      </w:r>
    </w:p>
    <w:p w14:paraId="1E07FD8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前准备要求</w:t>
      </w:r>
    </w:p>
    <w:p w14:paraId="3E3EC130">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根据计划</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作业工期确定</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具体时间，要求</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成立</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工作领导小组；</w:t>
      </w:r>
    </w:p>
    <w:p w14:paraId="4462C58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前，要求</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US" w:eastAsia="zh-CN"/>
        </w:rPr>
        <w:t>搬运物品及地点</w:t>
      </w:r>
      <w:r>
        <w:rPr>
          <w:rFonts w:hint="eastAsia" w:ascii="宋体" w:hAnsi="宋体" w:eastAsia="宋体" w:cs="宋体"/>
          <w:color w:val="auto"/>
          <w:sz w:val="24"/>
          <w:szCs w:val="24"/>
          <w:highlight w:val="none"/>
        </w:rPr>
        <w:t>进行确认，以便对</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物品进行</w:t>
      </w:r>
      <w:r>
        <w:rPr>
          <w:rFonts w:hint="eastAsia" w:ascii="宋体" w:hAnsi="宋体" w:eastAsia="宋体" w:cs="宋体"/>
          <w:color w:val="auto"/>
          <w:sz w:val="24"/>
          <w:szCs w:val="24"/>
          <w:highlight w:val="none"/>
          <w:lang w:val="en-US" w:eastAsia="zh-CN"/>
        </w:rPr>
        <w:t>标示</w:t>
      </w:r>
      <w:r>
        <w:rPr>
          <w:rFonts w:hint="eastAsia" w:ascii="宋体" w:hAnsi="宋体" w:eastAsia="宋体" w:cs="宋体"/>
          <w:color w:val="auto"/>
          <w:sz w:val="24"/>
          <w:szCs w:val="24"/>
          <w:highlight w:val="none"/>
        </w:rPr>
        <w:t>，跟车人员应对地点的布局做到心中有数，以便在</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时做到一步摆放到位；</w:t>
      </w:r>
    </w:p>
    <w:p w14:paraId="6889272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要求</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lang w:val="en-US" w:eastAsia="zh-CN"/>
        </w:rPr>
        <w:t>配合学校</w:t>
      </w:r>
      <w:r>
        <w:rPr>
          <w:rFonts w:hint="eastAsia" w:ascii="宋体" w:hAnsi="宋体" w:eastAsia="宋体" w:cs="宋体"/>
          <w:color w:val="auto"/>
          <w:sz w:val="24"/>
          <w:szCs w:val="24"/>
          <w:highlight w:val="none"/>
        </w:rPr>
        <w:t>拟定</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工作安排表：每日</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地址的时段安排、</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人员安排、</w:t>
      </w:r>
      <w:r>
        <w:rPr>
          <w:rFonts w:hint="eastAsia" w:ascii="宋体" w:hAnsi="宋体" w:eastAsia="宋体" w:cs="宋体"/>
          <w:color w:val="auto"/>
          <w:sz w:val="24"/>
          <w:szCs w:val="24"/>
          <w:highlight w:val="none"/>
          <w:lang w:val="en-US" w:eastAsia="zh-CN"/>
        </w:rPr>
        <w:t>校</w:t>
      </w:r>
      <w:r>
        <w:rPr>
          <w:rFonts w:hint="eastAsia" w:ascii="宋体" w:hAnsi="宋体" w:eastAsia="宋体" w:cs="宋体"/>
          <w:color w:val="auto"/>
          <w:sz w:val="24"/>
          <w:szCs w:val="24"/>
          <w:highlight w:val="none"/>
        </w:rPr>
        <w:t>方跟车监督人员安排等；</w:t>
      </w:r>
      <w:r>
        <w:rPr>
          <w:rFonts w:hint="eastAsia" w:ascii="宋体" w:hAnsi="宋体" w:eastAsia="宋体" w:cs="宋体"/>
          <w:color w:val="auto"/>
          <w:sz w:val="24"/>
          <w:szCs w:val="24"/>
          <w:highlight w:val="none"/>
          <w:lang w:val="en-US" w:eastAsia="zh-CN"/>
        </w:rPr>
        <w:t>并确保每日有充足的搬运人员。</w:t>
      </w:r>
    </w:p>
    <w:p w14:paraId="33DD570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拆装打包要求</w:t>
      </w:r>
    </w:p>
    <w:p w14:paraId="5A6D051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组合家具要拆卸后再搬运，以免搬运时因散架而损坏；</w:t>
      </w:r>
    </w:p>
    <w:p w14:paraId="462C3BC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rPr>
        <w:t>家具搬运时做好面板包装保护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防震工作，避免</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过程中不必要的损坏；</w:t>
      </w:r>
    </w:p>
    <w:p w14:paraId="13E06BD3">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场地保护要求</w:t>
      </w:r>
    </w:p>
    <w:p w14:paraId="070E37F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墙壁转角用大纸板进行保护，确保墙面不受划伤；</w:t>
      </w:r>
    </w:p>
    <w:p w14:paraId="2916A83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rPr>
        <w:t>对场地铺有地毯或木地板房间，应用彩条布或纸板进行保护性铺设，以确保地面与楼道不受污染、划伤、损伤；</w:t>
      </w:r>
    </w:p>
    <w:p w14:paraId="3951AC2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现场</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组织及管理要求</w:t>
      </w:r>
    </w:p>
    <w:p w14:paraId="1456358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严格按照</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计划的</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顺序进行，并提前安排拆装组人员对家具等进行拆卸、简包</w:t>
      </w:r>
      <w:r>
        <w:rPr>
          <w:rFonts w:hint="eastAsia" w:ascii="宋体" w:hAnsi="宋体" w:eastAsia="宋体" w:cs="宋体"/>
          <w:color w:val="auto"/>
          <w:sz w:val="24"/>
          <w:szCs w:val="24"/>
          <w:highlight w:val="none"/>
          <w:lang w:eastAsia="zh-CN"/>
        </w:rPr>
        <w:t>；</w:t>
      </w:r>
    </w:p>
    <w:p w14:paraId="2D0FFB1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人员每天必须装备齐全，准时到达现场，按时实施</w:t>
      </w:r>
      <w:r>
        <w:rPr>
          <w:rFonts w:hint="eastAsia" w:ascii="宋体" w:hAnsi="宋体" w:eastAsia="宋体" w:cs="宋体"/>
          <w:color w:val="auto"/>
          <w:sz w:val="24"/>
          <w:szCs w:val="24"/>
          <w:highlight w:val="none"/>
          <w:lang w:eastAsia="zh-CN"/>
        </w:rPr>
        <w:t>搬运服务</w:t>
      </w:r>
      <w:r>
        <w:rPr>
          <w:rFonts w:hint="eastAsia" w:ascii="宋体" w:hAnsi="宋体" w:eastAsia="宋体" w:cs="宋体"/>
          <w:color w:val="auto"/>
          <w:sz w:val="24"/>
          <w:szCs w:val="24"/>
          <w:highlight w:val="none"/>
        </w:rPr>
        <w:t>工作</w:t>
      </w:r>
      <w:r>
        <w:rPr>
          <w:rFonts w:hint="eastAsia" w:ascii="宋体" w:hAnsi="宋体" w:eastAsia="宋体" w:cs="宋体"/>
          <w:color w:val="auto"/>
          <w:sz w:val="24"/>
          <w:szCs w:val="24"/>
          <w:highlight w:val="none"/>
          <w:lang w:eastAsia="zh-CN"/>
        </w:rPr>
        <w:t>；</w:t>
      </w:r>
    </w:p>
    <w:p w14:paraId="627BFBE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过程中，必须每个环节、每个现场配备专业管理及协调人员（包括拆卸现场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搬出现场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搬入现场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安装、摆放现场），以确保每件物品安全、顺利搬运到目的地指定位置；</w:t>
      </w:r>
    </w:p>
    <w:p w14:paraId="482D71A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搬运物品时一定要看清标签，不能损坏标签，严格按照标签指定点将物品搬运到位，并摆放好，货物搬运含上下楼层，不可因为楼层不等、摆放位置不集中等其他各种理由要求增加</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费用</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安装期间不得损坏</w:t>
      </w:r>
      <w:r>
        <w:rPr>
          <w:rFonts w:hint="eastAsia" w:ascii="宋体" w:hAnsi="宋体" w:eastAsia="宋体" w:cs="宋体"/>
          <w:color w:val="auto"/>
          <w:sz w:val="24"/>
          <w:szCs w:val="24"/>
          <w:highlight w:val="none"/>
          <w:lang w:val="en-US" w:eastAsia="zh-CN"/>
        </w:rPr>
        <w:t>学校</w:t>
      </w:r>
      <w:r>
        <w:rPr>
          <w:rFonts w:hint="eastAsia" w:ascii="宋体" w:hAnsi="宋体" w:eastAsia="宋体" w:cs="宋体"/>
          <w:color w:val="auto"/>
          <w:sz w:val="24"/>
          <w:szCs w:val="24"/>
          <w:highlight w:val="none"/>
        </w:rPr>
        <w:t>内公共设施及物品；如有遗失或损坏，</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应参照市场价给予合理赔偿；</w:t>
      </w:r>
    </w:p>
    <w:p w14:paraId="77653346">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⑤</w:t>
      </w:r>
      <w:r>
        <w:rPr>
          <w:rFonts w:hint="eastAsia" w:ascii="宋体" w:hAnsi="宋体" w:eastAsia="宋体" w:cs="宋体"/>
          <w:color w:val="auto"/>
          <w:sz w:val="24"/>
          <w:szCs w:val="24"/>
          <w:highlight w:val="none"/>
        </w:rPr>
        <w:t>现场服务管理人员、驾驶员、搬家组长保持手机畅通，无关机、无停机现象；</w:t>
      </w:r>
    </w:p>
    <w:p w14:paraId="2105A88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⑥</w:t>
      </w:r>
      <w:r>
        <w:rPr>
          <w:rFonts w:hint="eastAsia" w:ascii="宋体" w:hAnsi="宋体" w:eastAsia="宋体" w:cs="宋体"/>
          <w:color w:val="auto"/>
          <w:sz w:val="24"/>
          <w:szCs w:val="24"/>
          <w:highlight w:val="none"/>
        </w:rPr>
        <w:t>车辆运输严格按指定路线行驶，每车装载完后请客户签字记录，到达新址卸完车货提醒客户跟车人员检查车厢并确认为空后方可返程；</w:t>
      </w:r>
    </w:p>
    <w:p w14:paraId="5A4D816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⑦</w:t>
      </w:r>
      <w:r>
        <w:rPr>
          <w:rFonts w:hint="eastAsia" w:ascii="宋体" w:hAnsi="宋体" w:eastAsia="宋体" w:cs="宋体"/>
          <w:color w:val="auto"/>
          <w:sz w:val="24"/>
          <w:szCs w:val="24"/>
          <w:highlight w:val="none"/>
        </w:rPr>
        <w:t>搬运的物品不得损坏和丢失，若有损坏和丢失的应参照市场价给予合理赔偿；</w:t>
      </w:r>
    </w:p>
    <w:p w14:paraId="13BC015F">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⑧</w:t>
      </w:r>
      <w:r>
        <w:rPr>
          <w:rFonts w:hint="eastAsia" w:ascii="宋体" w:hAnsi="宋体" w:eastAsia="宋体" w:cs="宋体"/>
          <w:color w:val="auto"/>
          <w:sz w:val="24"/>
          <w:szCs w:val="24"/>
          <w:highlight w:val="none"/>
        </w:rPr>
        <w:t>清单内货物物品由</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执行人员协同</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相关负责老师进行搬运后签字确认。</w:t>
      </w:r>
    </w:p>
    <w:p w14:paraId="6B80778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）搬运</w:t>
      </w:r>
      <w:r>
        <w:rPr>
          <w:rFonts w:hint="eastAsia" w:ascii="宋体" w:hAnsi="宋体" w:eastAsia="宋体" w:cs="宋体"/>
          <w:color w:val="auto"/>
          <w:sz w:val="24"/>
          <w:szCs w:val="24"/>
          <w:highlight w:val="none"/>
        </w:rPr>
        <w:t>车辆应配备防雨棚，如部分特殊设备需用到专用车辆</w:t>
      </w:r>
      <w:r>
        <w:rPr>
          <w:rFonts w:hint="eastAsia" w:ascii="宋体" w:hAnsi="宋体" w:eastAsia="宋体" w:cs="宋体"/>
          <w:color w:val="auto"/>
          <w:sz w:val="24"/>
          <w:szCs w:val="24"/>
          <w:highlight w:val="none"/>
          <w:lang w:val="en-US" w:eastAsia="zh-CN"/>
        </w:rPr>
        <w:t>由</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自行考虑。</w:t>
      </w:r>
    </w:p>
    <w:p w14:paraId="620618C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2.其它</w:t>
      </w:r>
      <w:r>
        <w:rPr>
          <w:rFonts w:hint="eastAsia" w:ascii="宋体" w:hAnsi="宋体" w:eastAsia="宋体" w:cs="宋体"/>
          <w:b/>
          <w:bCs/>
          <w:color w:val="auto"/>
          <w:sz w:val="24"/>
          <w:szCs w:val="24"/>
          <w:highlight w:val="none"/>
        </w:rPr>
        <w:t>要求</w:t>
      </w:r>
    </w:p>
    <w:p w14:paraId="482E812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用于装运货物的车辆状况良好，具有搬运资质、通行许可、保险有效、年检合格；</w:t>
      </w:r>
    </w:p>
    <w:p w14:paraId="7FBDE2E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配备足够的搬运工；</w:t>
      </w:r>
    </w:p>
    <w:p w14:paraId="68E8613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运输车辆随带防雨、固定和隔离器材；</w:t>
      </w:r>
    </w:p>
    <w:p w14:paraId="64FF603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搬运计划搬运，如</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需临时调整或补充搬运计划时，</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车辆调度、管理人员调拨应急车辆必须满足</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搬运需求；</w:t>
      </w:r>
    </w:p>
    <w:p w14:paraId="2548C05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color w:val="auto"/>
          <w:sz w:val="24"/>
          <w:szCs w:val="24"/>
          <w:highlight w:val="none"/>
          <w:lang w:val="en-US" w:eastAsia="zh-CN"/>
        </w:rPr>
        <w:t>乙方</w:t>
      </w:r>
      <w:r>
        <w:rPr>
          <w:rFonts w:hint="eastAsia" w:ascii="宋体" w:hAnsi="宋体" w:eastAsia="宋体" w:cs="宋体"/>
          <w:color w:val="auto"/>
          <w:sz w:val="24"/>
          <w:szCs w:val="24"/>
          <w:highlight w:val="none"/>
        </w:rPr>
        <w:t>协助</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做好搬运物品数量的统计交接、搬运计划的制订和现场管理；</w:t>
      </w:r>
    </w:p>
    <w:p w14:paraId="77E12BE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专门安排经验丰富的车辆调度人员进行现场调度，相关负责人现场办公，搬运高峰期增加调度、现场管理人员；</w:t>
      </w:r>
    </w:p>
    <w:p w14:paraId="61912D7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有异常信息第一时间向</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搬运现场管理负责人报告,不得隐瞒、虚报，不得向</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提供虚假信息；</w:t>
      </w:r>
    </w:p>
    <w:p w14:paraId="58D1F266">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特殊情况按</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搬运管理现场负责人调度，增加搬运趟次，满足</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搬运需求；</w:t>
      </w:r>
    </w:p>
    <w:p w14:paraId="73D65FE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车辆装载物品出校门时，主动出示学校发放的出门证（物品搬运单），配合门卫检查；</w:t>
      </w:r>
    </w:p>
    <w:p w14:paraId="4BAF30E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物品交接后，物品搬运单请接收人员签字。</w:t>
      </w:r>
    </w:p>
    <w:p w14:paraId="7D23F49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乙方</w:t>
      </w:r>
      <w:r>
        <w:rPr>
          <w:rFonts w:hint="eastAsia" w:ascii="宋体" w:hAnsi="宋体" w:eastAsia="宋体" w:cs="宋体"/>
          <w:b/>
          <w:bCs/>
          <w:color w:val="auto"/>
          <w:sz w:val="24"/>
          <w:szCs w:val="24"/>
          <w:highlight w:val="none"/>
          <w:lang w:val="en-US" w:eastAsia="zh-CN"/>
        </w:rPr>
        <w:t>需提供沙发清洗服务，费用包含在本项目采购预算中。</w:t>
      </w:r>
    </w:p>
    <w:p w14:paraId="7475FB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rPr>
        <w:t>安全要求</w:t>
      </w:r>
    </w:p>
    <w:p w14:paraId="45AD25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有科学、健全的搬运安全制度和措施；</w:t>
      </w:r>
    </w:p>
    <w:p w14:paraId="665AE4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负责安全、按章搬运，保证人身、搬运车辆和货物安全的方案；</w:t>
      </w:r>
    </w:p>
    <w:p w14:paraId="3B6C2A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做好搬运货物的保护，轻拿、轻放、轻装、轻摆，摆放合理，做好物品固定和隔离，平稳行车，避免搬运物品损坏和丢失，做好防雨、防水、防火、防压、防碰。</w:t>
      </w:r>
    </w:p>
    <w:p w14:paraId="49D3CD8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rPr>
        <w:t>车辆、人员要求</w:t>
      </w:r>
    </w:p>
    <w:p w14:paraId="4933F5BC">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
          <w:color w:val="auto"/>
          <w:sz w:val="24"/>
          <w:szCs w:val="24"/>
          <w:highlight w:val="none"/>
          <w:lang w:val="en-US"/>
        </w:rPr>
      </w:pPr>
      <w:r>
        <w:rPr>
          <w:rFonts w:hint="eastAsia" w:ascii="宋体" w:hAnsi="宋体" w:eastAsia="宋体" w:cs="宋体"/>
          <w:b w:val="0"/>
          <w:bCs/>
          <w:color w:val="auto"/>
          <w:sz w:val="24"/>
          <w:szCs w:val="24"/>
          <w:highlight w:val="none"/>
          <w:lang w:val="en-US" w:eastAsia="zh-CN"/>
        </w:rPr>
        <w:t>（1）合同执行期间，</w:t>
      </w:r>
      <w:r>
        <w:rPr>
          <w:rFonts w:hint="eastAsia"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提供的所有车辆和人员安全由</w:t>
      </w:r>
      <w:r>
        <w:rPr>
          <w:rFonts w:hint="eastAsia"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负责，发生伤亡事故，或在服务过程中造成第三人伤亡的，责任全部由</w:t>
      </w:r>
      <w:r>
        <w:rPr>
          <w:rFonts w:hint="eastAsia"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承担。</w:t>
      </w:r>
    </w:p>
    <w:p w14:paraId="0DF30A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严格按操作规程办事；</w:t>
      </w:r>
    </w:p>
    <w:p w14:paraId="236C39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有提高搬运效率的措施；</w:t>
      </w:r>
    </w:p>
    <w:p w14:paraId="33DCE3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严格按照调度实施搬运；</w:t>
      </w:r>
    </w:p>
    <w:p w14:paraId="7027E9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司机持证上岗，对司机、搬运工作人员进行业务培训，熟悉搬运业务；搬运工作人员必须参保人身意外伤害险</w:t>
      </w:r>
      <w:r>
        <w:rPr>
          <w:rFonts w:hint="eastAsia" w:ascii="宋体" w:hAnsi="宋体" w:eastAsia="宋体" w:cs="宋体"/>
          <w:bCs/>
          <w:color w:val="auto"/>
          <w:sz w:val="24"/>
          <w:szCs w:val="24"/>
          <w:highlight w:val="none"/>
          <w:lang w:eastAsia="zh-CN"/>
        </w:rPr>
        <w:t>；</w:t>
      </w:r>
    </w:p>
    <w:p w14:paraId="15B6A2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车辆、人员佩戴统一标志、标识；</w:t>
      </w:r>
    </w:p>
    <w:p w14:paraId="345021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（7）</w:t>
      </w:r>
      <w:r>
        <w:rPr>
          <w:rFonts w:hint="eastAsia" w:ascii="宋体" w:hAnsi="宋体" w:eastAsia="宋体" w:cs="宋体"/>
          <w:bCs/>
          <w:color w:val="auto"/>
          <w:sz w:val="24"/>
          <w:szCs w:val="24"/>
          <w:highlight w:val="none"/>
        </w:rPr>
        <w:t>工作人员认真负责、服务态度好、言行文明；</w:t>
      </w:r>
    </w:p>
    <w:p w14:paraId="557B76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（8）</w:t>
      </w:r>
      <w:r>
        <w:rPr>
          <w:rFonts w:hint="eastAsia" w:ascii="宋体" w:hAnsi="宋体" w:eastAsia="宋体" w:cs="宋体"/>
          <w:b w:val="0"/>
          <w:bCs/>
          <w:color w:val="auto"/>
          <w:sz w:val="24"/>
          <w:szCs w:val="24"/>
          <w:highlight w:val="none"/>
        </w:rPr>
        <w:t>做好异常气候、车辆故障、事故等应急处置工作。</w:t>
      </w:r>
    </w:p>
    <w:p w14:paraId="7101121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rPr>
        <w:t>其他要求</w:t>
      </w:r>
    </w:p>
    <w:p w14:paraId="625995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物品装车摆放合理，装车应满载。</w:t>
      </w:r>
    </w:p>
    <w:p w14:paraId="69DB03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ascii="宋体" w:hAnsi="宋体" w:eastAsia="宋体" w:cs="宋体"/>
          <w:b w:val="0"/>
          <w:bCs w:val="0"/>
          <w:color w:val="auto"/>
          <w:sz w:val="24"/>
          <w:szCs w:val="24"/>
          <w:highlight w:val="none"/>
          <w:lang w:val="en-US" w:eastAsia="zh-CN"/>
        </w:rPr>
        <w:t>（2）若搬运过程中，人员组织不到位，影响搬运进度，</w:t>
      </w:r>
      <w:r>
        <w:rPr>
          <w:rFonts w:hint="eastAsia" w:ascii="宋体" w:hAnsi="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lang w:val="en-US" w:eastAsia="zh-CN"/>
        </w:rPr>
        <w:t>有权扣除相应搬运费用。</w:t>
      </w:r>
    </w:p>
    <w:p w14:paraId="003AF9F7">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二、履约时间、方式及地点：</w:t>
      </w:r>
    </w:p>
    <w:p w14:paraId="20D8AFB1">
      <w:pPr>
        <w:pStyle w:val="26"/>
        <w:keepNext w:val="0"/>
        <w:keepLines w:val="0"/>
        <w:pageBreakBefore w:val="0"/>
        <w:kinsoku/>
        <w:wordWrap/>
        <w:overflowPunct/>
        <w:topLinePunct w:val="0"/>
        <w:autoSpaceDE/>
        <w:autoSpaceDN/>
        <w:bidi w:val="0"/>
        <w:adjustRightInd w:val="0"/>
        <w:snapToGrid w:val="0"/>
        <w:spacing w:before="0"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0"/>
          <w:sz w:val="24"/>
          <w:szCs w:val="24"/>
          <w:highlight w:val="none"/>
        </w:rPr>
        <w:t>1.履约时间：</w:t>
      </w:r>
      <w:r>
        <w:rPr>
          <w:rFonts w:hint="eastAsia" w:asciiTheme="minorEastAsia" w:hAnsiTheme="minorEastAsia" w:eastAsiaTheme="minorEastAsia" w:cstheme="minorEastAsia"/>
          <w:color w:val="auto"/>
          <w:highlight w:val="none"/>
          <w:lang w:eastAsia="zh-CN"/>
        </w:rPr>
        <w:t>合同签订后90天内完成</w:t>
      </w:r>
      <w:r>
        <w:rPr>
          <w:rFonts w:hint="eastAsia" w:ascii="宋体" w:hAnsi="宋体" w:eastAsia="宋体" w:cs="宋体"/>
          <w:color w:val="auto"/>
          <w:kern w:val="0"/>
          <w:sz w:val="24"/>
          <w:szCs w:val="24"/>
          <w:highlight w:val="none"/>
        </w:rPr>
        <w:t>。</w:t>
      </w:r>
    </w:p>
    <w:p w14:paraId="1A1EBFC3">
      <w:pPr>
        <w:pStyle w:val="26"/>
        <w:keepNext w:val="0"/>
        <w:keepLines w:val="0"/>
        <w:pageBreakBefore w:val="0"/>
        <w:kinsoku/>
        <w:wordWrap/>
        <w:overflowPunct/>
        <w:topLinePunct w:val="0"/>
        <w:autoSpaceDE/>
        <w:autoSpaceDN/>
        <w:bidi w:val="0"/>
        <w:adjustRightInd w:val="0"/>
        <w:snapToGrid w:val="0"/>
        <w:spacing w:before="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2.履约方式：按照采购合同约定及甲方要求执行。</w:t>
      </w:r>
    </w:p>
    <w:p w14:paraId="6487E1F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3.履约地点：</w:t>
      </w:r>
      <w:r>
        <w:rPr>
          <w:rFonts w:hint="eastAsia" w:ascii="宋体" w:hAnsi="宋体" w:eastAsia="宋体" w:cs="宋体"/>
          <w:color w:val="auto"/>
          <w:kern w:val="0"/>
          <w:sz w:val="24"/>
          <w:szCs w:val="24"/>
          <w:highlight w:val="none"/>
          <w:lang w:eastAsia="zh-CN"/>
        </w:rPr>
        <w:t>浙江同济科技职业学院</w:t>
      </w:r>
      <w:r>
        <w:rPr>
          <w:rFonts w:hint="eastAsia" w:ascii="宋体" w:hAnsi="宋体" w:eastAsia="宋体" w:cs="宋体"/>
          <w:color w:val="auto"/>
          <w:kern w:val="0"/>
          <w:sz w:val="24"/>
          <w:szCs w:val="24"/>
          <w:highlight w:val="none"/>
        </w:rPr>
        <w:t>，甲方指定地点。</w:t>
      </w:r>
    </w:p>
    <w:p w14:paraId="1E6C8DD5">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三、质量要求</w:t>
      </w:r>
    </w:p>
    <w:p w14:paraId="3B55A0B3">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须保证所提供服务符合国家有关规定。乙方须保证所提供产品/服务具有合法的版权或使用权，本项目采购的产品/服务，如在本项目范围内使用过程中出现版权或使用权纠纷，应由乙方负责，甲方不承担责任。</w:t>
      </w:r>
    </w:p>
    <w:p w14:paraId="4A9B574B">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2.乙方必须保证解决项目所涉及的技术问题，如因技术原因无法满足用户需求，由此产生的风险由乙方承担。</w:t>
      </w:r>
    </w:p>
    <w:p w14:paraId="3B2D1077">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、验收要求</w:t>
      </w:r>
    </w:p>
    <w:p w14:paraId="7C85D581">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甲方</w:t>
      </w:r>
      <w:r>
        <w:rPr>
          <w:rFonts w:hint="eastAsia" w:ascii="Times New Roman" w:hAnsi="Times New Roman" w:eastAsia="宋体" w:cs="Times New Roman"/>
          <w:color w:val="auto"/>
          <w:sz w:val="24"/>
          <w:szCs w:val="24"/>
          <w:highlight w:val="none"/>
          <w:lang w:val="en-US"/>
        </w:rPr>
        <w:t>根据采购文件和</w:t>
      </w:r>
      <w:r>
        <w:rPr>
          <w:rFonts w:hint="eastAsia" w:ascii="Times New Roman" w:hAnsi="Times New Roman" w:eastAsia="宋体" w:cs="Times New Roman"/>
          <w:color w:val="auto"/>
          <w:sz w:val="24"/>
          <w:szCs w:val="24"/>
          <w:highlight w:val="none"/>
          <w:lang w:val="en-US" w:eastAsia="zh-CN"/>
        </w:rPr>
        <w:t>乙方</w:t>
      </w:r>
      <w:r>
        <w:rPr>
          <w:rFonts w:hint="eastAsia" w:ascii="Times New Roman" w:hAnsi="Times New Roman" w:eastAsia="宋体" w:cs="Times New Roman"/>
          <w:color w:val="auto"/>
          <w:sz w:val="24"/>
          <w:szCs w:val="24"/>
          <w:highlight w:val="none"/>
          <w:lang w:val="en-US"/>
        </w:rPr>
        <w:t>提供的响应文件、</w:t>
      </w:r>
      <w:r>
        <w:rPr>
          <w:rFonts w:hint="eastAsia" w:ascii="Times New Roman" w:hAnsi="Times New Roman" w:eastAsia="宋体" w:cs="Times New Roman"/>
          <w:color w:val="auto"/>
          <w:sz w:val="24"/>
          <w:szCs w:val="24"/>
          <w:highlight w:val="none"/>
          <w:lang w:val="en-US" w:eastAsia="zh-CN"/>
        </w:rPr>
        <w:t>乙方</w:t>
      </w:r>
      <w:r>
        <w:rPr>
          <w:rFonts w:hint="eastAsia" w:ascii="Times New Roman" w:hAnsi="Times New Roman" w:eastAsia="宋体" w:cs="Times New Roman"/>
          <w:color w:val="auto"/>
          <w:sz w:val="24"/>
          <w:szCs w:val="24"/>
          <w:highlight w:val="none"/>
          <w:lang w:val="en-US"/>
        </w:rPr>
        <w:t>和</w:t>
      </w:r>
      <w:r>
        <w:rPr>
          <w:rFonts w:hint="eastAsia" w:ascii="Times New Roman" w:hAnsi="Times New Roman" w:eastAsia="宋体" w:cs="Times New Roman"/>
          <w:color w:val="auto"/>
          <w:sz w:val="24"/>
          <w:szCs w:val="24"/>
          <w:highlight w:val="none"/>
          <w:lang w:val="en-US" w:eastAsia="zh-CN"/>
        </w:rPr>
        <w:t>甲方</w:t>
      </w:r>
      <w:r>
        <w:rPr>
          <w:rFonts w:hint="eastAsia" w:ascii="Times New Roman" w:hAnsi="Times New Roman" w:eastAsia="宋体" w:cs="Times New Roman"/>
          <w:color w:val="auto"/>
          <w:sz w:val="24"/>
          <w:szCs w:val="24"/>
          <w:highlight w:val="none"/>
          <w:lang w:val="en-US"/>
        </w:rPr>
        <w:t>签订的采购合同要求，对</w:t>
      </w:r>
      <w:r>
        <w:rPr>
          <w:rFonts w:hint="eastAsia" w:ascii="Times New Roman" w:hAnsi="Times New Roman" w:eastAsia="宋体" w:cs="Times New Roman"/>
          <w:color w:val="auto"/>
          <w:sz w:val="24"/>
          <w:szCs w:val="24"/>
          <w:highlight w:val="none"/>
          <w:lang w:val="en-US" w:eastAsia="zh-CN"/>
        </w:rPr>
        <w:t>服务</w:t>
      </w:r>
      <w:r>
        <w:rPr>
          <w:rFonts w:hint="eastAsia" w:ascii="Times New Roman" w:hAnsi="Times New Roman" w:eastAsia="宋体" w:cs="Times New Roman"/>
          <w:color w:val="auto"/>
          <w:sz w:val="24"/>
          <w:szCs w:val="24"/>
          <w:highlight w:val="none"/>
          <w:lang w:val="en-US"/>
        </w:rPr>
        <w:t>进行验收</w:t>
      </w:r>
      <w:r>
        <w:rPr>
          <w:rFonts w:hint="eastAsia" w:ascii="Times New Roman" w:hAnsi="Times New Roman" w:eastAsia="宋体" w:cs="Times New Roman"/>
          <w:color w:val="auto"/>
          <w:sz w:val="24"/>
          <w:szCs w:val="24"/>
          <w:highlight w:val="none"/>
          <w:lang w:val="en-US" w:eastAsia="zh-CN"/>
        </w:rPr>
        <w:t>。</w:t>
      </w:r>
    </w:p>
    <w:p w14:paraId="45FDF5EE">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rPr>
      </w:pPr>
      <w:r>
        <w:rPr>
          <w:rFonts w:hint="eastAsia" w:asciiTheme="minorEastAsia" w:hAnsiTheme="minorEastAsia" w:eastAsiaTheme="minorEastAsia" w:cstheme="minorEastAsia"/>
          <w:b w:val="0"/>
          <w:bCs w:val="0"/>
          <w:color w:val="auto"/>
          <w:sz w:val="24"/>
          <w:szCs w:val="24"/>
          <w:highlight w:val="none"/>
          <w:lang w:val="en-US" w:eastAsia="zh-CN"/>
        </w:rPr>
        <w:t>验收时，甲方有权选定第三方机构对整体环境空气情况进行检查，整体环境空气质量须符合 GB/T 18883-2022《室内空气质量标准》，未达到标准的，乙方需提供空气净化相关服务，直至达标为止。验收所需费用（包括聘请第三方监测机构、空气净化服务等所有费用）包含在合同总价中，由乙方支付。</w:t>
      </w:r>
    </w:p>
    <w:p w14:paraId="66ABB02F">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履约保证金</w:t>
      </w:r>
    </w:p>
    <w:p w14:paraId="0834FE80">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lang w:eastAsia="zh-CN"/>
        </w:rPr>
      </w:pPr>
      <w:r>
        <w:rPr>
          <w:rFonts w:hint="eastAsia" w:ascii="宋体" w:hAnsi="宋体" w:cs="宋体"/>
          <w:color w:val="auto"/>
          <w:sz w:val="24"/>
          <w:highlight w:val="none"/>
        </w:rPr>
        <w:t>合同签订后一周内，</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向</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提交合同金额1%的履约保证金（提交方式：支票、汇票、本票或者金融机构、担保机构出具的保函等非现金形式），履约保证金在履约完毕后无质量问题和维护问题，于15个工作日内退还（不计息）</w:t>
      </w:r>
      <w:r>
        <w:rPr>
          <w:rFonts w:hint="eastAsia" w:ascii="宋体" w:hAnsi="宋体" w:eastAsia="宋体" w:cs="宋体"/>
          <w:color w:val="auto"/>
          <w:sz w:val="24"/>
          <w:szCs w:val="24"/>
          <w:highlight w:val="none"/>
          <w:lang w:val="en-US" w:eastAsia="zh-CN"/>
        </w:rPr>
        <w:t>。</w:t>
      </w:r>
    </w:p>
    <w:p w14:paraId="6E835001">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六</w:t>
      </w:r>
      <w:r>
        <w:rPr>
          <w:rFonts w:hint="eastAsia" w:ascii="宋体" w:hAnsi="宋体" w:eastAsia="宋体" w:cs="宋体"/>
          <w:b/>
          <w:bCs/>
          <w:color w:val="auto"/>
          <w:kern w:val="0"/>
          <w:sz w:val="24"/>
          <w:szCs w:val="24"/>
          <w:highlight w:val="none"/>
          <w:lang w:val="en-US" w:eastAsia="zh-CN"/>
        </w:rPr>
        <w:t>、</w:t>
      </w:r>
      <w:r>
        <w:rPr>
          <w:rFonts w:hint="eastAsia" w:ascii="宋体" w:hAnsi="宋体" w:eastAsia="宋体" w:cs="宋体"/>
          <w:b/>
          <w:bCs/>
          <w:color w:val="auto"/>
          <w:kern w:val="0"/>
          <w:sz w:val="24"/>
          <w:szCs w:val="24"/>
          <w:highlight w:val="none"/>
        </w:rPr>
        <w:t>结算方式：</w:t>
      </w:r>
    </w:p>
    <w:p w14:paraId="292A05D3">
      <w:pPr>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highlight w:val="none"/>
          <w:lang w:val="en-US" w:eastAsia="zh-CN"/>
        </w:rPr>
      </w:pPr>
      <w:r>
        <w:rPr>
          <w:rFonts w:hint="eastAsia" w:ascii="Times New Roman" w:hAnsi="Times New Roman" w:eastAsia="宋体" w:cs="Times New Roman"/>
          <w:color w:val="auto"/>
          <w:sz w:val="24"/>
          <w:szCs w:val="24"/>
          <w:highlight w:val="none"/>
          <w:lang w:val="zh-CN"/>
        </w:rPr>
        <w:t>在合同生效以及具备实施条件后7个工作日内，</w:t>
      </w:r>
      <w:r>
        <w:rPr>
          <w:rFonts w:hint="eastAsia" w:ascii="Times New Roman" w:hAnsi="Times New Roman" w:eastAsia="宋体" w:cs="Times New Roman"/>
          <w:color w:val="auto"/>
          <w:sz w:val="24"/>
          <w:szCs w:val="24"/>
          <w:highlight w:val="none"/>
          <w:lang w:val="en-US" w:eastAsia="zh-CN"/>
        </w:rPr>
        <w:t>甲方</w:t>
      </w:r>
      <w:r>
        <w:rPr>
          <w:rFonts w:hint="eastAsia" w:ascii="Times New Roman" w:hAnsi="Times New Roman" w:eastAsia="宋体" w:cs="Times New Roman"/>
          <w:color w:val="auto"/>
          <w:sz w:val="24"/>
          <w:szCs w:val="24"/>
          <w:highlight w:val="none"/>
          <w:lang w:val="zh-CN"/>
        </w:rPr>
        <w:t>向</w:t>
      </w:r>
      <w:r>
        <w:rPr>
          <w:rFonts w:hint="eastAsia" w:ascii="Times New Roman" w:hAnsi="Times New Roman" w:eastAsia="宋体" w:cs="Times New Roman"/>
          <w:color w:val="auto"/>
          <w:sz w:val="24"/>
          <w:szCs w:val="24"/>
          <w:highlight w:val="none"/>
          <w:lang w:val="en-US" w:eastAsia="zh-CN"/>
        </w:rPr>
        <w:t>乙方</w:t>
      </w:r>
      <w:r>
        <w:rPr>
          <w:rFonts w:hint="eastAsia" w:ascii="Times New Roman" w:hAnsi="Times New Roman" w:eastAsia="宋体" w:cs="Times New Roman"/>
          <w:color w:val="auto"/>
          <w:sz w:val="24"/>
          <w:szCs w:val="24"/>
          <w:highlight w:val="none"/>
          <w:lang w:val="zh-CN"/>
        </w:rPr>
        <w:t>支付合同总额的</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zh-CN"/>
        </w:rPr>
        <w:t>0％作为预付款；</w:t>
      </w:r>
      <w:r>
        <w:rPr>
          <w:rFonts w:hint="eastAsia" w:ascii="Times New Roman" w:hAnsi="Times New Roman" w:eastAsia="宋体" w:cs="Times New Roman"/>
          <w:color w:val="auto"/>
          <w:sz w:val="24"/>
          <w:szCs w:val="24"/>
          <w:highlight w:val="none"/>
          <w:lang w:val="en-US" w:eastAsia="zh-CN"/>
        </w:rPr>
        <w:t>项目履约完成经甲方验收合格后</w:t>
      </w:r>
      <w:r>
        <w:rPr>
          <w:rFonts w:hint="eastAsia"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甲方</w:t>
      </w:r>
      <w:r>
        <w:rPr>
          <w:rFonts w:hint="eastAsia" w:ascii="Times New Roman" w:hAnsi="Times New Roman" w:eastAsia="宋体" w:cs="Times New Roman"/>
          <w:color w:val="auto"/>
          <w:sz w:val="24"/>
          <w:szCs w:val="24"/>
          <w:highlight w:val="none"/>
          <w:lang w:val="zh-CN"/>
        </w:rPr>
        <w:t>向</w:t>
      </w:r>
      <w:r>
        <w:rPr>
          <w:rFonts w:hint="eastAsia" w:ascii="Times New Roman" w:hAnsi="Times New Roman" w:eastAsia="宋体" w:cs="Times New Roman"/>
          <w:color w:val="auto"/>
          <w:sz w:val="24"/>
          <w:szCs w:val="24"/>
          <w:highlight w:val="none"/>
          <w:lang w:val="en-US" w:eastAsia="zh-CN"/>
        </w:rPr>
        <w:t>乙方</w:t>
      </w:r>
      <w:r>
        <w:rPr>
          <w:rFonts w:hint="eastAsia" w:ascii="Times New Roman" w:hAnsi="Times New Roman" w:eastAsia="宋体" w:cs="Times New Roman"/>
          <w:color w:val="auto"/>
          <w:sz w:val="24"/>
          <w:szCs w:val="24"/>
          <w:highlight w:val="none"/>
          <w:lang w:val="zh-CN"/>
        </w:rPr>
        <w:t>支付剩余价款；每阶段付款前需提供符合</w:t>
      </w:r>
      <w:r>
        <w:rPr>
          <w:rFonts w:hint="eastAsia" w:ascii="Times New Roman" w:hAnsi="Times New Roman" w:eastAsia="宋体" w:cs="Times New Roman"/>
          <w:color w:val="auto"/>
          <w:sz w:val="24"/>
          <w:szCs w:val="24"/>
          <w:highlight w:val="none"/>
          <w:lang w:val="en-US" w:eastAsia="zh-CN"/>
        </w:rPr>
        <w:t>甲方</w:t>
      </w:r>
      <w:r>
        <w:rPr>
          <w:rFonts w:hint="eastAsia" w:ascii="Times New Roman" w:hAnsi="Times New Roman" w:eastAsia="宋体" w:cs="Times New Roman"/>
          <w:color w:val="auto"/>
          <w:sz w:val="24"/>
          <w:szCs w:val="24"/>
          <w:highlight w:val="none"/>
          <w:lang w:val="zh-CN"/>
        </w:rPr>
        <w:t>要求的全额正规发票，否则</w:t>
      </w:r>
      <w:r>
        <w:rPr>
          <w:rFonts w:hint="eastAsia" w:ascii="Times New Roman" w:hAnsi="Times New Roman" w:eastAsia="宋体" w:cs="Times New Roman"/>
          <w:color w:val="auto"/>
          <w:sz w:val="24"/>
          <w:szCs w:val="24"/>
          <w:highlight w:val="none"/>
          <w:lang w:val="en-US" w:eastAsia="zh-CN"/>
        </w:rPr>
        <w:t>甲方</w:t>
      </w:r>
      <w:r>
        <w:rPr>
          <w:rFonts w:hint="eastAsia" w:ascii="Times New Roman" w:hAnsi="Times New Roman" w:eastAsia="宋体" w:cs="Times New Roman"/>
          <w:color w:val="auto"/>
          <w:sz w:val="24"/>
          <w:szCs w:val="24"/>
          <w:highlight w:val="none"/>
          <w:lang w:val="zh-CN"/>
        </w:rPr>
        <w:t>有权拒绝支付。</w:t>
      </w:r>
    </w:p>
    <w:p w14:paraId="34CB3A79">
      <w:pPr>
        <w:keepNext w:val="0"/>
        <w:keepLines w:val="0"/>
        <w:pageBreakBefore w:val="0"/>
        <w:kinsoku/>
        <w:wordWrap/>
        <w:overflowPunct/>
        <w:topLinePunct w:val="0"/>
        <w:autoSpaceDE/>
        <w:autoSpaceDN/>
        <w:bidi w:val="0"/>
        <w:adjustRightInd w:val="0"/>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注：</w:t>
      </w:r>
      <w:r>
        <w:rPr>
          <w:rFonts w:hint="eastAsia" w:ascii="宋体" w:hAnsi="宋体" w:eastAsia="宋体" w:cs="宋体"/>
          <w:color w:val="auto"/>
          <w:sz w:val="24"/>
          <w:highlight w:val="none"/>
          <w:lang w:val="zh-CN" w:eastAsia="zh-CN"/>
        </w:rPr>
        <w:t>若</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lang w:val="zh-CN" w:eastAsia="zh-CN"/>
        </w:rPr>
        <w:t>无需预付款的可选择在验收合</w:t>
      </w:r>
      <w:r>
        <w:rPr>
          <w:rFonts w:hint="eastAsia" w:ascii="宋体" w:hAnsi="宋体" w:eastAsia="宋体" w:cs="宋体"/>
          <w:color w:val="auto"/>
          <w:sz w:val="24"/>
          <w:highlight w:val="none"/>
          <w:lang w:val="en-US" w:eastAsia="zh-CN"/>
        </w:rPr>
        <w:t>格后一次性支付；预付款的支付进程不得影响合同的履行。</w:t>
      </w:r>
    </w:p>
    <w:p w14:paraId="0870EAE5">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七</w:t>
      </w:r>
      <w:r>
        <w:rPr>
          <w:rFonts w:hint="eastAsia" w:ascii="宋体" w:hAnsi="宋体" w:eastAsia="宋体" w:cs="宋体"/>
          <w:b/>
          <w:bCs/>
          <w:color w:val="auto"/>
          <w:kern w:val="0"/>
          <w:sz w:val="24"/>
          <w:szCs w:val="24"/>
          <w:highlight w:val="none"/>
        </w:rPr>
        <w:t>、违约责任：</w:t>
      </w:r>
    </w:p>
    <w:p w14:paraId="03DFA5BD">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.不能按合同提供所需服务，由此造成的一切相关损失全部由乙方承担。</w:t>
      </w:r>
    </w:p>
    <w:p w14:paraId="7B667FAE">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.将</w:t>
      </w:r>
      <w:r>
        <w:rPr>
          <w:rFonts w:hint="eastAsia" w:ascii="宋体" w:hAnsi="宋体" w:cs="宋体"/>
          <w:color w:val="auto"/>
          <w:sz w:val="24"/>
          <w:szCs w:val="24"/>
          <w:highlight w:val="none"/>
          <w:lang w:eastAsia="zh-CN"/>
        </w:rPr>
        <w:t>成交资格</w:t>
      </w:r>
      <w:r>
        <w:rPr>
          <w:rFonts w:hint="eastAsia" w:ascii="宋体" w:hAnsi="宋体" w:eastAsia="宋体" w:cs="宋体"/>
          <w:color w:val="auto"/>
          <w:sz w:val="24"/>
          <w:szCs w:val="24"/>
          <w:highlight w:val="none"/>
        </w:rPr>
        <w:t>转让他人的，一经查实，取消</w:t>
      </w:r>
      <w:r>
        <w:rPr>
          <w:rFonts w:hint="eastAsia" w:ascii="宋体" w:hAnsi="宋体" w:cs="宋体"/>
          <w:color w:val="auto"/>
          <w:sz w:val="24"/>
          <w:szCs w:val="24"/>
          <w:highlight w:val="none"/>
          <w:lang w:eastAsia="zh-CN"/>
        </w:rPr>
        <w:t>成交资格</w:t>
      </w:r>
      <w:r>
        <w:rPr>
          <w:rFonts w:hint="eastAsia" w:ascii="宋体" w:hAnsi="宋体" w:eastAsia="宋体" w:cs="宋体"/>
          <w:color w:val="auto"/>
          <w:sz w:val="24"/>
          <w:szCs w:val="24"/>
          <w:highlight w:val="none"/>
        </w:rPr>
        <w:t>。</w:t>
      </w:r>
    </w:p>
    <w:p w14:paraId="39F03171">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.乙方与甲方签订合同后未能履行合同而影响甲方正常工作的，取消乙方资格。</w:t>
      </w:r>
    </w:p>
    <w:p w14:paraId="75480F57">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八</w:t>
      </w:r>
      <w:r>
        <w:rPr>
          <w:rFonts w:hint="eastAsia" w:ascii="宋体" w:hAnsi="宋体" w:eastAsia="宋体" w:cs="宋体"/>
          <w:b/>
          <w:bCs/>
          <w:color w:val="auto"/>
          <w:kern w:val="0"/>
          <w:sz w:val="24"/>
          <w:szCs w:val="24"/>
          <w:highlight w:val="none"/>
        </w:rPr>
        <w:t>、甲乙双方约定：</w:t>
      </w:r>
    </w:p>
    <w:p w14:paraId="7118B231">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p w14:paraId="236FD449">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p w14:paraId="57FD41A8">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4E13C1C">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本合同未提及内容及不详之处，以招标文件、询标纪要及与本合同有关的其他内容为准，都具有同等法律效力。</w:t>
      </w:r>
    </w:p>
    <w:p w14:paraId="0A192F16">
      <w:pPr>
        <w:keepNext w:val="0"/>
        <w:keepLines w:val="0"/>
        <w:pageBreakBefore w:val="0"/>
        <w:kinsoku/>
        <w:wordWrap/>
        <w:overflowPunct/>
        <w:topLinePunct w:val="0"/>
        <w:autoSpaceDE/>
        <w:autoSpaceDN/>
        <w:bidi w:val="0"/>
        <w:adjustRightInd w:val="0"/>
        <w:snapToGrid w:val="0"/>
        <w:spacing w:line="360" w:lineRule="auto"/>
        <w:ind w:firstLine="482"/>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九</w:t>
      </w:r>
      <w:r>
        <w:rPr>
          <w:rFonts w:hint="eastAsia" w:ascii="宋体" w:hAnsi="宋体" w:eastAsia="宋体" w:cs="宋体"/>
          <w:b/>
          <w:bCs/>
          <w:color w:val="auto"/>
          <w:kern w:val="0"/>
          <w:sz w:val="24"/>
          <w:szCs w:val="24"/>
          <w:highlight w:val="none"/>
        </w:rPr>
        <w:t>、其它：</w:t>
      </w:r>
    </w:p>
    <w:p w14:paraId="21C6FBA8">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1.本合同依法签订，即具有法律效力，未尽事宜由甲、乙双方协商解决，如协商不成，双方同意将本合同引起的争议提交杭州仲裁委员会仲裁解决，仲裁为终局。</w:t>
      </w:r>
    </w:p>
    <w:p w14:paraId="26E5F441">
      <w:pPr>
        <w:keepNext w:val="0"/>
        <w:keepLines w:val="0"/>
        <w:pageBreakBefore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2.本合同一式陆份，经甲、乙双方签字并盖章后生效。甲方执肆份，乙方、招标代理机构各执壹份。</w:t>
      </w:r>
    </w:p>
    <w:p w14:paraId="4B3BEC9C">
      <w:pPr>
        <w:rPr>
          <w:color w:val="auto"/>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9"/>
        <w:gridCol w:w="4838"/>
      </w:tblGrid>
      <w:tr w14:paraId="4E96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09" w:type="dxa"/>
            <w:vMerge w:val="restart"/>
            <w:tcBorders>
              <w:top w:val="single" w:color="auto" w:sz="4" w:space="0"/>
              <w:left w:val="single" w:color="auto" w:sz="4" w:space="0"/>
              <w:bottom w:val="single" w:color="auto" w:sz="4" w:space="0"/>
              <w:right w:val="single" w:color="auto" w:sz="4" w:space="0"/>
            </w:tcBorders>
            <w:vAlign w:val="top"/>
          </w:tcPr>
          <w:p w14:paraId="70D2DDEF">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甲方：（章）</w:t>
            </w:r>
          </w:p>
          <w:p w14:paraId="4E8FAC86">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2C737A59">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w:t>
            </w:r>
          </w:p>
          <w:p w14:paraId="12F254BD">
            <w:pPr>
              <w:pStyle w:val="2"/>
              <w:spacing w:line="240" w:lineRule="auto"/>
              <w:rPr>
                <w:rFonts w:hint="eastAsia" w:ascii="宋体" w:hAnsi="宋体" w:eastAsia="宋体" w:cs="宋体"/>
                <w:color w:val="auto"/>
                <w:sz w:val="24"/>
                <w:szCs w:val="24"/>
                <w:highlight w:val="none"/>
              </w:rPr>
            </w:pPr>
          </w:p>
          <w:p w14:paraId="5EF877CD">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14:paraId="2352C7DE">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p>
          <w:p w14:paraId="4245040B">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开户行： </w:t>
            </w:r>
          </w:p>
          <w:p w14:paraId="0E892D12">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帐户：</w:t>
            </w:r>
          </w:p>
          <w:p w14:paraId="648764A0">
            <w:pPr>
              <w:pStyle w:val="2"/>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税号：</w:t>
            </w:r>
          </w:p>
          <w:p w14:paraId="31B2A16F">
            <w:pPr>
              <w:pStyle w:val="2"/>
              <w:spacing w:line="240" w:lineRule="auto"/>
              <w:rPr>
                <w:rFonts w:hint="eastAsia" w:hAnsi="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hAnsi="宋体" w:cs="宋体"/>
                <w:color w:val="auto"/>
                <w:sz w:val="24"/>
                <w:szCs w:val="24"/>
                <w:highlight w:val="none"/>
                <w:lang w:eastAsia="zh-CN"/>
              </w:rPr>
              <w:t>：</w:t>
            </w:r>
          </w:p>
          <w:p w14:paraId="3897BDAC">
            <w:pPr>
              <w:pStyle w:val="2"/>
              <w:spacing w:line="240" w:lineRule="auto"/>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联系方式</w:t>
            </w:r>
            <w:r>
              <w:rPr>
                <w:rFonts w:hint="eastAsia" w:ascii="宋体" w:hAnsi="宋体" w:eastAsia="宋体" w:cs="宋体"/>
                <w:color w:val="auto"/>
                <w:sz w:val="24"/>
                <w:szCs w:val="24"/>
                <w:highlight w:val="none"/>
              </w:rPr>
              <w:t>：</w:t>
            </w:r>
          </w:p>
          <w:p w14:paraId="251077E0">
            <w:pPr>
              <w:pStyle w:val="2"/>
              <w:snapToGrid w:val="0"/>
              <w:spacing w:line="240" w:lineRule="auto"/>
              <w:rPr>
                <w:rFonts w:hint="eastAsia"/>
                <w:color w:val="auto"/>
                <w:highlight w:val="none"/>
              </w:rPr>
            </w:pPr>
            <w:r>
              <w:rPr>
                <w:rFonts w:hint="eastAsia" w:ascii="宋体" w:hAnsi="宋体" w:eastAsia="宋体" w:cs="宋体"/>
                <w:color w:val="auto"/>
                <w:sz w:val="24"/>
                <w:szCs w:val="24"/>
                <w:highlight w:val="none"/>
              </w:rPr>
              <w:t>时间：</w:t>
            </w:r>
          </w:p>
        </w:tc>
        <w:tc>
          <w:tcPr>
            <w:tcW w:w="4838" w:type="dxa"/>
            <w:vMerge w:val="restart"/>
            <w:tcBorders>
              <w:top w:val="single" w:color="auto" w:sz="4" w:space="0"/>
              <w:left w:val="single" w:color="auto" w:sz="4" w:space="0"/>
              <w:bottom w:val="single" w:color="auto" w:sz="4" w:space="0"/>
              <w:right w:val="single" w:color="auto" w:sz="4" w:space="0"/>
            </w:tcBorders>
            <w:vAlign w:val="top"/>
          </w:tcPr>
          <w:p w14:paraId="12C48A6E">
            <w:pPr>
              <w:keepNext w:val="0"/>
              <w:keepLines w:val="0"/>
              <w:pageBreakBefore w:val="0"/>
              <w:kinsoku/>
              <w:wordWrap/>
              <w:overflowPunct/>
              <w:topLinePunct w:val="0"/>
              <w:autoSpaceDE/>
              <w:autoSpaceDN/>
              <w:bidi w:val="0"/>
              <w:adjustRightInd w:val="0"/>
              <w:snapToGrid w:val="0"/>
              <w:spacing w:line="240" w:lineRule="auto"/>
              <w:ind w:right="-107" w:rightChars="-5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乙方(章)：</w:t>
            </w:r>
          </w:p>
          <w:p w14:paraId="394A067D">
            <w:pPr>
              <w:keepNext w:val="0"/>
              <w:keepLines w:val="0"/>
              <w:pageBreakBefore w:val="0"/>
              <w:kinsoku/>
              <w:wordWrap/>
              <w:overflowPunct/>
              <w:topLinePunct w:val="0"/>
              <w:autoSpaceDE/>
              <w:autoSpaceDN/>
              <w:bidi w:val="0"/>
              <w:adjustRightInd w:val="0"/>
              <w:snapToGrid w:val="0"/>
              <w:spacing w:line="240" w:lineRule="auto"/>
              <w:ind w:right="-107" w:rightChars="-5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738C1ED0">
            <w:pPr>
              <w:spacing w:line="240" w:lineRule="auto"/>
              <w:ind w:right="-107" w:rightChars="-5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w:t>
            </w:r>
          </w:p>
          <w:p w14:paraId="6C927095">
            <w:pPr>
              <w:keepNext w:val="0"/>
              <w:keepLines w:val="0"/>
              <w:pageBreakBefore w:val="0"/>
              <w:kinsoku/>
              <w:wordWrap/>
              <w:overflowPunct/>
              <w:topLinePunct w:val="0"/>
              <w:autoSpaceDE/>
              <w:autoSpaceDN/>
              <w:bidi w:val="0"/>
              <w:adjustRightInd w:val="0"/>
              <w:snapToGrid w:val="0"/>
              <w:spacing w:line="240" w:lineRule="auto"/>
              <w:ind w:right="-107" w:rightChars="-51" w:firstLine="0" w:firstLineChars="0"/>
              <w:textAlignment w:val="auto"/>
              <w:rPr>
                <w:rFonts w:hint="eastAsia" w:ascii="宋体" w:hAnsi="宋体" w:eastAsia="宋体" w:cs="宋体"/>
                <w:color w:val="auto"/>
                <w:sz w:val="24"/>
                <w:szCs w:val="24"/>
                <w:highlight w:val="none"/>
              </w:rPr>
            </w:pPr>
          </w:p>
          <w:p w14:paraId="7D8556D7">
            <w:pPr>
              <w:keepNext w:val="0"/>
              <w:keepLines w:val="0"/>
              <w:pageBreakBefore w:val="0"/>
              <w:kinsoku/>
              <w:wordWrap/>
              <w:overflowPunct/>
              <w:topLinePunct w:val="0"/>
              <w:autoSpaceDE/>
              <w:autoSpaceDN/>
              <w:bidi w:val="0"/>
              <w:adjustRightInd w:val="0"/>
              <w:snapToGrid w:val="0"/>
              <w:spacing w:line="240" w:lineRule="auto"/>
              <w:ind w:right="-107" w:rightChars="-5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14:paraId="3BA81F3E">
            <w:pPr>
              <w:keepNext w:val="0"/>
              <w:keepLines w:val="0"/>
              <w:pageBreakBefore w:val="0"/>
              <w:kinsoku/>
              <w:wordWrap/>
              <w:overflowPunct/>
              <w:topLinePunct w:val="0"/>
              <w:autoSpaceDE/>
              <w:autoSpaceDN/>
              <w:bidi w:val="0"/>
              <w:adjustRightInd w:val="0"/>
              <w:snapToGrid w:val="0"/>
              <w:spacing w:line="240" w:lineRule="auto"/>
              <w:ind w:right="-107" w:rightChars="-5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p>
          <w:p w14:paraId="07953FC7">
            <w:pPr>
              <w:keepNext w:val="0"/>
              <w:keepLines w:val="0"/>
              <w:pageBreakBefore w:val="0"/>
              <w:kinsoku/>
              <w:wordWrap/>
              <w:overflowPunct/>
              <w:topLinePunct w:val="0"/>
              <w:autoSpaceDE/>
              <w:autoSpaceDN/>
              <w:bidi w:val="0"/>
              <w:adjustRightInd w:val="0"/>
              <w:snapToGrid w:val="0"/>
              <w:spacing w:line="240" w:lineRule="auto"/>
              <w:ind w:right="-107" w:rightChars="-51"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开户行： </w:t>
            </w:r>
          </w:p>
          <w:p w14:paraId="2483618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帐户：</w:t>
            </w:r>
          </w:p>
          <w:p w14:paraId="342CAFE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税号：</w:t>
            </w:r>
          </w:p>
          <w:p w14:paraId="7702685E">
            <w:pPr>
              <w:pStyle w:val="2"/>
              <w:keepNext w:val="0"/>
              <w:keepLines w:val="0"/>
              <w:pageBreakBefore w:val="0"/>
              <w:kinsoku/>
              <w:wordWrap/>
              <w:overflowPunct/>
              <w:topLinePunct w:val="0"/>
              <w:autoSpaceDE/>
              <w:autoSpaceDN/>
              <w:bidi w:val="0"/>
              <w:adjustRightInd w:val="0"/>
              <w:snapToGrid w:val="0"/>
              <w:spacing w:line="240" w:lineRule="auto"/>
              <w:ind w:firstLineChars="0"/>
              <w:textAlignment w:val="auto"/>
              <w:rPr>
                <w:rFonts w:hint="eastAsia" w:hAnsi="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hAnsi="宋体" w:cs="宋体"/>
                <w:color w:val="auto"/>
                <w:sz w:val="24"/>
                <w:szCs w:val="24"/>
                <w:highlight w:val="none"/>
                <w:lang w:eastAsia="zh-CN"/>
              </w:rPr>
              <w:t>：</w:t>
            </w:r>
          </w:p>
          <w:p w14:paraId="47D76B37">
            <w:pPr>
              <w:pStyle w:val="2"/>
              <w:keepNext w:val="0"/>
              <w:keepLines w:val="0"/>
              <w:pageBreakBefore w:val="0"/>
              <w:kinsoku/>
              <w:wordWrap/>
              <w:overflowPunct/>
              <w:topLinePunct w:val="0"/>
              <w:autoSpaceDE/>
              <w:autoSpaceDN/>
              <w:bidi w:val="0"/>
              <w:adjustRightInd w:val="0"/>
              <w:snapToGrid w:val="0"/>
              <w:spacing w:line="240" w:lineRule="auto"/>
              <w:ind w:firstLineChars="0"/>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联系方式</w:t>
            </w:r>
            <w:r>
              <w:rPr>
                <w:rFonts w:hint="eastAsia" w:ascii="宋体" w:hAnsi="宋体" w:eastAsia="宋体" w:cs="宋体"/>
                <w:color w:val="auto"/>
                <w:sz w:val="24"/>
                <w:szCs w:val="24"/>
                <w:highlight w:val="none"/>
              </w:rPr>
              <w:t>：</w:t>
            </w:r>
          </w:p>
          <w:p w14:paraId="761F93E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p>
        </w:tc>
      </w:tr>
      <w:tr w14:paraId="67F3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1" w:hRule="atLeast"/>
          <w:jc w:val="center"/>
        </w:trPr>
        <w:tc>
          <w:tcPr>
            <w:tcW w:w="4809" w:type="dxa"/>
            <w:vMerge w:val="continue"/>
            <w:tcBorders>
              <w:top w:val="single" w:color="auto" w:sz="4" w:space="0"/>
              <w:left w:val="single" w:color="auto" w:sz="4" w:space="0"/>
              <w:bottom w:val="single" w:color="auto" w:sz="4" w:space="0"/>
              <w:right w:val="single" w:color="auto" w:sz="4" w:space="0"/>
            </w:tcBorders>
            <w:vAlign w:val="top"/>
          </w:tcPr>
          <w:p w14:paraId="4BFEEC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4"/>
                <w:szCs w:val="24"/>
                <w:highlight w:val="none"/>
              </w:rPr>
            </w:pPr>
          </w:p>
        </w:tc>
        <w:tc>
          <w:tcPr>
            <w:tcW w:w="4838" w:type="dxa"/>
            <w:vMerge w:val="continue"/>
            <w:tcBorders>
              <w:top w:val="single" w:color="auto" w:sz="4" w:space="0"/>
              <w:left w:val="single" w:color="auto" w:sz="4" w:space="0"/>
              <w:bottom w:val="single" w:color="auto" w:sz="4" w:space="0"/>
              <w:right w:val="single" w:color="auto" w:sz="4" w:space="0"/>
            </w:tcBorders>
            <w:vAlign w:val="top"/>
          </w:tcPr>
          <w:p w14:paraId="30E2C0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4"/>
                <w:szCs w:val="24"/>
                <w:highlight w:val="none"/>
              </w:rPr>
            </w:pPr>
          </w:p>
        </w:tc>
      </w:tr>
    </w:tbl>
    <w:p w14:paraId="61C58CCD">
      <w:pPr>
        <w:spacing w:line="288" w:lineRule="auto"/>
        <w:ind w:firstLine="439" w:firstLineChars="198"/>
        <w:rPr>
          <w:rFonts w:ascii="Calibri" w:hAnsi="Calibri" w:cs="Calibri"/>
          <w:color w:val="auto"/>
          <w:spacing w:val="6"/>
          <w:szCs w:val="21"/>
          <w:highlight w:val="none"/>
        </w:rPr>
      </w:pPr>
    </w:p>
    <w:p w14:paraId="33FDB389">
      <w:pPr>
        <w:spacing w:line="288" w:lineRule="auto"/>
        <w:ind w:firstLine="439" w:firstLineChars="198"/>
        <w:rPr>
          <w:rFonts w:ascii="Calibri" w:hAnsi="Calibri" w:cs="Calibri"/>
          <w:color w:val="auto"/>
          <w:spacing w:val="6"/>
          <w:szCs w:val="21"/>
          <w:highlight w:val="none"/>
        </w:rPr>
      </w:pPr>
    </w:p>
    <w:p w14:paraId="7FEB1C13">
      <w:pPr>
        <w:keepNext w:val="0"/>
        <w:keepLines w:val="0"/>
        <w:pageBreakBefore w:val="0"/>
        <w:widowControl w:val="0"/>
        <w:kinsoku/>
        <w:wordWrap/>
        <w:overflowPunct/>
        <w:topLinePunct w:val="0"/>
        <w:autoSpaceDE/>
        <w:autoSpaceDN/>
        <w:bidi w:val="0"/>
        <w:adjustRightInd w:val="0"/>
        <w:snapToGrid w:val="0"/>
        <w:spacing w:line="360" w:lineRule="auto"/>
        <w:rPr>
          <w:rFonts w:ascii="宋体" w:hAnsi="宋体" w:cs="宋体"/>
          <w:color w:val="auto"/>
          <w:highlight w:val="none"/>
        </w:rPr>
      </w:pPr>
    </w:p>
    <w:p w14:paraId="635CC31F">
      <w:pPr>
        <w:spacing w:line="360" w:lineRule="auto"/>
        <w:ind w:left="-420" w:leftChars="-200" w:right="-420" w:rightChars="-200" w:firstLine="480" w:firstLineChars="200"/>
        <w:jc w:val="center"/>
        <w:outlineLvl w:val="9"/>
        <w:rPr>
          <w:rFonts w:ascii="宋体" w:hAnsi="宋体" w:cs="宋体"/>
          <w:color w:val="auto"/>
          <w:sz w:val="24"/>
          <w:highlight w:val="none"/>
        </w:rPr>
        <w:sectPr>
          <w:headerReference r:id="rId9" w:type="first"/>
          <w:footerReference r:id="rId11" w:type="first"/>
          <w:footerReference r:id="rId10"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0EE2BF86">
      <w:pPr>
        <w:snapToGrid w:val="0"/>
        <w:spacing w:line="360" w:lineRule="auto"/>
        <w:jc w:val="center"/>
        <w:outlineLvl w:val="0"/>
        <w:rPr>
          <w:rFonts w:ascii="宋体" w:hAnsi="宋体" w:cs="宋体"/>
          <w:b/>
          <w:color w:val="auto"/>
          <w:sz w:val="36"/>
          <w:szCs w:val="20"/>
          <w:highlight w:val="none"/>
        </w:rPr>
      </w:pPr>
      <w:bookmarkStart w:id="409" w:name="_Toc5140"/>
      <w:r>
        <w:rPr>
          <w:rFonts w:hint="eastAsia" w:ascii="宋体" w:hAnsi="宋体" w:cs="宋体"/>
          <w:b/>
          <w:color w:val="auto"/>
          <w:sz w:val="36"/>
          <w:szCs w:val="20"/>
          <w:highlight w:val="none"/>
        </w:rPr>
        <w:t>第六部分</w:t>
      </w:r>
      <w:bookmarkEnd w:id="407"/>
      <w:bookmarkEnd w:id="408"/>
      <w:r>
        <w:rPr>
          <w:rFonts w:hint="eastAsia" w:ascii="宋体" w:hAnsi="宋体" w:cs="宋体"/>
          <w:b/>
          <w:color w:val="auto"/>
          <w:sz w:val="36"/>
          <w:szCs w:val="20"/>
          <w:highlight w:val="none"/>
          <w:lang w:val="en-US" w:eastAsia="zh-CN"/>
        </w:rPr>
        <w:t xml:space="preserve"> </w:t>
      </w:r>
      <w:r>
        <w:rPr>
          <w:rFonts w:hint="eastAsia" w:ascii="宋体" w:hAnsi="宋体" w:cs="宋体"/>
          <w:b/>
          <w:color w:val="auto"/>
          <w:sz w:val="36"/>
          <w:szCs w:val="20"/>
          <w:highlight w:val="none"/>
        </w:rPr>
        <w:t>应提交的有关格式范例</w:t>
      </w:r>
      <w:bookmarkEnd w:id="409"/>
    </w:p>
    <w:p w14:paraId="2C611178">
      <w:pPr>
        <w:rPr>
          <w:rFonts w:ascii="宋体" w:hAnsi="宋体" w:cs="宋体"/>
          <w:color w:val="auto"/>
          <w:highlight w:val="none"/>
        </w:rPr>
      </w:pPr>
    </w:p>
    <w:p w14:paraId="6ECF6F49">
      <w:pPr>
        <w:spacing w:line="360" w:lineRule="auto"/>
        <w:jc w:val="center"/>
        <w:outlineLvl w:val="0"/>
        <w:rPr>
          <w:rFonts w:ascii="宋体" w:hAnsi="宋体" w:cs="宋体"/>
          <w:b/>
          <w:color w:val="auto"/>
          <w:kern w:val="0"/>
          <w:sz w:val="36"/>
          <w:szCs w:val="36"/>
          <w:highlight w:val="none"/>
        </w:rPr>
      </w:pPr>
      <w:bookmarkStart w:id="410" w:name="_Toc13799"/>
      <w:r>
        <w:rPr>
          <w:rFonts w:hint="eastAsia" w:ascii="宋体" w:hAnsi="宋体" w:cs="宋体"/>
          <w:b/>
          <w:color w:val="auto"/>
          <w:kern w:val="0"/>
          <w:sz w:val="36"/>
          <w:szCs w:val="36"/>
          <w:highlight w:val="none"/>
        </w:rPr>
        <w:t>资格文件部分</w:t>
      </w:r>
      <w:bookmarkEnd w:id="410"/>
    </w:p>
    <w:p w14:paraId="3DAC42FB">
      <w:pPr>
        <w:spacing w:line="360" w:lineRule="auto"/>
        <w:jc w:val="center"/>
        <w:outlineLvl w:val="0"/>
        <w:rPr>
          <w:rFonts w:ascii="宋体" w:hAnsi="宋体" w:cs="宋体"/>
          <w:b/>
          <w:color w:val="auto"/>
          <w:kern w:val="0"/>
          <w:sz w:val="36"/>
          <w:szCs w:val="36"/>
          <w:highlight w:val="none"/>
        </w:rPr>
      </w:pPr>
      <w:bookmarkStart w:id="411" w:name="_Toc19973"/>
      <w:r>
        <w:rPr>
          <w:rFonts w:hint="eastAsia" w:ascii="宋体" w:hAnsi="宋体" w:cs="宋体"/>
          <w:b/>
          <w:color w:val="auto"/>
          <w:kern w:val="0"/>
          <w:sz w:val="36"/>
          <w:szCs w:val="36"/>
          <w:highlight w:val="none"/>
        </w:rPr>
        <w:t>目录</w:t>
      </w:r>
      <w:bookmarkEnd w:id="411"/>
    </w:p>
    <w:p w14:paraId="04EB5908">
      <w:pPr>
        <w:rPr>
          <w:rFonts w:ascii="宋体" w:hAnsi="宋体" w:cs="宋体"/>
          <w:color w:val="auto"/>
          <w:highlight w:val="none"/>
        </w:rPr>
      </w:pPr>
    </w:p>
    <w:p w14:paraId="20B98EB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1686511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）落实政府采购政策需满足的资格要求………………………………（页码）</w:t>
      </w:r>
    </w:p>
    <w:p w14:paraId="26709FE2">
      <w:pPr>
        <w:tabs>
          <w:tab w:val="left" w:pos="305"/>
        </w:tabs>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）本项目的特定资格要求………………………………………………（页码）</w:t>
      </w:r>
    </w:p>
    <w:p w14:paraId="37FA44E3">
      <w:pPr>
        <w:tabs>
          <w:tab w:val="left" w:pos="305"/>
        </w:tabs>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营业执照</w:t>
      </w:r>
      <w:r>
        <w:rPr>
          <w:rFonts w:hint="eastAsia" w:ascii="宋体" w:hAnsi="宋体" w:cs="宋体"/>
          <w:color w:val="auto"/>
          <w:sz w:val="24"/>
          <w:highlight w:val="none"/>
        </w:rPr>
        <w:t>………………………………………………………………（页码）</w:t>
      </w:r>
    </w:p>
    <w:p w14:paraId="27A9615F">
      <w:pPr>
        <w:tabs>
          <w:tab w:val="left" w:pos="305"/>
        </w:tabs>
        <w:snapToGrid w:val="0"/>
        <w:spacing w:line="360" w:lineRule="auto"/>
        <w:rPr>
          <w:rFonts w:hint="default" w:ascii="宋体" w:hAnsi="宋体" w:eastAsia="宋体" w:cs="宋体"/>
          <w:color w:val="auto"/>
          <w:sz w:val="24"/>
          <w:highlight w:val="none"/>
          <w:lang w:val="en-US" w:eastAsia="zh-CN"/>
        </w:rPr>
      </w:pPr>
    </w:p>
    <w:p w14:paraId="610FDBD3">
      <w:pPr>
        <w:snapToGrid w:val="0"/>
        <w:spacing w:line="360" w:lineRule="auto"/>
        <w:ind w:firstLine="480" w:firstLineChars="200"/>
        <w:rPr>
          <w:rFonts w:ascii="宋体" w:hAnsi="宋体" w:cs="宋体"/>
          <w:color w:val="auto"/>
          <w:sz w:val="24"/>
          <w:highlight w:val="none"/>
        </w:rPr>
      </w:pPr>
    </w:p>
    <w:p w14:paraId="7FAFA2C0">
      <w:pPr>
        <w:spacing w:line="360" w:lineRule="auto"/>
        <w:ind w:firstLine="480" w:firstLineChars="200"/>
        <w:rPr>
          <w:rFonts w:ascii="宋体" w:hAnsi="宋体" w:cs="宋体"/>
          <w:color w:val="auto"/>
          <w:sz w:val="24"/>
          <w:highlight w:val="none"/>
        </w:rPr>
      </w:pPr>
    </w:p>
    <w:p w14:paraId="75C2E126">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270DB3AE">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、浙江致信招标代理有限公司：</w:t>
      </w:r>
    </w:p>
    <w:p w14:paraId="255E02A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浙江同济科技职业学院图书馆家具利旧翻新（含部分搬运）</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ZXZB-TJ-2025011C</w:t>
      </w:r>
      <w:r>
        <w:rPr>
          <w:rFonts w:hint="eastAsia" w:ascii="宋体" w:hAnsi="宋体" w:cs="宋体"/>
          <w:color w:val="auto"/>
          <w:sz w:val="24"/>
          <w:highlight w:val="none"/>
        </w:rPr>
        <w:t>】政府采购活动，郑重承诺：</w:t>
      </w:r>
    </w:p>
    <w:p w14:paraId="5E667EFD">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83413A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2C7629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BAAB60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C7AED6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299231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3E43F9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C79A05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3C04527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5D034E5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6003852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242E5F68">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14:paraId="7CDF2BA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日</w:t>
      </w:r>
    </w:p>
    <w:p w14:paraId="6B1B0D65">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43AE12B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en-US" w:eastAsia="zh-CN"/>
        </w:rPr>
        <w:t>二</w:t>
      </w:r>
      <w:r>
        <w:rPr>
          <w:rFonts w:hint="eastAsia" w:ascii="宋体" w:hAnsi="宋体" w:cs="宋体"/>
          <w:b/>
          <w:color w:val="auto"/>
          <w:kern w:val="0"/>
          <w:sz w:val="32"/>
          <w:szCs w:val="32"/>
          <w:highlight w:val="none"/>
        </w:rPr>
        <w:t>、落实政府采购政策需满足的资格要求</w:t>
      </w:r>
    </w:p>
    <w:p w14:paraId="13193B3E">
      <w:pPr>
        <w:spacing w:line="360" w:lineRule="auto"/>
        <w:rPr>
          <w:rFonts w:ascii="宋体" w:hAnsi="宋体" w:cs="宋体"/>
          <w:color w:val="auto"/>
          <w:sz w:val="24"/>
          <w:highlight w:val="none"/>
        </w:rPr>
      </w:pPr>
      <w:r>
        <w:rPr>
          <w:rFonts w:hint="eastAsia" w:ascii="宋体" w:hAnsi="宋体" w:cs="宋体"/>
          <w:color w:val="auto"/>
          <w:sz w:val="24"/>
          <w:highlight w:val="none"/>
        </w:rPr>
        <w:t>（根据竞争性磋商公告落实政府采购政策需满足的资格要求选择提供相应的材料；未要求的，无需提供）</w:t>
      </w:r>
    </w:p>
    <w:p w14:paraId="4C9DE64F">
      <w:pPr>
        <w:snapToGrid w:val="0"/>
        <w:spacing w:before="50" w:after="50" w:line="36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t>专门面向中小企业，服务全部由符合政策要求的中小企业（或小微企业）实施的，提供相应的中小企业声明函（</w:t>
      </w:r>
      <w:r>
        <w:rPr>
          <w:rFonts w:hint="eastAsia" w:ascii="宋体" w:hAnsi="宋体" w:cs="宋体"/>
          <w:color w:val="auto"/>
          <w:sz w:val="24"/>
          <w:highlight w:val="none"/>
          <w:lang w:eastAsia="zh-CN"/>
        </w:rPr>
        <w:t>附件5</w:t>
      </w:r>
      <w:r>
        <w:rPr>
          <w:rFonts w:hint="eastAsia" w:ascii="宋体" w:hAnsi="宋体" w:cs="宋体"/>
          <w:color w:val="auto"/>
          <w:sz w:val="24"/>
          <w:highlight w:val="none"/>
        </w:rPr>
        <w:t xml:space="preserve">）。 </w:t>
      </w:r>
    </w:p>
    <w:p w14:paraId="62184434">
      <w:pPr>
        <w:widowControl/>
        <w:spacing w:line="360" w:lineRule="auto"/>
        <w:ind w:firstLine="480"/>
        <w:jc w:val="left"/>
        <w:rPr>
          <w:rFonts w:ascii="宋体" w:hAnsi="宋体" w:cs="宋体"/>
          <w:color w:val="auto"/>
          <w:sz w:val="24"/>
          <w:highlight w:val="none"/>
        </w:rPr>
      </w:pPr>
    </w:p>
    <w:p w14:paraId="2D586FAA">
      <w:pPr>
        <w:widowControl/>
        <w:spacing w:line="360" w:lineRule="auto"/>
        <w:ind w:left="150"/>
        <w:jc w:val="center"/>
        <w:rPr>
          <w:rFonts w:ascii="宋体" w:hAnsi="宋体" w:cs="宋体"/>
          <w:b/>
          <w:color w:val="auto"/>
          <w:kern w:val="0"/>
          <w:sz w:val="32"/>
          <w:szCs w:val="32"/>
          <w:highlight w:val="none"/>
        </w:rPr>
      </w:pPr>
    </w:p>
    <w:p w14:paraId="5660CDA6">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6581A39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（根据竞争性磋商公告本项目的特定资格要求提供相应的材料；未要求的，无需提供）</w:t>
      </w:r>
    </w:p>
    <w:p w14:paraId="0BA138B4">
      <w:pPr>
        <w:rPr>
          <w:rFonts w:ascii="宋体" w:hAnsi="宋体" w:cs="宋体"/>
          <w:color w:val="auto"/>
          <w:highlight w:val="none"/>
        </w:rPr>
      </w:pPr>
    </w:p>
    <w:p w14:paraId="66A37315">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75D2C964">
      <w:pPr>
        <w:rPr>
          <w:rFonts w:ascii="宋体" w:hAnsi="宋体" w:cs="宋体"/>
          <w:color w:val="auto"/>
          <w:highlight w:val="none"/>
        </w:rPr>
      </w:pPr>
    </w:p>
    <w:p w14:paraId="4DC48135">
      <w:pPr>
        <w:spacing w:line="360" w:lineRule="auto"/>
        <w:jc w:val="center"/>
        <w:outlineLvl w:val="0"/>
        <w:rPr>
          <w:rFonts w:ascii="宋体" w:hAnsi="宋体" w:cs="宋体"/>
          <w:b/>
          <w:color w:val="auto"/>
          <w:kern w:val="0"/>
          <w:sz w:val="36"/>
          <w:szCs w:val="36"/>
          <w:highlight w:val="none"/>
        </w:rPr>
      </w:pPr>
      <w:bookmarkStart w:id="412" w:name="_Toc23189"/>
      <w:r>
        <w:rPr>
          <w:rFonts w:hint="eastAsia" w:ascii="宋体" w:hAnsi="宋体" w:cs="宋体"/>
          <w:b/>
          <w:color w:val="auto"/>
          <w:kern w:val="0"/>
          <w:sz w:val="36"/>
          <w:szCs w:val="36"/>
          <w:highlight w:val="none"/>
          <w:lang w:eastAsia="zh-CN"/>
        </w:rPr>
        <w:t>资信技术</w:t>
      </w:r>
      <w:r>
        <w:rPr>
          <w:rFonts w:hint="eastAsia" w:ascii="宋体" w:hAnsi="宋体" w:cs="宋体"/>
          <w:b/>
          <w:color w:val="auto"/>
          <w:kern w:val="0"/>
          <w:sz w:val="36"/>
          <w:szCs w:val="36"/>
          <w:highlight w:val="none"/>
        </w:rPr>
        <w:t>文件部分</w:t>
      </w:r>
      <w:bookmarkEnd w:id="412"/>
    </w:p>
    <w:p w14:paraId="111C27CD">
      <w:pPr>
        <w:spacing w:line="360" w:lineRule="auto"/>
        <w:jc w:val="center"/>
        <w:outlineLvl w:val="0"/>
        <w:rPr>
          <w:rFonts w:ascii="宋体" w:hAnsi="宋体" w:cs="宋体"/>
          <w:b/>
          <w:color w:val="auto"/>
          <w:kern w:val="0"/>
          <w:sz w:val="28"/>
          <w:szCs w:val="28"/>
          <w:highlight w:val="none"/>
        </w:rPr>
      </w:pPr>
      <w:bookmarkStart w:id="413" w:name="_Toc3355"/>
      <w:r>
        <w:rPr>
          <w:rFonts w:hint="eastAsia" w:ascii="宋体" w:hAnsi="宋体" w:cs="宋体"/>
          <w:b/>
          <w:color w:val="auto"/>
          <w:kern w:val="0"/>
          <w:sz w:val="28"/>
          <w:szCs w:val="28"/>
          <w:highlight w:val="none"/>
        </w:rPr>
        <w:t>目录</w:t>
      </w:r>
      <w:bookmarkEnd w:id="413"/>
    </w:p>
    <w:p w14:paraId="7DAD1BCA">
      <w:pPr>
        <w:numPr>
          <w:ilvl w:val="255"/>
          <w:numId w:val="0"/>
        </w:num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（1）响应函………………………………………………………………………………（页码）</w:t>
      </w:r>
    </w:p>
    <w:p w14:paraId="156EE970">
      <w:pPr>
        <w:numPr>
          <w:ilvl w:val="255"/>
          <w:numId w:val="0"/>
        </w:num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（2）授权委托书或法定代表人（单位负责人、自然人本人）身份证明……………（页码）</w:t>
      </w:r>
    </w:p>
    <w:p w14:paraId="49A4F28C">
      <w:pPr>
        <w:tabs>
          <w:tab w:val="left" w:pos="768"/>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）符合性审查资料……………………………………………………………………（页码）</w:t>
      </w:r>
    </w:p>
    <w:p w14:paraId="586211C1">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）评审标准相应的</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资料……………………………………………………（页码）（</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偏离表……………………………………………………………………（页码）</w:t>
      </w:r>
    </w:p>
    <w:p w14:paraId="6F5E3C18">
      <w:pPr>
        <w:snapToGrid w:val="0"/>
        <w:spacing w:line="360" w:lineRule="auto"/>
        <w:ind w:left="479" w:leftChars="228"/>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…………………………………………………（页码</w:t>
      </w:r>
      <w:r>
        <w:rPr>
          <w:rFonts w:hint="eastAsia" w:ascii="宋体" w:hAnsi="宋体" w:cs="宋体"/>
          <w:color w:val="auto"/>
          <w:sz w:val="24"/>
          <w:highlight w:val="none"/>
          <w:lang w:eastAsia="zh-CN"/>
        </w:rPr>
        <w:t>）</w:t>
      </w:r>
    </w:p>
    <w:p w14:paraId="60A02737">
      <w:pPr>
        <w:snapToGrid w:val="0"/>
        <w:spacing w:line="360" w:lineRule="auto"/>
        <w:ind w:left="479" w:leftChars="228"/>
        <w:rPr>
          <w:rFonts w:hint="eastAsia" w:ascii="宋体" w:hAnsi="宋体" w:cs="宋体"/>
          <w:b w:val="0"/>
          <w:bCs/>
          <w:color w:val="auto"/>
          <w:kern w:val="0"/>
          <w:sz w:val="24"/>
          <w:szCs w:val="32"/>
          <w:highlight w:val="none"/>
          <w:lang w:val="zh-CN"/>
        </w:rPr>
      </w:pPr>
      <w:r>
        <w:rPr>
          <w:rFonts w:hint="eastAsia" w:ascii="宋体" w:hAnsi="宋体" w:cs="宋体"/>
          <w:b w:val="0"/>
          <w:bCs/>
          <w:color w:val="auto"/>
          <w:kern w:val="0"/>
          <w:sz w:val="24"/>
          <w:szCs w:val="32"/>
          <w:highlight w:val="none"/>
          <w:lang w:val="zh-CN"/>
        </w:rPr>
        <w:t>（</w:t>
      </w:r>
      <w:r>
        <w:rPr>
          <w:rFonts w:hint="eastAsia" w:ascii="宋体" w:hAnsi="宋体" w:cs="宋体"/>
          <w:b w:val="0"/>
          <w:bCs/>
          <w:color w:val="auto"/>
          <w:kern w:val="0"/>
          <w:sz w:val="24"/>
          <w:szCs w:val="32"/>
          <w:highlight w:val="none"/>
          <w:lang w:val="en-US" w:eastAsia="zh-CN"/>
        </w:rPr>
        <w:t>7</w:t>
      </w:r>
      <w:r>
        <w:rPr>
          <w:rFonts w:hint="eastAsia" w:ascii="宋体" w:hAnsi="宋体" w:cs="宋体"/>
          <w:b w:val="0"/>
          <w:bCs/>
          <w:color w:val="auto"/>
          <w:kern w:val="0"/>
          <w:sz w:val="24"/>
          <w:szCs w:val="32"/>
          <w:highlight w:val="none"/>
          <w:lang w:val="zh-CN"/>
        </w:rPr>
        <w:t>）</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股权信息表…………………………………………………………………（页码）</w:t>
      </w:r>
    </w:p>
    <w:p w14:paraId="4CC54A69">
      <w:pPr>
        <w:snapToGrid w:val="0"/>
        <w:spacing w:line="360" w:lineRule="auto"/>
        <w:ind w:left="479" w:leftChars="228"/>
        <w:rPr>
          <w:rFonts w:hint="eastAsia" w:ascii="宋体" w:hAnsi="宋体" w:eastAsia="宋体" w:cs="宋体"/>
          <w:color w:val="auto"/>
          <w:sz w:val="24"/>
          <w:highlight w:val="none"/>
          <w:lang w:eastAsia="zh-CN"/>
        </w:rPr>
      </w:pPr>
      <w:r>
        <w:rPr>
          <w:rFonts w:hint="eastAsia" w:ascii="宋体" w:hAnsi="宋体" w:cs="宋体"/>
          <w:b w:val="0"/>
          <w:bCs/>
          <w:color w:val="auto"/>
          <w:kern w:val="0"/>
          <w:sz w:val="24"/>
          <w:szCs w:val="32"/>
          <w:highlight w:val="none"/>
          <w:lang w:val="zh-CN"/>
        </w:rPr>
        <w:t>（</w:t>
      </w:r>
      <w:r>
        <w:rPr>
          <w:rFonts w:hint="eastAsia" w:ascii="宋体" w:hAnsi="宋体" w:cs="宋体"/>
          <w:b w:val="0"/>
          <w:bCs/>
          <w:color w:val="auto"/>
          <w:kern w:val="0"/>
          <w:sz w:val="24"/>
          <w:szCs w:val="32"/>
          <w:highlight w:val="none"/>
          <w:lang w:val="en-US" w:eastAsia="zh-CN"/>
        </w:rPr>
        <w:t>8</w:t>
      </w:r>
      <w:r>
        <w:rPr>
          <w:rFonts w:hint="eastAsia" w:ascii="宋体" w:hAnsi="宋体" w:cs="宋体"/>
          <w:b w:val="0"/>
          <w:bCs/>
          <w:color w:val="auto"/>
          <w:kern w:val="0"/>
          <w:sz w:val="24"/>
          <w:szCs w:val="32"/>
          <w:highlight w:val="none"/>
          <w:lang w:val="zh-CN"/>
        </w:rPr>
        <w:t>）缴纳采购代理服务费承诺书</w:t>
      </w:r>
      <w:r>
        <w:rPr>
          <w:rFonts w:hint="eastAsia" w:ascii="宋体" w:hAnsi="宋体" w:cs="宋体"/>
          <w:color w:val="auto"/>
          <w:sz w:val="24"/>
          <w:highlight w:val="none"/>
        </w:rPr>
        <w:t>………………………………………………………（页码</w:t>
      </w:r>
      <w:r>
        <w:rPr>
          <w:rFonts w:hint="eastAsia" w:ascii="宋体" w:hAnsi="宋体" w:cs="宋体"/>
          <w:color w:val="auto"/>
          <w:sz w:val="24"/>
          <w:highlight w:val="none"/>
          <w:lang w:eastAsia="zh-CN"/>
        </w:rPr>
        <w:t>）</w:t>
      </w:r>
    </w:p>
    <w:p w14:paraId="160A7046">
      <w:pPr>
        <w:snapToGrid w:val="0"/>
        <w:spacing w:line="360" w:lineRule="auto"/>
        <w:ind w:left="479" w:leftChars="228"/>
        <w:rPr>
          <w:rFonts w:ascii="宋体" w:hAnsi="宋体" w:cs="宋体"/>
          <w:b w:val="0"/>
          <w:bCs/>
          <w:color w:val="auto"/>
          <w:kern w:val="0"/>
          <w:sz w:val="24"/>
          <w:szCs w:val="32"/>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7E4B6003">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一、响应函</w:t>
      </w:r>
    </w:p>
    <w:p w14:paraId="70E37117">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、浙江致信招标代理有限公司：</w:t>
      </w:r>
    </w:p>
    <w:p w14:paraId="0E4230D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浙江同济科技职业学院图书馆家具利旧翻新（含部分搬运）</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ZXZB-TJ-2025011C</w:t>
      </w:r>
      <w:r>
        <w:rPr>
          <w:rFonts w:hint="eastAsia" w:ascii="宋体" w:hAnsi="宋体" w:cs="宋体"/>
          <w:color w:val="auto"/>
          <w:sz w:val="24"/>
          <w:highlight w:val="none"/>
        </w:rPr>
        <w:t>】采购的有关活动，并对此项目提交响应文件及报价。为此：</w:t>
      </w:r>
    </w:p>
    <w:p w14:paraId="63BD619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1、我方承诺响应文件有效期从提交响应文件的截止之日起天（不少于90天）</w:t>
      </w:r>
      <w:r>
        <w:rPr>
          <w:rFonts w:hint="eastAsia" w:ascii="宋体" w:hAnsi="宋体" w:cs="宋体"/>
          <w:color w:val="auto"/>
          <w:highlight w:val="none"/>
        </w:rPr>
        <w:t>，</w:t>
      </w:r>
      <w:r>
        <w:rPr>
          <w:rFonts w:hint="eastAsia" w:ascii="宋体" w:hAnsi="宋体" w:cs="宋体"/>
          <w:color w:val="auto"/>
          <w:sz w:val="24"/>
          <w:highlight w:val="none"/>
        </w:rPr>
        <w:t>本响应文件在响应文件有效期满之前均具有约束力。</w:t>
      </w:r>
    </w:p>
    <w:p w14:paraId="23CC6E6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2、我方的响应文件包括以下内容：</w:t>
      </w:r>
    </w:p>
    <w:p w14:paraId="4FC95E3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2FF978F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55D8876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23892F0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2.1.3落实政府采购政策需满足的资格要求（如果有）；</w:t>
      </w:r>
    </w:p>
    <w:p w14:paraId="4980850E">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2.1.4本项目的特定资格要求（如果有）</w:t>
      </w:r>
      <w:r>
        <w:rPr>
          <w:rFonts w:hint="eastAsia" w:ascii="宋体" w:hAnsi="宋体" w:cs="宋体"/>
          <w:color w:val="auto"/>
          <w:sz w:val="24"/>
          <w:highlight w:val="none"/>
          <w:lang w:eastAsia="zh-CN"/>
        </w:rPr>
        <w:t>；</w:t>
      </w:r>
    </w:p>
    <w:p w14:paraId="02F8E3A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2.1.5营业执照</w:t>
      </w:r>
      <w:r>
        <w:rPr>
          <w:rFonts w:hint="eastAsia" w:ascii="宋体" w:hAnsi="宋体" w:cs="宋体"/>
          <w:color w:val="auto"/>
          <w:sz w:val="24"/>
          <w:highlight w:val="none"/>
        </w:rPr>
        <w:t>。</w:t>
      </w:r>
    </w:p>
    <w:p w14:paraId="7D133DD2">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eastAsia="zh-CN"/>
        </w:rPr>
        <w:t>资信技术</w:t>
      </w:r>
      <w:r>
        <w:rPr>
          <w:rFonts w:hint="eastAsia" w:ascii="宋体" w:hAnsi="宋体" w:cs="宋体"/>
          <w:color w:val="auto"/>
          <w:sz w:val="24"/>
          <w:highlight w:val="none"/>
          <w:lang w:val="zh-CN"/>
        </w:rPr>
        <w:t>文件：</w:t>
      </w:r>
    </w:p>
    <w:p w14:paraId="23C8DCF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2.2.1响应函；</w:t>
      </w:r>
    </w:p>
    <w:p w14:paraId="437457A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458F22F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2.2.3分包意向协议（如果有）；</w:t>
      </w:r>
    </w:p>
    <w:p w14:paraId="792A108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2.2.4符合性审查资料；</w:t>
      </w:r>
    </w:p>
    <w:p w14:paraId="1EBD8B5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2.2.5评审标准相应的</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资料；</w:t>
      </w:r>
    </w:p>
    <w:p w14:paraId="468496D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2.2.6</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偏离表；</w:t>
      </w:r>
    </w:p>
    <w:p w14:paraId="07DAA394">
      <w:pPr>
        <w:snapToGrid w:val="0"/>
        <w:spacing w:line="360" w:lineRule="auto"/>
        <w:ind w:left="420" w:leftChars="2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14:paraId="699F63CC">
      <w:pPr>
        <w:snapToGrid w:val="0"/>
        <w:spacing w:line="360" w:lineRule="auto"/>
        <w:ind w:left="420" w:leftChars="200"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2.2.8供应商</w:t>
      </w:r>
      <w:r>
        <w:rPr>
          <w:rFonts w:hint="eastAsia" w:ascii="宋体" w:hAnsi="宋体" w:cs="宋体"/>
          <w:color w:val="auto"/>
          <w:sz w:val="24"/>
          <w:highlight w:val="none"/>
        </w:rPr>
        <w:t>股权信息表</w:t>
      </w:r>
      <w:r>
        <w:rPr>
          <w:rFonts w:hint="eastAsia" w:ascii="宋体" w:hAnsi="宋体" w:cs="宋体"/>
          <w:color w:val="auto"/>
          <w:sz w:val="24"/>
          <w:highlight w:val="none"/>
          <w:lang w:eastAsia="zh-CN"/>
        </w:rPr>
        <w:t>；</w:t>
      </w:r>
    </w:p>
    <w:p w14:paraId="5DD1DEC2">
      <w:pPr>
        <w:snapToGrid w:val="0"/>
        <w:spacing w:line="360" w:lineRule="auto"/>
        <w:ind w:left="420" w:leftChars="200"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2.2.9</w:t>
      </w:r>
      <w:r>
        <w:rPr>
          <w:rFonts w:hint="eastAsia" w:ascii="宋体" w:hAnsi="宋体" w:cs="宋体"/>
          <w:b w:val="0"/>
          <w:bCs/>
          <w:color w:val="auto"/>
          <w:kern w:val="0"/>
          <w:sz w:val="24"/>
          <w:szCs w:val="32"/>
          <w:highlight w:val="none"/>
          <w:lang w:val="zh-CN"/>
        </w:rPr>
        <w:t>缴纳采购代理服务费承诺书。</w:t>
      </w:r>
    </w:p>
    <w:p w14:paraId="505AB94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8F8C12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2.3.1报价单；</w:t>
      </w:r>
    </w:p>
    <w:p w14:paraId="157A456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2.3.2报价明细表；</w:t>
      </w:r>
    </w:p>
    <w:p w14:paraId="30787A0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2.3.3中小企业声明函（如果有）。</w:t>
      </w:r>
    </w:p>
    <w:p w14:paraId="34C3756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w:t>
      </w:r>
      <w:r>
        <w:rPr>
          <w:rFonts w:hint="eastAsia" w:ascii="宋体" w:hAnsi="宋体" w:cs="宋体"/>
          <w:color w:val="auto"/>
          <w:sz w:val="24"/>
          <w:highlight w:val="none"/>
          <w:lang w:eastAsia="zh-CN"/>
        </w:rPr>
        <w:t>资信技术</w:t>
      </w:r>
      <w:r>
        <w:rPr>
          <w:rFonts w:hint="eastAsia" w:ascii="宋体" w:hAnsi="宋体" w:cs="宋体"/>
          <w:color w:val="auto"/>
          <w:sz w:val="24"/>
          <w:highlight w:val="none"/>
        </w:rPr>
        <w:t>偏离表列出的偏离外，我方响应采购文件的全部要求。</w:t>
      </w:r>
    </w:p>
    <w:p w14:paraId="7FCC161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4、如我方成交，我方承诺：</w:t>
      </w:r>
    </w:p>
    <w:p w14:paraId="112A81E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4.1在收到成交通知书后，在成交通知书规定的期限内与你方签订合同； </w:t>
      </w:r>
    </w:p>
    <w:p w14:paraId="549BE112">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B57F75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4.3按照采购文件要求提交履约保证金； </w:t>
      </w:r>
    </w:p>
    <w:p w14:paraId="79A7B70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5EABF1E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p>
    <w:p w14:paraId="29AC4A5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供应商名称（电子签名）：                          </w:t>
      </w:r>
    </w:p>
    <w:p w14:paraId="09BFA73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535FD4E">
      <w:pPr>
        <w:snapToGrid w:val="0"/>
        <w:spacing w:line="360" w:lineRule="auto"/>
        <w:ind w:left="420" w:leftChars="200" w:firstLine="4200" w:firstLineChars="1750"/>
        <w:rPr>
          <w:rFonts w:ascii="宋体" w:hAnsi="宋体" w:cs="宋体"/>
          <w:color w:val="auto"/>
          <w:kern w:val="0"/>
          <w:sz w:val="24"/>
          <w:highlight w:val="none"/>
          <w:u w:val="single"/>
        </w:rPr>
      </w:pPr>
    </w:p>
    <w:p w14:paraId="1B89AC3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EB8E569">
      <w:pPr>
        <w:snapToGrid w:val="0"/>
        <w:spacing w:line="360" w:lineRule="auto"/>
        <w:jc w:val="center"/>
        <w:rPr>
          <w:rFonts w:ascii="宋体" w:hAnsi="宋体" w:cs="宋体"/>
          <w:b/>
          <w:color w:val="auto"/>
          <w:kern w:val="0"/>
          <w:sz w:val="32"/>
          <w:szCs w:val="32"/>
          <w:highlight w:val="none"/>
        </w:rPr>
      </w:pPr>
    </w:p>
    <w:p w14:paraId="10AA7336">
      <w:pPr>
        <w:snapToGrid w:val="0"/>
        <w:spacing w:line="360" w:lineRule="auto"/>
        <w:rPr>
          <w:rFonts w:ascii="宋体" w:hAnsi="宋体" w:cs="宋体"/>
          <w:color w:val="auto"/>
          <w:sz w:val="24"/>
          <w:highlight w:val="none"/>
        </w:rPr>
      </w:pPr>
    </w:p>
    <w:p w14:paraId="77FD766E">
      <w:pPr>
        <w:jc w:val="center"/>
        <w:rPr>
          <w:rFonts w:ascii="宋体" w:hAnsi="宋体" w:cs="宋体"/>
          <w:b/>
          <w:color w:val="auto"/>
          <w:kern w:val="0"/>
          <w:sz w:val="32"/>
          <w:szCs w:val="32"/>
          <w:highlight w:val="none"/>
        </w:rPr>
      </w:pPr>
    </w:p>
    <w:p w14:paraId="59E26834">
      <w:pPr>
        <w:jc w:val="center"/>
        <w:rPr>
          <w:rFonts w:ascii="宋体" w:hAnsi="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02C2918A">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二、授权委托书或法定代表人（单位负责人、自然人本人）身份证明</w:t>
      </w:r>
    </w:p>
    <w:p w14:paraId="1904AF23">
      <w:pPr>
        <w:snapToGrid w:val="0"/>
        <w:spacing w:line="360" w:lineRule="auto"/>
        <w:rPr>
          <w:rFonts w:ascii="宋体" w:hAnsi="宋体" w:cs="宋体"/>
          <w:color w:val="auto"/>
          <w:sz w:val="24"/>
          <w:highlight w:val="none"/>
        </w:rPr>
      </w:pPr>
    </w:p>
    <w:p w14:paraId="51B0FF3C">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授权委托书</w:t>
      </w:r>
    </w:p>
    <w:p w14:paraId="4108957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、浙江致信招标代理有限公司</w:t>
      </w:r>
      <w:r>
        <w:rPr>
          <w:rFonts w:hint="eastAsia" w:ascii="宋体" w:hAnsi="宋体" w:cs="宋体"/>
          <w:color w:val="auto"/>
          <w:kern w:val="0"/>
          <w:sz w:val="24"/>
          <w:highlight w:val="none"/>
          <w:lang w:val="zh-CN"/>
        </w:rPr>
        <w:t>：</w:t>
      </w:r>
    </w:p>
    <w:p w14:paraId="101F6FAB">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委托（姓名）为我方代理人（身份证号码：，手机：），以我方名义处理</w:t>
      </w:r>
      <w:r>
        <w:rPr>
          <w:rFonts w:hint="eastAsia" w:ascii="宋体" w:hAnsi="宋体" w:cs="宋体"/>
          <w:color w:val="auto"/>
          <w:sz w:val="24"/>
          <w:highlight w:val="none"/>
          <w:lang w:eastAsia="zh-CN"/>
        </w:rPr>
        <w:t>浙江同济科技职业学院图书馆家具利旧翻新（含部分搬运）</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ZXZB-TJ-2025011C</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的一切事项，其法律后果由我方承担。</w:t>
      </w:r>
    </w:p>
    <w:p w14:paraId="34C5606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自年月日起至年月日止。</w:t>
      </w:r>
    </w:p>
    <w:p w14:paraId="7B947E9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特此告知。</w:t>
      </w:r>
    </w:p>
    <w:p w14:paraId="4702F66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供应商名称(电子签名)：</w:t>
      </w:r>
    </w:p>
    <w:p w14:paraId="5A916433">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221A4F7C">
      <w:pPr>
        <w:snapToGrid w:val="0"/>
        <w:spacing w:line="360" w:lineRule="auto"/>
        <w:rPr>
          <w:rFonts w:ascii="宋体" w:hAnsi="宋体" w:cs="宋体"/>
          <w:color w:val="auto"/>
          <w:sz w:val="24"/>
          <w:highlight w:val="none"/>
        </w:rPr>
      </w:pPr>
    </w:p>
    <w:p w14:paraId="716166E9">
      <w:pPr>
        <w:snapToGrid w:val="0"/>
        <w:spacing w:line="360" w:lineRule="auto"/>
        <w:rPr>
          <w:rFonts w:ascii="宋体" w:hAnsi="宋体" w:cs="宋体"/>
          <w:color w:val="auto"/>
          <w:sz w:val="24"/>
          <w:highlight w:val="none"/>
        </w:rPr>
      </w:pPr>
    </w:p>
    <w:p w14:paraId="029BEB8E">
      <w:pPr>
        <w:snapToGrid w:val="0"/>
        <w:spacing w:line="360" w:lineRule="auto"/>
        <w:rPr>
          <w:rFonts w:ascii="宋体" w:hAnsi="宋体" w:cs="宋体"/>
          <w:color w:val="auto"/>
          <w:sz w:val="24"/>
          <w:highlight w:val="none"/>
        </w:rPr>
      </w:pPr>
    </w:p>
    <w:p w14:paraId="3559CE15">
      <w:pPr>
        <w:snapToGrid w:val="0"/>
        <w:jc w:val="center"/>
        <w:rPr>
          <w:rFonts w:hint="eastAsia" w:ascii="宋体" w:hAnsi="宋体" w:cs="宋体"/>
          <w:b/>
          <w:bCs/>
          <w:color w:val="auto"/>
          <w:sz w:val="32"/>
          <w:szCs w:val="32"/>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21640460">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zh-CN"/>
        </w:rPr>
        <w:t>法定代表人、单位负责人或自然人本人</w:t>
      </w:r>
      <w:r>
        <w:rPr>
          <w:rFonts w:hint="eastAsia" w:ascii="宋体" w:hAnsi="宋体" w:cs="宋体"/>
          <w:b/>
          <w:bCs/>
          <w:color w:val="auto"/>
          <w:sz w:val="32"/>
          <w:szCs w:val="32"/>
          <w:highlight w:val="none"/>
        </w:rPr>
        <w:t>的身份证明（适用于法定代表人、单位负责人或者自然人本人代表供应商参加响应）</w:t>
      </w:r>
    </w:p>
    <w:p w14:paraId="74EE71CE">
      <w:pPr>
        <w:pStyle w:val="149"/>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BE2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F92483D">
            <w:pPr>
              <w:pStyle w:val="149"/>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6BF05C2C">
            <w:pPr>
              <w:pStyle w:val="149"/>
              <w:adjustRightInd w:val="0"/>
              <w:spacing w:line="360" w:lineRule="auto"/>
              <w:rPr>
                <w:rFonts w:hAnsi="宋体" w:cs="宋体"/>
                <w:bCs/>
                <w:color w:val="auto"/>
                <w:sz w:val="24"/>
                <w:highlight w:val="none"/>
              </w:rPr>
            </w:pPr>
          </w:p>
        </w:tc>
      </w:tr>
    </w:tbl>
    <w:p w14:paraId="30A69EA5">
      <w:pPr>
        <w:snapToGrid w:val="0"/>
        <w:spacing w:line="360" w:lineRule="auto"/>
        <w:ind w:firstLine="576"/>
        <w:jc w:val="center"/>
        <w:rPr>
          <w:rFonts w:ascii="宋体" w:hAnsi="宋体" w:cs="宋体"/>
          <w:color w:val="auto"/>
          <w:kern w:val="0"/>
          <w:sz w:val="24"/>
          <w:highlight w:val="none"/>
          <w:lang w:val="zh-CN"/>
        </w:rPr>
      </w:pPr>
    </w:p>
    <w:p w14:paraId="7F78C523">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                              </w:t>
      </w:r>
    </w:p>
    <w:p w14:paraId="3AE19082">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7FA99E">
      <w:pPr>
        <w:jc w:val="center"/>
        <w:rPr>
          <w:rFonts w:ascii="宋体" w:hAnsi="宋体" w:cs="宋体"/>
          <w:b/>
          <w:color w:val="auto"/>
          <w:kern w:val="0"/>
          <w:sz w:val="32"/>
          <w:szCs w:val="32"/>
          <w:highlight w:val="none"/>
        </w:rPr>
      </w:pPr>
    </w:p>
    <w:p w14:paraId="6C7BD411">
      <w:pPr>
        <w:jc w:val="center"/>
        <w:rPr>
          <w:rFonts w:ascii="宋体" w:hAnsi="宋体" w:cs="宋体"/>
          <w:b/>
          <w:color w:val="auto"/>
          <w:kern w:val="0"/>
          <w:sz w:val="32"/>
          <w:szCs w:val="32"/>
          <w:highlight w:val="none"/>
        </w:rPr>
      </w:pPr>
    </w:p>
    <w:p w14:paraId="7892F658">
      <w:pPr>
        <w:jc w:val="center"/>
        <w:rPr>
          <w:rFonts w:ascii="宋体" w:hAnsi="宋体" w:cs="宋体"/>
          <w:b/>
          <w:color w:val="auto"/>
          <w:kern w:val="0"/>
          <w:sz w:val="32"/>
          <w:szCs w:val="32"/>
          <w:highlight w:val="none"/>
        </w:rPr>
      </w:pPr>
    </w:p>
    <w:p w14:paraId="0D2387A4">
      <w:pPr>
        <w:jc w:val="center"/>
        <w:rPr>
          <w:rFonts w:ascii="宋体" w:hAnsi="宋体" w:cs="宋体"/>
          <w:b/>
          <w:color w:val="auto"/>
          <w:kern w:val="0"/>
          <w:sz w:val="32"/>
          <w:szCs w:val="32"/>
          <w:highlight w:val="none"/>
        </w:rPr>
      </w:pPr>
    </w:p>
    <w:p w14:paraId="09EF9B66">
      <w:pPr>
        <w:jc w:val="center"/>
        <w:rPr>
          <w:rFonts w:ascii="宋体" w:hAnsi="宋体" w:cs="宋体"/>
          <w:b/>
          <w:color w:val="auto"/>
          <w:kern w:val="0"/>
          <w:sz w:val="32"/>
          <w:szCs w:val="32"/>
          <w:highlight w:val="none"/>
        </w:rPr>
      </w:pPr>
    </w:p>
    <w:p w14:paraId="06F8345A">
      <w:pPr>
        <w:jc w:val="center"/>
        <w:rPr>
          <w:rFonts w:ascii="宋体" w:hAnsi="宋体" w:cs="宋体"/>
          <w:b/>
          <w:color w:val="auto"/>
          <w:kern w:val="0"/>
          <w:sz w:val="32"/>
          <w:szCs w:val="32"/>
          <w:highlight w:val="none"/>
        </w:rPr>
      </w:pPr>
    </w:p>
    <w:p w14:paraId="1FBB87B2">
      <w:pPr>
        <w:jc w:val="center"/>
        <w:rPr>
          <w:rFonts w:ascii="宋体" w:hAnsi="宋体" w:cs="宋体"/>
          <w:b/>
          <w:color w:val="auto"/>
          <w:kern w:val="0"/>
          <w:sz w:val="32"/>
          <w:szCs w:val="32"/>
          <w:highlight w:val="none"/>
        </w:rPr>
      </w:pPr>
    </w:p>
    <w:p w14:paraId="1053B2AF">
      <w:pPr>
        <w:jc w:val="center"/>
        <w:rPr>
          <w:rFonts w:ascii="宋体" w:hAnsi="宋体" w:cs="宋体"/>
          <w:b/>
          <w:color w:val="auto"/>
          <w:kern w:val="0"/>
          <w:sz w:val="32"/>
          <w:szCs w:val="32"/>
          <w:highlight w:val="none"/>
        </w:rPr>
      </w:pPr>
    </w:p>
    <w:p w14:paraId="43C26691">
      <w:pPr>
        <w:jc w:val="center"/>
        <w:rPr>
          <w:rFonts w:ascii="宋体" w:hAnsi="宋体" w:cs="宋体"/>
          <w:b/>
          <w:color w:val="auto"/>
          <w:kern w:val="0"/>
          <w:sz w:val="32"/>
          <w:szCs w:val="32"/>
          <w:highlight w:val="none"/>
        </w:rPr>
      </w:pPr>
    </w:p>
    <w:p w14:paraId="02816AD4">
      <w:pPr>
        <w:jc w:val="center"/>
        <w:rPr>
          <w:rFonts w:ascii="宋体" w:hAnsi="宋体" w:cs="宋体"/>
          <w:b/>
          <w:color w:val="auto"/>
          <w:kern w:val="0"/>
          <w:sz w:val="32"/>
          <w:szCs w:val="32"/>
          <w:highlight w:val="none"/>
        </w:rPr>
      </w:pPr>
    </w:p>
    <w:p w14:paraId="29DE38A9">
      <w:pPr>
        <w:snapToGrid w:val="0"/>
        <w:spacing w:line="360" w:lineRule="auto"/>
        <w:ind w:right="480"/>
        <w:rPr>
          <w:rFonts w:ascii="宋体" w:hAnsi="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7B999D1F">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三</w:t>
      </w:r>
      <w:r>
        <w:rPr>
          <w:rFonts w:hint="eastAsia" w:ascii="宋体" w:hAnsi="宋体" w:cs="宋体"/>
          <w:b/>
          <w:bCs/>
          <w:color w:val="auto"/>
          <w:sz w:val="32"/>
          <w:szCs w:val="32"/>
          <w:highlight w:val="none"/>
        </w:rPr>
        <w:t>、符合性审查资料</w:t>
      </w:r>
    </w:p>
    <w:p w14:paraId="58AA67F1">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1D1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1CC59A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2032B57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4B0BA9B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1364450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响应文件中的</w:t>
            </w:r>
          </w:p>
          <w:p w14:paraId="6C0396C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460E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48513D1">
            <w:pP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center"/>
          </w:tcPr>
          <w:p w14:paraId="091344EA">
            <w:pPr>
              <w:spacing w:line="360" w:lineRule="auto"/>
              <w:rPr>
                <w:rFonts w:ascii="宋体" w:hAnsi="宋体" w:cs="宋体"/>
                <w:color w:val="auto"/>
                <w:sz w:val="24"/>
                <w:highlight w:val="none"/>
              </w:rPr>
            </w:pPr>
            <w:r>
              <w:rPr>
                <w:rFonts w:hint="eastAsia" w:ascii="宋体" w:hAnsi="宋体" w:cs="宋体"/>
                <w:color w:val="auto"/>
                <w:sz w:val="24"/>
                <w:highlight w:val="none"/>
              </w:rPr>
              <w:t>响应文件按照采购文件要求签署、盖章。</w:t>
            </w:r>
          </w:p>
        </w:tc>
        <w:tc>
          <w:tcPr>
            <w:tcW w:w="2551" w:type="dxa"/>
            <w:vAlign w:val="center"/>
          </w:tcPr>
          <w:p w14:paraId="650C3BC0">
            <w:pPr>
              <w:rPr>
                <w:rFonts w:ascii="宋体" w:hAnsi="宋体" w:cs="宋体"/>
                <w:color w:val="auto"/>
                <w:sz w:val="24"/>
                <w:highlight w:val="none"/>
              </w:rPr>
            </w:pPr>
            <w:r>
              <w:rPr>
                <w:rFonts w:hint="eastAsia" w:ascii="宋体" w:hAnsi="宋体" w:cs="宋体"/>
                <w:color w:val="auto"/>
                <w:sz w:val="24"/>
                <w:highlight w:val="none"/>
              </w:rPr>
              <w:t>需要使用电子签名或者签字盖章的响应文件的组成部分</w:t>
            </w:r>
          </w:p>
        </w:tc>
        <w:tc>
          <w:tcPr>
            <w:tcW w:w="1418" w:type="dxa"/>
            <w:vAlign w:val="center"/>
          </w:tcPr>
          <w:p w14:paraId="1CC8DB1E">
            <w:pPr>
              <w:rPr>
                <w:rFonts w:ascii="宋体" w:hAnsi="宋体" w:cs="宋体"/>
                <w:color w:val="auto"/>
                <w:sz w:val="24"/>
                <w:highlight w:val="none"/>
              </w:rPr>
            </w:pPr>
            <w:r>
              <w:rPr>
                <w:rFonts w:hint="eastAsia" w:ascii="宋体" w:hAnsi="宋体" w:cs="宋体"/>
                <w:color w:val="auto"/>
                <w:sz w:val="24"/>
                <w:highlight w:val="none"/>
              </w:rPr>
              <w:t>见响应文件</w:t>
            </w:r>
          </w:p>
          <w:p w14:paraId="65C5D871">
            <w:pPr>
              <w:rPr>
                <w:rFonts w:ascii="宋体" w:hAnsi="宋体" w:cs="宋体"/>
                <w:color w:val="auto"/>
                <w:highlight w:val="none"/>
              </w:rPr>
            </w:pPr>
            <w:r>
              <w:rPr>
                <w:rFonts w:hint="eastAsia" w:ascii="宋体" w:hAnsi="宋体" w:cs="宋体"/>
                <w:color w:val="auto"/>
                <w:sz w:val="24"/>
                <w:highlight w:val="none"/>
              </w:rPr>
              <w:t>第页</w:t>
            </w:r>
          </w:p>
        </w:tc>
      </w:tr>
      <w:tr w14:paraId="55CD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3DE7E2D">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center"/>
          </w:tcPr>
          <w:p w14:paraId="58E98527">
            <w:pPr>
              <w:spacing w:line="360" w:lineRule="auto"/>
              <w:rPr>
                <w:rFonts w:ascii="宋体" w:hAnsi="宋体" w:cs="宋体"/>
                <w:color w:val="auto"/>
                <w:sz w:val="24"/>
                <w:highlight w:val="none"/>
              </w:rPr>
            </w:pPr>
            <w:r>
              <w:rPr>
                <w:rFonts w:hint="eastAsia" w:ascii="宋体" w:hAnsi="宋体" w:cs="宋体"/>
                <w:color w:val="auto"/>
                <w:sz w:val="24"/>
                <w:highlight w:val="none"/>
              </w:rPr>
              <w:t>响应文件中承诺的响应文件有效期不少于采购文件中载明的响应文件有效期。</w:t>
            </w:r>
          </w:p>
        </w:tc>
        <w:tc>
          <w:tcPr>
            <w:tcW w:w="2551" w:type="dxa"/>
            <w:vAlign w:val="center"/>
          </w:tcPr>
          <w:p w14:paraId="4FDA5B6B">
            <w:pPr>
              <w:rPr>
                <w:rFonts w:ascii="宋体" w:hAnsi="宋体" w:cs="宋体"/>
                <w:color w:val="auto"/>
                <w:sz w:val="24"/>
                <w:highlight w:val="none"/>
              </w:rPr>
            </w:pPr>
            <w:r>
              <w:rPr>
                <w:rFonts w:hint="eastAsia" w:ascii="宋体" w:hAnsi="宋体" w:cs="宋体"/>
                <w:color w:val="auto"/>
                <w:sz w:val="24"/>
                <w:highlight w:val="none"/>
              </w:rPr>
              <w:t>响应函</w:t>
            </w:r>
          </w:p>
        </w:tc>
        <w:tc>
          <w:tcPr>
            <w:tcW w:w="1418" w:type="dxa"/>
            <w:vAlign w:val="center"/>
          </w:tcPr>
          <w:p w14:paraId="6F74FED0">
            <w:pPr>
              <w:rPr>
                <w:rFonts w:ascii="宋体" w:hAnsi="宋体" w:cs="宋体"/>
                <w:color w:val="auto"/>
                <w:highlight w:val="none"/>
              </w:rPr>
            </w:pPr>
            <w:r>
              <w:rPr>
                <w:rFonts w:hint="eastAsia" w:ascii="宋体" w:hAnsi="宋体" w:cs="宋体"/>
                <w:color w:val="auto"/>
                <w:sz w:val="24"/>
                <w:highlight w:val="none"/>
              </w:rPr>
              <w:t>见响应文件第页</w:t>
            </w:r>
          </w:p>
        </w:tc>
      </w:tr>
      <w:tr w14:paraId="09BB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D03A8">
            <w:pPr>
              <w:rPr>
                <w:rFonts w:ascii="宋体" w:hAnsi="宋体" w:cs="宋体"/>
                <w:color w:val="auto"/>
                <w:sz w:val="24"/>
                <w:highlight w:val="none"/>
              </w:rPr>
            </w:pPr>
            <w:r>
              <w:rPr>
                <w:rFonts w:hint="eastAsia" w:ascii="宋体" w:hAnsi="宋体" w:cs="宋体"/>
                <w:color w:val="auto"/>
                <w:sz w:val="24"/>
                <w:highlight w:val="none"/>
              </w:rPr>
              <w:t>3</w:t>
            </w:r>
          </w:p>
        </w:tc>
        <w:tc>
          <w:tcPr>
            <w:tcW w:w="4991" w:type="dxa"/>
            <w:vAlign w:val="center"/>
          </w:tcPr>
          <w:p w14:paraId="5D6D9D00">
            <w:pPr>
              <w:spacing w:line="360" w:lineRule="auto"/>
              <w:rPr>
                <w:rFonts w:ascii="宋体" w:hAnsi="宋体" w:cs="宋体"/>
                <w:color w:val="auto"/>
                <w:sz w:val="24"/>
                <w:highlight w:val="none"/>
              </w:rPr>
            </w:pPr>
            <w:r>
              <w:rPr>
                <w:rFonts w:hint="eastAsia" w:ascii="宋体" w:hAnsi="宋体" w:cs="宋体"/>
                <w:color w:val="auto"/>
                <w:sz w:val="24"/>
                <w:highlight w:val="none"/>
              </w:rPr>
              <w:t>响应文件满足采购文件的其它实质性要求。</w:t>
            </w:r>
          </w:p>
        </w:tc>
        <w:tc>
          <w:tcPr>
            <w:tcW w:w="2551" w:type="dxa"/>
            <w:vAlign w:val="center"/>
          </w:tcPr>
          <w:p w14:paraId="16833926">
            <w:pPr>
              <w:rPr>
                <w:rFonts w:ascii="宋体" w:hAnsi="宋体" w:cs="宋体"/>
                <w:color w:val="auto"/>
                <w:sz w:val="24"/>
                <w:highlight w:val="none"/>
              </w:rPr>
            </w:pPr>
            <w:r>
              <w:rPr>
                <w:rFonts w:hint="eastAsia" w:ascii="宋体" w:hAnsi="宋体" w:cs="宋体"/>
                <w:color w:val="auto"/>
                <w:kern w:val="0"/>
                <w:sz w:val="24"/>
                <w:highlight w:val="none"/>
              </w:rPr>
              <w:t>采购文件其它实质性要求相应的材料（“▲” 系指实质性要求条款，采购文件无其它实质性要求的，无需提供）</w:t>
            </w:r>
          </w:p>
        </w:tc>
        <w:tc>
          <w:tcPr>
            <w:tcW w:w="1418" w:type="dxa"/>
            <w:vAlign w:val="center"/>
          </w:tcPr>
          <w:p w14:paraId="0DE66BBF">
            <w:pPr>
              <w:rPr>
                <w:rFonts w:ascii="宋体" w:hAnsi="宋体" w:cs="宋体"/>
                <w:color w:val="auto"/>
                <w:highlight w:val="none"/>
              </w:rPr>
            </w:pPr>
            <w:r>
              <w:rPr>
                <w:rFonts w:hint="eastAsia" w:ascii="宋体" w:hAnsi="宋体" w:cs="宋体"/>
                <w:color w:val="auto"/>
                <w:sz w:val="24"/>
                <w:highlight w:val="none"/>
              </w:rPr>
              <w:t>见响应文件第页</w:t>
            </w:r>
          </w:p>
        </w:tc>
      </w:tr>
    </w:tbl>
    <w:p w14:paraId="2785C84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97CD5D9">
      <w:pPr>
        <w:jc w:val="center"/>
        <w:rPr>
          <w:rFonts w:ascii="宋体" w:hAnsi="宋体" w:cs="宋体"/>
          <w:b/>
          <w:color w:val="auto"/>
          <w:kern w:val="0"/>
          <w:sz w:val="32"/>
          <w:szCs w:val="32"/>
          <w:highlight w:val="none"/>
        </w:rPr>
      </w:pPr>
    </w:p>
    <w:p w14:paraId="52458F53">
      <w:pPr>
        <w:jc w:val="center"/>
        <w:rPr>
          <w:rFonts w:ascii="宋体" w:hAnsi="宋体" w:cs="宋体"/>
          <w:b/>
          <w:color w:val="auto"/>
          <w:kern w:val="0"/>
          <w:sz w:val="32"/>
          <w:szCs w:val="32"/>
          <w:highlight w:val="none"/>
        </w:rPr>
      </w:pPr>
    </w:p>
    <w:p w14:paraId="7AF5591F">
      <w:pPr>
        <w:jc w:val="center"/>
        <w:rPr>
          <w:rFonts w:ascii="宋体" w:hAnsi="宋体" w:cs="宋体"/>
          <w:b/>
          <w:color w:val="auto"/>
          <w:kern w:val="0"/>
          <w:sz w:val="32"/>
          <w:szCs w:val="32"/>
          <w:highlight w:val="none"/>
        </w:rPr>
      </w:pPr>
    </w:p>
    <w:p w14:paraId="4A35A67E">
      <w:pPr>
        <w:jc w:val="center"/>
        <w:rPr>
          <w:rFonts w:ascii="宋体" w:hAnsi="宋体" w:cs="宋体"/>
          <w:b/>
          <w:color w:val="auto"/>
          <w:kern w:val="0"/>
          <w:sz w:val="32"/>
          <w:szCs w:val="32"/>
          <w:highlight w:val="none"/>
        </w:rPr>
      </w:pPr>
    </w:p>
    <w:p w14:paraId="7E74C879">
      <w:pPr>
        <w:jc w:val="center"/>
        <w:rPr>
          <w:rFonts w:ascii="宋体" w:hAnsi="宋体" w:cs="宋体"/>
          <w:b/>
          <w:color w:val="auto"/>
          <w:kern w:val="0"/>
          <w:sz w:val="32"/>
          <w:szCs w:val="32"/>
          <w:highlight w:val="none"/>
        </w:rPr>
      </w:pPr>
    </w:p>
    <w:p w14:paraId="65F16803">
      <w:pPr>
        <w:jc w:val="center"/>
        <w:rPr>
          <w:rFonts w:ascii="宋体" w:hAnsi="宋体" w:cs="宋体"/>
          <w:b/>
          <w:color w:val="auto"/>
          <w:kern w:val="0"/>
          <w:sz w:val="32"/>
          <w:szCs w:val="32"/>
          <w:highlight w:val="none"/>
        </w:rPr>
      </w:pPr>
    </w:p>
    <w:p w14:paraId="5A5F76DB">
      <w:pPr>
        <w:jc w:val="center"/>
        <w:rPr>
          <w:rFonts w:ascii="宋体" w:hAnsi="宋体" w:cs="宋体"/>
          <w:b/>
          <w:color w:val="auto"/>
          <w:kern w:val="0"/>
          <w:sz w:val="32"/>
          <w:szCs w:val="32"/>
          <w:highlight w:val="none"/>
        </w:rPr>
      </w:pPr>
    </w:p>
    <w:p w14:paraId="7F67D63E">
      <w:pPr>
        <w:jc w:val="center"/>
        <w:rPr>
          <w:rFonts w:ascii="宋体" w:hAnsi="宋体" w:cs="宋体"/>
          <w:b/>
          <w:color w:val="auto"/>
          <w:kern w:val="0"/>
          <w:sz w:val="32"/>
          <w:szCs w:val="32"/>
          <w:highlight w:val="none"/>
        </w:rPr>
      </w:pPr>
    </w:p>
    <w:p w14:paraId="169C1376">
      <w:pPr>
        <w:jc w:val="center"/>
        <w:rPr>
          <w:rFonts w:ascii="宋体" w:hAnsi="宋体" w:cs="宋体"/>
          <w:b/>
          <w:color w:val="auto"/>
          <w:kern w:val="0"/>
          <w:sz w:val="32"/>
          <w:szCs w:val="32"/>
          <w:highlight w:val="none"/>
        </w:rPr>
      </w:pPr>
    </w:p>
    <w:p w14:paraId="23BECE56">
      <w:pPr>
        <w:jc w:val="center"/>
        <w:rPr>
          <w:rFonts w:ascii="宋体" w:hAnsi="宋体" w:cs="宋体"/>
          <w:b/>
          <w:color w:val="auto"/>
          <w:kern w:val="0"/>
          <w:sz w:val="32"/>
          <w:szCs w:val="32"/>
          <w:highlight w:val="none"/>
        </w:rPr>
      </w:pPr>
    </w:p>
    <w:p w14:paraId="6A28E4DB">
      <w:pPr>
        <w:snapToGrid w:val="0"/>
        <w:jc w:val="center"/>
        <w:rPr>
          <w:rFonts w:ascii="宋体" w:hAnsi="宋体" w:cs="宋体"/>
          <w:b/>
          <w:bCs/>
          <w:color w:val="auto"/>
          <w:sz w:val="32"/>
          <w:szCs w:val="32"/>
          <w:highlight w:val="none"/>
        </w:rPr>
        <w:sectPr>
          <w:footerReference r:id="rId13" w:type="first"/>
          <w:footerReference r:id="rId12"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2C30E152">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四</w:t>
      </w:r>
      <w:r>
        <w:rPr>
          <w:rFonts w:hint="eastAsia" w:ascii="宋体" w:hAnsi="宋体" w:cs="宋体"/>
          <w:b/>
          <w:bCs/>
          <w:color w:val="auto"/>
          <w:sz w:val="32"/>
          <w:szCs w:val="32"/>
          <w:highlight w:val="none"/>
        </w:rPr>
        <w:t>、评审标准相应的</w:t>
      </w:r>
      <w:r>
        <w:rPr>
          <w:rFonts w:hint="eastAsia" w:ascii="宋体" w:hAnsi="宋体" w:cs="宋体"/>
          <w:b/>
          <w:bCs/>
          <w:color w:val="auto"/>
          <w:sz w:val="32"/>
          <w:szCs w:val="32"/>
          <w:highlight w:val="none"/>
          <w:lang w:eastAsia="zh-CN"/>
        </w:rPr>
        <w:t>资信技术</w:t>
      </w:r>
      <w:r>
        <w:rPr>
          <w:rFonts w:hint="eastAsia" w:ascii="宋体" w:hAnsi="宋体" w:cs="宋体"/>
          <w:b/>
          <w:bCs/>
          <w:color w:val="auto"/>
          <w:sz w:val="32"/>
          <w:szCs w:val="32"/>
          <w:highlight w:val="none"/>
        </w:rPr>
        <w:t>资料</w:t>
      </w:r>
    </w:p>
    <w:p w14:paraId="4265CF1D">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（按采购文件第四部分评审办法前附表中“响应文件中评审标准相应的</w:t>
      </w:r>
      <w:r>
        <w:rPr>
          <w:rFonts w:hint="eastAsia" w:ascii="宋体" w:hAnsi="宋体" w:cs="宋体"/>
          <w:b/>
          <w:color w:val="auto"/>
          <w:sz w:val="24"/>
          <w:highlight w:val="none"/>
          <w:lang w:eastAsia="zh-CN"/>
        </w:rPr>
        <w:t>资信技术</w:t>
      </w:r>
      <w:r>
        <w:rPr>
          <w:rFonts w:hint="eastAsia" w:ascii="宋体" w:hAnsi="宋体" w:cs="宋体"/>
          <w:b/>
          <w:color w:val="auto"/>
          <w:sz w:val="24"/>
          <w:highlight w:val="none"/>
        </w:rPr>
        <w:t>资料目录”提供资料。）</w:t>
      </w:r>
    </w:p>
    <w:p w14:paraId="72019599">
      <w:pPr>
        <w:jc w:val="center"/>
        <w:rPr>
          <w:rFonts w:ascii="宋体" w:hAnsi="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2A721B19">
      <w:pPr>
        <w:numPr>
          <w:ilvl w:val="0"/>
          <w:numId w:val="3"/>
        </w:numPr>
        <w:jc w:val="cente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供应商股权信息表</w:t>
      </w:r>
    </w:p>
    <w:p w14:paraId="13D81032">
      <w:pPr>
        <w:pStyle w:val="3"/>
        <w:numPr>
          <w:ilvl w:val="0"/>
          <w:numId w:val="0"/>
        </w:numPr>
        <w:rPr>
          <w:rFonts w:hint="eastAsia"/>
          <w:color w:val="auto"/>
          <w:highlight w:val="none"/>
          <w:lang w:val="en-US" w:eastAsia="zh-CN"/>
        </w:rPr>
      </w:pPr>
    </w:p>
    <w:tbl>
      <w:tblPr>
        <w:tblStyle w:val="62"/>
        <w:tblW w:w="9515" w:type="dxa"/>
        <w:tblInd w:w="0" w:type="dxa"/>
        <w:tblLayout w:type="fixed"/>
        <w:tblCellMar>
          <w:top w:w="0" w:type="dxa"/>
          <w:left w:w="108" w:type="dxa"/>
          <w:bottom w:w="0" w:type="dxa"/>
          <w:right w:w="108" w:type="dxa"/>
        </w:tblCellMar>
      </w:tblPr>
      <w:tblGrid>
        <w:gridCol w:w="1060"/>
        <w:gridCol w:w="1551"/>
        <w:gridCol w:w="1404"/>
        <w:gridCol w:w="1905"/>
        <w:gridCol w:w="1155"/>
        <w:gridCol w:w="1085"/>
        <w:gridCol w:w="1355"/>
      </w:tblGrid>
      <w:tr w14:paraId="168708ED">
        <w:tblPrEx>
          <w:tblCellMar>
            <w:top w:w="0" w:type="dxa"/>
            <w:left w:w="108" w:type="dxa"/>
            <w:bottom w:w="0" w:type="dxa"/>
            <w:right w:w="108" w:type="dxa"/>
          </w:tblCellMar>
        </w:tblPrEx>
        <w:trPr>
          <w:trHeight w:val="495"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8BF9">
            <w:pPr>
              <w:widowControl/>
              <w:shd w:val="clear"/>
              <w:jc w:val="center"/>
              <w:rPr>
                <w:rFonts w:ascii="宋体" w:hAnsi="宋体" w:cs="宋体"/>
                <w:b/>
                <w:bCs/>
                <w:color w:val="auto"/>
                <w:sz w:val="24"/>
                <w:highlight w:val="none"/>
              </w:rPr>
            </w:pPr>
            <w:r>
              <w:rPr>
                <w:rFonts w:hint="eastAsia" w:cs="宋体"/>
                <w:b/>
                <w:bCs/>
                <w:color w:val="auto"/>
                <w:kern w:val="0"/>
                <w:sz w:val="24"/>
                <w:highlight w:val="none"/>
                <w:lang w:eastAsia="zh-CN" w:bidi="ar"/>
              </w:rPr>
              <w:t>供应商</w:t>
            </w:r>
            <w:r>
              <w:rPr>
                <w:rFonts w:hint="eastAsia" w:ascii="宋体" w:hAnsi="宋体" w:cs="宋体"/>
                <w:b/>
                <w:bCs/>
                <w:color w:val="auto"/>
                <w:kern w:val="0"/>
                <w:sz w:val="24"/>
                <w:highlight w:val="none"/>
                <w:lang w:bidi="ar"/>
              </w:rPr>
              <w:t>股权信息表</w:t>
            </w:r>
          </w:p>
        </w:tc>
      </w:tr>
      <w:tr w14:paraId="0D01678F">
        <w:tblPrEx>
          <w:tblCellMar>
            <w:top w:w="0" w:type="dxa"/>
            <w:left w:w="108" w:type="dxa"/>
            <w:bottom w:w="0" w:type="dxa"/>
            <w:right w:w="108" w:type="dxa"/>
          </w:tblCellMar>
        </w:tblPrEx>
        <w:trPr>
          <w:trHeight w:val="480"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E72D">
            <w:pPr>
              <w:widowControl/>
              <w:shd w:val="clear"/>
              <w:jc w:val="left"/>
              <w:rPr>
                <w:rFonts w:ascii="宋体" w:hAnsi="宋体" w:cs="宋体"/>
                <w:color w:val="auto"/>
                <w:sz w:val="24"/>
                <w:highlight w:val="none"/>
              </w:rPr>
            </w:pPr>
            <w:r>
              <w:rPr>
                <w:rFonts w:hint="eastAsia" w:ascii="宋体" w:hAnsi="宋体" w:cs="宋体"/>
                <w:color w:val="auto"/>
                <w:kern w:val="0"/>
                <w:sz w:val="24"/>
                <w:highlight w:val="none"/>
                <w:lang w:bidi="ar"/>
              </w:rPr>
              <w:t>项目编号：</w:t>
            </w:r>
          </w:p>
        </w:tc>
      </w:tr>
      <w:tr w14:paraId="6B9DA643">
        <w:tblPrEx>
          <w:tblCellMar>
            <w:top w:w="0" w:type="dxa"/>
            <w:left w:w="108" w:type="dxa"/>
            <w:bottom w:w="0" w:type="dxa"/>
            <w:right w:w="108" w:type="dxa"/>
          </w:tblCellMar>
        </w:tblPrEx>
        <w:trPr>
          <w:trHeight w:val="520"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41E3">
            <w:pPr>
              <w:shd w:val="clear"/>
              <w:jc w:val="left"/>
              <w:rPr>
                <w:rFonts w:ascii="宋体" w:hAnsi="宋体" w:cs="宋体"/>
                <w:color w:val="auto"/>
                <w:sz w:val="24"/>
                <w:highlight w:val="none"/>
              </w:rPr>
            </w:pPr>
            <w:r>
              <w:rPr>
                <w:rFonts w:hint="eastAsia" w:ascii="宋体" w:hAnsi="宋体" w:cs="宋体"/>
                <w:color w:val="auto"/>
                <w:kern w:val="0"/>
                <w:sz w:val="24"/>
                <w:highlight w:val="none"/>
                <w:lang w:bidi="ar"/>
              </w:rPr>
              <w:t>项目名称：</w:t>
            </w:r>
          </w:p>
        </w:tc>
      </w:tr>
      <w:tr w14:paraId="1E462832">
        <w:tblPrEx>
          <w:tblCellMar>
            <w:top w:w="0" w:type="dxa"/>
            <w:left w:w="108" w:type="dxa"/>
            <w:bottom w:w="0" w:type="dxa"/>
            <w:right w:w="108" w:type="dxa"/>
          </w:tblCellMar>
        </w:tblPrEx>
        <w:trPr>
          <w:trHeight w:val="285"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A2F7">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序号</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F127">
            <w:pPr>
              <w:widowControl/>
              <w:shd w:val="clear"/>
              <w:jc w:val="center"/>
              <w:rPr>
                <w:rFonts w:ascii="宋体" w:hAnsi="宋体" w:cs="宋体"/>
                <w:color w:val="auto"/>
                <w:sz w:val="24"/>
                <w:highlight w:val="none"/>
              </w:rPr>
            </w:pPr>
            <w:r>
              <w:rPr>
                <w:rFonts w:hint="eastAsia" w:cs="宋体"/>
                <w:color w:val="auto"/>
                <w:kern w:val="0"/>
                <w:sz w:val="24"/>
                <w:highlight w:val="none"/>
                <w:lang w:eastAsia="zh-CN" w:bidi="ar"/>
              </w:rPr>
              <w:t>供应商</w:t>
            </w:r>
            <w:r>
              <w:rPr>
                <w:rFonts w:hint="eastAsia" w:ascii="宋体" w:hAnsi="宋体" w:cs="宋体"/>
                <w:color w:val="auto"/>
                <w:kern w:val="0"/>
                <w:sz w:val="24"/>
                <w:highlight w:val="none"/>
                <w:lang w:bidi="ar"/>
              </w:rPr>
              <w:t>名称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AB60">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法定代表人</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CF38">
            <w:pPr>
              <w:widowControl/>
              <w:shd w:val="clear"/>
              <w:rPr>
                <w:rFonts w:ascii="宋体" w:hAnsi="宋体" w:cs="宋体"/>
                <w:color w:val="auto"/>
                <w:sz w:val="24"/>
                <w:highlight w:val="none"/>
              </w:rPr>
            </w:pPr>
            <w:r>
              <w:rPr>
                <w:rFonts w:hint="eastAsia" w:ascii="宋体" w:hAnsi="宋体" w:cs="宋体"/>
                <w:color w:val="auto"/>
                <w:kern w:val="0"/>
                <w:sz w:val="24"/>
                <w:highlight w:val="none"/>
                <w:lang w:bidi="ar"/>
              </w:rPr>
              <w:t>股东（股权比例）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41D3">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董事</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4702">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监事</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B4C3">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授权代表</w:t>
            </w:r>
          </w:p>
        </w:tc>
      </w:tr>
      <w:tr w14:paraId="22F3F5E9">
        <w:tblPrEx>
          <w:tblCellMar>
            <w:top w:w="0" w:type="dxa"/>
            <w:left w:w="108" w:type="dxa"/>
            <w:bottom w:w="0" w:type="dxa"/>
            <w:right w:w="108" w:type="dxa"/>
          </w:tblCellMar>
        </w:tblPrEx>
        <w:trPr>
          <w:trHeight w:val="531"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7463">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5ED8">
            <w:pPr>
              <w:shd w:val="clear"/>
              <w:jc w:val="center"/>
              <w:rPr>
                <w:rFonts w:ascii="宋体" w:hAnsi="宋体" w:cs="宋体"/>
                <w:color w:val="auto"/>
                <w:sz w:val="24"/>
                <w:highlight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F588">
            <w:pPr>
              <w:shd w:val="clear"/>
              <w:jc w:val="center"/>
              <w:rPr>
                <w:rFonts w:ascii="宋体" w:hAnsi="宋体" w:cs="宋体"/>
                <w:color w:val="auto"/>
                <w:sz w:val="24"/>
                <w:highlight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9691">
            <w:pPr>
              <w:shd w:val="clear"/>
              <w:jc w:val="center"/>
              <w:rPr>
                <w:rFonts w:ascii="宋体" w:hAnsi="宋体" w:cs="宋体"/>
                <w:color w:val="auto"/>
                <w:sz w:val="24"/>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0EBB">
            <w:pPr>
              <w:shd w:val="clear"/>
              <w:jc w:val="center"/>
              <w:rPr>
                <w:rFonts w:ascii="宋体" w:hAnsi="宋体" w:cs="宋体"/>
                <w:color w:val="auto"/>
                <w:sz w:val="24"/>
                <w:highlight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E22B">
            <w:pPr>
              <w:shd w:val="clear"/>
              <w:jc w:val="center"/>
              <w:rPr>
                <w:rFonts w:ascii="宋体" w:hAnsi="宋体" w:cs="宋体"/>
                <w:color w:val="auto"/>
                <w:sz w:val="24"/>
                <w:highlight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2F21">
            <w:pPr>
              <w:shd w:val="clear"/>
              <w:jc w:val="center"/>
              <w:rPr>
                <w:rFonts w:ascii="宋体" w:hAnsi="宋体" w:cs="宋体"/>
                <w:color w:val="auto"/>
                <w:sz w:val="24"/>
                <w:highlight w:val="none"/>
              </w:rPr>
            </w:pPr>
          </w:p>
        </w:tc>
      </w:tr>
      <w:tr w14:paraId="4A4B5660">
        <w:tblPrEx>
          <w:tblCellMar>
            <w:top w:w="0" w:type="dxa"/>
            <w:left w:w="108" w:type="dxa"/>
            <w:bottom w:w="0" w:type="dxa"/>
            <w:right w:w="108" w:type="dxa"/>
          </w:tblCellMar>
        </w:tblPrEx>
        <w:trPr>
          <w:trHeight w:val="705"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6424">
            <w:pPr>
              <w:widowControl/>
              <w:shd w:val="clear"/>
              <w:jc w:val="left"/>
              <w:rPr>
                <w:rFonts w:ascii="宋体" w:hAnsi="宋体" w:cs="宋体"/>
                <w:color w:val="auto"/>
                <w:sz w:val="24"/>
                <w:highlight w:val="none"/>
              </w:rPr>
            </w:pPr>
            <w:r>
              <w:rPr>
                <w:rFonts w:hint="eastAsia" w:cs="宋体"/>
                <w:color w:val="auto"/>
                <w:sz w:val="24"/>
                <w:highlight w:val="none"/>
                <w:lang w:eastAsia="zh-CN"/>
              </w:rPr>
              <w:t>供应商</w:t>
            </w:r>
            <w:r>
              <w:rPr>
                <w:rFonts w:hint="eastAsia" w:ascii="宋体" w:hAnsi="宋体" w:cs="宋体"/>
                <w:color w:val="auto"/>
                <w:sz w:val="24"/>
                <w:highlight w:val="none"/>
              </w:rPr>
              <w:t>名称(电子签名):</w:t>
            </w:r>
          </w:p>
        </w:tc>
      </w:tr>
    </w:tbl>
    <w:p w14:paraId="4F8E7D3C">
      <w:pPr>
        <w:rPr>
          <w:rFonts w:hint="eastAsia"/>
          <w:color w:val="auto"/>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7B9B6473">
      <w:pPr>
        <w:rPr>
          <w:rFonts w:hint="eastAsia"/>
          <w:color w:val="auto"/>
          <w:highlight w:val="none"/>
          <w:lang w:val="en-US" w:eastAsia="zh-CN"/>
        </w:rPr>
      </w:pPr>
    </w:p>
    <w:p w14:paraId="29CC0110">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六、</w:t>
      </w:r>
      <w:r>
        <w:rPr>
          <w:rFonts w:hint="eastAsia" w:ascii="宋体" w:hAnsi="宋体" w:cs="宋体"/>
          <w:b/>
          <w:bCs/>
          <w:color w:val="auto"/>
          <w:sz w:val="32"/>
          <w:szCs w:val="32"/>
          <w:highlight w:val="none"/>
        </w:rPr>
        <w:t>缴纳采购代理服务费承诺书</w:t>
      </w:r>
    </w:p>
    <w:p w14:paraId="02B8680A">
      <w:pPr>
        <w:snapToGrid w:val="0"/>
        <w:spacing w:line="360" w:lineRule="auto"/>
        <w:rPr>
          <w:rFonts w:ascii="宋体" w:hAnsi="宋体" w:cs="宋体"/>
          <w:color w:val="auto"/>
          <w:sz w:val="24"/>
          <w:highlight w:val="none"/>
        </w:rPr>
      </w:pPr>
    </w:p>
    <w:p w14:paraId="3A9016C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浙江致信招标代理有限公司：</w:t>
      </w:r>
    </w:p>
    <w:p w14:paraId="0605113E">
      <w:pPr>
        <w:snapToGrid w:val="0"/>
        <w:spacing w:line="360" w:lineRule="auto"/>
        <w:ind w:firstLine="600"/>
        <w:rPr>
          <w:rFonts w:ascii="宋体" w:hAnsi="宋体" w:cs="宋体"/>
          <w:color w:val="auto"/>
          <w:sz w:val="24"/>
          <w:highlight w:val="none"/>
        </w:rPr>
      </w:pPr>
    </w:p>
    <w:p w14:paraId="65BFAB77">
      <w:pPr>
        <w:snapToGrid w:val="0"/>
        <w:spacing w:line="360" w:lineRule="auto"/>
        <w:ind w:firstLine="600"/>
        <w:rPr>
          <w:rFonts w:ascii="宋体" w:hAnsi="宋体" w:cs="宋体"/>
          <w:color w:val="auto"/>
          <w:sz w:val="24"/>
          <w:highlight w:val="none"/>
        </w:rPr>
      </w:pPr>
      <w:r>
        <w:rPr>
          <w:rFonts w:hint="eastAsia" w:ascii="宋体" w:hAnsi="宋体" w:cs="宋体"/>
          <w:color w:val="auto"/>
          <w:sz w:val="24"/>
          <w:highlight w:val="none"/>
        </w:rPr>
        <w:t>我方在你公司组织的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的采购活动中若获中标/成交，我方保证于中标/成交公告发布后</w:t>
      </w:r>
      <w:r>
        <w:rPr>
          <w:rFonts w:hint="eastAsia" w:ascii="宋体" w:hAnsi="宋体" w:cs="宋体"/>
          <w:color w:val="auto"/>
          <w:sz w:val="24"/>
          <w:highlight w:val="none"/>
          <w:u w:val="single"/>
        </w:rPr>
        <w:t>[具体时间]（不得超过15天）</w:t>
      </w:r>
      <w:r>
        <w:rPr>
          <w:rFonts w:hint="eastAsia" w:ascii="宋体" w:hAnsi="宋体" w:cs="宋体"/>
          <w:color w:val="auto"/>
          <w:sz w:val="24"/>
          <w:highlight w:val="none"/>
        </w:rPr>
        <w:t>，内按采购文件</w:t>
      </w:r>
      <w:r>
        <w:rPr>
          <w:rFonts w:hint="eastAsia" w:ascii="宋体" w:hAnsi="宋体" w:cs="宋体"/>
          <w:b/>
          <w:color w:val="auto"/>
          <w:sz w:val="24"/>
          <w:highlight w:val="none"/>
        </w:rPr>
        <w:t xml:space="preserve">“第二部分 </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须知 前附表”</w:t>
      </w:r>
      <w:r>
        <w:rPr>
          <w:rFonts w:hint="eastAsia" w:ascii="宋体" w:hAnsi="宋体" w:cs="宋体"/>
          <w:color w:val="auto"/>
          <w:sz w:val="24"/>
          <w:highlight w:val="none"/>
        </w:rPr>
        <w:t>规定的采购代理服务费缴纳标准及方式，向你公司支付采购代理服务费。</w:t>
      </w:r>
    </w:p>
    <w:p w14:paraId="086F651C">
      <w:pPr>
        <w:snapToGrid w:val="0"/>
        <w:spacing w:line="360" w:lineRule="auto"/>
        <w:ind w:firstLine="600"/>
        <w:rPr>
          <w:rFonts w:ascii="宋体" w:hAnsi="宋体" w:cs="宋体"/>
          <w:color w:val="auto"/>
          <w:sz w:val="24"/>
          <w:highlight w:val="none"/>
        </w:rPr>
      </w:pPr>
      <w:r>
        <w:rPr>
          <w:rFonts w:hint="eastAsia" w:ascii="宋体" w:hAnsi="宋体" w:cs="宋体"/>
          <w:color w:val="auto"/>
          <w:sz w:val="24"/>
          <w:highlight w:val="none"/>
        </w:rPr>
        <w:t>我方理解并承诺，若未能按时缴纳采购代理服务费，由此产生的法律责任我方自行承担。我方承诺，本承诺书一旦盖章（电子签名），即具有法律效力。</w:t>
      </w:r>
    </w:p>
    <w:p w14:paraId="26A55F20">
      <w:pPr>
        <w:pStyle w:val="320"/>
        <w:adjustRightInd w:val="0"/>
        <w:snapToGrid w:val="0"/>
        <w:spacing w:line="360" w:lineRule="auto"/>
        <w:ind w:firstLine="600"/>
        <w:rPr>
          <w:rFonts w:hAnsi="宋体" w:cs="宋体"/>
          <w:color w:val="auto"/>
          <w:sz w:val="24"/>
          <w:szCs w:val="24"/>
          <w:highlight w:val="none"/>
        </w:rPr>
      </w:pPr>
      <w:r>
        <w:rPr>
          <w:rFonts w:hint="eastAsia" w:hAnsi="宋体" w:cs="宋体"/>
          <w:color w:val="auto"/>
          <w:sz w:val="24"/>
          <w:szCs w:val="24"/>
          <w:highlight w:val="none"/>
        </w:rPr>
        <w:t>特此承诺。</w:t>
      </w:r>
    </w:p>
    <w:p w14:paraId="32DDE58F">
      <w:pPr>
        <w:pStyle w:val="320"/>
        <w:adjustRightInd w:val="0"/>
        <w:snapToGrid w:val="0"/>
        <w:spacing w:line="360" w:lineRule="auto"/>
        <w:ind w:firstLine="600"/>
        <w:rPr>
          <w:rFonts w:hAnsi="宋体" w:cs="宋体"/>
          <w:color w:val="auto"/>
          <w:sz w:val="24"/>
          <w:szCs w:val="24"/>
          <w:highlight w:val="none"/>
        </w:rPr>
      </w:pPr>
    </w:p>
    <w:p w14:paraId="2146C158">
      <w:pPr>
        <w:pStyle w:val="320"/>
        <w:adjustRightInd w:val="0"/>
        <w:snapToGrid w:val="0"/>
        <w:spacing w:line="360" w:lineRule="auto"/>
        <w:ind w:firstLine="600"/>
        <w:jc w:val="left"/>
        <w:rPr>
          <w:rFonts w:hint="eastAsia"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w:t>
      </w:r>
    </w:p>
    <w:p w14:paraId="2944598D">
      <w:pPr>
        <w:pStyle w:val="320"/>
        <w:adjustRightInd w:val="0"/>
        <w:snapToGrid w:val="0"/>
        <w:spacing w:line="360" w:lineRule="auto"/>
        <w:ind w:firstLine="600"/>
        <w:jc w:val="left"/>
        <w:rPr>
          <w:color w:val="auto"/>
          <w:sz w:val="24"/>
          <w:szCs w:val="24"/>
          <w:highlight w:val="none"/>
        </w:rPr>
      </w:pPr>
      <w:r>
        <w:rPr>
          <w:rFonts w:hint="eastAsia" w:cs="仿宋_GB2312" w:asciiTheme="minorEastAsia" w:hAnsiTheme="minorEastAsia" w:eastAsiaTheme="minorEastAsia"/>
          <w:color w:val="auto"/>
          <w:kern w:val="0"/>
          <w:sz w:val="24"/>
          <w:highlight w:val="none"/>
        </w:rPr>
        <w:t>日期：  年  月   日</w:t>
      </w:r>
    </w:p>
    <w:p w14:paraId="2982BD1D">
      <w:pPr>
        <w:jc w:val="center"/>
        <w:rPr>
          <w:rFonts w:ascii="宋体" w:hAnsi="宋体" w:cs="宋体"/>
          <w:b/>
          <w:color w:val="auto"/>
          <w:kern w:val="0"/>
          <w:sz w:val="32"/>
          <w:szCs w:val="32"/>
          <w:highlight w:val="none"/>
        </w:rPr>
      </w:pPr>
    </w:p>
    <w:p w14:paraId="01815DB7">
      <w:pPr>
        <w:pStyle w:val="6"/>
        <w:outlineLvl w:val="9"/>
        <w:rPr>
          <w:rFonts w:ascii="宋体" w:hAnsi="宋体" w:cs="宋体"/>
          <w:color w:val="auto"/>
          <w:szCs w:val="24"/>
          <w:highlight w:val="none"/>
          <w:lang w:val="en-US"/>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5912112F">
      <w:pPr>
        <w:spacing w:line="360" w:lineRule="auto"/>
        <w:jc w:val="center"/>
        <w:outlineLvl w:val="0"/>
        <w:rPr>
          <w:rFonts w:ascii="宋体" w:hAnsi="宋体" w:cs="宋体"/>
          <w:b/>
          <w:color w:val="auto"/>
          <w:kern w:val="0"/>
          <w:sz w:val="36"/>
          <w:szCs w:val="36"/>
          <w:highlight w:val="none"/>
        </w:rPr>
      </w:pPr>
      <w:bookmarkStart w:id="414" w:name="_Toc10265"/>
      <w:r>
        <w:rPr>
          <w:rFonts w:hint="eastAsia" w:ascii="宋体" w:hAnsi="宋体" w:cs="宋体"/>
          <w:b/>
          <w:color w:val="auto"/>
          <w:kern w:val="0"/>
          <w:sz w:val="36"/>
          <w:szCs w:val="36"/>
          <w:highlight w:val="none"/>
        </w:rPr>
        <w:t>报价文件部分</w:t>
      </w:r>
      <w:bookmarkEnd w:id="414"/>
    </w:p>
    <w:p w14:paraId="24EF785C">
      <w:pPr>
        <w:spacing w:line="360" w:lineRule="auto"/>
        <w:jc w:val="center"/>
        <w:outlineLvl w:val="0"/>
        <w:rPr>
          <w:rFonts w:ascii="宋体" w:hAnsi="宋体" w:cs="宋体"/>
          <w:b/>
          <w:color w:val="auto"/>
          <w:kern w:val="0"/>
          <w:sz w:val="36"/>
          <w:szCs w:val="36"/>
          <w:highlight w:val="none"/>
        </w:rPr>
      </w:pPr>
      <w:bookmarkStart w:id="415" w:name="_Toc19933"/>
      <w:r>
        <w:rPr>
          <w:rFonts w:hint="eastAsia" w:ascii="宋体" w:hAnsi="宋体" w:cs="宋体"/>
          <w:b/>
          <w:color w:val="auto"/>
          <w:kern w:val="0"/>
          <w:sz w:val="36"/>
          <w:szCs w:val="36"/>
          <w:highlight w:val="none"/>
        </w:rPr>
        <w:t>目录</w:t>
      </w:r>
      <w:bookmarkEnd w:id="415"/>
    </w:p>
    <w:p w14:paraId="6D66733B">
      <w:pPr>
        <w:rPr>
          <w:rFonts w:ascii="宋体" w:hAnsi="宋体" w:cs="宋体"/>
          <w:color w:val="auto"/>
          <w:highlight w:val="none"/>
        </w:rPr>
      </w:pPr>
    </w:p>
    <w:p w14:paraId="73729B9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（1）报价单…………………………………………………………………………（页码）</w:t>
      </w:r>
    </w:p>
    <w:p w14:paraId="267DA9A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（2）报价明细表……………………………………………………………………（页码）</w:t>
      </w:r>
    </w:p>
    <w:p w14:paraId="6E61818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（3）中小企业声明函………………………………………………………………（页码）</w:t>
      </w:r>
    </w:p>
    <w:p w14:paraId="7835B71D">
      <w:pPr>
        <w:snapToGrid w:val="0"/>
        <w:spacing w:line="360" w:lineRule="auto"/>
        <w:ind w:right="480"/>
        <w:jc w:val="center"/>
        <w:rPr>
          <w:rFonts w:ascii="宋体" w:hAnsi="宋体" w:cs="宋体"/>
          <w:b/>
          <w:color w:val="auto"/>
          <w:kern w:val="0"/>
          <w:sz w:val="32"/>
          <w:szCs w:val="32"/>
          <w:highlight w:val="none"/>
        </w:rPr>
      </w:pPr>
    </w:p>
    <w:p w14:paraId="4632DB34">
      <w:pPr>
        <w:snapToGrid w:val="0"/>
        <w:spacing w:line="360" w:lineRule="auto"/>
        <w:ind w:right="480"/>
        <w:jc w:val="center"/>
        <w:rPr>
          <w:rFonts w:ascii="宋体" w:hAnsi="宋体" w:cs="宋体"/>
          <w:b/>
          <w:color w:val="auto"/>
          <w:kern w:val="0"/>
          <w:sz w:val="32"/>
          <w:szCs w:val="32"/>
          <w:highlight w:val="none"/>
        </w:rPr>
      </w:pPr>
    </w:p>
    <w:p w14:paraId="28A899BF">
      <w:pPr>
        <w:snapToGrid w:val="0"/>
        <w:spacing w:line="360" w:lineRule="auto"/>
        <w:ind w:right="480"/>
        <w:jc w:val="center"/>
        <w:rPr>
          <w:rFonts w:ascii="宋体" w:hAnsi="宋体" w:cs="宋体"/>
          <w:b/>
          <w:color w:val="auto"/>
          <w:kern w:val="0"/>
          <w:sz w:val="32"/>
          <w:szCs w:val="32"/>
          <w:highlight w:val="none"/>
        </w:rPr>
      </w:pPr>
    </w:p>
    <w:p w14:paraId="3EA56BD0">
      <w:pPr>
        <w:snapToGrid w:val="0"/>
        <w:spacing w:line="360" w:lineRule="auto"/>
        <w:ind w:right="480"/>
        <w:jc w:val="center"/>
        <w:rPr>
          <w:rFonts w:ascii="宋体" w:hAnsi="宋体" w:cs="宋体"/>
          <w:b/>
          <w:color w:val="auto"/>
          <w:kern w:val="0"/>
          <w:sz w:val="32"/>
          <w:szCs w:val="32"/>
          <w:highlight w:val="none"/>
        </w:rPr>
      </w:pPr>
    </w:p>
    <w:p w14:paraId="2E0D3767">
      <w:pPr>
        <w:snapToGrid w:val="0"/>
        <w:spacing w:line="360" w:lineRule="auto"/>
        <w:ind w:right="480"/>
        <w:jc w:val="center"/>
        <w:rPr>
          <w:rFonts w:ascii="宋体" w:hAnsi="宋体" w:cs="宋体"/>
          <w:b/>
          <w:color w:val="auto"/>
          <w:kern w:val="0"/>
          <w:sz w:val="32"/>
          <w:szCs w:val="32"/>
          <w:highlight w:val="none"/>
        </w:rPr>
      </w:pPr>
    </w:p>
    <w:p w14:paraId="4BE21775">
      <w:pPr>
        <w:snapToGrid w:val="0"/>
        <w:spacing w:line="360" w:lineRule="auto"/>
        <w:ind w:right="480"/>
        <w:jc w:val="center"/>
        <w:rPr>
          <w:rFonts w:ascii="宋体" w:hAnsi="宋体" w:cs="宋体"/>
          <w:b/>
          <w:color w:val="auto"/>
          <w:kern w:val="0"/>
          <w:sz w:val="32"/>
          <w:szCs w:val="32"/>
          <w:highlight w:val="none"/>
        </w:rPr>
      </w:pPr>
    </w:p>
    <w:p w14:paraId="4F4C77BD">
      <w:pPr>
        <w:snapToGrid w:val="0"/>
        <w:spacing w:line="360" w:lineRule="auto"/>
        <w:ind w:right="480"/>
        <w:jc w:val="center"/>
        <w:rPr>
          <w:rFonts w:ascii="宋体" w:hAnsi="宋体" w:cs="宋体"/>
          <w:b/>
          <w:color w:val="auto"/>
          <w:kern w:val="0"/>
          <w:sz w:val="32"/>
          <w:szCs w:val="32"/>
          <w:highlight w:val="none"/>
        </w:rPr>
      </w:pPr>
    </w:p>
    <w:p w14:paraId="1BE95D5A">
      <w:pPr>
        <w:snapToGrid w:val="0"/>
        <w:spacing w:line="360" w:lineRule="auto"/>
        <w:ind w:right="480"/>
        <w:jc w:val="center"/>
        <w:rPr>
          <w:rFonts w:ascii="宋体" w:hAnsi="宋体" w:cs="宋体"/>
          <w:b/>
          <w:color w:val="auto"/>
          <w:kern w:val="0"/>
          <w:sz w:val="32"/>
          <w:szCs w:val="32"/>
          <w:highlight w:val="none"/>
        </w:rPr>
      </w:pPr>
    </w:p>
    <w:p w14:paraId="35FD6780">
      <w:pPr>
        <w:snapToGrid w:val="0"/>
        <w:spacing w:line="360" w:lineRule="auto"/>
        <w:ind w:right="480"/>
        <w:jc w:val="center"/>
        <w:rPr>
          <w:rFonts w:ascii="宋体" w:hAnsi="宋体" w:cs="宋体"/>
          <w:b/>
          <w:color w:val="auto"/>
          <w:kern w:val="0"/>
          <w:sz w:val="32"/>
          <w:szCs w:val="32"/>
          <w:highlight w:val="none"/>
        </w:rPr>
      </w:pPr>
    </w:p>
    <w:p w14:paraId="1322ACCC">
      <w:pPr>
        <w:snapToGrid w:val="0"/>
        <w:spacing w:line="360" w:lineRule="auto"/>
        <w:ind w:right="480"/>
        <w:jc w:val="center"/>
        <w:rPr>
          <w:rFonts w:ascii="宋体" w:hAnsi="宋体" w:cs="宋体"/>
          <w:b/>
          <w:color w:val="auto"/>
          <w:kern w:val="0"/>
          <w:sz w:val="32"/>
          <w:szCs w:val="32"/>
          <w:highlight w:val="none"/>
        </w:rPr>
      </w:pPr>
    </w:p>
    <w:p w14:paraId="41C5194A">
      <w:pPr>
        <w:snapToGrid w:val="0"/>
        <w:spacing w:line="360" w:lineRule="auto"/>
        <w:ind w:right="480"/>
        <w:jc w:val="center"/>
        <w:rPr>
          <w:rFonts w:ascii="宋体" w:hAnsi="宋体" w:cs="宋体"/>
          <w:b/>
          <w:color w:val="auto"/>
          <w:kern w:val="0"/>
          <w:sz w:val="32"/>
          <w:szCs w:val="32"/>
          <w:highlight w:val="none"/>
        </w:rPr>
      </w:pPr>
    </w:p>
    <w:p w14:paraId="33FF122B">
      <w:pPr>
        <w:snapToGrid w:val="0"/>
        <w:spacing w:line="360" w:lineRule="auto"/>
        <w:ind w:right="480"/>
        <w:jc w:val="center"/>
        <w:rPr>
          <w:rFonts w:ascii="宋体" w:hAnsi="宋体" w:cs="宋体"/>
          <w:b/>
          <w:color w:val="auto"/>
          <w:kern w:val="0"/>
          <w:sz w:val="32"/>
          <w:szCs w:val="32"/>
          <w:highlight w:val="none"/>
        </w:rPr>
      </w:pPr>
    </w:p>
    <w:p w14:paraId="56F09B96">
      <w:pPr>
        <w:snapToGrid w:val="0"/>
        <w:spacing w:line="360" w:lineRule="auto"/>
        <w:ind w:right="480"/>
        <w:jc w:val="center"/>
        <w:rPr>
          <w:rFonts w:ascii="宋体" w:hAnsi="宋体" w:cs="宋体"/>
          <w:b/>
          <w:color w:val="auto"/>
          <w:kern w:val="0"/>
          <w:sz w:val="32"/>
          <w:szCs w:val="32"/>
          <w:highlight w:val="none"/>
        </w:rPr>
      </w:pPr>
    </w:p>
    <w:p w14:paraId="75CA3214">
      <w:pPr>
        <w:snapToGrid w:val="0"/>
        <w:spacing w:line="360" w:lineRule="auto"/>
        <w:ind w:right="480"/>
        <w:jc w:val="center"/>
        <w:rPr>
          <w:rFonts w:ascii="宋体" w:hAnsi="宋体" w:cs="宋体"/>
          <w:b/>
          <w:color w:val="auto"/>
          <w:kern w:val="0"/>
          <w:sz w:val="32"/>
          <w:szCs w:val="32"/>
          <w:highlight w:val="none"/>
        </w:rPr>
      </w:pPr>
    </w:p>
    <w:p w14:paraId="25E81FAC">
      <w:pPr>
        <w:snapToGrid w:val="0"/>
        <w:spacing w:line="360" w:lineRule="auto"/>
        <w:ind w:right="480"/>
        <w:jc w:val="center"/>
        <w:rPr>
          <w:rFonts w:ascii="宋体" w:hAnsi="宋体" w:cs="宋体"/>
          <w:b/>
          <w:color w:val="auto"/>
          <w:kern w:val="0"/>
          <w:sz w:val="32"/>
          <w:szCs w:val="32"/>
          <w:highlight w:val="none"/>
        </w:rPr>
      </w:pPr>
    </w:p>
    <w:p w14:paraId="7252DFE2">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footerReference r:id="rId16" w:type="first"/>
          <w:headerReference r:id="rId14" w:type="default"/>
          <w:footerReference r:id="rId15"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2D57BDC7">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bookmarkStart w:id="416" w:name="_Toc3337"/>
      <w:r>
        <w:rPr>
          <w:rFonts w:hint="eastAsia" w:ascii="宋体" w:hAnsi="宋体" w:eastAsia="宋体" w:cs="宋体"/>
          <w:color w:val="auto"/>
          <w:kern w:val="2"/>
          <w:sz w:val="32"/>
          <w:szCs w:val="32"/>
          <w:highlight w:val="none"/>
        </w:rPr>
        <w:t>一、报价单</w:t>
      </w:r>
      <w:bookmarkEnd w:id="416"/>
    </w:p>
    <w:p w14:paraId="6EE556B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、浙江致信招标代理有限公司</w:t>
      </w:r>
      <w:r>
        <w:rPr>
          <w:rFonts w:hint="eastAsia" w:ascii="宋体" w:hAnsi="宋体" w:cs="宋体"/>
          <w:color w:val="auto"/>
          <w:kern w:val="0"/>
          <w:sz w:val="24"/>
          <w:highlight w:val="none"/>
          <w:lang w:val="zh-CN"/>
        </w:rPr>
        <w:t>：</w:t>
      </w:r>
    </w:p>
    <w:p w14:paraId="5F0FA313">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我方承诺按照如下报价单的价格完成</w:t>
      </w:r>
      <w:r>
        <w:rPr>
          <w:rFonts w:hint="eastAsia" w:ascii="宋体" w:hAnsi="宋体" w:cs="宋体"/>
          <w:color w:val="auto"/>
          <w:sz w:val="24"/>
          <w:highlight w:val="none"/>
          <w:lang w:eastAsia="zh-CN"/>
        </w:rPr>
        <w:t>浙江同济科技职业学院图书馆家具利旧翻新（含部分搬运）</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lang w:eastAsia="zh-CN"/>
        </w:rPr>
        <w:t>ZXZB-TJ-2025011C，</w:t>
      </w:r>
      <w:r>
        <w:rPr>
          <w:rFonts w:hint="eastAsia" w:ascii="宋体" w:hAnsi="宋体" w:cs="宋体"/>
          <w:color w:val="auto"/>
          <w:sz w:val="24"/>
          <w:highlight w:val="none"/>
          <w:lang w:val="en-US" w:eastAsia="zh-CN"/>
        </w:rPr>
        <w:t>标项：</w:t>
      </w:r>
      <w:r>
        <w:rPr>
          <w:rFonts w:hint="eastAsia" w:ascii="宋体" w:hAnsi="宋体" w:cs="宋体"/>
          <w:color w:val="auto"/>
          <w:sz w:val="24"/>
          <w:highlight w:val="none"/>
          <w:u w:val="single"/>
          <w:lang w:val="en-US" w:eastAsia="zh-CN"/>
        </w:rPr>
        <w:t xml:space="preserve"> 一 </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513DF6B7">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报价单</w:t>
      </w:r>
    </w:p>
    <w:tbl>
      <w:tblPr>
        <w:tblStyle w:val="62"/>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2"/>
      </w:tblGrid>
      <w:tr w14:paraId="478C1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9242" w:type="dxa"/>
            <w:tcBorders>
              <w:top w:val="single" w:color="auto" w:sz="4" w:space="0"/>
              <w:left w:val="single" w:color="auto" w:sz="4" w:space="0"/>
              <w:bottom w:val="single" w:color="auto" w:sz="4" w:space="0"/>
              <w:right w:val="single" w:color="auto" w:sz="4" w:space="0"/>
            </w:tcBorders>
            <w:vAlign w:val="center"/>
          </w:tcPr>
          <w:p w14:paraId="2A7EFAAB">
            <w:pPr>
              <w:shd w:val="clear" w:color="auto" w:fill="FFFFFF" w:themeFill="background1"/>
              <w:jc w:val="center"/>
              <w:rPr>
                <w:color w:val="auto"/>
                <w:spacing w:val="-6"/>
                <w:sz w:val="24"/>
                <w:szCs w:val="24"/>
                <w:highlight w:val="none"/>
                <w:u w:val="single"/>
                <w:shd w:val="clear" w:color="auto" w:fill="FFFFFF" w:themeFill="background1"/>
              </w:rPr>
            </w:pPr>
            <w:r>
              <w:rPr>
                <w:rFonts w:hint="eastAsia"/>
                <w:b/>
                <w:color w:val="auto"/>
                <w:spacing w:val="-6"/>
                <w:sz w:val="24"/>
                <w:szCs w:val="24"/>
                <w:highlight w:val="none"/>
                <w:shd w:val="clear" w:color="auto" w:fill="FFFFFF" w:themeFill="background1"/>
                <w:lang w:val="en-US" w:eastAsia="zh-CN"/>
              </w:rPr>
              <w:t>响应</w:t>
            </w:r>
            <w:r>
              <w:rPr>
                <w:rFonts w:hint="eastAsia"/>
                <w:b/>
                <w:color w:val="auto"/>
                <w:spacing w:val="-6"/>
                <w:sz w:val="24"/>
                <w:szCs w:val="24"/>
                <w:highlight w:val="none"/>
                <w:shd w:val="clear" w:color="auto" w:fill="FFFFFF" w:themeFill="background1"/>
              </w:rPr>
              <w:t>报价</w:t>
            </w:r>
          </w:p>
        </w:tc>
      </w:tr>
      <w:tr w14:paraId="17715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7" w:hRule="atLeast"/>
          <w:jc w:val="center"/>
        </w:trPr>
        <w:tc>
          <w:tcPr>
            <w:tcW w:w="9242" w:type="dxa"/>
            <w:tcBorders>
              <w:top w:val="single" w:color="auto" w:sz="4" w:space="0"/>
              <w:left w:val="single" w:color="auto" w:sz="4" w:space="0"/>
              <w:bottom w:val="single" w:color="auto" w:sz="4" w:space="0"/>
              <w:right w:val="single" w:color="auto" w:sz="4" w:space="0"/>
            </w:tcBorders>
            <w:vAlign w:val="center"/>
          </w:tcPr>
          <w:p w14:paraId="2BE8AB02">
            <w:pPr>
              <w:pStyle w:val="80"/>
              <w:keepNext w:val="0"/>
              <w:keepLines w:val="0"/>
              <w:pageBreakBefore w:val="0"/>
              <w:widowControl w:val="0"/>
              <w:shd w:val="clear" w:color="auto" w:fill="FFFFFF" w:themeFill="background1"/>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val="0"/>
                <w:bCs/>
                <w:color w:val="auto"/>
                <w:spacing w:val="-6"/>
                <w:sz w:val="24"/>
                <w:szCs w:val="24"/>
                <w:highlight w:val="none"/>
                <w:shd w:val="clear" w:color="auto" w:fill="FFFFFF" w:themeFill="background1"/>
              </w:rPr>
            </w:pPr>
            <w:r>
              <w:rPr>
                <w:rFonts w:hint="eastAsia" w:ascii="宋体" w:hAnsi="宋体" w:eastAsia="宋体" w:cs="宋体"/>
                <w:b w:val="0"/>
                <w:bCs/>
                <w:color w:val="auto"/>
                <w:spacing w:val="-6"/>
                <w:sz w:val="24"/>
                <w:szCs w:val="24"/>
                <w:highlight w:val="none"/>
                <w:shd w:val="clear" w:color="auto" w:fill="FFFFFF" w:themeFill="background1"/>
              </w:rPr>
              <w:t xml:space="preserve">金额（大写）：          </w:t>
            </w:r>
          </w:p>
          <w:p w14:paraId="728128A8">
            <w:pPr>
              <w:pStyle w:val="80"/>
              <w:keepNext w:val="0"/>
              <w:keepLines w:val="0"/>
              <w:pageBreakBefore w:val="0"/>
              <w:widowControl w:val="0"/>
              <w:shd w:val="clear" w:color="auto" w:fill="FFFFFF" w:themeFill="background1"/>
              <w:kinsoku/>
              <w:wordWrap/>
              <w:overflowPunct/>
              <w:topLinePunct w:val="0"/>
              <w:autoSpaceDE w:val="0"/>
              <w:autoSpaceDN w:val="0"/>
              <w:bidi w:val="0"/>
              <w:adjustRightInd w:val="0"/>
              <w:snapToGrid w:val="0"/>
              <w:spacing w:line="360" w:lineRule="auto"/>
              <w:jc w:val="both"/>
              <w:textAlignment w:val="auto"/>
              <w:rPr>
                <w:rFonts w:cs="宋体"/>
                <w:b/>
                <w:color w:val="auto"/>
                <w:spacing w:val="-6"/>
                <w:sz w:val="24"/>
                <w:szCs w:val="24"/>
                <w:highlight w:val="none"/>
                <w:shd w:val="clear" w:color="auto" w:fill="FFFFFF" w:themeFill="background1"/>
              </w:rPr>
            </w:pPr>
            <w:r>
              <w:rPr>
                <w:rFonts w:hint="eastAsia" w:ascii="宋体" w:hAnsi="宋体" w:eastAsia="宋体" w:cs="宋体"/>
                <w:b w:val="0"/>
                <w:bCs/>
                <w:color w:val="auto"/>
                <w:spacing w:val="-6"/>
                <w:sz w:val="24"/>
                <w:szCs w:val="24"/>
                <w:highlight w:val="none"/>
                <w:shd w:val="clear" w:color="auto" w:fill="FFFFFF" w:themeFill="background1"/>
              </w:rPr>
              <w:t>金额（小写）：</w:t>
            </w:r>
            <w:r>
              <w:rPr>
                <w:rFonts w:hint="eastAsia" w:cs="宋体"/>
                <w:b w:val="0"/>
                <w:bCs/>
                <w:color w:val="auto"/>
                <w:spacing w:val="-6"/>
                <w:sz w:val="24"/>
                <w:szCs w:val="24"/>
                <w:highlight w:val="none"/>
                <w:shd w:val="clear" w:color="auto" w:fill="FFFFFF" w:themeFill="background1"/>
              </w:rPr>
              <w:t xml:space="preserve"> </w:t>
            </w:r>
            <w:r>
              <w:rPr>
                <w:rFonts w:hint="eastAsia" w:cs="宋体"/>
                <w:b/>
                <w:color w:val="auto"/>
                <w:spacing w:val="-6"/>
                <w:sz w:val="24"/>
                <w:szCs w:val="24"/>
                <w:highlight w:val="none"/>
                <w:shd w:val="clear" w:color="auto" w:fill="FFFFFF" w:themeFill="background1"/>
              </w:rPr>
              <w:t xml:space="preserve"> </w:t>
            </w:r>
          </w:p>
        </w:tc>
      </w:tr>
      <w:tr w14:paraId="3B5DD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9242" w:type="dxa"/>
            <w:tcBorders>
              <w:top w:val="single" w:color="auto" w:sz="4" w:space="0"/>
              <w:left w:val="single" w:color="auto" w:sz="4" w:space="0"/>
              <w:bottom w:val="single" w:color="auto" w:sz="4" w:space="0"/>
              <w:right w:val="single" w:color="auto" w:sz="4" w:space="0"/>
            </w:tcBorders>
            <w:vAlign w:val="center"/>
          </w:tcPr>
          <w:p w14:paraId="106FAC65">
            <w:pPr>
              <w:shd w:val="clear" w:color="auto" w:fill="FFFFFF" w:themeFill="background1"/>
              <w:rPr>
                <w:color w:val="auto"/>
                <w:spacing w:val="-6"/>
                <w:sz w:val="24"/>
                <w:szCs w:val="24"/>
                <w:highlight w:val="none"/>
                <w:shd w:val="clear" w:color="auto" w:fill="FFFFFF" w:themeFill="background1"/>
              </w:rPr>
            </w:pPr>
            <w:r>
              <w:rPr>
                <w:rFonts w:hint="eastAsia"/>
                <w:color w:val="auto"/>
                <w:spacing w:val="-6"/>
                <w:sz w:val="24"/>
                <w:szCs w:val="24"/>
                <w:highlight w:val="none"/>
                <w:shd w:val="clear" w:color="auto" w:fill="FFFFFF" w:themeFill="background1"/>
              </w:rPr>
              <w:t>备注：</w:t>
            </w:r>
          </w:p>
        </w:tc>
      </w:tr>
    </w:tbl>
    <w:p w14:paraId="586E9E84">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4F690A0D">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1、供应商需按本表格式填写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响应文件含有采购人不能接受的附加条件，响应文件无效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0F2AADC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响应文件含有采购人不能接受的附加条件，响应文件无效</w:t>
      </w:r>
      <w:r>
        <w:rPr>
          <w:rFonts w:hint="eastAsia" w:ascii="宋体" w:hAnsi="宋体" w:cs="宋体"/>
          <w:b/>
          <w:color w:val="auto"/>
          <w:kern w:val="0"/>
          <w:sz w:val="24"/>
          <w:highlight w:val="none"/>
          <w:lang w:val="zh-CN"/>
        </w:rPr>
        <w:t>；采购内容未包含在《报价单》名称栏中，供应商不能作出合理解释的，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响应文件含有采购人不能接受的附加条件的，响应文件无效。</w:t>
      </w:r>
    </w:p>
    <w:p w14:paraId="7393340A">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78B237C">
      <w:pPr>
        <w:spacing w:line="360" w:lineRule="auto"/>
        <w:ind w:firstLine="482" w:firstLineChars="200"/>
        <w:rPr>
          <w:rFonts w:ascii="宋体" w:hAnsi="宋体" w:cs="宋体"/>
          <w:b/>
          <w:color w:val="auto"/>
          <w:kern w:val="0"/>
          <w:sz w:val="24"/>
          <w:highlight w:val="none"/>
        </w:rPr>
      </w:pPr>
    </w:p>
    <w:p w14:paraId="32C0D577">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74640821">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1906" w:h="16838"/>
          <w:pgMar w:top="1080" w:right="1440" w:bottom="1080" w:left="1440" w:header="851" w:footer="992" w:gutter="0"/>
          <w:pgBorders>
            <w:top w:val="none" w:sz="0" w:space="0"/>
            <w:left w:val="none" w:sz="0" w:space="0"/>
            <w:bottom w:val="none" w:sz="0" w:space="0"/>
            <w:right w:val="none" w:sz="0" w:space="0"/>
          </w:pgBorders>
          <w:cols w:space="720" w:num="1"/>
          <w:titlePg/>
          <w:docGrid w:linePitch="312" w:charSpace="0"/>
        </w:sectPr>
      </w:pPr>
    </w:p>
    <w:p w14:paraId="1160E6CA">
      <w:pPr>
        <w:pStyle w:val="693"/>
        <w:keepNext w:val="0"/>
        <w:pageBreakBefore w:val="0"/>
        <w:tabs>
          <w:tab w:val="clear" w:pos="720"/>
        </w:tabs>
        <w:snapToGrid w:val="0"/>
        <w:spacing w:before="120" w:after="120"/>
        <w:outlineLvl w:val="9"/>
        <w:rPr>
          <w:rFonts w:ascii="宋体" w:hAnsi="宋体" w:eastAsia="宋体" w:cs="宋体"/>
          <w:color w:val="auto"/>
          <w:kern w:val="2"/>
          <w:sz w:val="32"/>
          <w:szCs w:val="32"/>
          <w:highlight w:val="none"/>
        </w:rPr>
      </w:pPr>
      <w:bookmarkStart w:id="417" w:name="_Toc16398"/>
      <w:r>
        <w:rPr>
          <w:rFonts w:hint="eastAsia" w:ascii="宋体" w:hAnsi="宋体" w:eastAsia="宋体" w:cs="宋体"/>
          <w:color w:val="auto"/>
          <w:kern w:val="2"/>
          <w:sz w:val="32"/>
          <w:szCs w:val="32"/>
          <w:highlight w:val="none"/>
        </w:rPr>
        <w:t>二、报价明细表</w:t>
      </w:r>
      <w:bookmarkEnd w:id="417"/>
    </w:p>
    <w:p w14:paraId="057BF283">
      <w:pPr>
        <w:ind w:right="420"/>
        <w:rPr>
          <w:rFonts w:ascii="宋体" w:hAnsi="宋体" w:cs="宋体"/>
          <w:color w:val="auto"/>
          <w:sz w:val="24"/>
          <w:highlight w:val="none"/>
        </w:rPr>
      </w:pPr>
      <w:r>
        <w:rPr>
          <w:rFonts w:hint="eastAsia" w:ascii="宋体" w:hAnsi="宋体" w:cs="宋体"/>
          <w:color w:val="auto"/>
          <w:sz w:val="24"/>
          <w:highlight w:val="none"/>
        </w:rPr>
        <w:t>注：如需要，自行编制。</w:t>
      </w:r>
    </w:p>
    <w:p w14:paraId="621C2AC7">
      <w:pPr>
        <w:pStyle w:val="61"/>
        <w:ind w:firstLine="480"/>
        <w:rPr>
          <w:rFonts w:cs="宋体"/>
          <w:color w:val="auto"/>
          <w:sz w:val="24"/>
          <w:highlight w:val="none"/>
        </w:rPr>
      </w:pPr>
    </w:p>
    <w:p w14:paraId="4436C4D1">
      <w:pPr>
        <w:pStyle w:val="61"/>
        <w:ind w:firstLine="480"/>
        <w:rPr>
          <w:rFonts w:cs="宋体"/>
          <w:color w:val="auto"/>
          <w:sz w:val="24"/>
          <w:highlight w:val="none"/>
        </w:rPr>
        <w:sectPr>
          <w:footerReference r:id="rId20" w:type="first"/>
          <w:headerReference r:id="rId17" w:type="default"/>
          <w:footerReference r:id="rId18" w:type="default"/>
          <w:footerReference r:id="rId19"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085CFB1E">
      <w:pPr>
        <w:pStyle w:val="693"/>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bookmarkStart w:id="418" w:name="_Toc3989"/>
      <w:r>
        <w:rPr>
          <w:rFonts w:hint="eastAsia" w:ascii="宋体" w:hAnsi="宋体" w:eastAsia="宋体" w:cs="宋体"/>
          <w:color w:val="auto"/>
          <w:kern w:val="2"/>
          <w:sz w:val="32"/>
          <w:szCs w:val="32"/>
          <w:highlight w:val="none"/>
        </w:rPr>
        <w:t>三、</w:t>
      </w:r>
      <w:r>
        <w:rPr>
          <w:rFonts w:hint="eastAsia" w:ascii="宋体" w:hAnsi="宋体" w:eastAsia="宋体" w:cs="宋体"/>
          <w:color w:val="auto"/>
          <w:sz w:val="32"/>
          <w:szCs w:val="32"/>
          <w:highlight w:val="none"/>
        </w:rPr>
        <w:t>中小企业声明函</w:t>
      </w:r>
      <w:bookmarkStart w:id="419" w:name="_Hlk101259491"/>
      <w:r>
        <w:rPr>
          <w:rFonts w:hint="eastAsia" w:ascii="宋体" w:hAnsi="宋体" w:eastAsia="宋体" w:cs="宋体"/>
          <w:color w:val="auto"/>
          <w:sz w:val="32"/>
          <w:szCs w:val="32"/>
          <w:highlight w:val="none"/>
        </w:rPr>
        <w:t>（如果有）</w:t>
      </w:r>
      <w:bookmarkEnd w:id="418"/>
      <w:bookmarkEnd w:id="419"/>
    </w:p>
    <w:p w14:paraId="26D21370">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ascii="宋体" w:hAnsi="宋体" w:cs="宋体"/>
          <w:b/>
          <w:color w:val="auto"/>
          <w:sz w:val="24"/>
          <w:highlight w:val="none"/>
          <w:lang w:eastAsia="zh-CN"/>
        </w:rPr>
        <w:t>附件5</w:t>
      </w:r>
      <w:r>
        <w:rPr>
          <w:rFonts w:hint="eastAsia" w:ascii="宋体" w:hAnsi="宋体" w:cs="宋体"/>
          <w:b/>
          <w:color w:val="auto"/>
          <w:sz w:val="24"/>
          <w:highlight w:val="none"/>
        </w:rPr>
        <w:t>）。]</w:t>
      </w:r>
    </w:p>
    <w:p w14:paraId="6D2531F6">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20" w:name="_Toc465665161"/>
      <w:bookmarkStart w:id="421" w:name="_Toc30893"/>
      <w:r>
        <w:rPr>
          <w:rFonts w:hint="eastAsia" w:ascii="宋体" w:hAnsi="宋体" w:cs="宋体"/>
          <w:color w:val="auto"/>
          <w:highlight w:val="none"/>
        </w:rPr>
        <w:t>附件</w:t>
      </w:r>
      <w:bookmarkEnd w:id="420"/>
      <w:bookmarkEnd w:id="421"/>
    </w:p>
    <w:p w14:paraId="1242D19E">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3D2BC962">
      <w:pPr>
        <w:spacing w:line="360" w:lineRule="auto"/>
        <w:jc w:val="center"/>
        <w:rPr>
          <w:rFonts w:ascii="宋体" w:hAnsi="宋体" w:cs="宋体"/>
          <w:b/>
          <w:color w:val="auto"/>
          <w:spacing w:val="6"/>
          <w:sz w:val="32"/>
          <w:szCs w:val="32"/>
          <w:highlight w:val="none"/>
        </w:rPr>
      </w:pPr>
      <w:bookmarkStart w:id="422" w:name="OLE_LINK14"/>
      <w:bookmarkStart w:id="423" w:name="OLE_LINK13"/>
      <w:r>
        <w:rPr>
          <w:rFonts w:hint="eastAsia" w:ascii="宋体" w:hAnsi="宋体" w:cs="宋体"/>
          <w:b/>
          <w:color w:val="auto"/>
          <w:spacing w:val="6"/>
          <w:sz w:val="32"/>
          <w:szCs w:val="32"/>
          <w:highlight w:val="none"/>
        </w:rPr>
        <w:t>残疾人福利性单位声明函</w:t>
      </w:r>
    </w:p>
    <w:bookmarkEnd w:id="422"/>
    <w:bookmarkEnd w:id="423"/>
    <w:p w14:paraId="229F9D0A">
      <w:pPr>
        <w:spacing w:line="360" w:lineRule="auto"/>
        <w:rPr>
          <w:rFonts w:ascii="宋体" w:hAnsi="宋体" w:cs="宋体"/>
          <w:b/>
          <w:color w:val="auto"/>
          <w:spacing w:val="6"/>
          <w:sz w:val="30"/>
          <w:szCs w:val="30"/>
          <w:highlight w:val="none"/>
        </w:rPr>
      </w:pPr>
    </w:p>
    <w:p w14:paraId="21DA1C3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7BFB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5CB06E6A">
      <w:pPr>
        <w:spacing w:line="360" w:lineRule="auto"/>
        <w:ind w:firstLine="480" w:firstLineChars="200"/>
        <w:rPr>
          <w:rFonts w:ascii="宋体" w:hAnsi="宋体" w:cs="宋体"/>
          <w:color w:val="auto"/>
          <w:sz w:val="24"/>
          <w:highlight w:val="none"/>
        </w:rPr>
      </w:pPr>
    </w:p>
    <w:p w14:paraId="04342C59">
      <w:pPr>
        <w:spacing w:line="360" w:lineRule="auto"/>
        <w:ind w:firstLine="480" w:firstLineChars="200"/>
        <w:rPr>
          <w:rFonts w:ascii="宋体" w:hAnsi="宋体" w:cs="宋体"/>
          <w:color w:val="auto"/>
          <w:sz w:val="24"/>
          <w:highlight w:val="none"/>
        </w:rPr>
      </w:pPr>
    </w:p>
    <w:p w14:paraId="4E0C4CC5">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kern w:val="0"/>
          <w:sz w:val="24"/>
          <w:highlight w:val="none"/>
          <w:lang w:val="zh-CN"/>
        </w:rPr>
        <w:t>供应商名称（电子签名）</w:t>
      </w:r>
      <w:r>
        <w:rPr>
          <w:rFonts w:hint="eastAsia" w:ascii="宋体" w:hAnsi="宋体" w:cs="宋体"/>
          <w:color w:val="auto"/>
          <w:sz w:val="24"/>
          <w:highlight w:val="none"/>
        </w:rPr>
        <w:t>：</w:t>
      </w:r>
    </w:p>
    <w:p w14:paraId="08DF339D">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27B7D59F">
      <w:pPr>
        <w:spacing w:line="360" w:lineRule="auto"/>
        <w:ind w:firstLine="480" w:firstLineChars="200"/>
        <w:rPr>
          <w:rFonts w:ascii="宋体" w:hAnsi="宋体" w:cs="宋体"/>
          <w:color w:val="auto"/>
          <w:sz w:val="24"/>
          <w:highlight w:val="none"/>
        </w:rPr>
      </w:pPr>
    </w:p>
    <w:p w14:paraId="1DAF261A">
      <w:pPr>
        <w:spacing w:line="360" w:lineRule="auto"/>
        <w:ind w:firstLine="420" w:firstLineChars="200"/>
        <w:rPr>
          <w:rFonts w:ascii="宋体" w:hAnsi="宋体" w:cs="宋体"/>
          <w:color w:val="auto"/>
          <w:highlight w:val="none"/>
        </w:rPr>
      </w:pPr>
    </w:p>
    <w:p w14:paraId="236965ED">
      <w:pPr>
        <w:spacing w:line="360" w:lineRule="auto"/>
        <w:ind w:firstLine="420" w:firstLineChars="200"/>
        <w:rPr>
          <w:rFonts w:ascii="宋体" w:hAnsi="宋体" w:cs="宋体"/>
          <w:color w:val="auto"/>
          <w:highlight w:val="none"/>
        </w:rPr>
      </w:pPr>
    </w:p>
    <w:p w14:paraId="23587A8D">
      <w:pPr>
        <w:spacing w:line="360" w:lineRule="auto"/>
        <w:ind w:firstLine="420" w:firstLineChars="200"/>
        <w:rPr>
          <w:rFonts w:ascii="宋体" w:hAnsi="宋体" w:cs="宋体"/>
          <w:color w:val="auto"/>
          <w:highlight w:val="none"/>
        </w:rPr>
      </w:pPr>
    </w:p>
    <w:p w14:paraId="42758499">
      <w:pPr>
        <w:spacing w:line="360" w:lineRule="auto"/>
        <w:ind w:firstLine="420" w:firstLineChars="200"/>
        <w:rPr>
          <w:rFonts w:ascii="宋体" w:hAnsi="宋体" w:cs="宋体"/>
          <w:color w:val="auto"/>
          <w:highlight w:val="none"/>
        </w:rPr>
      </w:pPr>
    </w:p>
    <w:p w14:paraId="67871F42">
      <w:pPr>
        <w:spacing w:line="360" w:lineRule="auto"/>
        <w:rPr>
          <w:rFonts w:ascii="宋体" w:hAnsi="宋体" w:cs="宋体"/>
          <w:b/>
          <w:color w:val="auto"/>
          <w:sz w:val="24"/>
          <w:highlight w:val="none"/>
        </w:rPr>
      </w:pPr>
    </w:p>
    <w:p w14:paraId="7FCA17B0">
      <w:pPr>
        <w:spacing w:line="360" w:lineRule="auto"/>
        <w:rPr>
          <w:rFonts w:ascii="宋体" w:hAnsi="宋体" w:cs="宋体"/>
          <w:b/>
          <w:color w:val="auto"/>
          <w:sz w:val="24"/>
          <w:highlight w:val="none"/>
        </w:rPr>
      </w:pPr>
    </w:p>
    <w:p w14:paraId="1A1ED2B7">
      <w:pPr>
        <w:spacing w:line="360" w:lineRule="auto"/>
        <w:rPr>
          <w:rFonts w:ascii="宋体" w:hAnsi="宋体" w:cs="宋体"/>
          <w:b/>
          <w:color w:val="auto"/>
          <w:sz w:val="24"/>
          <w:highlight w:val="none"/>
        </w:rPr>
      </w:pPr>
    </w:p>
    <w:p w14:paraId="60EF3B03">
      <w:pPr>
        <w:spacing w:line="360" w:lineRule="auto"/>
        <w:rPr>
          <w:rFonts w:ascii="宋体" w:hAnsi="宋体" w:cs="宋体"/>
          <w:b/>
          <w:color w:val="auto"/>
          <w:sz w:val="24"/>
          <w:highlight w:val="none"/>
        </w:rPr>
      </w:pPr>
    </w:p>
    <w:p w14:paraId="5CF18496">
      <w:pPr>
        <w:spacing w:line="360" w:lineRule="auto"/>
        <w:rPr>
          <w:rFonts w:ascii="宋体" w:hAnsi="宋体" w:cs="宋体"/>
          <w:b/>
          <w:color w:val="auto"/>
          <w:sz w:val="24"/>
          <w:highlight w:val="none"/>
        </w:rPr>
      </w:pPr>
    </w:p>
    <w:p w14:paraId="441B3E0F">
      <w:pPr>
        <w:spacing w:line="360" w:lineRule="auto"/>
        <w:rPr>
          <w:rFonts w:ascii="宋体" w:hAnsi="宋体" w:cs="宋体"/>
          <w:b/>
          <w:color w:val="auto"/>
          <w:sz w:val="24"/>
          <w:highlight w:val="none"/>
        </w:rPr>
      </w:pPr>
    </w:p>
    <w:p w14:paraId="202B72DB">
      <w:pPr>
        <w:spacing w:line="360" w:lineRule="auto"/>
        <w:rPr>
          <w:rFonts w:ascii="宋体" w:hAnsi="宋体" w:cs="宋体"/>
          <w:b/>
          <w:color w:val="auto"/>
          <w:sz w:val="24"/>
          <w:highlight w:val="none"/>
        </w:rPr>
      </w:pPr>
    </w:p>
    <w:p w14:paraId="5AD0D140">
      <w:pPr>
        <w:spacing w:line="360" w:lineRule="auto"/>
        <w:rPr>
          <w:rFonts w:ascii="宋体" w:hAnsi="宋体" w:cs="宋体"/>
          <w:b/>
          <w:color w:val="auto"/>
          <w:sz w:val="24"/>
          <w:highlight w:val="none"/>
        </w:rPr>
      </w:pPr>
    </w:p>
    <w:p w14:paraId="5EB10081">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B13743A">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1FE06A9C">
      <w:pPr>
        <w:snapToGrid w:val="0"/>
        <w:spacing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36823E9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p>
    <w:p w14:paraId="05F2285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14:paraId="732E155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联系人：联系电话：</w:t>
      </w:r>
    </w:p>
    <w:p w14:paraId="5FE4443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p>
    <w:p w14:paraId="32E3D8B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p w14:paraId="41579D8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 邮编：</w:t>
      </w:r>
    </w:p>
    <w:p w14:paraId="74507A1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D38119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p>
    <w:p w14:paraId="6612035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质疑项目的编号：包号：</w:t>
      </w:r>
    </w:p>
    <w:p w14:paraId="279027D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p>
    <w:p w14:paraId="5589D81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p>
    <w:p w14:paraId="03D7B3D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405A58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p>
    <w:p w14:paraId="4BAD5B9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p>
    <w:p w14:paraId="3819608E">
      <w:pPr>
        <w:snapToGrid w:val="0"/>
        <w:spacing w:line="360" w:lineRule="auto"/>
        <w:rPr>
          <w:rFonts w:ascii="宋体" w:hAnsi="宋体" w:cs="宋体"/>
          <w:color w:val="auto"/>
          <w:sz w:val="24"/>
          <w:highlight w:val="none"/>
        </w:rPr>
      </w:pPr>
    </w:p>
    <w:p w14:paraId="15B19CF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p>
    <w:p w14:paraId="487B2420">
      <w:pPr>
        <w:snapToGrid w:val="0"/>
        <w:spacing w:line="360" w:lineRule="auto"/>
        <w:rPr>
          <w:rFonts w:ascii="宋体" w:hAnsi="宋体" w:cs="宋体"/>
          <w:color w:val="auto"/>
          <w:sz w:val="24"/>
          <w:highlight w:val="none"/>
          <w:u w:val="dotted"/>
        </w:rPr>
      </w:pPr>
    </w:p>
    <w:p w14:paraId="1D8452D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5E87AC9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327799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7F22019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p>
    <w:p w14:paraId="60DC8FA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C48324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6A0B23E">
      <w:pPr>
        <w:spacing w:line="360" w:lineRule="auto"/>
        <w:jc w:val="center"/>
        <w:rPr>
          <w:rFonts w:ascii="宋体" w:hAnsi="宋体" w:cs="宋体"/>
          <w:b/>
          <w:bCs/>
          <w:color w:val="auto"/>
          <w:sz w:val="24"/>
          <w:highlight w:val="none"/>
        </w:rPr>
      </w:pPr>
    </w:p>
    <w:p w14:paraId="6BD43008">
      <w:pPr>
        <w:spacing w:line="360" w:lineRule="auto"/>
        <w:rPr>
          <w:rFonts w:ascii="宋体" w:hAnsi="宋体" w:cs="宋体"/>
          <w:b/>
          <w:color w:val="auto"/>
          <w:sz w:val="24"/>
          <w:highlight w:val="none"/>
        </w:rPr>
      </w:pPr>
    </w:p>
    <w:p w14:paraId="42C5ED5B">
      <w:pPr>
        <w:spacing w:line="360" w:lineRule="auto"/>
        <w:rPr>
          <w:rFonts w:ascii="宋体" w:hAnsi="宋体" w:cs="宋体"/>
          <w:b/>
          <w:color w:val="auto"/>
          <w:sz w:val="24"/>
          <w:highlight w:val="none"/>
        </w:rPr>
      </w:pPr>
    </w:p>
    <w:p w14:paraId="2F2F17D7">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04BC685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8E353D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4F44171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14B7D94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18B91BA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04A2184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95A4F57">
      <w:pPr>
        <w:widowControl/>
        <w:spacing w:line="360" w:lineRule="auto"/>
        <w:ind w:firstLine="600" w:firstLineChars="200"/>
        <w:jc w:val="left"/>
        <w:rPr>
          <w:rFonts w:ascii="宋体" w:hAnsi="宋体" w:cs="宋体"/>
          <w:color w:val="auto"/>
          <w:sz w:val="30"/>
          <w:szCs w:val="30"/>
          <w:highlight w:val="none"/>
        </w:rPr>
      </w:pPr>
    </w:p>
    <w:p w14:paraId="631F47CA">
      <w:pPr>
        <w:spacing w:line="360" w:lineRule="auto"/>
        <w:jc w:val="center"/>
        <w:rPr>
          <w:rFonts w:ascii="宋体" w:hAnsi="宋体" w:cs="宋体"/>
          <w:b/>
          <w:color w:val="auto"/>
          <w:spacing w:val="6"/>
          <w:sz w:val="32"/>
          <w:szCs w:val="32"/>
          <w:highlight w:val="none"/>
        </w:rPr>
      </w:pPr>
    </w:p>
    <w:p w14:paraId="3A1A9BCF">
      <w:pPr>
        <w:spacing w:line="360" w:lineRule="auto"/>
        <w:jc w:val="center"/>
        <w:rPr>
          <w:rFonts w:ascii="宋体" w:hAnsi="宋体" w:cs="宋体"/>
          <w:b/>
          <w:color w:val="auto"/>
          <w:spacing w:val="6"/>
          <w:sz w:val="32"/>
          <w:szCs w:val="32"/>
          <w:highlight w:val="none"/>
        </w:rPr>
      </w:pPr>
    </w:p>
    <w:p w14:paraId="6A88EBF3">
      <w:pPr>
        <w:spacing w:line="360" w:lineRule="auto"/>
        <w:jc w:val="center"/>
        <w:rPr>
          <w:rFonts w:ascii="宋体" w:hAnsi="宋体" w:cs="宋体"/>
          <w:b/>
          <w:color w:val="auto"/>
          <w:spacing w:val="6"/>
          <w:sz w:val="32"/>
          <w:szCs w:val="32"/>
          <w:highlight w:val="none"/>
        </w:rPr>
      </w:pPr>
    </w:p>
    <w:p w14:paraId="63DC039D">
      <w:pPr>
        <w:spacing w:line="360" w:lineRule="auto"/>
        <w:jc w:val="center"/>
        <w:rPr>
          <w:rFonts w:ascii="宋体" w:hAnsi="宋体" w:cs="宋体"/>
          <w:b/>
          <w:color w:val="auto"/>
          <w:spacing w:val="6"/>
          <w:sz w:val="32"/>
          <w:szCs w:val="32"/>
          <w:highlight w:val="none"/>
        </w:rPr>
      </w:pPr>
    </w:p>
    <w:p w14:paraId="76E05EB1">
      <w:pPr>
        <w:spacing w:line="360" w:lineRule="auto"/>
        <w:jc w:val="center"/>
        <w:rPr>
          <w:rFonts w:ascii="宋体" w:hAnsi="宋体" w:cs="宋体"/>
          <w:b/>
          <w:color w:val="auto"/>
          <w:spacing w:val="6"/>
          <w:sz w:val="32"/>
          <w:szCs w:val="32"/>
          <w:highlight w:val="none"/>
        </w:rPr>
      </w:pPr>
    </w:p>
    <w:p w14:paraId="7AEC67D4">
      <w:pPr>
        <w:spacing w:line="360" w:lineRule="auto"/>
        <w:jc w:val="center"/>
        <w:rPr>
          <w:rFonts w:ascii="宋体" w:hAnsi="宋体" w:cs="宋体"/>
          <w:b/>
          <w:color w:val="auto"/>
          <w:spacing w:val="6"/>
          <w:sz w:val="32"/>
          <w:szCs w:val="32"/>
          <w:highlight w:val="none"/>
        </w:rPr>
      </w:pPr>
    </w:p>
    <w:p w14:paraId="40724270">
      <w:pPr>
        <w:spacing w:line="360" w:lineRule="auto"/>
        <w:jc w:val="center"/>
        <w:rPr>
          <w:rFonts w:ascii="宋体" w:hAnsi="宋体" w:cs="宋体"/>
          <w:b/>
          <w:color w:val="auto"/>
          <w:spacing w:val="6"/>
          <w:sz w:val="32"/>
          <w:szCs w:val="32"/>
          <w:highlight w:val="none"/>
        </w:rPr>
      </w:pPr>
    </w:p>
    <w:p w14:paraId="1B156F37">
      <w:pPr>
        <w:spacing w:line="360" w:lineRule="auto"/>
        <w:jc w:val="center"/>
        <w:rPr>
          <w:rFonts w:ascii="宋体" w:hAnsi="宋体" w:cs="宋体"/>
          <w:b/>
          <w:color w:val="auto"/>
          <w:spacing w:val="6"/>
          <w:sz w:val="32"/>
          <w:szCs w:val="32"/>
          <w:highlight w:val="none"/>
        </w:rPr>
      </w:pPr>
    </w:p>
    <w:p w14:paraId="096C0503">
      <w:pPr>
        <w:spacing w:line="360" w:lineRule="auto"/>
        <w:jc w:val="center"/>
        <w:rPr>
          <w:rFonts w:ascii="宋体" w:hAnsi="宋体" w:cs="宋体"/>
          <w:b/>
          <w:color w:val="auto"/>
          <w:spacing w:val="6"/>
          <w:sz w:val="32"/>
          <w:szCs w:val="32"/>
          <w:highlight w:val="none"/>
        </w:rPr>
      </w:pPr>
    </w:p>
    <w:p w14:paraId="7880941A">
      <w:pPr>
        <w:spacing w:line="360" w:lineRule="auto"/>
        <w:jc w:val="center"/>
        <w:rPr>
          <w:rFonts w:ascii="宋体" w:hAnsi="宋体" w:cs="宋体"/>
          <w:b/>
          <w:color w:val="auto"/>
          <w:spacing w:val="6"/>
          <w:sz w:val="32"/>
          <w:szCs w:val="32"/>
          <w:highlight w:val="none"/>
        </w:rPr>
      </w:pPr>
    </w:p>
    <w:p w14:paraId="213BEE6C">
      <w:pPr>
        <w:spacing w:line="360" w:lineRule="auto"/>
        <w:jc w:val="center"/>
        <w:rPr>
          <w:rFonts w:ascii="宋体" w:hAnsi="宋体" w:cs="宋体"/>
          <w:b/>
          <w:color w:val="auto"/>
          <w:spacing w:val="6"/>
          <w:sz w:val="32"/>
          <w:szCs w:val="32"/>
          <w:highlight w:val="none"/>
        </w:rPr>
      </w:pPr>
    </w:p>
    <w:p w14:paraId="391B8EDD">
      <w:pPr>
        <w:spacing w:line="360" w:lineRule="auto"/>
        <w:jc w:val="center"/>
        <w:rPr>
          <w:rFonts w:ascii="宋体" w:hAnsi="宋体" w:cs="宋体"/>
          <w:b/>
          <w:color w:val="auto"/>
          <w:spacing w:val="6"/>
          <w:sz w:val="32"/>
          <w:szCs w:val="32"/>
          <w:highlight w:val="none"/>
        </w:rPr>
      </w:pPr>
    </w:p>
    <w:p w14:paraId="1333A565">
      <w:pPr>
        <w:spacing w:line="360" w:lineRule="auto"/>
        <w:jc w:val="left"/>
        <w:rPr>
          <w:rFonts w:ascii="宋体" w:hAnsi="宋体" w:cs="宋体"/>
          <w:b/>
          <w:color w:val="auto"/>
          <w:spacing w:val="6"/>
          <w:sz w:val="32"/>
          <w:szCs w:val="32"/>
          <w:highlight w:val="none"/>
        </w:rPr>
      </w:pPr>
    </w:p>
    <w:p w14:paraId="77C4DE79">
      <w:pPr>
        <w:spacing w:line="360" w:lineRule="auto"/>
        <w:jc w:val="left"/>
        <w:rPr>
          <w:rFonts w:ascii="宋体" w:hAnsi="宋体" w:cs="宋体"/>
          <w:b/>
          <w:color w:val="auto"/>
          <w:spacing w:val="6"/>
          <w:sz w:val="32"/>
          <w:szCs w:val="32"/>
          <w:highlight w:val="none"/>
        </w:rPr>
      </w:pPr>
    </w:p>
    <w:p w14:paraId="572D0F6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3E67152E">
      <w:pPr>
        <w:spacing w:line="360" w:lineRule="auto"/>
        <w:jc w:val="center"/>
        <w:rPr>
          <w:rFonts w:ascii="宋体" w:hAnsi="宋体" w:cs="宋体"/>
          <w:b/>
          <w:color w:val="auto"/>
          <w:sz w:val="24"/>
          <w:highlight w:val="none"/>
        </w:rPr>
      </w:pPr>
    </w:p>
    <w:p w14:paraId="0634CF77">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6FD68E09">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4EE921F4">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p>
    <w:p w14:paraId="5F24C15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址：邮编：</w:t>
      </w:r>
    </w:p>
    <w:p w14:paraId="0946F0CD">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p>
    <w:p w14:paraId="4AE6AC73">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p>
    <w:p w14:paraId="24188536">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授权代表：联系电话</w:t>
      </w:r>
      <w:r>
        <w:rPr>
          <w:rFonts w:hint="eastAsia" w:ascii="宋体" w:hAnsi="宋体" w:cs="宋体"/>
          <w:color w:val="auto"/>
          <w:sz w:val="24"/>
          <w:highlight w:val="none"/>
          <w:u w:val="dotted"/>
        </w:rPr>
        <w:t xml:space="preserve">：                  </w:t>
      </w:r>
    </w:p>
    <w:p w14:paraId="750F786E">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址：邮编：</w:t>
      </w:r>
    </w:p>
    <w:p w14:paraId="7C172936">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p>
    <w:p w14:paraId="4F4C5AC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址：邮编：</w:t>
      </w:r>
    </w:p>
    <w:p w14:paraId="2379C68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6E26794E">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13747E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95EC3CB">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p>
    <w:p w14:paraId="337BAD8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址：邮编：</w:t>
      </w:r>
    </w:p>
    <w:p w14:paraId="59F08D4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0AF08A69">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546E513E">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p>
    <w:p w14:paraId="3A1F3B98">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采购项目编号：包号：</w:t>
      </w:r>
    </w:p>
    <w:p w14:paraId="38196CD7">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p>
    <w:p w14:paraId="78CD2F8E">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p>
    <w:p w14:paraId="40423B94">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p>
    <w:p w14:paraId="5B5C8EE8">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p>
    <w:p w14:paraId="5159B9F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42D792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投诉人于年月日,向提出质疑，质疑事项为：</w:t>
      </w:r>
    </w:p>
    <w:p w14:paraId="4289852C">
      <w:pPr>
        <w:spacing w:line="360" w:lineRule="auto"/>
        <w:rPr>
          <w:rFonts w:ascii="宋体" w:hAnsi="宋体" w:cs="宋体"/>
          <w:color w:val="auto"/>
          <w:sz w:val="24"/>
          <w:highlight w:val="none"/>
          <w:u w:val="dotted"/>
        </w:rPr>
      </w:pPr>
    </w:p>
    <w:p w14:paraId="53251FA9">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于年月日,就质疑事项作出了答复/没有在法定期限内作出答复。</w:t>
      </w:r>
    </w:p>
    <w:p w14:paraId="692B09F7">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31F7FC2C">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p>
    <w:p w14:paraId="72931FA5">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p>
    <w:p w14:paraId="4F7D9F89">
      <w:pPr>
        <w:spacing w:line="360" w:lineRule="auto"/>
        <w:rPr>
          <w:rFonts w:ascii="宋体" w:hAnsi="宋体" w:cs="宋体"/>
          <w:color w:val="auto"/>
          <w:sz w:val="24"/>
          <w:highlight w:val="none"/>
          <w:u w:val="dotted"/>
        </w:rPr>
      </w:pPr>
    </w:p>
    <w:p w14:paraId="0FBE931F">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p>
    <w:p w14:paraId="11B7FE84">
      <w:pPr>
        <w:spacing w:line="360" w:lineRule="auto"/>
        <w:rPr>
          <w:rFonts w:ascii="宋体" w:hAnsi="宋体" w:cs="宋体"/>
          <w:color w:val="auto"/>
          <w:sz w:val="24"/>
          <w:highlight w:val="none"/>
          <w:u w:val="dotted"/>
        </w:rPr>
      </w:pPr>
    </w:p>
    <w:p w14:paraId="1A1B2589">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36AD6314">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9349812">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7EB325D">
      <w:pPr>
        <w:spacing w:line="360" w:lineRule="auto"/>
        <w:rPr>
          <w:rFonts w:ascii="宋体" w:hAnsi="宋体" w:cs="宋体"/>
          <w:color w:val="auto"/>
          <w:sz w:val="24"/>
          <w:highlight w:val="none"/>
        </w:rPr>
      </w:pPr>
      <w:r>
        <w:rPr>
          <w:rFonts w:hint="eastAsia" w:ascii="宋体" w:hAnsi="宋体" w:cs="宋体"/>
          <w:color w:val="auto"/>
          <w:sz w:val="24"/>
          <w:highlight w:val="none"/>
        </w:rPr>
        <w:t>请求：</w:t>
      </w:r>
    </w:p>
    <w:p w14:paraId="308C7D3F">
      <w:pPr>
        <w:spacing w:line="360" w:lineRule="auto"/>
        <w:rPr>
          <w:rFonts w:ascii="宋体" w:hAnsi="宋体" w:cs="宋体"/>
          <w:color w:val="auto"/>
          <w:sz w:val="24"/>
          <w:highlight w:val="none"/>
          <w:u w:val="single"/>
        </w:rPr>
      </w:pPr>
    </w:p>
    <w:p w14:paraId="0309C60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A9E414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220B228D">
      <w:pPr>
        <w:spacing w:line="360" w:lineRule="auto"/>
        <w:rPr>
          <w:rFonts w:ascii="宋体" w:hAnsi="宋体" w:cs="宋体"/>
          <w:b/>
          <w:color w:val="auto"/>
          <w:sz w:val="24"/>
          <w:highlight w:val="none"/>
        </w:rPr>
      </w:pPr>
    </w:p>
    <w:p w14:paraId="632C5CA8">
      <w:pPr>
        <w:spacing w:line="360" w:lineRule="auto"/>
        <w:rPr>
          <w:rFonts w:ascii="宋体" w:hAnsi="宋体" w:cs="宋体"/>
          <w:b/>
          <w:color w:val="auto"/>
          <w:sz w:val="24"/>
          <w:highlight w:val="none"/>
        </w:rPr>
      </w:pPr>
    </w:p>
    <w:p w14:paraId="3A2F5C0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5D7E62C7">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7C94A097">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20D679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AF4183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7E4F804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3587C74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BB24F3B">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3AB7AA1D">
      <w:pPr>
        <w:spacing w:line="360" w:lineRule="auto"/>
        <w:rPr>
          <w:rFonts w:ascii="宋体" w:hAnsi="宋体" w:cs="宋体"/>
          <w:b/>
          <w:color w:val="auto"/>
          <w:sz w:val="24"/>
          <w:highlight w:val="none"/>
        </w:rPr>
      </w:pPr>
    </w:p>
    <w:p w14:paraId="785B5279">
      <w:pPr>
        <w:autoSpaceDE w:val="0"/>
        <w:autoSpaceDN w:val="0"/>
        <w:jc w:val="center"/>
        <w:rPr>
          <w:rFonts w:ascii="宋体" w:hAnsi="宋体" w:cs="宋体"/>
          <w:b/>
          <w:color w:val="auto"/>
          <w:spacing w:val="6"/>
          <w:sz w:val="32"/>
          <w:szCs w:val="32"/>
          <w:highlight w:val="none"/>
        </w:rPr>
      </w:pPr>
    </w:p>
    <w:p w14:paraId="51684E0C">
      <w:pPr>
        <w:autoSpaceDE w:val="0"/>
        <w:autoSpaceDN w:val="0"/>
        <w:jc w:val="center"/>
        <w:rPr>
          <w:rFonts w:ascii="宋体" w:hAnsi="宋体" w:cs="宋体"/>
          <w:b/>
          <w:color w:val="auto"/>
          <w:spacing w:val="6"/>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76A44D73">
      <w:pPr>
        <w:autoSpaceDE w:val="0"/>
        <w:autoSpaceDN w:val="0"/>
        <w:jc w:val="center"/>
        <w:outlineLvl w:val="0"/>
        <w:rPr>
          <w:rFonts w:ascii="宋体" w:hAnsi="宋体" w:cs="宋体"/>
          <w:b/>
          <w:bCs/>
          <w:color w:val="auto"/>
          <w:sz w:val="32"/>
          <w:szCs w:val="32"/>
          <w:highlight w:val="none"/>
        </w:rPr>
      </w:pPr>
      <w:bookmarkStart w:id="424" w:name="_Toc16905"/>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bookmarkEnd w:id="424"/>
    </w:p>
    <w:p w14:paraId="5F46D303">
      <w:pPr>
        <w:spacing w:line="360" w:lineRule="auto"/>
        <w:rPr>
          <w:rFonts w:ascii="宋体" w:hAnsi="宋体" w:cs="宋体"/>
          <w:color w:val="auto"/>
          <w:sz w:val="24"/>
          <w:highlight w:val="none"/>
          <w:u w:val="single"/>
        </w:rPr>
      </w:pPr>
    </w:p>
    <w:p w14:paraId="5FB195A6">
      <w:pPr>
        <w:spacing w:line="360" w:lineRule="auto"/>
        <w:outlineLvl w:val="0"/>
        <w:rPr>
          <w:rFonts w:ascii="宋体" w:hAnsi="宋体" w:cs="宋体"/>
          <w:color w:val="auto"/>
          <w:sz w:val="24"/>
          <w:highlight w:val="none"/>
        </w:rPr>
      </w:pPr>
      <w:bookmarkStart w:id="425" w:name="_Toc29949"/>
      <w:r>
        <w:rPr>
          <w:rFonts w:hint="eastAsia" w:ascii="宋体" w:hAnsi="宋体" w:cs="宋体"/>
          <w:color w:val="auto"/>
          <w:sz w:val="24"/>
          <w:highlight w:val="none"/>
          <w:u w:val="single"/>
          <w:lang w:eastAsia="zh-CN"/>
        </w:rPr>
        <w:t>浙江同济科技职业学院</w:t>
      </w:r>
      <w:r>
        <w:rPr>
          <w:rFonts w:hint="eastAsia" w:ascii="宋体" w:hAnsi="宋体" w:cs="宋体"/>
          <w:color w:val="auto"/>
          <w:sz w:val="24"/>
          <w:highlight w:val="none"/>
          <w:u w:val="single"/>
        </w:rPr>
        <w:t>、浙江致信招标代理有限公司</w:t>
      </w:r>
      <w:bookmarkEnd w:id="425"/>
    </w:p>
    <w:p w14:paraId="0DF9424C">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sz w:val="24"/>
          <w:highlight w:val="none"/>
        </w:rPr>
        <w:t>(供应商全称)是中华人民共和国依法登记注册的合法企业，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浙江同济科技职业学院图书馆家具利旧翻新（含部分搬运）</w:t>
      </w:r>
      <w:r>
        <w:rPr>
          <w:rFonts w:hint="eastAsia" w:ascii="宋体" w:hAnsi="宋体" w:cs="宋体"/>
          <w:color w:val="auto"/>
          <w:sz w:val="24"/>
          <w:highlight w:val="none"/>
        </w:rPr>
        <w:t>项目【项目编号：</w:t>
      </w:r>
      <w:r>
        <w:rPr>
          <w:rFonts w:hint="eastAsia" w:ascii="宋体" w:hAnsi="宋体" w:cs="宋体"/>
          <w:color w:val="auto"/>
          <w:sz w:val="24"/>
          <w:highlight w:val="none"/>
          <w:lang w:eastAsia="zh-CN"/>
        </w:rPr>
        <w:t>ZXZB-TJ-2025011C</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64D424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419ADE24">
      <w:pPr>
        <w:spacing w:line="360" w:lineRule="auto"/>
        <w:ind w:firstLine="494"/>
        <w:rPr>
          <w:rFonts w:ascii="宋体" w:hAnsi="宋体" w:cs="宋体"/>
          <w:color w:val="auto"/>
          <w:sz w:val="24"/>
          <w:highlight w:val="none"/>
        </w:rPr>
      </w:pPr>
    </w:p>
    <w:p w14:paraId="0DBFB38B">
      <w:pPr>
        <w:spacing w:line="360" w:lineRule="auto"/>
        <w:ind w:firstLine="494"/>
        <w:rPr>
          <w:rFonts w:ascii="宋体" w:hAnsi="宋体" w:cs="宋体"/>
          <w:color w:val="auto"/>
          <w:sz w:val="24"/>
          <w:highlight w:val="none"/>
        </w:rPr>
      </w:pPr>
    </w:p>
    <w:p w14:paraId="113D5CA0">
      <w:pPr>
        <w:spacing w:line="360" w:lineRule="auto"/>
        <w:ind w:firstLine="494"/>
        <w:rPr>
          <w:rFonts w:ascii="宋体" w:hAnsi="宋体" w:cs="宋体"/>
          <w:color w:val="auto"/>
          <w:sz w:val="24"/>
          <w:highlight w:val="none"/>
        </w:rPr>
      </w:pPr>
    </w:p>
    <w:p w14:paraId="1AEC9A9E">
      <w:pPr>
        <w:spacing w:line="360" w:lineRule="auto"/>
        <w:ind w:firstLine="494"/>
        <w:rPr>
          <w:rFonts w:ascii="宋体" w:hAnsi="宋体" w:cs="宋体"/>
          <w:color w:val="auto"/>
          <w:sz w:val="24"/>
          <w:highlight w:val="none"/>
        </w:rPr>
      </w:pPr>
    </w:p>
    <w:p w14:paraId="62C97287">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供应商（法定名称章）：</w:t>
      </w:r>
    </w:p>
    <w:p w14:paraId="6144F81B">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E3C64A1">
      <w:pPr>
        <w:rPr>
          <w:rFonts w:ascii="宋体" w:hAnsi="宋体" w:cs="宋体"/>
          <w:color w:val="auto"/>
          <w:sz w:val="24"/>
          <w:highlight w:val="none"/>
        </w:rPr>
      </w:pPr>
      <w:r>
        <w:rPr>
          <w:rFonts w:hint="eastAsia" w:ascii="宋体" w:hAnsi="宋体" w:cs="宋体"/>
          <w:b/>
          <w:bCs/>
          <w:color w:val="auto"/>
          <w:sz w:val="24"/>
          <w:highlight w:val="none"/>
        </w:rPr>
        <w:t>附：</w:t>
      </w:r>
    </w:p>
    <w:p w14:paraId="5C71518F">
      <w:pPr>
        <w:spacing w:line="360" w:lineRule="auto"/>
        <w:rPr>
          <w:rFonts w:ascii="宋体" w:hAnsi="宋体" w:cs="宋体"/>
          <w:bCs/>
          <w:color w:val="auto"/>
          <w:sz w:val="24"/>
          <w:highlight w:val="none"/>
        </w:rPr>
      </w:pPr>
      <w:r>
        <w:rPr>
          <w:rFonts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w:t>供应商</w:t>
      </w:r>
      <w:r>
        <w:rPr>
          <w:rFonts w:hint="eastAsia" w:ascii="宋体" w:hAnsi="宋体" w:cs="宋体"/>
          <w:color w:val="auto"/>
          <w:sz w:val="24"/>
          <w:highlight w:val="none"/>
        </w:rPr>
        <w:t>法定名称章（印模）                供应商“XX专用章”（印模）</w:t>
      </w:r>
    </w:p>
    <w:p w14:paraId="6DDA80FE">
      <w:pPr>
        <w:autoSpaceDE w:val="0"/>
        <w:autoSpaceDN w:val="0"/>
        <w:jc w:val="center"/>
        <w:rPr>
          <w:rFonts w:ascii="宋体" w:hAnsi="宋体" w:cs="宋体"/>
          <w:b/>
          <w:color w:val="auto"/>
          <w:spacing w:val="6"/>
          <w:sz w:val="32"/>
          <w:szCs w:val="32"/>
          <w:highlight w:val="none"/>
        </w:rPr>
      </w:pPr>
    </w:p>
    <w:p w14:paraId="06FC0C2B">
      <w:pPr>
        <w:autoSpaceDE w:val="0"/>
        <w:autoSpaceDN w:val="0"/>
        <w:jc w:val="center"/>
        <w:rPr>
          <w:rFonts w:ascii="宋体" w:hAnsi="宋体" w:cs="宋体"/>
          <w:b/>
          <w:color w:val="auto"/>
          <w:spacing w:val="6"/>
          <w:sz w:val="32"/>
          <w:szCs w:val="32"/>
          <w:highlight w:val="none"/>
        </w:rPr>
      </w:pPr>
    </w:p>
    <w:p w14:paraId="4C156AB5">
      <w:pPr>
        <w:autoSpaceDE w:val="0"/>
        <w:autoSpaceDN w:val="0"/>
        <w:jc w:val="center"/>
        <w:rPr>
          <w:rFonts w:ascii="宋体" w:hAnsi="宋体" w:cs="宋体"/>
          <w:b/>
          <w:color w:val="auto"/>
          <w:spacing w:val="6"/>
          <w:sz w:val="32"/>
          <w:szCs w:val="32"/>
          <w:highlight w:val="none"/>
        </w:rPr>
      </w:pPr>
    </w:p>
    <w:p w14:paraId="5A3E1DCF">
      <w:pPr>
        <w:autoSpaceDE w:val="0"/>
        <w:autoSpaceDN w:val="0"/>
        <w:jc w:val="center"/>
        <w:rPr>
          <w:rFonts w:ascii="宋体" w:hAnsi="宋体" w:cs="宋体"/>
          <w:b/>
          <w:color w:val="auto"/>
          <w:spacing w:val="6"/>
          <w:sz w:val="32"/>
          <w:szCs w:val="32"/>
          <w:highlight w:val="none"/>
        </w:rPr>
      </w:pPr>
    </w:p>
    <w:p w14:paraId="0412BCCE">
      <w:pPr>
        <w:autoSpaceDE w:val="0"/>
        <w:autoSpaceDN w:val="0"/>
        <w:jc w:val="center"/>
        <w:rPr>
          <w:rFonts w:ascii="宋体" w:hAnsi="宋体" w:cs="宋体"/>
          <w:b/>
          <w:color w:val="auto"/>
          <w:spacing w:val="6"/>
          <w:sz w:val="32"/>
          <w:szCs w:val="32"/>
          <w:highlight w:val="none"/>
        </w:rPr>
      </w:pPr>
    </w:p>
    <w:p w14:paraId="5206A54D">
      <w:pPr>
        <w:autoSpaceDE w:val="0"/>
        <w:autoSpaceDN w:val="0"/>
        <w:jc w:val="center"/>
        <w:rPr>
          <w:rFonts w:ascii="宋体" w:hAnsi="宋体" w:cs="宋体"/>
          <w:b/>
          <w:color w:val="auto"/>
          <w:spacing w:val="6"/>
          <w:sz w:val="32"/>
          <w:szCs w:val="32"/>
          <w:highlight w:val="none"/>
        </w:rPr>
      </w:pPr>
    </w:p>
    <w:p w14:paraId="379BB033">
      <w:pPr>
        <w:autoSpaceDE w:val="0"/>
        <w:autoSpaceDN w:val="0"/>
        <w:jc w:val="center"/>
        <w:rPr>
          <w:rFonts w:ascii="宋体" w:hAnsi="宋体" w:cs="宋体"/>
          <w:b/>
          <w:color w:val="auto"/>
          <w:spacing w:val="6"/>
          <w:sz w:val="32"/>
          <w:szCs w:val="32"/>
          <w:highlight w:val="none"/>
        </w:rPr>
      </w:pPr>
    </w:p>
    <w:p w14:paraId="6AD0E747">
      <w:pPr>
        <w:autoSpaceDE w:val="0"/>
        <w:autoSpaceDN w:val="0"/>
        <w:jc w:val="center"/>
        <w:rPr>
          <w:rFonts w:ascii="宋体" w:hAnsi="宋体" w:cs="宋体"/>
          <w:b/>
          <w:color w:val="auto"/>
          <w:spacing w:val="6"/>
          <w:sz w:val="32"/>
          <w:szCs w:val="32"/>
          <w:highlight w:val="none"/>
        </w:rPr>
      </w:pPr>
    </w:p>
    <w:p w14:paraId="562AA2D1">
      <w:pPr>
        <w:autoSpaceDE w:val="0"/>
        <w:autoSpaceDN w:val="0"/>
        <w:jc w:val="center"/>
        <w:rPr>
          <w:rFonts w:ascii="宋体" w:hAnsi="宋体" w:cs="宋体"/>
          <w:b/>
          <w:color w:val="auto"/>
          <w:spacing w:val="6"/>
          <w:sz w:val="32"/>
          <w:szCs w:val="32"/>
          <w:highlight w:val="none"/>
        </w:rPr>
      </w:pPr>
    </w:p>
    <w:p w14:paraId="1F27794B">
      <w:pPr>
        <w:autoSpaceDE w:val="0"/>
        <w:autoSpaceDN w:val="0"/>
        <w:jc w:val="center"/>
        <w:rPr>
          <w:rFonts w:ascii="宋体" w:hAnsi="宋体" w:cs="宋体"/>
          <w:b/>
          <w:color w:val="auto"/>
          <w:spacing w:val="6"/>
          <w:sz w:val="32"/>
          <w:szCs w:val="32"/>
          <w:highlight w:val="none"/>
        </w:rPr>
      </w:pPr>
    </w:p>
    <w:p w14:paraId="3929407B">
      <w:pPr>
        <w:autoSpaceDE w:val="0"/>
        <w:autoSpaceDN w:val="0"/>
        <w:jc w:val="center"/>
        <w:rPr>
          <w:rFonts w:ascii="宋体" w:hAnsi="宋体" w:cs="宋体"/>
          <w:b/>
          <w:color w:val="auto"/>
          <w:spacing w:val="6"/>
          <w:sz w:val="32"/>
          <w:szCs w:val="32"/>
          <w:highlight w:val="none"/>
        </w:rPr>
      </w:pPr>
    </w:p>
    <w:p w14:paraId="5452EC4B">
      <w:pPr>
        <w:autoSpaceDE w:val="0"/>
        <w:autoSpaceDN w:val="0"/>
        <w:jc w:val="center"/>
        <w:rPr>
          <w:rFonts w:ascii="宋体" w:hAnsi="宋体" w:cs="宋体"/>
          <w:b/>
          <w:color w:val="auto"/>
          <w:spacing w:val="6"/>
          <w:sz w:val="32"/>
          <w:szCs w:val="32"/>
          <w:highlight w:val="none"/>
        </w:rPr>
      </w:pPr>
    </w:p>
    <w:p w14:paraId="2AC017BD">
      <w:pPr>
        <w:autoSpaceDE w:val="0"/>
        <w:autoSpaceDN w:val="0"/>
        <w:jc w:val="center"/>
        <w:rPr>
          <w:rFonts w:ascii="宋体" w:hAnsi="宋体" w:cs="宋体"/>
          <w:b/>
          <w:color w:val="auto"/>
          <w:spacing w:val="6"/>
          <w:sz w:val="32"/>
          <w:szCs w:val="32"/>
          <w:highlight w:val="none"/>
        </w:rPr>
      </w:pPr>
    </w:p>
    <w:p w14:paraId="5FDFEF8A">
      <w:pPr>
        <w:autoSpaceDE w:val="0"/>
        <w:autoSpaceDN w:val="0"/>
        <w:jc w:val="center"/>
        <w:rPr>
          <w:rFonts w:ascii="宋体" w:hAnsi="宋体" w:cs="宋体"/>
          <w:b/>
          <w:color w:val="auto"/>
          <w:spacing w:val="6"/>
          <w:sz w:val="32"/>
          <w:szCs w:val="32"/>
          <w:highlight w:val="none"/>
        </w:rPr>
      </w:pPr>
    </w:p>
    <w:p w14:paraId="07056008">
      <w:pPr>
        <w:autoSpaceDE w:val="0"/>
        <w:autoSpaceDN w:val="0"/>
        <w:jc w:val="center"/>
        <w:rPr>
          <w:rFonts w:ascii="宋体" w:hAnsi="宋体" w:cs="宋体"/>
          <w:b/>
          <w:color w:val="auto"/>
          <w:spacing w:val="6"/>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317C1307">
      <w:pPr>
        <w:autoSpaceDE w:val="0"/>
        <w:autoSpaceDN w:val="0"/>
        <w:jc w:val="center"/>
        <w:outlineLvl w:val="0"/>
        <w:rPr>
          <w:rFonts w:ascii="宋体" w:hAnsi="宋体" w:cs="宋体"/>
          <w:b/>
          <w:bCs/>
          <w:color w:val="auto"/>
          <w:sz w:val="32"/>
          <w:szCs w:val="32"/>
          <w:highlight w:val="none"/>
        </w:rPr>
      </w:pPr>
      <w:bookmarkStart w:id="426" w:name="_Toc6199"/>
      <w:r>
        <w:rPr>
          <w:rFonts w:hint="eastAsia" w:ascii="宋体" w:hAnsi="宋体" w:cs="宋体"/>
          <w:b/>
          <w:color w:val="auto"/>
          <w:spacing w:val="6"/>
          <w:sz w:val="32"/>
          <w:szCs w:val="32"/>
          <w:highlight w:val="none"/>
          <w:lang w:eastAsia="zh-CN"/>
        </w:rPr>
        <w:t>附件5</w:t>
      </w:r>
      <w:r>
        <w:rPr>
          <w:rFonts w:hint="eastAsia" w:ascii="宋体" w:hAnsi="宋体" w:cs="宋体"/>
          <w:b/>
          <w:color w:val="auto"/>
          <w:spacing w:val="6"/>
          <w:sz w:val="32"/>
          <w:szCs w:val="32"/>
          <w:highlight w:val="none"/>
        </w:rPr>
        <w:t>：</w:t>
      </w:r>
      <w:r>
        <w:rPr>
          <w:rFonts w:hint="eastAsia" w:ascii="宋体" w:hAnsi="宋体" w:cs="宋体"/>
          <w:b/>
          <w:color w:val="auto"/>
          <w:sz w:val="32"/>
          <w:szCs w:val="32"/>
          <w:highlight w:val="none"/>
        </w:rPr>
        <w:t>中小企业声明函</w:t>
      </w:r>
      <w:bookmarkEnd w:id="426"/>
    </w:p>
    <w:p w14:paraId="20E1CDA9">
      <w:pPr>
        <w:spacing w:line="360" w:lineRule="auto"/>
        <w:jc w:val="center"/>
        <w:rPr>
          <w:rFonts w:ascii="宋体" w:hAnsi="宋体" w:cs="宋体"/>
          <w:color w:val="auto"/>
          <w:sz w:val="24"/>
          <w:highlight w:val="none"/>
          <w:u w:val="single"/>
        </w:rPr>
      </w:pPr>
    </w:p>
    <w:p w14:paraId="0ABF8B65">
      <w:pPr>
        <w:spacing w:line="360" w:lineRule="auto"/>
        <w:jc w:val="center"/>
        <w:outlineLvl w:val="0"/>
        <w:rPr>
          <w:rFonts w:ascii="宋体" w:hAnsi="宋体" w:cs="宋体"/>
          <w:b/>
          <w:color w:val="auto"/>
          <w:sz w:val="32"/>
          <w:szCs w:val="32"/>
          <w:highlight w:val="none"/>
        </w:rPr>
      </w:pPr>
      <w:bookmarkStart w:id="427" w:name="_Toc32437"/>
      <w:r>
        <w:rPr>
          <w:rFonts w:hint="eastAsia" w:ascii="宋体" w:hAnsi="宋体" w:cs="宋体"/>
          <w:b/>
          <w:color w:val="auto"/>
          <w:sz w:val="32"/>
          <w:szCs w:val="32"/>
          <w:highlight w:val="none"/>
        </w:rPr>
        <w:t>中小企业声明函（服务）</w:t>
      </w:r>
      <w:bookmarkEnd w:id="427"/>
    </w:p>
    <w:p w14:paraId="0354246A">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（招标人）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6DA1D4D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（竞争性磋商文件中明确的所属行业）</w:t>
      </w:r>
      <w:r>
        <w:rPr>
          <w:rFonts w:hint="eastAsia" w:ascii="宋体" w:hAnsi="宋体" w:cs="宋体"/>
          <w:color w:val="auto"/>
          <w:sz w:val="24"/>
          <w:highlight w:val="none"/>
        </w:rPr>
        <w:t xml:space="preserve"> ；承接企业为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，从业人员人，营业收入为万元，资产总额为万元属于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01C924B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（竞争性磋商文件中明确的所属行业） </w:t>
      </w:r>
      <w:r>
        <w:rPr>
          <w:rFonts w:hint="eastAsia" w:ascii="宋体" w:hAnsi="宋体" w:cs="宋体"/>
          <w:color w:val="auto"/>
          <w:sz w:val="24"/>
          <w:highlight w:val="none"/>
        </w:rPr>
        <w:t xml:space="preserve">；承接企业为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，从业人员人，营业收入为万元，资产总额为万元属于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748E84A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6460735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2AC1AE9A">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89F7E6D">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磋商响应供应商名称（电子签名）：</w:t>
      </w:r>
    </w:p>
    <w:p w14:paraId="76CF5A61">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173F271E">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14:paraId="0EAF5708">
      <w:pPr>
        <w:shd w:val="clea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404F48B2">
      <w:pPr>
        <w:shd w:val="clear"/>
        <w:spacing w:line="360" w:lineRule="auto"/>
        <w:ind w:right="420" w:firstLine="480" w:firstLineChars="200"/>
        <w:rPr>
          <w:rFonts w:hint="eastAsia" w:ascii="宋体" w:hAnsi="宋体" w:cs="宋体"/>
          <w:b/>
          <w:bCs/>
          <w:color w:val="auto"/>
          <w:sz w:val="24"/>
          <w:highlight w:val="none"/>
          <w:lang w:eastAsia="zh-CN"/>
        </w:rPr>
      </w:pPr>
      <w:r>
        <w:rPr>
          <w:rFonts w:hint="eastAsia" w:ascii="宋体" w:hAnsi="宋体" w:cs="宋体"/>
          <w:color w:val="auto"/>
          <w:sz w:val="24"/>
          <w:highlight w:val="none"/>
        </w:rPr>
        <w:t>1、填写要求：①“标的名称”、“采购文件中明确的所属行业”依据招标文件第二部分</w:t>
      </w:r>
      <w:r>
        <w:rPr>
          <w:rFonts w:hint="eastAsia" w:ascii="宋体" w:hAnsi="宋体" w:cs="宋体"/>
          <w:color w:val="auto"/>
          <w:sz w:val="24"/>
          <w:highlight w:val="none"/>
          <w:lang w:eastAsia="zh-CN"/>
        </w:rPr>
        <w:t>磋商响应供应商</w:t>
      </w:r>
      <w:r>
        <w:rPr>
          <w:rFonts w:hint="eastAsia" w:ascii="宋体" w:hAnsi="宋体" w:cs="宋体"/>
          <w:color w:val="auto"/>
          <w:sz w:val="24"/>
          <w:highlight w:val="none"/>
        </w:rPr>
        <w:t>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宋体" w:hAnsi="宋体" w:cs="宋体"/>
          <w:b/>
          <w:bCs/>
          <w:color w:val="auto"/>
          <w:sz w:val="24"/>
          <w:highlight w:val="none"/>
        </w:rPr>
        <w:t>④</w:t>
      </w:r>
      <w:r>
        <w:rPr>
          <w:rFonts w:hint="eastAsia" w:ascii="宋体" w:hAnsi="宋体" w:cs="宋体"/>
          <w:b/>
          <w:bCs/>
          <w:color w:val="auto"/>
          <w:sz w:val="24"/>
          <w:highlight w:val="none"/>
          <w:lang w:eastAsia="zh-CN"/>
        </w:rPr>
        <w:t>磋商响应供应商</w:t>
      </w:r>
      <w:r>
        <w:rPr>
          <w:rFonts w:hint="eastAsia" w:ascii="宋体" w:hAnsi="宋体" w:cs="宋体"/>
          <w:b/>
          <w:bCs/>
          <w:color w:val="auto"/>
          <w:sz w:val="24"/>
          <w:highlight w:val="none"/>
        </w:rPr>
        <w:t>提供的《中小企业声明函》</w:t>
      </w:r>
      <w:r>
        <w:rPr>
          <w:rFonts w:hint="eastAsia" w:ascii="宋体" w:hAnsi="宋体" w:cs="宋体"/>
          <w:b/>
          <w:bCs/>
          <w:color w:val="auto"/>
          <w:sz w:val="24"/>
          <w:highlight w:val="none"/>
          <w:lang w:val="en-US" w:eastAsia="zh-CN"/>
        </w:rPr>
        <w:t>中企业类型错误的</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《中小企业声明函》</w:t>
      </w:r>
      <w:r>
        <w:rPr>
          <w:rFonts w:hint="eastAsia" w:ascii="宋体" w:hAnsi="宋体" w:cs="宋体"/>
          <w:b/>
          <w:bCs/>
          <w:color w:val="auto"/>
          <w:sz w:val="24"/>
          <w:highlight w:val="none"/>
        </w:rPr>
        <w:t>无效，不享受中小企业扶持政策。</w:t>
      </w:r>
    </w:p>
    <w:p w14:paraId="56D96E4F">
      <w:pPr>
        <w:shd w:val="clea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ascii="宋体" w:hAnsi="宋体" w:cs="宋体"/>
          <w:color w:val="auto"/>
          <w:sz w:val="24"/>
          <w:highlight w:val="none"/>
          <w:lang w:eastAsia="zh-CN"/>
        </w:rPr>
        <w:t>磋商响应供应商</w:t>
      </w:r>
      <w:r>
        <w:rPr>
          <w:rFonts w:hint="eastAsia" w:ascii="宋体" w:hAnsi="宋体" w:cs="宋体"/>
          <w:color w:val="auto"/>
          <w:sz w:val="24"/>
          <w:highlight w:val="none"/>
        </w:rPr>
        <w:t>提供由省级以上监狱管理局、戒毒管理局（含新疆生产建设兵团）出具的属于监狱企业证明文件的，视同为小型和微型企业。</w:t>
      </w:r>
    </w:p>
    <w:p w14:paraId="23EB9DC3">
      <w:pPr>
        <w:shd w:val="clear"/>
        <w:spacing w:line="360" w:lineRule="auto"/>
        <w:ind w:right="420" w:firstLine="482"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3、供应商填写的《中小企业声明函》中如存在数据错误，但企业类型正确的，其《中小企业声明函》有效。如存在疑义可由供应商澄清说明，供应商对填报的数据来源作出合理解释。</w:t>
      </w:r>
    </w:p>
    <w:p w14:paraId="1B0BE522">
      <w:pPr>
        <w:shd w:val="clear"/>
        <w:spacing w:line="360" w:lineRule="auto"/>
        <w:ind w:right="420" w:firstLine="482"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4、《中小企业声明函》中填写行业错误或者未填写行业的，《中小企业声明函》无效。但错填为“采购文件中明确的所属行业”等类似瑕疵的，《中小企业声明函》有效。</w:t>
      </w:r>
    </w:p>
    <w:p w14:paraId="371A61A2">
      <w:pPr>
        <w:spacing w:line="360" w:lineRule="auto"/>
        <w:ind w:right="420" w:firstLine="482" w:firstLineChars="200"/>
        <w:rPr>
          <w:rFonts w:ascii="宋体" w:hAnsi="宋体" w:cs="宋体"/>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如果供应商声明的类型获得了本不应获得的利益（价格扣除或者资格审查通过），则属于虚假材料；反之，没有获得非法利益，则不属于虚假材料。</w:t>
      </w:r>
    </w:p>
    <w:p w14:paraId="16BD0A47">
      <w:pPr>
        <w:spacing w:line="360" w:lineRule="auto"/>
        <w:jc w:val="center"/>
        <w:rPr>
          <w:rFonts w:ascii="宋体" w:hAnsi="宋体" w:cs="宋体"/>
          <w:b/>
          <w:color w:val="auto"/>
          <w:sz w:val="32"/>
          <w:szCs w:val="32"/>
          <w:highlight w:val="none"/>
        </w:rPr>
      </w:pPr>
    </w:p>
    <w:p w14:paraId="424D04F9">
      <w:pPr>
        <w:spacing w:line="360" w:lineRule="auto"/>
        <w:rPr>
          <w:rFonts w:ascii="宋体" w:hAnsi="宋体" w:cs="宋体"/>
          <w:bCs/>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0FDA3F97">
      <w:pPr>
        <w:snapToGrid w:val="0"/>
        <w:spacing w:line="44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各行业划型标准</w:t>
      </w:r>
    </w:p>
    <w:p w14:paraId="5891E388">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（一）农、林、牧、渔业。营业收入20000万元以下的为中小微型企业。其中，营业收入500万元及以上的为中型企业，营业收入50万元及以上的为小型企业，营业收入50万元以下的为微型企业。</w:t>
      </w:r>
    </w:p>
    <w:p w14:paraId="7E90DC09">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33E7FD1">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693ED88">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1CE2C87">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43AFDE8">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A2FE8E6">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5BC5A0D">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4708D38">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5A41289">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781B6DE">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5BB504D">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E2C1B93">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940AA57">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13AEF96">
      <w:pP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3CD3D8">
      <w:pPr>
        <w:snapToGrid w:val="0"/>
        <w:spacing w:line="430" w:lineRule="exact"/>
        <w:ind w:firstLine="480" w:firstLineChars="200"/>
        <w:rPr>
          <w:rFonts w:ascii="宋体" w:hAnsi="宋体" w:cs="宋体"/>
          <w:color w:val="auto"/>
          <w:highlight w:val="none"/>
        </w:rPr>
      </w:pPr>
      <w:r>
        <w:rPr>
          <w:rFonts w:hint="eastAsia" w:ascii="宋体" w:hAnsi="宋体" w:cs="宋体"/>
          <w:color w:val="auto"/>
          <w:sz w:val="24"/>
          <w:highlight w:val="none"/>
        </w:rPr>
        <w:t>（十六）其他未列明行业。从业人员300人以下的为中小微型企业。其中，从业人员100人及以上的为中型企业；从业人员10人及以上的为小型企业；从业人员10人以下的为微型企业。</w:t>
      </w:r>
    </w:p>
    <w:sectPr>
      <w:headerReference r:id="rId22" w:type="first"/>
      <w:footerReference r:id="rId25" w:type="first"/>
      <w:headerReference r:id="rId21" w:type="default"/>
      <w:footerReference r:id="rId23" w:type="default"/>
      <w:footerReference r:id="rId24"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AC09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A16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07391C0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4213E">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469E8">
    <w:pPr>
      <w:pStyle w:val="41"/>
      <w:framePr w:wrap="around" w:vAnchor="text" w:hAnchor="margin" w:xAlign="right" w:y="1"/>
      <w:rPr>
        <w:rStyle w:val="72"/>
      </w:rPr>
    </w:pPr>
    <w:r>
      <w:fldChar w:fldCharType="begin"/>
    </w:r>
    <w:r>
      <w:rPr>
        <w:rStyle w:val="72"/>
      </w:rPr>
      <w:instrText xml:space="preserve">PAGE  </w:instrText>
    </w:r>
    <w:r>
      <w:fldChar w:fldCharType="end"/>
    </w:r>
  </w:p>
  <w:p w14:paraId="0C9327F6">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38D06">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bookmarkStart w:id="428" w:name="_Toc91899912"/>
    <w:bookmarkStart w:id="429" w:name="_Toc164085800"/>
    <w:bookmarkStart w:id="430" w:name="_Toc36110187"/>
    <w:bookmarkStart w:id="431" w:name="_Toc131845147"/>
    <w:r>
      <w:rPr>
        <w:rFonts w:hint="eastAsia" w:ascii="仿宋_GB2312" w:eastAsia="仿宋_GB2312"/>
        <w:kern w:val="0"/>
        <w:szCs w:val="21"/>
      </w:rPr>
      <w:t xml:space="preserve"> 页</w:t>
    </w:r>
    <w:bookmarkEnd w:id="428"/>
    <w:bookmarkEnd w:id="429"/>
    <w:bookmarkEnd w:id="430"/>
    <w:bookmarkEnd w:id="431"/>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5B7D8">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2B575">
    <w:pPr>
      <w:pStyle w:val="41"/>
      <w:framePr w:wrap="around" w:vAnchor="text" w:hAnchor="margin" w:xAlign="right" w:y="1"/>
      <w:rPr>
        <w:rStyle w:val="72"/>
      </w:rPr>
    </w:pPr>
    <w:r>
      <w:fldChar w:fldCharType="begin"/>
    </w:r>
    <w:r>
      <w:rPr>
        <w:rStyle w:val="72"/>
      </w:rPr>
      <w:instrText xml:space="preserve">PAGE  </w:instrText>
    </w:r>
    <w:r>
      <w:fldChar w:fldCharType="end"/>
    </w:r>
  </w:p>
  <w:p w14:paraId="36959995">
    <w:pPr>
      <w:pStyle w:val="41"/>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D4322">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AC0B5">
    <w:pPr>
      <w:pStyle w:val="41"/>
      <w:framePr w:wrap="around" w:vAnchor="text" w:hAnchor="margin" w:xAlign="right" w:y="1"/>
      <w:rPr>
        <w:rStyle w:val="72"/>
      </w:rPr>
    </w:pPr>
    <w:r>
      <w:fldChar w:fldCharType="begin"/>
    </w:r>
    <w:r>
      <w:rPr>
        <w:rStyle w:val="72"/>
      </w:rPr>
      <w:instrText xml:space="preserve">PAGE  </w:instrText>
    </w:r>
    <w:r>
      <w:fldChar w:fldCharType="end"/>
    </w:r>
  </w:p>
  <w:p w14:paraId="249047E7">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C8DC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4DA11">
    <w:pPr>
      <w:spacing w:line="1"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FF4EA">
                          <w:pPr>
                            <w:pStyle w:val="4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ABFF4EA">
                    <w:pPr>
                      <w:pStyle w:val="4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675A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1CB2DA5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02BD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05F9151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845D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14:paraId="3484F85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37C8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109614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02C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1807FB5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D442A">
    <w:pPr>
      <w:pStyle w:val="42"/>
      <w:pBdr>
        <w:bottom w:val="single" w:color="auto" w:sz="6" w:space="0"/>
      </w:pBdr>
      <w:jc w:val="right"/>
      <w:rPr>
        <w:rFonts w:ascii="仿宋_GB2312" w:eastAsia="仿宋_GB2312"/>
        <w:i/>
        <w:u w:val="single"/>
      </w:rPr>
    </w:pPr>
    <w:r>
      <w:rPr>
        <w:rFonts w:hint="eastAsia"/>
        <w:lang w:val="zh-CN"/>
      </w:rPr>
      <w:t>政府采购竞争性磋商文件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B889">
    <w:pPr>
      <w:pStyle w:val="42"/>
      <w:pBdr>
        <w:bottom w:val="single" w:color="auto" w:sz="6" w:space="0"/>
      </w:pBdr>
      <w:tabs>
        <w:tab w:val="center" w:pos="4535"/>
        <w:tab w:val="right" w:pos="9070"/>
        <w:tab w:val="clear" w:pos="4153"/>
        <w:tab w:val="clear" w:pos="8306"/>
      </w:tabs>
      <w:jc w:val="right"/>
    </w:pPr>
    <w:r>
      <w:rPr>
        <w:rFonts w:hint="eastAsia"/>
        <w:lang w:val="zh-CN"/>
      </w:rPr>
      <w:t>政府采购竞争性磋商文件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9F86D">
    <w:pPr>
      <w:pStyle w:val="42"/>
      <w:pBdr>
        <w:bottom w:val="single" w:color="auto" w:sz="6" w:space="0"/>
      </w:pBdr>
      <w:tabs>
        <w:tab w:val="center" w:pos="4535"/>
        <w:tab w:val="right" w:pos="9070"/>
        <w:tab w:val="clear" w:pos="4153"/>
        <w:tab w:val="clear" w:pos="8306"/>
      </w:tabs>
      <w:jc w:val="right"/>
    </w:pPr>
    <w:r>
      <w:rPr>
        <w:rFonts w:hint="eastAsia"/>
        <w:lang w:val="zh-CN"/>
      </w:rPr>
      <w:t>政府采购竞争性磋商文件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3721">
    <w:pPr>
      <w:pStyle w:val="42"/>
      <w:pBdr>
        <w:bottom w:val="single" w:color="auto" w:sz="6" w:space="0"/>
      </w:pBdr>
      <w:tabs>
        <w:tab w:val="center" w:pos="4535"/>
        <w:tab w:val="right" w:pos="9070"/>
        <w:tab w:val="clear" w:pos="4153"/>
        <w:tab w:val="clear" w:pos="8306"/>
      </w:tabs>
      <w:jc w:val="right"/>
      <w:rPr>
        <w:rFonts w:ascii="仿宋_GB2312" w:eastAsia="仿宋_GB2312"/>
        <w:b/>
        <w:i/>
        <w:u w:val="single"/>
      </w:rPr>
    </w:pPr>
    <w:r>
      <w:rPr>
        <w:rFonts w:hint="eastAsia"/>
        <w:lang w:val="zh-CN"/>
      </w:rPr>
      <w:t>政府采购竞争性磋商文件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C09C8">
    <w:pPr>
      <w:pStyle w:val="42"/>
      <w:pBdr>
        <w:bottom w:val="single" w:color="auto" w:sz="6" w:space="0"/>
      </w:pBdr>
      <w:tabs>
        <w:tab w:val="center" w:pos="4535"/>
        <w:tab w:val="right" w:pos="9070"/>
        <w:tab w:val="clear" w:pos="4153"/>
        <w:tab w:val="clear" w:pos="8306"/>
      </w:tabs>
      <w:jc w:val="right"/>
      <w:rPr>
        <w:rFonts w:ascii="仿宋_GB2312"/>
        <w:b/>
        <w:i/>
        <w:iCs/>
        <w:u w:val="single"/>
      </w:rPr>
    </w:pPr>
    <w:r>
      <w:rPr>
        <w:rFonts w:hint="eastAsia"/>
        <w:lang w:val="zh-CN"/>
      </w:rPr>
      <w:t>政府采购竞争性磋商文件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C460">
    <w:pPr>
      <w:pStyle w:val="42"/>
      <w:jc w:val="right"/>
      <w:rPr>
        <w:rFonts w:ascii="仿宋_GB2312"/>
        <w:b/>
        <w:i/>
        <w:iCs/>
        <w:u w:val="single"/>
      </w:rPr>
    </w:pPr>
    <w:r>
      <w:t>杭州市政府采购公开</w:t>
    </w:r>
    <w:r>
      <w:rPr>
        <w:rFonts w:hint="eastAsia"/>
      </w:rPr>
      <w:t>竞争性磋商文件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7B2D9">
    <w:pPr>
      <w:pStyle w:val="42"/>
    </w:pPr>
    <w:r>
      <w:t>杭州市政府采购公开</w:t>
    </w:r>
    <w:r>
      <w:rPr>
        <w:rFonts w:hint="eastAsia"/>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AB4E3D"/>
    <w:multiLevelType w:val="singleLevel"/>
    <w:tmpl w:val="A0AB4E3D"/>
    <w:lvl w:ilvl="0" w:tentative="0">
      <w:start w:val="1"/>
      <w:numFmt w:val="decimal"/>
      <w:suff w:val="space"/>
      <w:lvlText w:val="%1."/>
      <w:lvlJc w:val="left"/>
    </w:lvl>
  </w:abstractNum>
  <w:abstractNum w:abstractNumId="1">
    <w:nsid w:val="D3E743E7"/>
    <w:multiLevelType w:val="singleLevel"/>
    <w:tmpl w:val="D3E743E7"/>
    <w:lvl w:ilvl="0" w:tentative="0">
      <w:start w:val="5"/>
      <w:numFmt w:val="chineseCounting"/>
      <w:suff w:val="nothing"/>
      <w:lvlText w:val="%1、"/>
      <w:lvlJc w:val="left"/>
      <w:rPr>
        <w:rFonts w:hint="eastAsia"/>
      </w:rPr>
    </w:lvl>
  </w:abstractNum>
  <w:abstractNum w:abstractNumId="2">
    <w:nsid w:val="F965EAA6"/>
    <w:multiLevelType w:val="singleLevel"/>
    <w:tmpl w:val="F965EAA6"/>
    <w:lvl w:ilvl="0" w:tentative="0">
      <w:start w:val="2"/>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xYTdkZDk0NTY3YjRjZTUwY2Q1YTAxODM5MTczZW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471"/>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4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689A"/>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0CFA"/>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59D"/>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52C"/>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A25"/>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8DC"/>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32B"/>
    <w:rsid w:val="003025FE"/>
    <w:rsid w:val="00302A27"/>
    <w:rsid w:val="00303AB6"/>
    <w:rsid w:val="00304640"/>
    <w:rsid w:val="00304AC1"/>
    <w:rsid w:val="00305090"/>
    <w:rsid w:val="00305454"/>
    <w:rsid w:val="00305B9F"/>
    <w:rsid w:val="00305E21"/>
    <w:rsid w:val="003066C6"/>
    <w:rsid w:val="003066FA"/>
    <w:rsid w:val="00306AD6"/>
    <w:rsid w:val="003077F4"/>
    <w:rsid w:val="00307ABB"/>
    <w:rsid w:val="00307DC7"/>
    <w:rsid w:val="00307FF2"/>
    <w:rsid w:val="00310EDB"/>
    <w:rsid w:val="00311C51"/>
    <w:rsid w:val="00311D56"/>
    <w:rsid w:val="00312016"/>
    <w:rsid w:val="00312340"/>
    <w:rsid w:val="00312C23"/>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988"/>
    <w:rsid w:val="00332D52"/>
    <w:rsid w:val="00333337"/>
    <w:rsid w:val="00333A28"/>
    <w:rsid w:val="00333B6C"/>
    <w:rsid w:val="00334927"/>
    <w:rsid w:val="003360AD"/>
    <w:rsid w:val="003361F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088"/>
    <w:rsid w:val="003C011C"/>
    <w:rsid w:val="003C0E32"/>
    <w:rsid w:val="003C11D7"/>
    <w:rsid w:val="003C16CB"/>
    <w:rsid w:val="003C1B97"/>
    <w:rsid w:val="003C247B"/>
    <w:rsid w:val="003C308C"/>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6CEE"/>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AA4"/>
    <w:rsid w:val="00483BC7"/>
    <w:rsid w:val="00483CF0"/>
    <w:rsid w:val="00484D4D"/>
    <w:rsid w:val="00486516"/>
    <w:rsid w:val="0048664F"/>
    <w:rsid w:val="004868AD"/>
    <w:rsid w:val="00486D00"/>
    <w:rsid w:val="00487FE1"/>
    <w:rsid w:val="00490707"/>
    <w:rsid w:val="00490815"/>
    <w:rsid w:val="0049117E"/>
    <w:rsid w:val="0049217D"/>
    <w:rsid w:val="00492503"/>
    <w:rsid w:val="004925C8"/>
    <w:rsid w:val="00492AF9"/>
    <w:rsid w:val="00492B76"/>
    <w:rsid w:val="0049333E"/>
    <w:rsid w:val="0049418F"/>
    <w:rsid w:val="00494BA2"/>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45F"/>
    <w:rsid w:val="004B6E50"/>
    <w:rsid w:val="004B728F"/>
    <w:rsid w:val="004B7317"/>
    <w:rsid w:val="004B75B2"/>
    <w:rsid w:val="004B75C6"/>
    <w:rsid w:val="004B7A1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5EF"/>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17FE0"/>
    <w:rsid w:val="005207D8"/>
    <w:rsid w:val="0052091D"/>
    <w:rsid w:val="005212F4"/>
    <w:rsid w:val="00521908"/>
    <w:rsid w:val="005224BC"/>
    <w:rsid w:val="00522928"/>
    <w:rsid w:val="00522FF1"/>
    <w:rsid w:val="00523946"/>
    <w:rsid w:val="0052397A"/>
    <w:rsid w:val="005256D6"/>
    <w:rsid w:val="00525AD8"/>
    <w:rsid w:val="00525D6B"/>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250"/>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C07"/>
    <w:rsid w:val="006212D3"/>
    <w:rsid w:val="00621639"/>
    <w:rsid w:val="00622B22"/>
    <w:rsid w:val="00622F67"/>
    <w:rsid w:val="00623571"/>
    <w:rsid w:val="00623A5E"/>
    <w:rsid w:val="00625008"/>
    <w:rsid w:val="0062548B"/>
    <w:rsid w:val="006261E6"/>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3BA"/>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8BB"/>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1E4"/>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9A3"/>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761"/>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67CD0"/>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982"/>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317"/>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503"/>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0800"/>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4D71"/>
    <w:rsid w:val="008052CE"/>
    <w:rsid w:val="0080548A"/>
    <w:rsid w:val="008058D0"/>
    <w:rsid w:val="00806A4C"/>
    <w:rsid w:val="0080705B"/>
    <w:rsid w:val="0080723C"/>
    <w:rsid w:val="00807F71"/>
    <w:rsid w:val="0081000F"/>
    <w:rsid w:val="0081137A"/>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C35"/>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4FA"/>
    <w:rsid w:val="009245CC"/>
    <w:rsid w:val="0092490A"/>
    <w:rsid w:val="00925A3E"/>
    <w:rsid w:val="009261DB"/>
    <w:rsid w:val="009267C2"/>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357"/>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8B8"/>
    <w:rsid w:val="009C19FC"/>
    <w:rsid w:val="009C1DDB"/>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4DD"/>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EB9"/>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0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0E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311"/>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4EE"/>
    <w:rsid w:val="00B04678"/>
    <w:rsid w:val="00B047C9"/>
    <w:rsid w:val="00B049D0"/>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B83"/>
    <w:rsid w:val="00BC2DBD"/>
    <w:rsid w:val="00BC3BCB"/>
    <w:rsid w:val="00BC3CF1"/>
    <w:rsid w:val="00BC428A"/>
    <w:rsid w:val="00BC45D9"/>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3919"/>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595"/>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448"/>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239"/>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8E"/>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ABD"/>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34B"/>
    <w:rsid w:val="00CB0662"/>
    <w:rsid w:val="00CB0A82"/>
    <w:rsid w:val="00CB0F2F"/>
    <w:rsid w:val="00CB0F76"/>
    <w:rsid w:val="00CB1556"/>
    <w:rsid w:val="00CB28A4"/>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EFD"/>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38E"/>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3C99"/>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931"/>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C31"/>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4FC"/>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3E71"/>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6EC6"/>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1EE"/>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3E4"/>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2E67"/>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230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C65DA5"/>
    <w:rsid w:val="01D066D5"/>
    <w:rsid w:val="01D55165"/>
    <w:rsid w:val="01DF6BF8"/>
    <w:rsid w:val="01EC2C57"/>
    <w:rsid w:val="025F0711"/>
    <w:rsid w:val="026B2E25"/>
    <w:rsid w:val="02824D4D"/>
    <w:rsid w:val="02DC4B10"/>
    <w:rsid w:val="02DD76CE"/>
    <w:rsid w:val="02F36323"/>
    <w:rsid w:val="02F5619C"/>
    <w:rsid w:val="031F5047"/>
    <w:rsid w:val="0326446A"/>
    <w:rsid w:val="032D5555"/>
    <w:rsid w:val="036208AE"/>
    <w:rsid w:val="036634D2"/>
    <w:rsid w:val="03DD35E4"/>
    <w:rsid w:val="03F040A4"/>
    <w:rsid w:val="04076900"/>
    <w:rsid w:val="041A5A3B"/>
    <w:rsid w:val="042311BA"/>
    <w:rsid w:val="042B157A"/>
    <w:rsid w:val="04673CA2"/>
    <w:rsid w:val="048F763B"/>
    <w:rsid w:val="049F330E"/>
    <w:rsid w:val="04AA775C"/>
    <w:rsid w:val="04AF1889"/>
    <w:rsid w:val="04C64E6C"/>
    <w:rsid w:val="04F66F48"/>
    <w:rsid w:val="05251E14"/>
    <w:rsid w:val="05A16594"/>
    <w:rsid w:val="05A7762D"/>
    <w:rsid w:val="060E5941"/>
    <w:rsid w:val="06110FAF"/>
    <w:rsid w:val="061E21DC"/>
    <w:rsid w:val="06253BA2"/>
    <w:rsid w:val="06493CA7"/>
    <w:rsid w:val="065A6178"/>
    <w:rsid w:val="066F1CF3"/>
    <w:rsid w:val="06930BB8"/>
    <w:rsid w:val="07245D42"/>
    <w:rsid w:val="07264C62"/>
    <w:rsid w:val="0779354C"/>
    <w:rsid w:val="077F5547"/>
    <w:rsid w:val="07A46B95"/>
    <w:rsid w:val="08061376"/>
    <w:rsid w:val="08452D77"/>
    <w:rsid w:val="086401F8"/>
    <w:rsid w:val="08661343"/>
    <w:rsid w:val="08751CAA"/>
    <w:rsid w:val="087E4C40"/>
    <w:rsid w:val="08923AEE"/>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FD1922"/>
    <w:rsid w:val="0A037FC9"/>
    <w:rsid w:val="0A1C0718"/>
    <w:rsid w:val="0A3E7710"/>
    <w:rsid w:val="0A5B7E63"/>
    <w:rsid w:val="0A703465"/>
    <w:rsid w:val="0AA374A5"/>
    <w:rsid w:val="0AAB7649"/>
    <w:rsid w:val="0AB738E4"/>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3323DB"/>
    <w:rsid w:val="0D4A7419"/>
    <w:rsid w:val="0D827401"/>
    <w:rsid w:val="0D84094E"/>
    <w:rsid w:val="0D8A00E9"/>
    <w:rsid w:val="0D8D589E"/>
    <w:rsid w:val="0DA01C73"/>
    <w:rsid w:val="0DB717F6"/>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333D3"/>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2B4878"/>
    <w:rsid w:val="154A6454"/>
    <w:rsid w:val="15762120"/>
    <w:rsid w:val="15BD1974"/>
    <w:rsid w:val="16A8729C"/>
    <w:rsid w:val="16B33777"/>
    <w:rsid w:val="16BC70A7"/>
    <w:rsid w:val="16C6339E"/>
    <w:rsid w:val="172F2D79"/>
    <w:rsid w:val="17557BEF"/>
    <w:rsid w:val="17D349C1"/>
    <w:rsid w:val="18015DF3"/>
    <w:rsid w:val="181D6CED"/>
    <w:rsid w:val="1830729E"/>
    <w:rsid w:val="1870062C"/>
    <w:rsid w:val="18817102"/>
    <w:rsid w:val="18830A15"/>
    <w:rsid w:val="18852B28"/>
    <w:rsid w:val="188B5321"/>
    <w:rsid w:val="190653E0"/>
    <w:rsid w:val="19932372"/>
    <w:rsid w:val="19A20DD5"/>
    <w:rsid w:val="19AE03F1"/>
    <w:rsid w:val="19AE572E"/>
    <w:rsid w:val="1A071A03"/>
    <w:rsid w:val="1A1F16AE"/>
    <w:rsid w:val="1A3B5C77"/>
    <w:rsid w:val="1A984BAD"/>
    <w:rsid w:val="1AB8220E"/>
    <w:rsid w:val="1AE4166C"/>
    <w:rsid w:val="1AF06CFB"/>
    <w:rsid w:val="1AF11B8D"/>
    <w:rsid w:val="1AF148BC"/>
    <w:rsid w:val="1B11359C"/>
    <w:rsid w:val="1B2A271F"/>
    <w:rsid w:val="1B530544"/>
    <w:rsid w:val="1B713184"/>
    <w:rsid w:val="1BA209CF"/>
    <w:rsid w:val="1BB4777D"/>
    <w:rsid w:val="1BD75AB8"/>
    <w:rsid w:val="1C0459C2"/>
    <w:rsid w:val="1C1B3B4A"/>
    <w:rsid w:val="1C7725CD"/>
    <w:rsid w:val="1C88086E"/>
    <w:rsid w:val="1D266CE1"/>
    <w:rsid w:val="1D3963AF"/>
    <w:rsid w:val="1D3D0FE5"/>
    <w:rsid w:val="1D6A673C"/>
    <w:rsid w:val="1D9247AE"/>
    <w:rsid w:val="1DB567EC"/>
    <w:rsid w:val="1DDF4451"/>
    <w:rsid w:val="1DF51A98"/>
    <w:rsid w:val="1E3D060F"/>
    <w:rsid w:val="1E3F7D2E"/>
    <w:rsid w:val="1E4134E4"/>
    <w:rsid w:val="1E5062B3"/>
    <w:rsid w:val="1E523514"/>
    <w:rsid w:val="1E714A66"/>
    <w:rsid w:val="1E802593"/>
    <w:rsid w:val="1E8B6156"/>
    <w:rsid w:val="1EA703CC"/>
    <w:rsid w:val="1EB7330C"/>
    <w:rsid w:val="1F0A0FF3"/>
    <w:rsid w:val="1F5771FF"/>
    <w:rsid w:val="1F904124"/>
    <w:rsid w:val="1FCD4EA9"/>
    <w:rsid w:val="1FE868A9"/>
    <w:rsid w:val="20034907"/>
    <w:rsid w:val="20173E4B"/>
    <w:rsid w:val="204E48BC"/>
    <w:rsid w:val="206C2CE8"/>
    <w:rsid w:val="208921B3"/>
    <w:rsid w:val="20973DEB"/>
    <w:rsid w:val="20A20C2A"/>
    <w:rsid w:val="20B26522"/>
    <w:rsid w:val="20B44310"/>
    <w:rsid w:val="211116EB"/>
    <w:rsid w:val="216133FC"/>
    <w:rsid w:val="21D56769"/>
    <w:rsid w:val="21E52EF3"/>
    <w:rsid w:val="21FB5D7B"/>
    <w:rsid w:val="22015E94"/>
    <w:rsid w:val="220B1C3D"/>
    <w:rsid w:val="220F17A9"/>
    <w:rsid w:val="221D1D20"/>
    <w:rsid w:val="22334A87"/>
    <w:rsid w:val="22BE6801"/>
    <w:rsid w:val="22C81146"/>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EB6089"/>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873341"/>
    <w:rsid w:val="2BA50BF7"/>
    <w:rsid w:val="2BBF00EC"/>
    <w:rsid w:val="2BC37CFD"/>
    <w:rsid w:val="2BD5237F"/>
    <w:rsid w:val="2BE536CE"/>
    <w:rsid w:val="2BE758D9"/>
    <w:rsid w:val="2C09049E"/>
    <w:rsid w:val="2C091017"/>
    <w:rsid w:val="2C0A653C"/>
    <w:rsid w:val="2C191F85"/>
    <w:rsid w:val="2C41044A"/>
    <w:rsid w:val="2C5956EF"/>
    <w:rsid w:val="2CE82D6F"/>
    <w:rsid w:val="2D343236"/>
    <w:rsid w:val="2DD15014"/>
    <w:rsid w:val="2DF61A6F"/>
    <w:rsid w:val="2DF72DE4"/>
    <w:rsid w:val="2E0220AF"/>
    <w:rsid w:val="2E4B082A"/>
    <w:rsid w:val="2E5D4E86"/>
    <w:rsid w:val="2E5D790B"/>
    <w:rsid w:val="2E9A3C18"/>
    <w:rsid w:val="2EBB0FEE"/>
    <w:rsid w:val="2EC63002"/>
    <w:rsid w:val="2F0A6B38"/>
    <w:rsid w:val="2F946CCB"/>
    <w:rsid w:val="2FB9384C"/>
    <w:rsid w:val="2FD25781"/>
    <w:rsid w:val="2FDC745C"/>
    <w:rsid w:val="2FFD7934"/>
    <w:rsid w:val="305D217F"/>
    <w:rsid w:val="30733ACD"/>
    <w:rsid w:val="308C3862"/>
    <w:rsid w:val="309379D8"/>
    <w:rsid w:val="30A270F7"/>
    <w:rsid w:val="30DF1478"/>
    <w:rsid w:val="30EC586F"/>
    <w:rsid w:val="312F2B4F"/>
    <w:rsid w:val="319C6071"/>
    <w:rsid w:val="31A11ECE"/>
    <w:rsid w:val="31AC537E"/>
    <w:rsid w:val="31E3679B"/>
    <w:rsid w:val="31E6535F"/>
    <w:rsid w:val="31E732FD"/>
    <w:rsid w:val="32517576"/>
    <w:rsid w:val="32BE5C2C"/>
    <w:rsid w:val="32D63C1D"/>
    <w:rsid w:val="32FB6478"/>
    <w:rsid w:val="332410BB"/>
    <w:rsid w:val="33263B3F"/>
    <w:rsid w:val="336963EB"/>
    <w:rsid w:val="33816EEB"/>
    <w:rsid w:val="33E05ED9"/>
    <w:rsid w:val="33EB55CD"/>
    <w:rsid w:val="33EC4C02"/>
    <w:rsid w:val="340D2360"/>
    <w:rsid w:val="3410665D"/>
    <w:rsid w:val="34211214"/>
    <w:rsid w:val="342E63AB"/>
    <w:rsid w:val="34950E68"/>
    <w:rsid w:val="34986E94"/>
    <w:rsid w:val="34AF62C9"/>
    <w:rsid w:val="34CB4388"/>
    <w:rsid w:val="34FA6E12"/>
    <w:rsid w:val="354D7158"/>
    <w:rsid w:val="358D5588"/>
    <w:rsid w:val="36162CAE"/>
    <w:rsid w:val="363A3B40"/>
    <w:rsid w:val="365302AE"/>
    <w:rsid w:val="36607A0A"/>
    <w:rsid w:val="366E227C"/>
    <w:rsid w:val="366F2E0D"/>
    <w:rsid w:val="367B6A5C"/>
    <w:rsid w:val="36A74ADA"/>
    <w:rsid w:val="36AD60D5"/>
    <w:rsid w:val="36B224F9"/>
    <w:rsid w:val="36EC0CC9"/>
    <w:rsid w:val="373F410B"/>
    <w:rsid w:val="37EE7094"/>
    <w:rsid w:val="37F92887"/>
    <w:rsid w:val="38296C89"/>
    <w:rsid w:val="383002EB"/>
    <w:rsid w:val="38586797"/>
    <w:rsid w:val="38BC0149"/>
    <w:rsid w:val="38D87D1C"/>
    <w:rsid w:val="39636459"/>
    <w:rsid w:val="396B7F6C"/>
    <w:rsid w:val="39B417A9"/>
    <w:rsid w:val="39FC5695"/>
    <w:rsid w:val="3A006D8E"/>
    <w:rsid w:val="3A204F94"/>
    <w:rsid w:val="3A3651E5"/>
    <w:rsid w:val="3A4F49E1"/>
    <w:rsid w:val="3A744481"/>
    <w:rsid w:val="3A8C7328"/>
    <w:rsid w:val="3A8C7BEF"/>
    <w:rsid w:val="3A906246"/>
    <w:rsid w:val="3B2349B7"/>
    <w:rsid w:val="3B616CFF"/>
    <w:rsid w:val="3B6259F6"/>
    <w:rsid w:val="3B9222EC"/>
    <w:rsid w:val="3B976654"/>
    <w:rsid w:val="3BBB10C3"/>
    <w:rsid w:val="3BC01EFC"/>
    <w:rsid w:val="3BCA786A"/>
    <w:rsid w:val="3BD31E2F"/>
    <w:rsid w:val="3BF15831"/>
    <w:rsid w:val="3C105946"/>
    <w:rsid w:val="3C471448"/>
    <w:rsid w:val="3C5F759A"/>
    <w:rsid w:val="3C6C525A"/>
    <w:rsid w:val="3CCE23CB"/>
    <w:rsid w:val="3CD17D17"/>
    <w:rsid w:val="3D3C7F39"/>
    <w:rsid w:val="3D440F09"/>
    <w:rsid w:val="3D4504A0"/>
    <w:rsid w:val="3D602C0F"/>
    <w:rsid w:val="3D8734BB"/>
    <w:rsid w:val="3D9A11D4"/>
    <w:rsid w:val="3DA16D89"/>
    <w:rsid w:val="3DA364BE"/>
    <w:rsid w:val="3DE041CB"/>
    <w:rsid w:val="3E0D48F6"/>
    <w:rsid w:val="3E1868B4"/>
    <w:rsid w:val="3E377251"/>
    <w:rsid w:val="3E42664B"/>
    <w:rsid w:val="3E491747"/>
    <w:rsid w:val="3E5A7334"/>
    <w:rsid w:val="3E7B5D6B"/>
    <w:rsid w:val="3E843E66"/>
    <w:rsid w:val="3E8F51FE"/>
    <w:rsid w:val="3E926F87"/>
    <w:rsid w:val="3E9A59DE"/>
    <w:rsid w:val="3EAF4836"/>
    <w:rsid w:val="3EC33DFA"/>
    <w:rsid w:val="3F060E16"/>
    <w:rsid w:val="3F1D1096"/>
    <w:rsid w:val="3F2F0234"/>
    <w:rsid w:val="3F6363FE"/>
    <w:rsid w:val="3F756B8F"/>
    <w:rsid w:val="3F95482B"/>
    <w:rsid w:val="400342D4"/>
    <w:rsid w:val="4019356B"/>
    <w:rsid w:val="40592157"/>
    <w:rsid w:val="406E1CAE"/>
    <w:rsid w:val="40A0133A"/>
    <w:rsid w:val="40C31A53"/>
    <w:rsid w:val="40FF545D"/>
    <w:rsid w:val="410067C8"/>
    <w:rsid w:val="415C3964"/>
    <w:rsid w:val="416176D3"/>
    <w:rsid w:val="418F0D2A"/>
    <w:rsid w:val="41D01505"/>
    <w:rsid w:val="41D80EE2"/>
    <w:rsid w:val="42474939"/>
    <w:rsid w:val="424C3C57"/>
    <w:rsid w:val="42613FF3"/>
    <w:rsid w:val="42660D96"/>
    <w:rsid w:val="428667D2"/>
    <w:rsid w:val="429A6DBA"/>
    <w:rsid w:val="42CD1CE0"/>
    <w:rsid w:val="42E1381E"/>
    <w:rsid w:val="42ED6459"/>
    <w:rsid w:val="42FE58DD"/>
    <w:rsid w:val="431542ED"/>
    <w:rsid w:val="43174B3D"/>
    <w:rsid w:val="434B790E"/>
    <w:rsid w:val="4360274F"/>
    <w:rsid w:val="43977AB6"/>
    <w:rsid w:val="43A3342B"/>
    <w:rsid w:val="43C77C27"/>
    <w:rsid w:val="43DE09EE"/>
    <w:rsid w:val="44002FAD"/>
    <w:rsid w:val="441C37AA"/>
    <w:rsid w:val="449101DD"/>
    <w:rsid w:val="44DE1391"/>
    <w:rsid w:val="451B225C"/>
    <w:rsid w:val="45214BB6"/>
    <w:rsid w:val="452410C9"/>
    <w:rsid w:val="45317DFB"/>
    <w:rsid w:val="456D3CE4"/>
    <w:rsid w:val="4579042C"/>
    <w:rsid w:val="457F0571"/>
    <w:rsid w:val="45851176"/>
    <w:rsid w:val="45C55BC2"/>
    <w:rsid w:val="45C63B94"/>
    <w:rsid w:val="460E7DA5"/>
    <w:rsid w:val="46422483"/>
    <w:rsid w:val="4659254A"/>
    <w:rsid w:val="465B0637"/>
    <w:rsid w:val="465E3F0D"/>
    <w:rsid w:val="466A16E6"/>
    <w:rsid w:val="46893F2B"/>
    <w:rsid w:val="46C444E6"/>
    <w:rsid w:val="46C4686E"/>
    <w:rsid w:val="46CC73B9"/>
    <w:rsid w:val="46E45F16"/>
    <w:rsid w:val="472B0583"/>
    <w:rsid w:val="477B778F"/>
    <w:rsid w:val="478203EC"/>
    <w:rsid w:val="47B025FA"/>
    <w:rsid w:val="4809698F"/>
    <w:rsid w:val="4811697D"/>
    <w:rsid w:val="487A3E25"/>
    <w:rsid w:val="488B5503"/>
    <w:rsid w:val="48937E21"/>
    <w:rsid w:val="489A0361"/>
    <w:rsid w:val="48A8102D"/>
    <w:rsid w:val="48B94FF3"/>
    <w:rsid w:val="48E37AAB"/>
    <w:rsid w:val="48FD4B4C"/>
    <w:rsid w:val="490A68E0"/>
    <w:rsid w:val="491055FE"/>
    <w:rsid w:val="495F5B3E"/>
    <w:rsid w:val="496F77D7"/>
    <w:rsid w:val="497654FD"/>
    <w:rsid w:val="499641C1"/>
    <w:rsid w:val="49B64211"/>
    <w:rsid w:val="49D41AAC"/>
    <w:rsid w:val="49F001CD"/>
    <w:rsid w:val="49F6167F"/>
    <w:rsid w:val="4A064FA0"/>
    <w:rsid w:val="4A16615C"/>
    <w:rsid w:val="4A4424D7"/>
    <w:rsid w:val="4AB82D0F"/>
    <w:rsid w:val="4AEB7664"/>
    <w:rsid w:val="4AFD7C19"/>
    <w:rsid w:val="4B0567D1"/>
    <w:rsid w:val="4B236AAE"/>
    <w:rsid w:val="4B2F799D"/>
    <w:rsid w:val="4B707271"/>
    <w:rsid w:val="4B9739F7"/>
    <w:rsid w:val="4BBA0128"/>
    <w:rsid w:val="4BC0573E"/>
    <w:rsid w:val="4BEE2503"/>
    <w:rsid w:val="4BF727EA"/>
    <w:rsid w:val="4C245A30"/>
    <w:rsid w:val="4CB6685F"/>
    <w:rsid w:val="4CC367FE"/>
    <w:rsid w:val="4CDD3589"/>
    <w:rsid w:val="4D077F3C"/>
    <w:rsid w:val="4D123355"/>
    <w:rsid w:val="4D2A3B31"/>
    <w:rsid w:val="4D312C52"/>
    <w:rsid w:val="4D905305"/>
    <w:rsid w:val="4D964A72"/>
    <w:rsid w:val="4D9C1254"/>
    <w:rsid w:val="4D9E5B15"/>
    <w:rsid w:val="4E3E4F7D"/>
    <w:rsid w:val="4E793892"/>
    <w:rsid w:val="4E800872"/>
    <w:rsid w:val="4EC569ED"/>
    <w:rsid w:val="4ED50EA1"/>
    <w:rsid w:val="4EEC050C"/>
    <w:rsid w:val="4EFF360E"/>
    <w:rsid w:val="4F104EC3"/>
    <w:rsid w:val="4F47354A"/>
    <w:rsid w:val="4F6F068B"/>
    <w:rsid w:val="4F911C54"/>
    <w:rsid w:val="4FE625E0"/>
    <w:rsid w:val="5021480F"/>
    <w:rsid w:val="505C301C"/>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1254B"/>
    <w:rsid w:val="51B7396D"/>
    <w:rsid w:val="522E4CC3"/>
    <w:rsid w:val="5244713B"/>
    <w:rsid w:val="52615633"/>
    <w:rsid w:val="526F4DE4"/>
    <w:rsid w:val="52977FD4"/>
    <w:rsid w:val="52A25790"/>
    <w:rsid w:val="52A96B6F"/>
    <w:rsid w:val="52B45975"/>
    <w:rsid w:val="52D94AA4"/>
    <w:rsid w:val="52EA3A62"/>
    <w:rsid w:val="52F50BB8"/>
    <w:rsid w:val="53097272"/>
    <w:rsid w:val="534C1537"/>
    <w:rsid w:val="53544462"/>
    <w:rsid w:val="5397158E"/>
    <w:rsid w:val="53E325D5"/>
    <w:rsid w:val="54013861"/>
    <w:rsid w:val="54487265"/>
    <w:rsid w:val="544D6070"/>
    <w:rsid w:val="54605E1E"/>
    <w:rsid w:val="54B3506A"/>
    <w:rsid w:val="54CA0D16"/>
    <w:rsid w:val="54DD4057"/>
    <w:rsid w:val="54E7490F"/>
    <w:rsid w:val="550764A4"/>
    <w:rsid w:val="550B2BF6"/>
    <w:rsid w:val="55214EB5"/>
    <w:rsid w:val="55364EFD"/>
    <w:rsid w:val="555D4828"/>
    <w:rsid w:val="55777488"/>
    <w:rsid w:val="557A4C8B"/>
    <w:rsid w:val="5588094F"/>
    <w:rsid w:val="558931E1"/>
    <w:rsid w:val="55923347"/>
    <w:rsid w:val="55925180"/>
    <w:rsid w:val="55983B1B"/>
    <w:rsid w:val="55A1785E"/>
    <w:rsid w:val="55A8376B"/>
    <w:rsid w:val="55DC29B6"/>
    <w:rsid w:val="55DD4241"/>
    <w:rsid w:val="566B6D1E"/>
    <w:rsid w:val="57032A2C"/>
    <w:rsid w:val="570F5219"/>
    <w:rsid w:val="572E78E5"/>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187CDE"/>
    <w:rsid w:val="591E264C"/>
    <w:rsid w:val="595E1678"/>
    <w:rsid w:val="596D5BD4"/>
    <w:rsid w:val="597E3DD8"/>
    <w:rsid w:val="599D2EF1"/>
    <w:rsid w:val="59F80043"/>
    <w:rsid w:val="5A09252F"/>
    <w:rsid w:val="5A0B2778"/>
    <w:rsid w:val="5A2A7C7B"/>
    <w:rsid w:val="5A3E2560"/>
    <w:rsid w:val="5A5D3B6E"/>
    <w:rsid w:val="5A637A76"/>
    <w:rsid w:val="5A6D33BA"/>
    <w:rsid w:val="5A792B1F"/>
    <w:rsid w:val="5A874767"/>
    <w:rsid w:val="5A8E2EAB"/>
    <w:rsid w:val="5AA85BE2"/>
    <w:rsid w:val="5AAD6F28"/>
    <w:rsid w:val="5ABE2749"/>
    <w:rsid w:val="5AD63A24"/>
    <w:rsid w:val="5AE51A4D"/>
    <w:rsid w:val="5B1F790D"/>
    <w:rsid w:val="5B2E1A1D"/>
    <w:rsid w:val="5B414B86"/>
    <w:rsid w:val="5B55095A"/>
    <w:rsid w:val="5B843A1C"/>
    <w:rsid w:val="5B873E3F"/>
    <w:rsid w:val="5C02690E"/>
    <w:rsid w:val="5C196DA7"/>
    <w:rsid w:val="5C2A048C"/>
    <w:rsid w:val="5C4D2220"/>
    <w:rsid w:val="5C80234E"/>
    <w:rsid w:val="5C8A680C"/>
    <w:rsid w:val="5CBE2338"/>
    <w:rsid w:val="5CD51922"/>
    <w:rsid w:val="5D0C4701"/>
    <w:rsid w:val="5D0F0395"/>
    <w:rsid w:val="5D122753"/>
    <w:rsid w:val="5D221076"/>
    <w:rsid w:val="5D301704"/>
    <w:rsid w:val="5D397964"/>
    <w:rsid w:val="5D5A391C"/>
    <w:rsid w:val="5D5F10C0"/>
    <w:rsid w:val="5D790E2F"/>
    <w:rsid w:val="5D891B7B"/>
    <w:rsid w:val="5DAD38EE"/>
    <w:rsid w:val="5E006862"/>
    <w:rsid w:val="5E0207B9"/>
    <w:rsid w:val="5E1834A1"/>
    <w:rsid w:val="5E261785"/>
    <w:rsid w:val="5E4A7017"/>
    <w:rsid w:val="5E552BBA"/>
    <w:rsid w:val="5E611C10"/>
    <w:rsid w:val="5E7A0F3F"/>
    <w:rsid w:val="5EB50353"/>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0D059B"/>
    <w:rsid w:val="611D2366"/>
    <w:rsid w:val="61421856"/>
    <w:rsid w:val="615227C4"/>
    <w:rsid w:val="61654E3F"/>
    <w:rsid w:val="6182292A"/>
    <w:rsid w:val="619F7F92"/>
    <w:rsid w:val="61F904AC"/>
    <w:rsid w:val="61F94C26"/>
    <w:rsid w:val="62000E56"/>
    <w:rsid w:val="624F3E49"/>
    <w:rsid w:val="62632286"/>
    <w:rsid w:val="62885958"/>
    <w:rsid w:val="62F40B65"/>
    <w:rsid w:val="62FC2CFE"/>
    <w:rsid w:val="63024505"/>
    <w:rsid w:val="63416D0D"/>
    <w:rsid w:val="635600A5"/>
    <w:rsid w:val="635B1DB5"/>
    <w:rsid w:val="63711FED"/>
    <w:rsid w:val="63880DDC"/>
    <w:rsid w:val="638D750D"/>
    <w:rsid w:val="63AC6CC0"/>
    <w:rsid w:val="63F23480"/>
    <w:rsid w:val="64055776"/>
    <w:rsid w:val="641F5B67"/>
    <w:rsid w:val="64240056"/>
    <w:rsid w:val="643E143A"/>
    <w:rsid w:val="644213CF"/>
    <w:rsid w:val="64491666"/>
    <w:rsid w:val="64854F4C"/>
    <w:rsid w:val="648B6EEF"/>
    <w:rsid w:val="64C158BF"/>
    <w:rsid w:val="64CE2EAA"/>
    <w:rsid w:val="653C3090"/>
    <w:rsid w:val="65854376"/>
    <w:rsid w:val="658767BE"/>
    <w:rsid w:val="65892531"/>
    <w:rsid w:val="66195831"/>
    <w:rsid w:val="662E75B1"/>
    <w:rsid w:val="66342C2E"/>
    <w:rsid w:val="663E784C"/>
    <w:rsid w:val="665335DB"/>
    <w:rsid w:val="668B6A45"/>
    <w:rsid w:val="66EF5C79"/>
    <w:rsid w:val="67112C4A"/>
    <w:rsid w:val="672F3F24"/>
    <w:rsid w:val="673E055F"/>
    <w:rsid w:val="67551CE3"/>
    <w:rsid w:val="67A22552"/>
    <w:rsid w:val="67A5353F"/>
    <w:rsid w:val="67B22DCC"/>
    <w:rsid w:val="67BE71AA"/>
    <w:rsid w:val="67C21D51"/>
    <w:rsid w:val="67CF7323"/>
    <w:rsid w:val="67D90273"/>
    <w:rsid w:val="67DE5875"/>
    <w:rsid w:val="67E4012B"/>
    <w:rsid w:val="67E55852"/>
    <w:rsid w:val="67EB1AB4"/>
    <w:rsid w:val="67FA1285"/>
    <w:rsid w:val="681C544B"/>
    <w:rsid w:val="6832131A"/>
    <w:rsid w:val="68551F4F"/>
    <w:rsid w:val="687C10C9"/>
    <w:rsid w:val="68840C16"/>
    <w:rsid w:val="68876EFB"/>
    <w:rsid w:val="68884654"/>
    <w:rsid w:val="689F444F"/>
    <w:rsid w:val="68B96DBB"/>
    <w:rsid w:val="68CA2805"/>
    <w:rsid w:val="68E5638C"/>
    <w:rsid w:val="68E937A3"/>
    <w:rsid w:val="68FB149A"/>
    <w:rsid w:val="69321A7A"/>
    <w:rsid w:val="693E15D3"/>
    <w:rsid w:val="69627681"/>
    <w:rsid w:val="696604FE"/>
    <w:rsid w:val="6977531D"/>
    <w:rsid w:val="69C77840"/>
    <w:rsid w:val="69CC2BFF"/>
    <w:rsid w:val="69FD55B8"/>
    <w:rsid w:val="6A0B1C62"/>
    <w:rsid w:val="6A2406C8"/>
    <w:rsid w:val="6A9A1ADF"/>
    <w:rsid w:val="6ADE0BD1"/>
    <w:rsid w:val="6AE81378"/>
    <w:rsid w:val="6AE96859"/>
    <w:rsid w:val="6B147746"/>
    <w:rsid w:val="6B24787C"/>
    <w:rsid w:val="6B573233"/>
    <w:rsid w:val="6B5B6274"/>
    <w:rsid w:val="6B935D53"/>
    <w:rsid w:val="6C1316F7"/>
    <w:rsid w:val="6C196F71"/>
    <w:rsid w:val="6C226FCB"/>
    <w:rsid w:val="6C31226F"/>
    <w:rsid w:val="6C517EC7"/>
    <w:rsid w:val="6C552F0B"/>
    <w:rsid w:val="6C8C67B7"/>
    <w:rsid w:val="6C9D744C"/>
    <w:rsid w:val="6CA37C9E"/>
    <w:rsid w:val="6CFC7FBF"/>
    <w:rsid w:val="6D167928"/>
    <w:rsid w:val="6D26299B"/>
    <w:rsid w:val="6D4772EC"/>
    <w:rsid w:val="6D9078AF"/>
    <w:rsid w:val="6DAA3FEF"/>
    <w:rsid w:val="6DC0172B"/>
    <w:rsid w:val="6DCB690C"/>
    <w:rsid w:val="6DD41A5B"/>
    <w:rsid w:val="6DF43C2E"/>
    <w:rsid w:val="6DF51CA3"/>
    <w:rsid w:val="6E0B0643"/>
    <w:rsid w:val="6E8335BD"/>
    <w:rsid w:val="6E8E12EF"/>
    <w:rsid w:val="6E972936"/>
    <w:rsid w:val="6ED446C5"/>
    <w:rsid w:val="6F2A7D94"/>
    <w:rsid w:val="6F8331F1"/>
    <w:rsid w:val="6FAE1A09"/>
    <w:rsid w:val="6FD75BF8"/>
    <w:rsid w:val="7036127C"/>
    <w:rsid w:val="707723D0"/>
    <w:rsid w:val="70F5661B"/>
    <w:rsid w:val="71360107"/>
    <w:rsid w:val="713B688E"/>
    <w:rsid w:val="7148279F"/>
    <w:rsid w:val="71783E53"/>
    <w:rsid w:val="71D43752"/>
    <w:rsid w:val="71F1796A"/>
    <w:rsid w:val="71FB63D5"/>
    <w:rsid w:val="72154626"/>
    <w:rsid w:val="72262B5D"/>
    <w:rsid w:val="72283FF7"/>
    <w:rsid w:val="722E7212"/>
    <w:rsid w:val="723A0474"/>
    <w:rsid w:val="724E24F1"/>
    <w:rsid w:val="725923E4"/>
    <w:rsid w:val="725F1977"/>
    <w:rsid w:val="72864BF7"/>
    <w:rsid w:val="729023FC"/>
    <w:rsid w:val="72F61B01"/>
    <w:rsid w:val="737B231D"/>
    <w:rsid w:val="738D1267"/>
    <w:rsid w:val="73C0646E"/>
    <w:rsid w:val="742222F5"/>
    <w:rsid w:val="74476126"/>
    <w:rsid w:val="74630D9E"/>
    <w:rsid w:val="74706664"/>
    <w:rsid w:val="747F3682"/>
    <w:rsid w:val="749C4185"/>
    <w:rsid w:val="75067759"/>
    <w:rsid w:val="7529591A"/>
    <w:rsid w:val="752E6DCD"/>
    <w:rsid w:val="7551380D"/>
    <w:rsid w:val="755D394A"/>
    <w:rsid w:val="75600BE5"/>
    <w:rsid w:val="7564475C"/>
    <w:rsid w:val="7583797F"/>
    <w:rsid w:val="75D20F1D"/>
    <w:rsid w:val="75DA2C18"/>
    <w:rsid w:val="75F54412"/>
    <w:rsid w:val="761D08E0"/>
    <w:rsid w:val="762C55B7"/>
    <w:rsid w:val="765D347C"/>
    <w:rsid w:val="76826699"/>
    <w:rsid w:val="76A428D2"/>
    <w:rsid w:val="76C87133"/>
    <w:rsid w:val="76CD08D5"/>
    <w:rsid w:val="76D161A2"/>
    <w:rsid w:val="76DB4B92"/>
    <w:rsid w:val="77052AA4"/>
    <w:rsid w:val="77136511"/>
    <w:rsid w:val="77340A39"/>
    <w:rsid w:val="77351FD0"/>
    <w:rsid w:val="77472422"/>
    <w:rsid w:val="777F31F2"/>
    <w:rsid w:val="77C611B1"/>
    <w:rsid w:val="77D1700D"/>
    <w:rsid w:val="77DD4D7E"/>
    <w:rsid w:val="77EC04CC"/>
    <w:rsid w:val="77F71C38"/>
    <w:rsid w:val="77FF22CF"/>
    <w:rsid w:val="78775729"/>
    <w:rsid w:val="78A42DB0"/>
    <w:rsid w:val="78A656AB"/>
    <w:rsid w:val="78B2245C"/>
    <w:rsid w:val="78E172CC"/>
    <w:rsid w:val="78EA1D1F"/>
    <w:rsid w:val="79036DC3"/>
    <w:rsid w:val="7904172F"/>
    <w:rsid w:val="790657A1"/>
    <w:rsid w:val="790F7E27"/>
    <w:rsid w:val="792A231A"/>
    <w:rsid w:val="79316829"/>
    <w:rsid w:val="797E66A9"/>
    <w:rsid w:val="798518A4"/>
    <w:rsid w:val="79A97383"/>
    <w:rsid w:val="79CF3C20"/>
    <w:rsid w:val="79DC33B8"/>
    <w:rsid w:val="79E27E8B"/>
    <w:rsid w:val="79F850CE"/>
    <w:rsid w:val="79FD443C"/>
    <w:rsid w:val="7A1D1975"/>
    <w:rsid w:val="7A3E5150"/>
    <w:rsid w:val="7A4670D6"/>
    <w:rsid w:val="7A534B63"/>
    <w:rsid w:val="7A615382"/>
    <w:rsid w:val="7A67303B"/>
    <w:rsid w:val="7AAB1D04"/>
    <w:rsid w:val="7ABA4368"/>
    <w:rsid w:val="7AD05746"/>
    <w:rsid w:val="7B257FFD"/>
    <w:rsid w:val="7B343476"/>
    <w:rsid w:val="7B4A02D1"/>
    <w:rsid w:val="7B5A2978"/>
    <w:rsid w:val="7B5A7E4C"/>
    <w:rsid w:val="7B667AF9"/>
    <w:rsid w:val="7B7468F8"/>
    <w:rsid w:val="7BAF3731"/>
    <w:rsid w:val="7BEE0103"/>
    <w:rsid w:val="7C0A0FE4"/>
    <w:rsid w:val="7C254906"/>
    <w:rsid w:val="7C590818"/>
    <w:rsid w:val="7C7C10F6"/>
    <w:rsid w:val="7C853BEA"/>
    <w:rsid w:val="7C881368"/>
    <w:rsid w:val="7CD564F7"/>
    <w:rsid w:val="7CE27788"/>
    <w:rsid w:val="7D0C32F1"/>
    <w:rsid w:val="7D0F408D"/>
    <w:rsid w:val="7D491C6C"/>
    <w:rsid w:val="7D5429C0"/>
    <w:rsid w:val="7D6E6D43"/>
    <w:rsid w:val="7D7A3FCC"/>
    <w:rsid w:val="7D926C74"/>
    <w:rsid w:val="7DB57A34"/>
    <w:rsid w:val="7DC16CD6"/>
    <w:rsid w:val="7DE60973"/>
    <w:rsid w:val="7DEF0916"/>
    <w:rsid w:val="7E0C7AC0"/>
    <w:rsid w:val="7E1E5218"/>
    <w:rsid w:val="7E6C679B"/>
    <w:rsid w:val="7E9A4E1F"/>
    <w:rsid w:val="7EA7723A"/>
    <w:rsid w:val="7EF56FBB"/>
    <w:rsid w:val="7F0768EB"/>
    <w:rsid w:val="7F143BEC"/>
    <w:rsid w:val="7F362021"/>
    <w:rsid w:val="7F715AF2"/>
    <w:rsid w:val="7F7B47F9"/>
    <w:rsid w:val="7F886E69"/>
    <w:rsid w:val="7F9B0976"/>
    <w:rsid w:val="7FBA5A25"/>
    <w:rsid w:val="BB7FA927"/>
    <w:rsid w:val="DEBB0D1F"/>
    <w:rsid w:val="EFF72F48"/>
    <w:rsid w:val="F5FFD31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link w:val="971"/>
    <w:qFormat/>
    <w:uiPriority w:val="0"/>
    <w:pPr>
      <w:keepNext/>
      <w:keepLines/>
      <w:tabs>
        <w:tab w:val="left" w:pos="432"/>
      </w:tabs>
      <w:snapToGrid w:val="0"/>
      <w:spacing w:line="360" w:lineRule="auto"/>
      <w:jc w:val="left"/>
      <w:outlineLvl w:val="1"/>
    </w:pPr>
    <w:rPr>
      <w:rFonts w:ascii="仿宋_GB2312" w:hAnsi="仿宋_GB2312"/>
      <w:b/>
      <w:bCs/>
      <w:sz w:val="24"/>
      <w:szCs w:val="32"/>
      <w:lang w:val="zh-CN"/>
    </w:rPr>
  </w:style>
  <w:style w:type="paragraph" w:styleId="7">
    <w:name w:val="heading 3"/>
    <w:basedOn w:val="1"/>
    <w:next w:val="8"/>
    <w:qFormat/>
    <w:uiPriority w:val="0"/>
    <w:pPr>
      <w:keepNext/>
      <w:keepLines/>
      <w:tabs>
        <w:tab w:val="left" w:pos="900"/>
      </w:tabs>
      <w:snapToGrid w:val="0"/>
      <w:spacing w:line="360" w:lineRule="auto"/>
      <w:jc w:val="left"/>
      <w:outlineLvl w:val="2"/>
    </w:pPr>
    <w:rPr>
      <w:b/>
      <w:bCs/>
      <w:sz w:val="24"/>
      <w:szCs w:val="32"/>
    </w:rPr>
  </w:style>
  <w:style w:type="paragraph" w:styleId="9">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0"/>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21"/>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2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2"/>
    <w:qFormat/>
    <w:uiPriority w:val="0"/>
    <w:pPr>
      <w:shd w:val="clear" w:color="auto" w:fill="000080"/>
    </w:pPr>
  </w:style>
  <w:style w:type="paragraph" w:styleId="22">
    <w:name w:val="annotation text"/>
    <w:basedOn w:val="1"/>
    <w:link w:val="344"/>
    <w:qFormat/>
    <w:uiPriority w:val="99"/>
    <w:pPr>
      <w:jc w:val="left"/>
    </w:pPr>
  </w:style>
  <w:style w:type="paragraph" w:styleId="23">
    <w:name w:val="Salutation"/>
    <w:basedOn w:val="1"/>
    <w:next w:val="1"/>
    <w:link w:val="298"/>
    <w:qFormat/>
    <w:uiPriority w:val="0"/>
    <w:rPr>
      <w:rFonts w:ascii="仿宋_GB2312" w:eastAsia="仿宋_GB2312"/>
      <w:sz w:val="28"/>
      <w:szCs w:val="20"/>
    </w:rPr>
  </w:style>
  <w:style w:type="paragraph" w:styleId="24">
    <w:name w:val="Body Text 3"/>
    <w:basedOn w:val="1"/>
    <w:link w:val="330"/>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1"/>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pacing w:before="240" w:after="240" w:line="240" w:lineRule="auto"/>
      <w:jc w:val="center"/>
    </w:pPr>
    <w:rPr>
      <w:rFonts w:ascii="Calibri" w:hAnsi="Calibri"/>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4"/>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8"/>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ind w:left="851" w:right="407" w:rightChars="194" w:hanging="851"/>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1"/>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9"/>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9"/>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paragraph" w:customStyle="1" w:styleId="23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5"/>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0"/>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3"/>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9"/>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2"/>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9"/>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4"/>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2"/>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3"/>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8"/>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9"/>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6"/>
    <w:qFormat/>
    <w:uiPriority w:val="0"/>
    <w:pPr>
      <w:keepLines w:val="0"/>
      <w:widowControl/>
      <w:tabs>
        <w:tab w:val="left" w:pos="840"/>
        <w:tab w:val="clear" w:pos="432"/>
      </w:tabs>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6"/>
    <w:qFormat/>
    <w:uiPriority w:val="0"/>
    <w:pPr>
      <w:widowControl/>
      <w:spacing w:before="360" w:after="360" w:line="240" w:lineRule="atLeast"/>
    </w:pPr>
    <w:rPr>
      <w:rFonts w:ascii="宋体" w:hAnsi="Arial"/>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6"/>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7"/>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0"/>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7"/>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9"/>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6"/>
    <w:qFormat/>
    <w:uiPriority w:val="0"/>
    <w:pPr>
      <w:tabs>
        <w:tab w:val="left" w:pos="0"/>
        <w:tab w:val="clear" w:pos="432"/>
      </w:tabs>
      <w:spacing w:before="260" w:after="260" w:line="415" w:lineRule="auto"/>
      <w:ind w:firstLine="200" w:firstLineChars="200"/>
      <w:jc w:val="both"/>
    </w:pPr>
    <w:rPr>
      <w:rFonts w:ascii="宋体" w:hAnsi="Cambria"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7"/>
    <w:qFormat/>
    <w:uiPriority w:val="0"/>
    <w:pPr>
      <w:adjustRightInd/>
      <w:spacing w:before="200" w:after="200" w:line="560" w:lineRule="exac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7"/>
    <w:qFormat/>
    <w:uiPriority w:val="0"/>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5"/>
    <w:qFormat/>
    <w:uiPriority w:val="0"/>
    <w:pPr>
      <w:tabs>
        <w:tab w:val="left" w:pos="840"/>
      </w:tabs>
      <w:adjustRightInd/>
      <w:ind w:left="840" w:hanging="420"/>
    </w:pPr>
  </w:style>
  <w:style w:type="paragraph" w:customStyle="1" w:styleId="626">
    <w:name w:val="样式 标题 2标题2H2Heading 2 HiddenHeading 2 CCBSheading 22nd lev..."/>
    <w:basedOn w:val="6"/>
    <w:qFormat/>
    <w:uiPriority w:val="0"/>
    <w:pPr>
      <w:widowControl/>
      <w:spacing w:before="260" w:after="260" w:line="416" w:lineRule="auto"/>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Lines="0" w:afterLines="0"/>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6"/>
    <w:next w:val="1"/>
    <w:qFormat/>
    <w:uiPriority w:val="0"/>
    <w:pPr>
      <w:tabs>
        <w:tab w:val="left" w:pos="480"/>
      </w:tabs>
      <w:ind w:left="480" w:hanging="480"/>
    </w:pPr>
    <w:rPr>
      <w:rFonts w:ascii="Times New Roman"/>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9"/>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6"/>
    <w:qFormat/>
    <w:uiPriority w:val="0"/>
    <w:pPr>
      <w:spacing w:before="120" w:after="120"/>
      <w:jc w:val="both"/>
    </w:pPr>
    <w:rPr>
      <w:rFonts w:ascii="宋体" w:hAnsi="Arial"/>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7"/>
    <w:qFormat/>
    <w:uiPriority w:val="0"/>
    <w:pPr>
      <w:keepLines w:val="0"/>
      <w:spacing w:line="240" w:lineRule="auto"/>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7"/>
    <w:next w:val="53"/>
    <w:qFormat/>
    <w:uiPriority w:val="0"/>
    <w:pPr>
      <w:tabs>
        <w:tab w:val="clear" w:pos="900"/>
      </w:tabs>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7"/>
    <w:qFormat/>
    <w:uiPriority w:val="0"/>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1"/>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7"/>
    <w:qFormat/>
    <w:uiPriority w:val="0"/>
    <w:pPr>
      <w:keepLines w:val="0"/>
      <w:widowControl/>
      <w:spacing w:before="120" w:after="60" w:line="300" w:lineRule="auto"/>
    </w:pPr>
    <w:rPr>
      <w:rFonts w:ascii="Arial Narrow" w:hAnsi="Arial Narrow" w:eastAsia="仿宋_GB2312"/>
      <w:b w:val="0"/>
      <w:bCs w:val="0"/>
      <w:color w:val="000000"/>
      <w:kern w:val="0"/>
      <w:sz w:val="28"/>
    </w:rPr>
  </w:style>
  <w:style w:type="paragraph" w:customStyle="1" w:styleId="891">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0"/>
    <w:next w:val="1"/>
    <w:qFormat/>
    <w:uiPriority w:val="0"/>
    <w:pPr>
      <w:tabs>
        <w:tab w:val="left" w:pos="1080"/>
      </w:tabs>
      <w:ind w:left="1080" w:hanging="1080"/>
    </w:pPr>
  </w:style>
  <w:style w:type="paragraph" w:customStyle="1" w:styleId="897">
    <w:name w:val="数字标题1"/>
    <w:basedOn w:val="5"/>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字符"/>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6"/>
    <w:qFormat/>
    <w:uiPriority w:val="0"/>
    <w:pPr>
      <w:tabs>
        <w:tab w:val="clear" w:pos="432"/>
      </w:tabs>
      <w:spacing w:before="160" w:after="160" w:line="720" w:lineRule="exact"/>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样式 标题 2 + Times New Roman 四号 非加粗 段前: 5 磅 段后: 0 磅 行距: 固定值 20..."/>
    <w:basedOn w:val="6"/>
    <w:qFormat/>
    <w:uiPriority w:val="0"/>
    <w:pPr>
      <w:tabs>
        <w:tab w:val="left" w:pos="1080"/>
        <w:tab w:val="clear" w:pos="432"/>
      </w:tabs>
      <w:spacing w:before="100" w:line="400" w:lineRule="exact"/>
    </w:pPr>
    <w:rPr>
      <w:rFonts w:ascii="Times New Roman" w:hAnsi="Times New Roman" w:eastAsia="黑体" w:cs="宋体"/>
      <w:b w:val="0"/>
      <w:sz w:val="28"/>
      <w:szCs w:val="20"/>
    </w:rPr>
  </w:style>
  <w:style w:type="paragraph" w:customStyle="1" w:styleId="965">
    <w:name w:val="p16"/>
    <w:basedOn w:val="1"/>
    <w:qFormat/>
    <w:uiPriority w:val="0"/>
    <w:pPr>
      <w:widowControl/>
      <w:spacing w:before="100" w:after="100"/>
      <w:jc w:val="left"/>
    </w:pPr>
    <w:rPr>
      <w:rFonts w:ascii="宋体" w:hAnsi="宋体" w:cs="宋体"/>
      <w:color w:val="000000"/>
      <w:kern w:val="0"/>
      <w:sz w:val="24"/>
    </w:rPr>
  </w:style>
  <w:style w:type="paragraph" w:customStyle="1" w:styleId="96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7">
    <w:name w:val="中文正文、"/>
    <w:basedOn w:val="1"/>
    <w:qFormat/>
    <w:uiPriority w:val="0"/>
    <w:pPr>
      <w:spacing w:line="360" w:lineRule="auto"/>
      <w:ind w:firstLine="420" w:firstLineChars="200"/>
      <w:jc w:val="left"/>
    </w:pPr>
    <w:rPr>
      <w:rFonts w:asciiTheme="minorHAnsi" w:hAnsiTheme="minorHAnsi" w:eastAsiaTheme="minorEastAsia" w:cstheme="minorBidi"/>
      <w:szCs w:val="22"/>
    </w:rPr>
  </w:style>
  <w:style w:type="paragraph" w:customStyle="1" w:styleId="968">
    <w:name w:val="WPSOffice手动目录 1"/>
    <w:qFormat/>
    <w:uiPriority w:val="0"/>
    <w:pPr>
      <w:ind w:leftChars="0"/>
    </w:pPr>
    <w:rPr>
      <w:rFonts w:ascii="Times New Roman" w:hAnsi="Times New Roman" w:eastAsia="宋体" w:cs="Times New Roman"/>
      <w:sz w:val="20"/>
      <w:szCs w:val="20"/>
    </w:rPr>
  </w:style>
  <w:style w:type="paragraph" w:customStyle="1" w:styleId="969">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styleId="970">
    <w:name w:val="List Paragraph"/>
    <w:basedOn w:val="1"/>
    <w:qFormat/>
    <w:uiPriority w:val="34"/>
    <w:pPr>
      <w:ind w:firstLine="200" w:firstLineChars="200"/>
    </w:pPr>
    <w:rPr>
      <w:rFonts w:eastAsia="楷体_GB2312" w:cs="Lucida Sans"/>
    </w:rPr>
  </w:style>
  <w:style w:type="character" w:customStyle="1" w:styleId="971">
    <w:name w:val="标题 2 Char1"/>
    <w:link w:val="6"/>
    <w:qFormat/>
    <w:uiPriority w:val="0"/>
    <w:rPr>
      <w:rFonts w:ascii="仿宋_GB2312" w:hAnsi="仿宋_GB2312"/>
      <w:b/>
      <w:bCs/>
      <w:sz w:val="24"/>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72</Pages>
  <Words>18114</Words>
  <Characters>19626</Characters>
  <Lines>250</Lines>
  <Paragraphs>70</Paragraphs>
  <TotalTime>15</TotalTime>
  <ScaleCrop>false</ScaleCrop>
  <LinksUpToDate>false</LinksUpToDate>
  <CharactersWithSpaces>20264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2022-05-07T15:35:00Z</dcterms:created>
  <dc:creator>玥</dc:creator>
  <cp:lastModifiedBy>落尘</cp:lastModifiedBy>
  <cp:lastPrinted>2025-04-10T07:27:00Z</cp:lastPrinted>
  <dcterms:modified xsi:type="dcterms:W3CDTF">2025-07-01T05:22:27Z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68B800E02F3346CD8AB512605AAE7197_13</vt:lpwstr>
  </property>
  <property fmtid="{D5CDD505-2E9C-101B-9397-08002B2CF9AE}" pid="5" name="commondata">
    <vt:lpwstr>eyJoZGlkIjoiNGNlMmFkMDQ1NDY0ZmRiM2Q0NjY4NTFjN2IwMTllYjMifQ==</vt:lpwstr>
  </property>
  <property fmtid="{D5CDD505-2E9C-101B-9397-08002B2CF9AE}" pid="6" name="KSOTemplateDocerSaveRecord">
    <vt:lpwstr>eyJoZGlkIjoiMWJkNjM2NmU4MmEzYzg1MDY4MjMzNTY1YjQwMzhkMTYiLCJ1c2VySWQiOiIxNjc5MzQ4MDMzIn0=</vt:lpwstr>
  </property>
</Properties>
</file>