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250CB">
      <w:pPr>
        <w:bidi w:val="0"/>
        <w:jc w:val="center"/>
        <w:rPr>
          <w:color w:val="auto"/>
          <w:highlight w:val="none"/>
        </w:rPr>
      </w:pPr>
    </w:p>
    <w:p w14:paraId="7E214162">
      <w:pPr>
        <w:bidi w:val="0"/>
        <w:jc w:val="center"/>
        <w:rPr>
          <w:color w:val="auto"/>
          <w:highlight w:val="none"/>
        </w:rPr>
      </w:pPr>
    </w:p>
    <w:p w14:paraId="1799B672">
      <w:pPr>
        <w:bidi w:val="0"/>
        <w:jc w:val="center"/>
        <w:rPr>
          <w:color w:val="auto"/>
          <w:highlight w:val="none"/>
        </w:rPr>
      </w:pPr>
    </w:p>
    <w:p w14:paraId="755F5498">
      <w:pPr>
        <w:jc w:val="center"/>
        <w:rPr>
          <w:color w:val="auto"/>
          <w:highlight w:val="none"/>
        </w:rPr>
      </w:pPr>
    </w:p>
    <w:p w14:paraId="005362BE">
      <w:pPr>
        <w:bidi w:val="0"/>
        <w:jc w:val="center"/>
        <w:rPr>
          <w:color w:val="auto"/>
          <w:highlight w:val="none"/>
        </w:rPr>
      </w:pPr>
    </w:p>
    <w:p w14:paraId="0351CE1A">
      <w:pPr>
        <w:jc w:val="center"/>
        <w:rPr>
          <w:color w:val="auto"/>
          <w:highlight w:val="none"/>
        </w:rPr>
      </w:pPr>
    </w:p>
    <w:p w14:paraId="7A3000F3">
      <w:pPr>
        <w:pStyle w:val="45"/>
        <w:jc w:val="center"/>
        <w:rPr>
          <w:rFonts w:ascii="宋体" w:hAnsi="宋体" w:cs="宋体"/>
          <w:color w:val="auto"/>
          <w:highlight w:val="none"/>
        </w:rPr>
      </w:pPr>
    </w:p>
    <w:p w14:paraId="3BB5F2D3">
      <w:pPr>
        <w:adjustRightInd/>
        <w:spacing w:line="360" w:lineRule="auto"/>
        <w:jc w:val="center"/>
        <w:outlineLvl w:val="0"/>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浙江同济科技职业学院</w:t>
      </w:r>
    </w:p>
    <w:p w14:paraId="7D9D079C">
      <w:pPr>
        <w:adjustRightInd/>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lang w:eastAsia="zh-CN"/>
        </w:rPr>
        <w:t>采购管理系统</w:t>
      </w:r>
    </w:p>
    <w:p w14:paraId="1E62E1F1">
      <w:pPr>
        <w:adjustRightInd/>
        <w:spacing w:line="360" w:lineRule="auto"/>
        <w:jc w:val="center"/>
        <w:rPr>
          <w:rFonts w:ascii="宋体" w:hAnsi="宋体" w:cs="宋体"/>
          <w:color w:val="auto"/>
          <w:sz w:val="48"/>
          <w:szCs w:val="48"/>
          <w:highlight w:val="none"/>
        </w:rPr>
      </w:pPr>
    </w:p>
    <w:p w14:paraId="4D8F7C2C">
      <w:pPr>
        <w:jc w:val="center"/>
        <w:rPr>
          <w:rFonts w:ascii="宋体" w:hAnsi="宋体" w:cs="宋体"/>
          <w:color w:val="auto"/>
          <w:highlight w:val="none"/>
        </w:rPr>
      </w:pPr>
    </w:p>
    <w:p w14:paraId="4CF4CAE0">
      <w:pPr>
        <w:jc w:val="center"/>
        <w:rPr>
          <w:rFonts w:ascii="宋体" w:hAnsi="宋体" w:cs="宋体"/>
          <w:color w:val="auto"/>
          <w:highlight w:val="none"/>
        </w:rPr>
      </w:pPr>
    </w:p>
    <w:p w14:paraId="26F989F5">
      <w:pPr>
        <w:adjustRightInd/>
        <w:spacing w:line="360" w:lineRule="auto"/>
        <w:jc w:val="center"/>
        <w:outlineLvl w:val="0"/>
        <w:rPr>
          <w:rFonts w:ascii="宋体" w:hAnsi="宋体" w:cs="宋体"/>
          <w:color w:val="auto"/>
          <w:sz w:val="48"/>
          <w:szCs w:val="48"/>
          <w:highlight w:val="none"/>
        </w:rPr>
      </w:pPr>
      <w:bookmarkStart w:id="0" w:name="_Toc25568"/>
      <w:r>
        <w:rPr>
          <w:rFonts w:hint="eastAsia" w:ascii="宋体" w:hAnsi="宋体" w:cs="宋体"/>
          <w:color w:val="auto"/>
          <w:sz w:val="48"/>
          <w:szCs w:val="48"/>
          <w:highlight w:val="none"/>
        </w:rPr>
        <w:t>竞争性磋商文件</w:t>
      </w:r>
      <w:bookmarkEnd w:id="0"/>
    </w:p>
    <w:p w14:paraId="05BEA634">
      <w:pPr>
        <w:adjustRightInd/>
        <w:spacing w:line="360" w:lineRule="auto"/>
        <w:jc w:val="center"/>
        <w:outlineLvl w:val="0"/>
        <w:rPr>
          <w:rFonts w:hint="eastAsia" w:ascii="宋体" w:hAnsi="宋体" w:eastAsia="宋体" w:cs="宋体"/>
          <w:b/>
          <w:color w:val="auto"/>
          <w:sz w:val="44"/>
          <w:szCs w:val="44"/>
          <w:highlight w:val="none"/>
          <w:lang w:eastAsia="zh-CN"/>
        </w:rPr>
      </w:pPr>
      <w:bookmarkStart w:id="1" w:name="_Toc24822"/>
      <w:r>
        <w:rPr>
          <w:rFonts w:hint="eastAsia" w:ascii="宋体" w:hAnsi="宋体" w:cs="宋体"/>
          <w:b/>
          <w:color w:val="auto"/>
          <w:sz w:val="44"/>
          <w:szCs w:val="44"/>
          <w:highlight w:val="none"/>
        </w:rPr>
        <w:t>（电子交易）</w:t>
      </w:r>
      <w:bookmarkEnd w:id="1"/>
    </w:p>
    <w:p w14:paraId="62125E2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编号:</w:t>
      </w:r>
      <w:r>
        <w:rPr>
          <w:rFonts w:hint="eastAsia" w:ascii="宋体" w:hAnsi="宋体" w:cs="宋体"/>
          <w:color w:val="auto"/>
          <w:sz w:val="32"/>
          <w:szCs w:val="32"/>
          <w:highlight w:val="none"/>
          <w:lang w:eastAsia="zh-CN"/>
        </w:rPr>
        <w:t>ZXZB-TJ-2025008C</w:t>
      </w:r>
    </w:p>
    <w:p w14:paraId="369039C3">
      <w:pPr>
        <w:spacing w:line="360" w:lineRule="auto"/>
        <w:rPr>
          <w:rFonts w:ascii="宋体" w:hAnsi="宋体" w:cs="宋体"/>
          <w:b/>
          <w:color w:val="auto"/>
          <w:sz w:val="44"/>
          <w:szCs w:val="44"/>
          <w:highlight w:val="none"/>
        </w:rPr>
      </w:pPr>
    </w:p>
    <w:p w14:paraId="47A36D04">
      <w:pPr>
        <w:spacing w:line="360" w:lineRule="auto"/>
        <w:jc w:val="center"/>
        <w:rPr>
          <w:rFonts w:ascii="宋体" w:hAnsi="宋体" w:cs="宋体"/>
          <w:b/>
          <w:color w:val="auto"/>
          <w:sz w:val="44"/>
          <w:szCs w:val="44"/>
          <w:highlight w:val="none"/>
        </w:rPr>
      </w:pPr>
    </w:p>
    <w:p w14:paraId="013AD93A">
      <w:pPr>
        <w:spacing w:line="360" w:lineRule="auto"/>
        <w:jc w:val="center"/>
        <w:rPr>
          <w:rFonts w:ascii="宋体" w:hAnsi="宋体" w:cs="宋体"/>
          <w:color w:val="auto"/>
          <w:sz w:val="24"/>
          <w:highlight w:val="none"/>
        </w:rPr>
      </w:pPr>
    </w:p>
    <w:p w14:paraId="2D2E48B7">
      <w:pPr>
        <w:spacing w:line="360" w:lineRule="auto"/>
        <w:jc w:val="center"/>
        <w:rPr>
          <w:rFonts w:ascii="宋体" w:hAnsi="宋体" w:cs="宋体"/>
          <w:color w:val="auto"/>
          <w:sz w:val="24"/>
          <w:highlight w:val="none"/>
        </w:rPr>
      </w:pPr>
    </w:p>
    <w:p w14:paraId="65B21454">
      <w:pPr>
        <w:snapToGrid w:val="0"/>
        <w:spacing w:line="360" w:lineRule="auto"/>
        <w:jc w:val="center"/>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浙江同济科技职业学院</w:t>
      </w:r>
    </w:p>
    <w:p w14:paraId="2A17E2FA">
      <w:pPr>
        <w:spacing w:line="360" w:lineRule="auto"/>
        <w:jc w:val="center"/>
        <w:outlineLvl w:val="0"/>
        <w:rPr>
          <w:rFonts w:ascii="宋体" w:hAnsi="宋体" w:cs="宋体"/>
          <w:bCs/>
          <w:color w:val="auto"/>
          <w:sz w:val="32"/>
          <w:szCs w:val="32"/>
          <w:highlight w:val="none"/>
        </w:rPr>
      </w:pPr>
      <w:bookmarkStart w:id="2" w:name="_Toc13527"/>
      <w:r>
        <w:rPr>
          <w:rFonts w:hint="eastAsia" w:ascii="宋体" w:hAnsi="宋体" w:cs="宋体"/>
          <w:bCs/>
          <w:color w:val="auto"/>
          <w:sz w:val="32"/>
          <w:szCs w:val="32"/>
          <w:highlight w:val="none"/>
        </w:rPr>
        <w:t>浙江致信招标代理有限公司</w:t>
      </w:r>
      <w:bookmarkEnd w:id="2"/>
    </w:p>
    <w:p w14:paraId="74A9C74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7ACFA78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3" w:name="_Hlt67893495"/>
      <w:bookmarkEnd w:id="3"/>
    </w:p>
    <w:sdt>
      <w:sdtPr>
        <w:rPr>
          <w:rFonts w:ascii="宋体" w:hAnsi="宋体" w:eastAsia="宋体" w:cs="Times New Roman"/>
          <w:color w:val="auto"/>
          <w:kern w:val="2"/>
          <w:szCs w:val="24"/>
          <w:highlight w:val="none"/>
          <w:lang w:val="en-US" w:eastAsia="zh-CN" w:bidi="ar-SA"/>
        </w:rPr>
        <w:id w:val="147470947"/>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75A61609">
          <w:pPr>
            <w:bidi w:val="0"/>
            <w:rPr>
              <w:color w:val="auto"/>
              <w:highlight w:val="none"/>
              <w:lang w:val="en-US" w:eastAsia="zh-CN"/>
            </w:rPr>
          </w:pPr>
        </w:p>
        <w:p w14:paraId="67C87A2F">
          <w:pPr>
            <w:bidi w:val="0"/>
            <w:rPr>
              <w:color w:val="auto"/>
              <w:highlight w:val="none"/>
              <w:lang w:val="en-US" w:eastAsia="zh-CN"/>
            </w:rPr>
          </w:pPr>
        </w:p>
        <w:p w14:paraId="2EB850E0">
          <w:pPr>
            <w:spacing w:before="0" w:beforeLines="0" w:after="0" w:afterLines="0" w:line="240" w:lineRule="auto"/>
            <w:ind w:left="0" w:leftChars="0" w:right="0" w:rightChars="0" w:firstLine="0" w:firstLineChars="0"/>
            <w:jc w:val="center"/>
            <w:rPr>
              <w:b/>
              <w:bCs/>
              <w:color w:val="auto"/>
              <w:sz w:val="40"/>
              <w:szCs w:val="48"/>
              <w:highlight w:val="none"/>
            </w:rPr>
          </w:pPr>
          <w:r>
            <w:rPr>
              <w:rFonts w:ascii="宋体" w:hAnsi="宋体" w:eastAsia="宋体"/>
              <w:b/>
              <w:bCs/>
              <w:color w:val="auto"/>
              <w:sz w:val="40"/>
              <w:szCs w:val="48"/>
              <w:highlight w:val="none"/>
            </w:rPr>
            <w:t>目</w:t>
          </w:r>
          <w:r>
            <w:rPr>
              <w:rFonts w:hint="eastAsia" w:ascii="宋体" w:hAnsi="宋体" w:eastAsia="宋体"/>
              <w:b/>
              <w:bCs/>
              <w:color w:val="auto"/>
              <w:sz w:val="40"/>
              <w:szCs w:val="48"/>
              <w:highlight w:val="none"/>
              <w:lang w:val="en-US" w:eastAsia="zh-CN"/>
            </w:rPr>
            <w:t xml:space="preserve"> </w:t>
          </w:r>
          <w:r>
            <w:rPr>
              <w:rFonts w:ascii="宋体" w:hAnsi="宋体" w:eastAsia="宋体"/>
              <w:b/>
              <w:bCs/>
              <w:color w:val="auto"/>
              <w:sz w:val="40"/>
              <w:szCs w:val="48"/>
              <w:highlight w:val="none"/>
            </w:rPr>
            <w:t>录</w:t>
          </w:r>
        </w:p>
        <w:p w14:paraId="17E39CE7">
          <w:pPr>
            <w:pStyle w:val="967"/>
            <w:keepNext w:val="0"/>
            <w:keepLines w:val="0"/>
            <w:pageBreakBefore w:val="0"/>
            <w:widowControl/>
            <w:tabs>
              <w:tab w:val="right" w:leader="dot" w:pos="9746"/>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32"/>
              <w:szCs w:val="32"/>
              <w:highlight w:val="none"/>
            </w:rPr>
          </w:pPr>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TOC \o "1-1" \h \u </w:instrText>
          </w:r>
          <w:r>
            <w:rPr>
              <w:rFonts w:ascii="宋体" w:hAnsi="宋体" w:cs="宋体"/>
              <w:color w:val="auto"/>
              <w:sz w:val="32"/>
              <w:szCs w:val="32"/>
              <w:highlight w:val="none"/>
            </w:rPr>
            <w:fldChar w:fldCharType="separate"/>
          </w:r>
        </w:p>
        <w:p w14:paraId="0E332D02">
          <w:pPr>
            <w:pStyle w:val="967"/>
            <w:keepNext w:val="0"/>
            <w:keepLines w:val="0"/>
            <w:pageBreakBefore w:val="0"/>
            <w:widowControl/>
            <w:tabs>
              <w:tab w:val="right" w:leader="dot" w:pos="9746"/>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_Toc17429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_Toc17429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84FFF4E">
          <w:pPr>
            <w:pStyle w:val="967"/>
            <w:keepNext w:val="0"/>
            <w:keepLines w:val="0"/>
            <w:pageBreakBefore w:val="0"/>
            <w:widowControl/>
            <w:tabs>
              <w:tab w:val="right" w:leader="dot" w:pos="9746"/>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_Toc8751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_Toc8751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3EAF467">
          <w:pPr>
            <w:pStyle w:val="967"/>
            <w:keepNext w:val="0"/>
            <w:keepLines w:val="0"/>
            <w:pageBreakBefore w:val="0"/>
            <w:widowControl/>
            <w:tabs>
              <w:tab w:val="right" w:leader="dot" w:pos="9746"/>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_Toc12756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_Toc12756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DB03663">
          <w:pPr>
            <w:pStyle w:val="967"/>
            <w:keepNext w:val="0"/>
            <w:keepLines w:val="0"/>
            <w:pageBreakBefore w:val="0"/>
            <w:widowControl/>
            <w:tabs>
              <w:tab w:val="right" w:leader="dot" w:pos="9746"/>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_Toc23741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评审办法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_Toc23741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7D8B4C4">
          <w:pPr>
            <w:pStyle w:val="967"/>
            <w:keepNext w:val="0"/>
            <w:keepLines w:val="0"/>
            <w:pageBreakBefore w:val="0"/>
            <w:widowControl/>
            <w:tabs>
              <w:tab w:val="right" w:leader="dot" w:pos="9746"/>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_Toc10403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_Toc10403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294B7FA">
          <w:pPr>
            <w:pStyle w:val="967"/>
            <w:keepNext w:val="0"/>
            <w:keepLines w:val="0"/>
            <w:pageBreakBefore w:val="0"/>
            <w:widowControl/>
            <w:tabs>
              <w:tab w:val="right" w:leader="dot" w:pos="9746"/>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_Toc5140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_Toc5140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64BCAB9">
          <w:pPr>
            <w:pStyle w:val="967"/>
            <w:tabs>
              <w:tab w:val="right" w:leader="dot" w:pos="9746"/>
            </w:tabs>
            <w:rPr>
              <w:color w:val="auto"/>
              <w:highlight w:val="none"/>
            </w:rPr>
          </w:pPr>
        </w:p>
        <w:p w14:paraId="5A5234CE">
          <w:pPr>
            <w:spacing w:line="360" w:lineRule="auto"/>
            <w:ind w:firstLine="840" w:firstLineChars="400"/>
            <w:rPr>
              <w:rFonts w:ascii="宋体" w:hAnsi="宋体" w:cs="宋体"/>
              <w:color w:val="auto"/>
              <w:sz w:val="24"/>
              <w:highlight w:val="none"/>
            </w:rPr>
          </w:pPr>
          <w:r>
            <w:rPr>
              <w:rFonts w:ascii="宋体" w:hAnsi="宋体" w:cs="宋体"/>
              <w:color w:val="auto"/>
              <w:szCs w:val="32"/>
              <w:highlight w:val="none"/>
            </w:rPr>
            <w:fldChar w:fldCharType="end"/>
          </w:r>
          <w:bookmarkStart w:id="4" w:name="_Hlt91233176"/>
          <w:bookmarkEnd w:id="4"/>
          <w:bookmarkStart w:id="5" w:name="_Toc91899869"/>
        </w:p>
      </w:sdtContent>
    </w:sdt>
    <w:p w14:paraId="0D2CB162">
      <w:pPr>
        <w:spacing w:line="360" w:lineRule="auto"/>
        <w:rPr>
          <w:rFonts w:ascii="宋体" w:hAnsi="宋体" w:cs="宋体"/>
          <w:color w:val="auto"/>
          <w:sz w:val="24"/>
          <w:highlight w:val="none"/>
        </w:rPr>
      </w:pPr>
    </w:p>
    <w:bookmarkEnd w:id="5"/>
    <w:p w14:paraId="23A4175B">
      <w:pPr>
        <w:adjustRightInd/>
        <w:spacing w:line="360" w:lineRule="auto"/>
        <w:jc w:val="center"/>
        <w:outlineLvl w:val="0"/>
        <w:rPr>
          <w:rFonts w:hint="eastAsia" w:ascii="宋体" w:hAnsi="宋体" w:cs="宋体"/>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bookmarkStart w:id="432" w:name="_GoBack"/>
      <w:bookmarkEnd w:id="432"/>
      <w:bookmarkStart w:id="6" w:name="_Hlt74707423"/>
      <w:bookmarkEnd w:id="6"/>
      <w:bookmarkStart w:id="7" w:name="_Hlt74729822"/>
      <w:bookmarkEnd w:id="7"/>
      <w:bookmarkStart w:id="8" w:name="_Hlt74728647"/>
      <w:bookmarkEnd w:id="8"/>
      <w:bookmarkStart w:id="9" w:name="_Hlt74649545"/>
      <w:bookmarkEnd w:id="9"/>
      <w:bookmarkStart w:id="10" w:name="_Toc17429"/>
      <w:bookmarkStart w:id="11" w:name="第二部分"/>
      <w:bookmarkStart w:id="12" w:name="_Toc91899870"/>
      <w:bookmarkStart w:id="13" w:name="_Toc91899871"/>
    </w:p>
    <w:p w14:paraId="1D3805F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竞争性磋商公告</w:t>
      </w:r>
      <w:bookmarkEnd w:id="10"/>
    </w:p>
    <w:p w14:paraId="009F1CF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项目概况</w:t>
      </w:r>
    </w:p>
    <w:p w14:paraId="74E5ED0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浙江同济科技职业学院采购管理系统</w:t>
      </w:r>
      <w:r>
        <w:rPr>
          <w:rFonts w:hint="eastAsia" w:ascii="宋体" w:hAnsi="宋体" w:cs="宋体"/>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2025年07月15日09点30分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13C9F99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B76F7FE">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ZXZB-TJ-2025008C</w:t>
      </w:r>
    </w:p>
    <w:p w14:paraId="6BB1457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浙江同济科技职业学院采购管理系统</w:t>
      </w:r>
    </w:p>
    <w:p w14:paraId="04DBC97F">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450000</w:t>
      </w:r>
    </w:p>
    <w:p w14:paraId="4ADC3675">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450000</w:t>
      </w:r>
    </w:p>
    <w:p w14:paraId="6EDD40BE">
      <w:pPr>
        <w:pStyle w:val="9"/>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
          <w:color w:val="auto"/>
          <w:sz w:val="24"/>
          <w:highlight w:val="none"/>
        </w:rPr>
      </w:pPr>
      <w:r>
        <w:rPr>
          <w:rFonts w:hint="eastAsia" w:hAnsi="宋体" w:cs="宋体"/>
          <w:b/>
          <w:color w:val="auto"/>
          <w:sz w:val="24"/>
          <w:highlight w:val="none"/>
        </w:rPr>
        <w:t>采购需求：</w:t>
      </w:r>
    </w:p>
    <w:p w14:paraId="5913BED0">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Ansi="宋体" w:cs="宋体"/>
          <w:bCs/>
          <w:color w:val="auto"/>
          <w:sz w:val="24"/>
          <w:highlight w:val="none"/>
        </w:rPr>
      </w:pPr>
      <w:r>
        <w:rPr>
          <w:rFonts w:hint="eastAsia" w:hAnsi="宋体" w:cs="宋体"/>
          <w:bCs/>
          <w:color w:val="auto"/>
          <w:sz w:val="24"/>
          <w:highlight w:val="none"/>
        </w:rPr>
        <w:t>标项一：</w:t>
      </w:r>
    </w:p>
    <w:p w14:paraId="4EEC8350">
      <w:pPr>
        <w:pStyle w:val="9"/>
        <w:keepNext w:val="0"/>
        <w:keepLines w:val="0"/>
        <w:pageBreakBefore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hAnsi="宋体" w:eastAsia="宋体" w:cs="宋体"/>
          <w:bCs/>
          <w:color w:val="auto"/>
          <w:sz w:val="24"/>
          <w:highlight w:val="none"/>
          <w:lang w:eastAsia="zh-CN"/>
        </w:rPr>
      </w:pPr>
      <w:r>
        <w:rPr>
          <w:rFonts w:hint="eastAsia" w:hAnsi="宋体" w:cs="宋体"/>
          <w:bCs/>
          <w:color w:val="auto"/>
          <w:sz w:val="24"/>
          <w:highlight w:val="none"/>
        </w:rPr>
        <w:t xml:space="preserve">标项名称: </w:t>
      </w:r>
      <w:r>
        <w:rPr>
          <w:rFonts w:hint="eastAsia" w:hAnsi="宋体" w:cs="宋体"/>
          <w:bCs/>
          <w:color w:val="auto"/>
          <w:sz w:val="24"/>
          <w:highlight w:val="none"/>
          <w:lang w:eastAsia="zh-CN"/>
        </w:rPr>
        <w:t>浙江同济科技职业学院采购管理系统</w:t>
      </w:r>
    </w:p>
    <w:p w14:paraId="6F123921">
      <w:pPr>
        <w:pStyle w:val="9"/>
        <w:keepNext w:val="0"/>
        <w:keepLines w:val="0"/>
        <w:pageBreakBefore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hAnsi="宋体" w:cs="宋体"/>
          <w:bCs/>
          <w:color w:val="auto"/>
          <w:sz w:val="24"/>
          <w:highlight w:val="none"/>
        </w:rPr>
      </w:pPr>
      <w:r>
        <w:rPr>
          <w:rFonts w:hint="eastAsia" w:hAnsi="宋体" w:cs="宋体"/>
          <w:bCs/>
          <w:color w:val="auto"/>
          <w:sz w:val="24"/>
          <w:highlight w:val="none"/>
        </w:rPr>
        <w:t>数量: 1项</w:t>
      </w:r>
    </w:p>
    <w:p w14:paraId="25A47E5B">
      <w:pPr>
        <w:pStyle w:val="9"/>
        <w:keepNext w:val="0"/>
        <w:keepLines w:val="0"/>
        <w:pageBreakBefore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hAnsi="宋体" w:eastAsia="宋体" w:cs="宋体"/>
          <w:bCs/>
          <w:color w:val="auto"/>
          <w:sz w:val="24"/>
          <w:highlight w:val="none"/>
          <w:lang w:eastAsia="zh-CN"/>
        </w:rPr>
      </w:pPr>
      <w:r>
        <w:rPr>
          <w:rFonts w:hint="eastAsia" w:hAnsi="宋体" w:cs="宋体"/>
          <w:bCs/>
          <w:color w:val="auto"/>
          <w:sz w:val="24"/>
          <w:highlight w:val="none"/>
        </w:rPr>
        <w:t xml:space="preserve">预算金额（元）: </w:t>
      </w:r>
      <w:r>
        <w:rPr>
          <w:rFonts w:hint="eastAsia" w:hAnsi="宋体" w:cs="宋体"/>
          <w:b w:val="0"/>
          <w:bCs/>
          <w:color w:val="auto"/>
          <w:sz w:val="24"/>
          <w:highlight w:val="none"/>
          <w:lang w:val="en-US" w:eastAsia="zh-CN"/>
        </w:rPr>
        <w:t>450000</w:t>
      </w:r>
    </w:p>
    <w:p w14:paraId="5A6AA877">
      <w:pPr>
        <w:pStyle w:val="9"/>
        <w:keepNext w:val="0"/>
        <w:keepLines w:val="0"/>
        <w:pageBreakBefore w:val="0"/>
        <w:kinsoku/>
        <w:wordWrap/>
        <w:overflowPunct/>
        <w:topLinePunct w:val="0"/>
        <w:autoSpaceDE/>
        <w:autoSpaceDN/>
        <w:bidi w:val="0"/>
        <w:adjustRightInd w:val="0"/>
        <w:snapToGrid w:val="0"/>
        <w:spacing w:line="360" w:lineRule="auto"/>
        <w:ind w:left="0" w:leftChars="0" w:firstLine="960" w:firstLineChars="400"/>
        <w:textAlignment w:val="auto"/>
        <w:rPr>
          <w:rFonts w:hAnsi="宋体" w:cs="宋体"/>
          <w:bCs/>
          <w:color w:val="auto"/>
          <w:sz w:val="24"/>
          <w:highlight w:val="none"/>
        </w:rPr>
      </w:pPr>
      <w:r>
        <w:rPr>
          <w:rFonts w:hint="eastAsia" w:hAnsi="宋体" w:cs="宋体"/>
          <w:bCs/>
          <w:color w:val="auto"/>
          <w:sz w:val="24"/>
          <w:highlight w:val="none"/>
        </w:rPr>
        <w:t xml:space="preserve">简要规格描述或项目基本概况介绍、用途：详见竞争性磋商文件第三部分 采购需求 </w:t>
      </w:r>
    </w:p>
    <w:p w14:paraId="0D8EB99A">
      <w:pPr>
        <w:pStyle w:val="9"/>
        <w:keepNext w:val="0"/>
        <w:keepLines w:val="0"/>
        <w:pageBreakBefore w:val="0"/>
        <w:kinsoku/>
        <w:wordWrap/>
        <w:overflowPunct/>
        <w:topLinePunct w:val="0"/>
        <w:autoSpaceDE/>
        <w:autoSpaceDN/>
        <w:bidi w:val="0"/>
        <w:adjustRightInd w:val="0"/>
        <w:snapToGrid w:val="0"/>
        <w:spacing w:line="360" w:lineRule="auto"/>
        <w:ind w:left="0" w:leftChars="0" w:firstLine="960" w:firstLineChars="400"/>
        <w:textAlignment w:val="auto"/>
        <w:rPr>
          <w:rFonts w:hAnsi="宋体" w:cs="宋体"/>
          <w:bCs/>
          <w:color w:val="auto"/>
          <w:sz w:val="24"/>
          <w:highlight w:val="none"/>
        </w:rPr>
      </w:pPr>
      <w:r>
        <w:rPr>
          <w:rFonts w:hint="eastAsia" w:hAnsi="宋体" w:cs="宋体"/>
          <w:bCs/>
          <w:color w:val="auto"/>
          <w:sz w:val="24"/>
          <w:highlight w:val="none"/>
        </w:rPr>
        <w:t>备注：</w:t>
      </w:r>
    </w:p>
    <w:p w14:paraId="650C56E0">
      <w:pPr>
        <w:pStyle w:val="9"/>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highlight w:val="none"/>
          <w:lang w:eastAsia="zh-CN"/>
        </w:rPr>
      </w:pPr>
      <w:r>
        <w:rPr>
          <w:rFonts w:hint="eastAsia" w:ascii="宋体" w:hAnsi="宋体" w:eastAsia="宋体" w:cs="宋体"/>
          <w:b/>
          <w:bCs w:val="0"/>
          <w:color w:val="auto"/>
          <w:sz w:val="24"/>
          <w:highlight w:val="none"/>
        </w:rPr>
        <w:t>合同履约期限：</w:t>
      </w:r>
      <w:r>
        <w:rPr>
          <w:rFonts w:hint="eastAsia" w:hAnsi="宋体" w:cs="宋体"/>
          <w:b/>
          <w:bCs w:val="0"/>
          <w:color w:val="auto"/>
          <w:sz w:val="24"/>
          <w:highlight w:val="none"/>
          <w:lang w:val="en-US" w:eastAsia="zh-CN"/>
        </w:rPr>
        <w:t>合同签订后6个月内完成安装、调试</w:t>
      </w:r>
      <w:r>
        <w:rPr>
          <w:rFonts w:hint="eastAsia" w:ascii="宋体" w:hAnsi="宋体" w:eastAsia="宋体" w:cs="宋体"/>
          <w:b/>
          <w:bCs w:val="0"/>
          <w:color w:val="auto"/>
          <w:sz w:val="24"/>
          <w:highlight w:val="none"/>
        </w:rPr>
        <w:t>。</w:t>
      </w:r>
    </w:p>
    <w:p w14:paraId="02C77E54">
      <w:pPr>
        <w:pStyle w:val="9"/>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
          <w:bCs w:val="0"/>
          <w:color w:val="auto"/>
          <w:sz w:val="24"/>
          <w:highlight w:val="none"/>
        </w:rPr>
        <w:t>本项目接受联合体：</w:t>
      </w:r>
      <w:r>
        <w:rPr>
          <w:rFonts w:hint="eastAsia" w:ascii="宋体" w:hAnsi="宋体" w:eastAsia="宋体" w:cs="宋体"/>
          <w:bCs/>
          <w:color w:val="auto"/>
          <w:sz w:val="24"/>
          <w:highlight w:val="none"/>
          <w:lang w:val="en-US" w:eastAsia="zh-CN"/>
        </w:rPr>
        <w:t>是</w:t>
      </w:r>
      <w:r>
        <w:rPr>
          <w:rFonts w:hint="eastAsia" w:ascii="宋体" w:hAnsi="宋体" w:eastAsia="宋体" w:cs="宋体"/>
          <w:bCs/>
          <w:color w:val="auto"/>
          <w:sz w:val="24"/>
          <w:highlight w:val="none"/>
        </w:rPr>
        <w:t>。</w:t>
      </w:r>
    </w:p>
    <w:p w14:paraId="2F5BA32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w:t>
      </w:r>
      <w:bookmarkStart w:id="14" w:name="_Hlk101132948"/>
      <w:r>
        <w:rPr>
          <w:rFonts w:hint="eastAsia" w:ascii="宋体" w:hAnsi="宋体" w:cs="宋体"/>
          <w:b/>
          <w:color w:val="auto"/>
          <w:sz w:val="24"/>
          <w:highlight w:val="none"/>
        </w:rPr>
        <w:t>申请人的资格要求</w:t>
      </w:r>
      <w:bookmarkEnd w:id="14"/>
      <w:r>
        <w:rPr>
          <w:rFonts w:hint="eastAsia" w:ascii="宋体" w:hAnsi="宋体" w:cs="宋体"/>
          <w:b/>
          <w:color w:val="auto"/>
          <w:sz w:val="24"/>
          <w:highlight w:val="none"/>
        </w:rPr>
        <w:t>：</w:t>
      </w:r>
    </w:p>
    <w:p w14:paraId="393D3FED">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napToGrid w:val="0"/>
          <w:color w:val="auto"/>
          <w:kern w:val="28"/>
          <w:sz w:val="24"/>
          <w:szCs w:val="20"/>
          <w:highlight w:val="none"/>
          <w:lang w:eastAsia="zh-CN"/>
        </w:rPr>
        <w:t>。</w:t>
      </w:r>
    </w:p>
    <w:p w14:paraId="5404C36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snapToGrid w:val="0"/>
          <w:color w:val="auto"/>
          <w:kern w:val="28"/>
          <w:sz w:val="24"/>
          <w:szCs w:val="20"/>
          <w:highlight w:val="none"/>
        </w:rPr>
        <w:t>2.落实政府采购政策需满足的资格要求：</w:t>
      </w:r>
      <w:r>
        <w:rPr>
          <w:rFonts w:hint="eastAsia" w:ascii="宋体" w:hAnsi="宋体" w:cs="宋体"/>
          <w:snapToGrid w:val="0"/>
          <w:color w:val="auto"/>
          <w:kern w:val="28"/>
          <w:sz w:val="24"/>
          <w:szCs w:val="20"/>
          <w:highlight w:val="none"/>
          <w:lang w:val="en-US" w:eastAsia="zh-CN"/>
        </w:rPr>
        <w:t>无；</w:t>
      </w:r>
    </w:p>
    <w:p w14:paraId="7CC923E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7CEDFD77">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3FA3CFE1">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2025年07月15日</w:t>
      </w:r>
      <w:r>
        <w:rPr>
          <w:rFonts w:hint="eastAsia" w:ascii="宋体" w:hAnsi="宋体" w:cs="宋体"/>
          <w:color w:val="auto"/>
          <w:sz w:val="24"/>
          <w:highlight w:val="none"/>
        </w:rPr>
        <w:t>，每天上午00:00至12:00，下午12:00至23:59（北京时间，线上获取法定节假日均可，线下获取文件法定节假日除外）</w:t>
      </w:r>
    </w:p>
    <w:p w14:paraId="2910BF8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903E1D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6A37453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4E0620B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2F518A0B">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2025年07月15日09点30分</w:t>
      </w:r>
      <w:r>
        <w:rPr>
          <w:rFonts w:hint="eastAsia" w:ascii="宋体" w:hAnsi="宋体" w:cs="宋体"/>
          <w:color w:val="auto"/>
          <w:sz w:val="24"/>
          <w:highlight w:val="none"/>
        </w:rPr>
        <w:t>（北京时间）</w:t>
      </w:r>
    </w:p>
    <w:p w14:paraId="469A1F3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605A33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069CA9FB">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2025年07月15日09点30分</w:t>
      </w:r>
      <w:r>
        <w:rPr>
          <w:rFonts w:hint="eastAsia" w:ascii="宋体" w:hAnsi="宋体" w:cs="宋体"/>
          <w:color w:val="auto"/>
          <w:sz w:val="24"/>
          <w:highlight w:val="none"/>
        </w:rPr>
        <w:t>（北京时间）</w:t>
      </w:r>
    </w:p>
    <w:p w14:paraId="06CD29B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496A2D7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22C4151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2991A5F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七、其他补充事宜</w:t>
      </w:r>
    </w:p>
    <w:p w14:paraId="6568D94A">
      <w:pPr>
        <w:shd w:val="clear" w:color="auto" w:fill="auto"/>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BC4A4E9">
      <w:pPr>
        <w:shd w:val="clear" w:color="auto" w:fill="auto"/>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D48A9C">
      <w:pPr>
        <w:shd w:val="clear" w:color="auto" w:fill="auto"/>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D464F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4.其他事项：（1）以联合体形式参加磋商的，提供联合协议(本项目不接受联合体响应或者供应商不以联合体形式参加磋商的，则不需要提供) 。（2）单位负责人为同一人或者存在直接控股、管理关系的不同供应商，不得参加同一合同项下的政府采购活动；为采购项目提供整体设计、规范编制或者项目管理、监理、检测等服务后不得再参加该采购项目的其他采购活动。（3）需要落实的政府采购政策：包括节约资源、保护环境、支持创新、促进中小企业发展等。详见采购文件的第二部分总则。（4）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5）采购文件公告期限与竞争性磋商公告的公告期限一致。</w:t>
      </w:r>
    </w:p>
    <w:p w14:paraId="072618C2">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69C109F2">
      <w:pPr>
        <w:shd w:val="clear" w:color="auto" w:fill="auto"/>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244150F1">
      <w:pPr>
        <w:shd w:val="clear" w:color="auto" w:fill="auto"/>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浙江同济科技职业学院</w:t>
      </w:r>
      <w:r>
        <w:rPr>
          <w:rFonts w:hint="eastAsia" w:ascii="宋体" w:hAnsi="宋体" w:cs="宋体"/>
          <w:color w:val="auto"/>
          <w:sz w:val="24"/>
          <w:highlight w:val="none"/>
        </w:rPr>
        <w:t xml:space="preserve"> </w:t>
      </w:r>
    </w:p>
    <w:p w14:paraId="7D939207">
      <w:pPr>
        <w:shd w:val="clear" w:color="auto" w:fill="auto"/>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杭州市萧山高教园区耕文路418号</w:t>
      </w:r>
    </w:p>
    <w:p w14:paraId="5E4AC721">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马老师</w:t>
      </w:r>
    </w:p>
    <w:p w14:paraId="56E6ADD9">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0571-83518898</w:t>
      </w:r>
    </w:p>
    <w:p w14:paraId="68F20DB2">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陈老师</w:t>
      </w:r>
    </w:p>
    <w:p w14:paraId="1E53AA62">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0571-83518898</w:t>
      </w:r>
    </w:p>
    <w:p w14:paraId="7ADAAEEA">
      <w:pPr>
        <w:shd w:val="clear" w:color="auto" w:fill="auto"/>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14:paraId="46A58335">
      <w:pPr>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cs="宋体"/>
          <w:color w:val="auto"/>
          <w:sz w:val="24"/>
          <w:highlight w:val="none"/>
          <w:lang w:eastAsia="zh-CN"/>
        </w:rPr>
        <w:t>浙江致信招标代理有限公司</w:t>
      </w:r>
    </w:p>
    <w:p w14:paraId="6F1CB74F">
      <w:pPr>
        <w:shd w:val="clear" w:color="auto" w:fill="auto"/>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w:t>
      </w:r>
      <w:r>
        <w:rPr>
          <w:rFonts w:hint="eastAsia" w:ascii="宋体" w:hAnsi="宋体" w:cs="宋体"/>
          <w:color w:val="auto"/>
          <w:sz w:val="24"/>
          <w:highlight w:val="none"/>
          <w:lang w:val="en-US" w:eastAsia="zh-CN"/>
        </w:rPr>
        <w:t>浙江省杭州市西湖区天目山路7号1号楼裙楼</w:t>
      </w:r>
    </w:p>
    <w:p w14:paraId="62468697">
      <w:pPr>
        <w:shd w:val="clear" w:color="auto" w:fill="auto"/>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项目联系人（询问）：徐锦峰、俞磊、</w:t>
      </w:r>
      <w:r>
        <w:rPr>
          <w:rFonts w:hint="eastAsia" w:ascii="宋体" w:hAnsi="宋体" w:cs="宋体"/>
          <w:color w:val="auto"/>
          <w:sz w:val="24"/>
          <w:highlight w:val="none"/>
          <w:lang w:val="en-US" w:eastAsia="zh-CN"/>
        </w:rPr>
        <w:t>胡月月</w:t>
      </w:r>
      <w:r>
        <w:rPr>
          <w:rFonts w:hint="eastAsia" w:ascii="宋体" w:hAnsi="宋体" w:eastAsia="宋体" w:cs="宋体"/>
          <w:color w:val="auto"/>
          <w:sz w:val="24"/>
          <w:highlight w:val="none"/>
          <w:lang w:val="en-US" w:eastAsia="zh-CN"/>
        </w:rPr>
        <w:t>、张小燕、朱梅黎、沈诗佳</w:t>
      </w:r>
    </w:p>
    <w:p w14:paraId="1364D884">
      <w:pPr>
        <w:shd w:val="clear" w:color="auto" w:fill="auto"/>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项目联系方式（询问）：0571-85388866</w:t>
      </w:r>
    </w:p>
    <w:p w14:paraId="460724B6">
      <w:pPr>
        <w:shd w:val="clear" w:color="auto" w:fill="auto"/>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宋体" w:hAnsi="宋体" w:cs="宋体"/>
          <w:color w:val="auto"/>
          <w:sz w:val="24"/>
          <w:highlight w:val="none"/>
          <w:lang w:val="en-US" w:eastAsia="zh-CN"/>
        </w:rPr>
        <w:t>尤依婷</w:t>
      </w:r>
    </w:p>
    <w:p w14:paraId="75B0A208">
      <w:pPr>
        <w:shd w:val="clear" w:color="auto" w:fill="auto"/>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质疑联系方式：0571-88026807</w:t>
      </w:r>
    </w:p>
    <w:p w14:paraId="65607BA9">
      <w:pPr>
        <w:shd w:val="clear" w:color="auto" w:fill="auto"/>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1C56FE9D">
      <w:pPr>
        <w:shd w:val="clear" w:color="auto" w:fill="auto"/>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称：浙江省政府采购行政裁决服务中心（杭州市上城区清泰街549号城建综合大楼11楼）</w:t>
      </w:r>
    </w:p>
    <w:p w14:paraId="387C9E16">
      <w:pPr>
        <w:shd w:val="clear" w:color="auto" w:fill="auto"/>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w:t>
      </w:r>
    </w:p>
    <w:p w14:paraId="1D1450B3">
      <w:pPr>
        <w:shd w:val="clear" w:color="auto" w:fill="auto"/>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1CEB667D">
      <w:pPr>
        <w:shd w:val="clear" w:color="auto" w:fill="auto"/>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人：匡老师</w:t>
      </w:r>
    </w:p>
    <w:p w14:paraId="36E58C70">
      <w:pPr>
        <w:shd w:val="clear" w:color="auto" w:fill="auto"/>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监督投诉电话：0571-87807798</w:t>
      </w:r>
    </w:p>
    <w:p w14:paraId="44B37053">
      <w:pPr>
        <w:shd w:val="clear" w:color="auto" w:fill="auto"/>
        <w:snapToGrid w:val="0"/>
        <w:spacing w:line="360" w:lineRule="auto"/>
        <w:ind w:firstLine="480" w:firstLineChars="200"/>
        <w:rPr>
          <w:rFonts w:hint="eastAsia" w:ascii="宋体" w:hAnsi="宋体" w:cs="宋体"/>
          <w:color w:val="auto"/>
          <w:sz w:val="24"/>
          <w:highlight w:val="none"/>
        </w:rPr>
      </w:pPr>
    </w:p>
    <w:p w14:paraId="5DAC962E">
      <w:pPr>
        <w:shd w:val="clear" w:color="auto" w:fill="auto"/>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46E8D754">
      <w:pPr>
        <w:shd w:val="clear" w:color="auto" w:fill="auto"/>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5EB3AF56">
      <w:pPr>
        <w:shd w:val="clear" w:color="auto" w:fill="auto"/>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       </w:t>
      </w:r>
    </w:p>
    <w:p w14:paraId="499ADA9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highlight w:val="none"/>
        </w:rPr>
      </w:pPr>
      <w:r>
        <w:rPr>
          <w:rFonts w:hint="eastAsia" w:ascii="宋体" w:hAnsi="宋体" w:cs="宋体"/>
          <w:color w:val="auto"/>
          <w:sz w:val="24"/>
          <w:highlight w:val="none"/>
        </w:rPr>
        <w:t>CA问题联系电话（人工）：汇信CA 400-888-4636；天谷CA 400-087-8198。</w:t>
      </w:r>
    </w:p>
    <w:p w14:paraId="4422AB0F">
      <w:pPr>
        <w:rPr>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37C54F90">
      <w:pPr>
        <w:adjustRightInd/>
        <w:spacing w:line="360" w:lineRule="auto"/>
        <w:jc w:val="center"/>
        <w:outlineLvl w:val="0"/>
        <w:rPr>
          <w:rFonts w:ascii="宋体" w:hAnsi="宋体" w:cs="宋体"/>
          <w:b/>
          <w:color w:val="auto"/>
          <w:sz w:val="36"/>
          <w:szCs w:val="20"/>
          <w:highlight w:val="none"/>
        </w:rPr>
      </w:pPr>
      <w:bookmarkStart w:id="15" w:name="_Toc8751"/>
      <w:r>
        <w:rPr>
          <w:rFonts w:hint="eastAsia" w:ascii="宋体" w:hAnsi="宋体" w:cs="宋体"/>
          <w:b/>
          <w:color w:val="auto"/>
          <w:sz w:val="36"/>
          <w:szCs w:val="20"/>
          <w:highlight w:val="none"/>
        </w:rPr>
        <w:t>第二部分 供应商须知</w:t>
      </w:r>
      <w:bookmarkEnd w:id="15"/>
    </w:p>
    <w:bookmarkEnd w:id="11"/>
    <w:bookmarkEnd w:id="12"/>
    <w:p w14:paraId="416FB28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2C7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tcPr>
          <w:p w14:paraId="72E08B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49F57A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CECAB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0D8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714" w:type="dxa"/>
            <w:vAlign w:val="center"/>
          </w:tcPr>
          <w:p w14:paraId="069878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201FC9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2B0BAFF5">
            <w:pPr>
              <w:spacing w:line="360" w:lineRule="auto"/>
              <w:rPr>
                <w:rFonts w:ascii="宋体" w:hAnsi="宋体" w:cs="宋体"/>
                <w:color w:val="auto"/>
                <w:sz w:val="24"/>
                <w:highlight w:val="none"/>
              </w:rPr>
            </w:pPr>
            <w:r>
              <w:rPr>
                <w:rFonts w:hint="eastAsia" w:ascii="宋体" w:hAnsi="宋体" w:cs="宋体"/>
                <w:color w:val="auto"/>
                <w:sz w:val="24"/>
                <w:highlight w:val="none"/>
              </w:rPr>
              <w:t>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浙江同济科技职业学院采购管理系统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软件和信息技术服务业 。</w:t>
            </w:r>
          </w:p>
        </w:tc>
      </w:tr>
      <w:tr w14:paraId="12C7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184ABAE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093" w:type="dxa"/>
            <w:vAlign w:val="center"/>
          </w:tcPr>
          <w:p w14:paraId="65331B6C">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项目概况</w:t>
            </w:r>
          </w:p>
        </w:tc>
        <w:tc>
          <w:tcPr>
            <w:tcW w:w="6927" w:type="dxa"/>
            <w:vAlign w:val="center"/>
          </w:tcPr>
          <w:p w14:paraId="750D965C">
            <w:p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1.项目名称：</w:t>
            </w:r>
            <w:r>
              <w:rPr>
                <w:rFonts w:hint="eastAsia" w:ascii="宋体" w:hAnsi="宋体" w:cs="宋体"/>
                <w:color w:val="auto"/>
                <w:sz w:val="24"/>
                <w:highlight w:val="none"/>
                <w:lang w:val="en-US" w:eastAsia="zh-CN"/>
              </w:rPr>
              <w:t>浙江同济科技职业学院采购管理系统</w:t>
            </w:r>
          </w:p>
          <w:p w14:paraId="473413A5">
            <w:p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2.项目地点：项目地点为</w:t>
            </w:r>
            <w:r>
              <w:rPr>
                <w:rFonts w:hint="eastAsia" w:ascii="宋体" w:hAnsi="宋体" w:cs="宋体"/>
                <w:color w:val="auto"/>
                <w:sz w:val="24"/>
                <w:highlight w:val="none"/>
                <w:lang w:val="en-US" w:eastAsia="zh-CN"/>
              </w:rPr>
              <w:t>浙江同济科技职业学院</w:t>
            </w:r>
            <w:r>
              <w:rPr>
                <w:rFonts w:hint="default" w:ascii="宋体" w:hAnsi="宋体" w:eastAsia="宋体" w:cs="宋体"/>
                <w:color w:val="auto"/>
                <w:sz w:val="24"/>
                <w:highlight w:val="none"/>
                <w:lang w:val="en-US" w:eastAsia="zh-CN"/>
              </w:rPr>
              <w:t>。</w:t>
            </w:r>
          </w:p>
        </w:tc>
      </w:tr>
      <w:tr w14:paraId="370C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249DF38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2093" w:type="dxa"/>
            <w:shd w:val="clear" w:color="auto" w:fill="auto"/>
            <w:vAlign w:val="center"/>
          </w:tcPr>
          <w:p w14:paraId="52E872C1">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b/>
                <w:bCs w:val="0"/>
                <w:color w:val="auto"/>
                <w:sz w:val="24"/>
                <w:highlight w:val="none"/>
              </w:rPr>
              <w:t>磋商</w:t>
            </w:r>
            <w:r>
              <w:rPr>
                <w:rFonts w:hint="eastAsia" w:ascii="宋体" w:hAnsi="宋体"/>
                <w:b/>
                <w:bCs w:val="0"/>
                <w:color w:val="auto"/>
                <w:sz w:val="24"/>
                <w:highlight w:val="none"/>
                <w:lang w:val="en-US" w:eastAsia="zh-CN"/>
              </w:rPr>
              <w:t>响应截止</w:t>
            </w:r>
            <w:r>
              <w:rPr>
                <w:rFonts w:hint="eastAsia" w:ascii="宋体" w:hAnsi="宋体"/>
                <w:b/>
                <w:bCs w:val="0"/>
                <w:color w:val="auto"/>
                <w:sz w:val="24"/>
                <w:highlight w:val="none"/>
              </w:rPr>
              <w:t>时间及地点</w:t>
            </w:r>
          </w:p>
        </w:tc>
        <w:tc>
          <w:tcPr>
            <w:tcW w:w="6927" w:type="dxa"/>
            <w:shd w:val="clear" w:color="auto" w:fill="auto"/>
            <w:vAlign w:val="center"/>
          </w:tcPr>
          <w:p w14:paraId="0CAA6EB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详见：“第一部分 竞争性磋商公告”</w:t>
            </w:r>
          </w:p>
        </w:tc>
      </w:tr>
      <w:tr w14:paraId="1941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E6609F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093" w:type="dxa"/>
            <w:shd w:val="clear" w:color="auto" w:fill="auto"/>
            <w:vAlign w:val="center"/>
          </w:tcPr>
          <w:p w14:paraId="1F03813E">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分包</w:t>
            </w:r>
          </w:p>
        </w:tc>
        <w:tc>
          <w:tcPr>
            <w:tcW w:w="6927" w:type="dxa"/>
            <w:shd w:val="clear" w:color="auto" w:fill="auto"/>
            <w:vAlign w:val="center"/>
          </w:tcPr>
          <w:p w14:paraId="5BFBD22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515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
              <w:sdtPr>
                <w:rPr>
                  <w:rFonts w:hint="default" w:ascii="宋体" w:hAnsi="宋体" w:cs="宋体"/>
                  <w:color w:val="auto"/>
                  <w:kern w:val="0"/>
                  <w:sz w:val="24"/>
                  <w:highlight w:val="none"/>
                  <w:lang w:val="en-US"/>
                </w:rPr>
                <w:id w:val="147474931"/>
              </w:sdtPr>
              <w:sdtEndPr>
                <w:rPr>
                  <w:rFonts w:hint="eastAsia" w:ascii="宋体" w:hAnsi="宋体" w:cs="宋体"/>
                  <w:color w:val="auto"/>
                  <w:kern w:val="0"/>
                  <w:sz w:val="24"/>
                  <w:highlight w:val="none"/>
                  <w:lang w:val="en-US"/>
                </w:rPr>
              </w:sdtEndPr>
              <w:sdtContent>
                <w:r>
                  <w:rPr>
                    <w:rFonts w:hint="eastAsia" w:ascii="宋体" w:hAnsi="宋体" w:cs="宋体"/>
                    <w:color w:val="auto"/>
                    <w:kern w:val="0"/>
                    <w:sz w:val="24"/>
                    <w:highlight w:val="none"/>
                    <w:lang w:val="en-US" w:eastAsia="zh-CN"/>
                  </w:rPr>
                  <w:t xml:space="preserve"> </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0AB5488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710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22160B4">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注：不得限制大中型企业向小微企业合理分包。</w:t>
            </w:r>
          </w:p>
        </w:tc>
      </w:tr>
      <w:tr w14:paraId="596B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 w:hRule="atLeast"/>
          <w:jc w:val="center"/>
        </w:trPr>
        <w:tc>
          <w:tcPr>
            <w:tcW w:w="714" w:type="dxa"/>
            <w:vAlign w:val="center"/>
          </w:tcPr>
          <w:p w14:paraId="631BBAE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093" w:type="dxa"/>
            <w:shd w:val="clear" w:color="auto" w:fill="auto"/>
            <w:vAlign w:val="center"/>
          </w:tcPr>
          <w:p w14:paraId="37EA4DE6">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磋商前答疑会或现场考察</w:t>
            </w:r>
          </w:p>
        </w:tc>
        <w:tc>
          <w:tcPr>
            <w:tcW w:w="6927" w:type="dxa"/>
            <w:shd w:val="clear" w:color="auto" w:fill="auto"/>
            <w:vAlign w:val="center"/>
          </w:tcPr>
          <w:p w14:paraId="7E51FB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sdt>
              <w:sdtPr>
                <w:rPr>
                  <w:rFonts w:hint="eastAsia" w:asciiTheme="minorEastAsia" w:hAnsiTheme="minorEastAsia" w:eastAsiaTheme="minorEastAsia" w:cstheme="minorEastAsia"/>
                  <w:color w:val="auto"/>
                  <w:kern w:val="0"/>
                  <w:sz w:val="24"/>
                  <w:szCs w:val="24"/>
                  <w:highlight w:val="none"/>
                </w:rPr>
                <w:id w:val="147456686"/>
              </w:sdtPr>
              <w:sdtEndPr>
                <w:rPr>
                  <w:rFonts w:hint="eastAsia" w:asciiTheme="minorEastAsia" w:hAnsiTheme="minorEastAsia" w:eastAsiaTheme="minorEastAsia" w:cstheme="minorEastAsia"/>
                  <w:color w:val="auto"/>
                  <w:kern w:val="0"/>
                  <w:sz w:val="24"/>
                  <w:szCs w:val="24"/>
                  <w:highlight w:val="none"/>
                </w:rPr>
              </w:sdtEndPr>
              <w:sdtContent>
                <w:r>
                  <w:rPr>
                    <w:rFonts w:hint="eastAsia" w:asciiTheme="minorEastAsia" w:hAnsiTheme="minorEastAsia" w:eastAsiaTheme="minorEastAsia" w:cstheme="minorEastAsia"/>
                    <w:color w:val="auto"/>
                    <w:kern w:val="0"/>
                    <w:sz w:val="24"/>
                    <w:szCs w:val="24"/>
                    <w:highlight w:val="none"/>
                  </w:rPr>
                  <w:sym w:font="Wingdings" w:char="F0FE"/>
                </w:r>
              </w:sdtContent>
            </w:sdt>
            <w:r>
              <w:rPr>
                <w:rFonts w:hint="eastAsia" w:asciiTheme="minorEastAsia" w:hAnsiTheme="minorEastAsia" w:eastAsiaTheme="minorEastAsia" w:cstheme="minorEastAsia"/>
                <w:color w:val="auto"/>
                <w:kern w:val="0"/>
                <w:sz w:val="24"/>
                <w:szCs w:val="24"/>
                <w:highlight w:val="none"/>
              </w:rPr>
              <w:t>A</w:t>
            </w:r>
            <w:r>
              <w:rPr>
                <w:rFonts w:hint="eastAsia" w:asciiTheme="minorEastAsia" w:hAnsiTheme="minorEastAsia" w:eastAsiaTheme="minorEastAsia" w:cstheme="minorEastAsia"/>
                <w:color w:val="auto"/>
                <w:sz w:val="24"/>
                <w:szCs w:val="24"/>
                <w:highlight w:val="none"/>
              </w:rPr>
              <w:t>不组织。</w:t>
            </w:r>
          </w:p>
          <w:p w14:paraId="40011F2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sdt>
              <w:sdtPr>
                <w:rPr>
                  <w:rFonts w:hint="eastAsia" w:asciiTheme="minorEastAsia" w:hAnsiTheme="minorEastAsia" w:eastAsiaTheme="minorEastAsia" w:cstheme="minorEastAsia"/>
                  <w:color w:val="auto"/>
                  <w:kern w:val="0"/>
                  <w:sz w:val="24"/>
                  <w:szCs w:val="24"/>
                  <w:highlight w:val="none"/>
                </w:rPr>
                <w:id w:val="147473127"/>
              </w:sdtPr>
              <w:sdtEndPr>
                <w:rPr>
                  <w:rFonts w:hint="eastAsia" w:asciiTheme="minorEastAsia" w:hAnsiTheme="minorEastAsia" w:eastAsiaTheme="minorEastAsia" w:cstheme="minorEastAsia"/>
                  <w:color w:val="auto"/>
                  <w:kern w:val="0"/>
                  <w:sz w:val="24"/>
                  <w:szCs w:val="24"/>
                  <w:highlight w:val="none"/>
                </w:rPr>
              </w:sdtEndPr>
              <w:sdtContent>
                <w:r>
                  <w:rPr>
                    <w:rFonts w:hint="eastAsia" w:asciiTheme="minorEastAsia" w:hAnsiTheme="minorEastAsia" w:eastAsiaTheme="minorEastAsia" w:cstheme="minorEastAsia"/>
                    <w:color w:val="auto"/>
                    <w:kern w:val="0"/>
                    <w:sz w:val="24"/>
                    <w:szCs w:val="24"/>
                    <w:highlight w:val="none"/>
                  </w:rPr>
                  <w:t>☐</w:t>
                </w:r>
              </w:sdtContent>
            </w:sdt>
            <w:r>
              <w:rPr>
                <w:rFonts w:hint="eastAsia" w:asciiTheme="minorEastAsia" w:hAnsiTheme="minorEastAsia" w:eastAsiaTheme="minorEastAsia" w:cstheme="minorEastAsia"/>
                <w:color w:val="auto"/>
                <w:kern w:val="0"/>
                <w:sz w:val="24"/>
                <w:szCs w:val="24"/>
                <w:highlight w:val="none"/>
              </w:rPr>
              <w:t>B组织，</w:t>
            </w:r>
            <w:r>
              <w:rPr>
                <w:rFonts w:hint="eastAsia" w:asciiTheme="minorEastAsia" w:hAnsiTheme="minorEastAsia" w:eastAsiaTheme="minorEastAsia" w:cstheme="minorEastAsia"/>
                <w:color w:val="auto"/>
                <w:sz w:val="24"/>
                <w:szCs w:val="24"/>
                <w:highlight w:val="none"/>
              </w:rPr>
              <w:t>时间：,地点：，联系人：，联系方式：。</w:t>
            </w:r>
          </w:p>
        </w:tc>
      </w:tr>
      <w:tr w14:paraId="57F8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 w:hRule="atLeast"/>
          <w:jc w:val="center"/>
        </w:trPr>
        <w:tc>
          <w:tcPr>
            <w:tcW w:w="714" w:type="dxa"/>
            <w:shd w:val="clear" w:color="auto" w:fill="auto"/>
            <w:vAlign w:val="center"/>
          </w:tcPr>
          <w:p w14:paraId="7BA73B1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2093" w:type="dxa"/>
            <w:shd w:val="clear" w:color="auto" w:fill="auto"/>
            <w:vAlign w:val="center"/>
          </w:tcPr>
          <w:p w14:paraId="218BB4B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6927" w:type="dxa"/>
            <w:shd w:val="clear" w:color="auto" w:fill="auto"/>
            <w:vAlign w:val="center"/>
          </w:tcPr>
          <w:p w14:paraId="2072605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sdt>
              <w:sdtPr>
                <w:rPr>
                  <w:rFonts w:hint="eastAsia" w:asciiTheme="minorEastAsia" w:hAnsiTheme="minorEastAsia" w:eastAsiaTheme="minorEastAsia" w:cstheme="minorEastAsia"/>
                  <w:color w:val="auto"/>
                  <w:kern w:val="0"/>
                  <w:sz w:val="24"/>
                  <w:szCs w:val="24"/>
                  <w:highlight w:val="none"/>
                </w:rPr>
                <w:id w:val="14746747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szCs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szCs w:val="24"/>
                <w:highlight w:val="none"/>
              </w:rPr>
              <w:t>A</w:t>
            </w:r>
            <w:r>
              <w:rPr>
                <w:rFonts w:hint="eastAsia" w:asciiTheme="minorEastAsia" w:hAnsiTheme="minorEastAsia" w:eastAsiaTheme="minorEastAsia" w:cstheme="minorEastAsia"/>
                <w:color w:val="auto"/>
                <w:sz w:val="24"/>
                <w:szCs w:val="24"/>
                <w:highlight w:val="none"/>
              </w:rPr>
              <w:t>不组织。</w:t>
            </w:r>
          </w:p>
          <w:p w14:paraId="030012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sdt>
              <w:sdtPr>
                <w:rPr>
                  <w:rFonts w:hint="eastAsia" w:asciiTheme="minorEastAsia" w:hAnsiTheme="minorEastAsia" w:eastAsiaTheme="minorEastAsia" w:cstheme="minorEastAsia"/>
                  <w:color w:val="auto"/>
                  <w:kern w:val="0"/>
                  <w:sz w:val="24"/>
                  <w:szCs w:val="24"/>
                  <w:highlight w:val="none"/>
                </w:rPr>
                <w:id w:val="14745302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szCs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szCs w:val="24"/>
                <w:highlight w:val="none"/>
              </w:rPr>
              <w:t>B组织。</w:t>
            </w:r>
          </w:p>
          <w:p w14:paraId="5C19E5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磋商响应供应商</w:t>
            </w:r>
            <w:r>
              <w:rPr>
                <w:rFonts w:hint="eastAsia" w:asciiTheme="minorEastAsia" w:hAnsiTheme="minorEastAsia" w:eastAsiaTheme="minorEastAsia" w:cstheme="minorEastAsia"/>
                <w:color w:val="auto"/>
                <w:kern w:val="0"/>
                <w:sz w:val="24"/>
                <w:szCs w:val="24"/>
                <w:highlight w:val="none"/>
              </w:rPr>
              <w:t>应</w:t>
            </w:r>
            <w:r>
              <w:rPr>
                <w:rFonts w:hint="eastAsia" w:asciiTheme="minorEastAsia" w:hAnsiTheme="minorEastAsia" w:eastAsiaTheme="minorEastAsia" w:cstheme="minorEastAsia"/>
                <w:color w:val="auto"/>
                <w:kern w:val="0"/>
                <w:sz w:val="24"/>
                <w:szCs w:val="24"/>
                <w:highlight w:val="none"/>
                <w:lang w:eastAsia="zh-CN"/>
              </w:rPr>
              <w:t>自备笔记本电脑和网络环境，</w:t>
            </w:r>
            <w:r>
              <w:rPr>
                <w:rFonts w:hint="eastAsia" w:asciiTheme="minorEastAsia" w:hAnsiTheme="minorEastAsia" w:eastAsiaTheme="minorEastAsia" w:cstheme="minorEastAsia"/>
                <w:color w:val="auto"/>
                <w:kern w:val="0"/>
                <w:sz w:val="24"/>
                <w:szCs w:val="24"/>
                <w:highlight w:val="none"/>
                <w:lang w:val="en-US" w:eastAsia="zh-CN"/>
              </w:rPr>
              <w:t>按演示内容要求进行演示并录制成演示视频，要求演示视频中能体现真人实际操作</w:t>
            </w:r>
            <w:r>
              <w:rPr>
                <w:rFonts w:hint="eastAsia" w:asciiTheme="minorEastAsia" w:hAnsiTheme="minorEastAsia" w:eastAsiaTheme="minorEastAsia" w:cstheme="minorEastAsia"/>
                <w:color w:val="auto"/>
                <w:kern w:val="0"/>
                <w:sz w:val="24"/>
                <w:szCs w:val="24"/>
                <w:highlight w:val="none"/>
              </w:rPr>
              <w:t>。</w:t>
            </w:r>
          </w:p>
          <w:p w14:paraId="72D64C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）演示视频时长不超过</w:t>
            </w:r>
            <w:r>
              <w:rPr>
                <w:rFonts w:hint="eastAsia" w:asciiTheme="minorEastAsia" w:hAnsiTheme="minorEastAsia" w:eastAsiaTheme="minorEastAsia" w:cstheme="minorEastAsia"/>
                <w:color w:val="auto"/>
                <w:kern w:val="0"/>
                <w:sz w:val="24"/>
                <w:szCs w:val="24"/>
                <w:highlight w:val="none"/>
                <w:lang w:eastAsia="zh-CN"/>
              </w:rPr>
              <w:t>2</w:t>
            </w:r>
            <w:r>
              <w:rPr>
                <w:rFonts w:hint="eastAsia"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rPr>
              <w:t>分钟，视频格式要求为mp4，视频载体要求为U盘。将演示内容录制成演示视频随备份文件在投标截止前一并递交（如无备份文件的可单独递交演示视频）</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未按以上要求制作导致演示不能顺利进行的，由</w:t>
            </w:r>
            <w:r>
              <w:rPr>
                <w:rFonts w:hint="eastAsia" w:asciiTheme="minorEastAsia" w:hAnsiTheme="minorEastAsia" w:eastAsiaTheme="minorEastAsia" w:cstheme="minorEastAsia"/>
                <w:color w:val="auto"/>
                <w:kern w:val="0"/>
                <w:sz w:val="24"/>
                <w:szCs w:val="24"/>
                <w:highlight w:val="none"/>
                <w:lang w:eastAsia="zh-CN"/>
              </w:rPr>
              <w:t>磋商响应供应商</w:t>
            </w:r>
            <w:r>
              <w:rPr>
                <w:rFonts w:hint="eastAsia" w:asciiTheme="minorEastAsia" w:hAnsiTheme="minorEastAsia" w:eastAsiaTheme="minorEastAsia" w:cstheme="minorEastAsia"/>
                <w:color w:val="auto"/>
                <w:kern w:val="0"/>
                <w:sz w:val="24"/>
                <w:szCs w:val="24"/>
                <w:highlight w:val="none"/>
              </w:rPr>
              <w:t>自行承担所有责任。</w:t>
            </w:r>
          </w:p>
          <w:p w14:paraId="71DC53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注：因</w:t>
            </w:r>
            <w:r>
              <w:rPr>
                <w:rFonts w:hint="eastAsia" w:asciiTheme="minorEastAsia" w:hAnsiTheme="minorEastAsia" w:eastAsiaTheme="minorEastAsia" w:cstheme="minorEastAsia"/>
                <w:color w:val="auto"/>
                <w:kern w:val="0"/>
                <w:sz w:val="24"/>
                <w:szCs w:val="24"/>
                <w:highlight w:val="none"/>
                <w:lang w:eastAsia="zh-CN"/>
              </w:rPr>
              <w:t>磋商响应供应商</w:t>
            </w:r>
            <w:r>
              <w:rPr>
                <w:rFonts w:hint="eastAsia" w:asciiTheme="minorEastAsia" w:hAnsiTheme="minorEastAsia" w:eastAsiaTheme="minorEastAsia" w:cstheme="minorEastAsia"/>
                <w:color w:val="auto"/>
                <w:kern w:val="0"/>
                <w:sz w:val="24"/>
                <w:szCs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2519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714" w:type="dxa"/>
            <w:shd w:val="clear" w:color="auto" w:fill="auto"/>
            <w:vAlign w:val="center"/>
          </w:tcPr>
          <w:p w14:paraId="7D306C5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2093" w:type="dxa"/>
            <w:shd w:val="clear" w:color="auto" w:fill="auto"/>
            <w:vAlign w:val="center"/>
          </w:tcPr>
          <w:p w14:paraId="24465F14">
            <w:pPr>
              <w:snapToGrid w:val="0"/>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响应文件的组成及编制</w:t>
            </w:r>
          </w:p>
        </w:tc>
        <w:tc>
          <w:tcPr>
            <w:tcW w:w="6927" w:type="dxa"/>
            <w:shd w:val="clear" w:color="auto" w:fill="auto"/>
            <w:vAlign w:val="center"/>
          </w:tcPr>
          <w:p w14:paraId="0DDDDBB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磋商响应文件由</w:t>
            </w:r>
            <w:r>
              <w:rPr>
                <w:rFonts w:hint="eastAsia" w:ascii="宋体" w:hAnsi="宋体" w:cs="宋体"/>
                <w:color w:val="auto"/>
                <w:sz w:val="24"/>
                <w:highlight w:val="none"/>
              </w:rPr>
              <w:t>资格证明文件</w:t>
            </w:r>
            <w:r>
              <w:rPr>
                <w:rFonts w:hint="eastAsia" w:ascii="宋体" w:hAnsi="宋体" w:cs="宋体"/>
                <w:color w:val="auto"/>
                <w:sz w:val="24"/>
                <w:highlight w:val="none"/>
                <w:lang w:eastAsia="zh-CN"/>
              </w:rPr>
              <w:t>、</w:t>
            </w:r>
            <w:r>
              <w:rPr>
                <w:rFonts w:hint="eastAsia" w:ascii="宋体" w:hAnsi="宋体" w:cs="宋体"/>
                <w:color w:val="auto"/>
                <w:sz w:val="24"/>
                <w:highlight w:val="none"/>
              </w:rPr>
              <w:t>资信证明</w:t>
            </w:r>
            <w:r>
              <w:rPr>
                <w:rFonts w:hint="eastAsia" w:ascii="宋体" w:hAnsi="宋体" w:cs="宋体"/>
                <w:color w:val="auto"/>
                <w:sz w:val="24"/>
                <w:highlight w:val="none"/>
                <w:lang w:val="en-US" w:eastAsia="zh-CN"/>
              </w:rPr>
              <w:t>文件、报价文件三部分组成。</w:t>
            </w:r>
          </w:p>
          <w:p w14:paraId="0C224F77">
            <w:pPr>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注：</w:t>
            </w: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p w14:paraId="6E1184E7">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响应文件编制：供应商应先安装“政采云电子交易客户端”，并按照本竞争性磋商文件和“政采云平台”的要求，通过“政采云电子交易客户端”编制并加密响应文件。</w:t>
            </w:r>
          </w:p>
          <w:p w14:paraId="4E656EBB">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响应文件的形式：电子响应文件（包括“电子加密投响应文件”和“备份响应文件”，在磋商响应文件编制完成后同时生成）。</w:t>
            </w:r>
          </w:p>
          <w:p w14:paraId="6D488702">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电子加密响应文件”是指通过“政采云电子交易客户端”完成磋商响应文件编制后生成并加密的数据电文形式的响应文件；“备份响应文件”是指与“电子加密响应文件”同时生成的数据电文形式的电子文件，其他方式编制的备份响应文件无效。</w:t>
            </w:r>
          </w:p>
          <w:p w14:paraId="2CB793B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响应文件份数：“电子加密响应文件”：在线上传递交一份，“备份响应文件”（供应商如需提供的）</w:t>
            </w:r>
          </w:p>
        </w:tc>
      </w:tr>
      <w:tr w14:paraId="54E7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 w:hRule="atLeast"/>
          <w:jc w:val="center"/>
        </w:trPr>
        <w:tc>
          <w:tcPr>
            <w:tcW w:w="714" w:type="dxa"/>
            <w:shd w:val="clear" w:color="auto" w:fill="auto"/>
            <w:vAlign w:val="center"/>
          </w:tcPr>
          <w:p w14:paraId="02A1FDE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2093" w:type="dxa"/>
            <w:shd w:val="clear" w:color="auto" w:fill="auto"/>
            <w:vAlign w:val="center"/>
          </w:tcPr>
          <w:p w14:paraId="118BC8FA">
            <w:pPr>
              <w:snapToGrid w:val="0"/>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响应文件的上传、递交</w:t>
            </w:r>
          </w:p>
        </w:tc>
        <w:tc>
          <w:tcPr>
            <w:tcW w:w="6927" w:type="dxa"/>
            <w:shd w:val="clear" w:color="auto" w:fill="auto"/>
            <w:vAlign w:val="center"/>
          </w:tcPr>
          <w:p w14:paraId="2A99EABF">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本项目实行电子招投标。</w:t>
            </w:r>
          </w:p>
          <w:p w14:paraId="25807EA9">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供应商应按要求提供电子响应文件：</w:t>
            </w:r>
            <w:r>
              <w:rPr>
                <w:rFonts w:hint="eastAsia" w:ascii="宋体" w:hAnsi="宋体" w:cs="宋体"/>
                <w:color w:val="auto"/>
                <w:sz w:val="24"/>
                <w:highlight w:val="none"/>
                <w:lang w:val="en-US" w:eastAsia="zh-CN"/>
              </w:rPr>
              <w:t>①</w:t>
            </w:r>
            <w:r>
              <w:rPr>
                <w:rFonts w:hint="eastAsia" w:ascii="宋体" w:hAnsi="宋体" w:cs="宋体"/>
                <w:color w:val="auto"/>
                <w:sz w:val="24"/>
                <w:highlight w:val="none"/>
              </w:rPr>
              <w:t>按政采云平台项目采购-电子交易操作指南及本磋商文件要求制作、加密并递交，超过上传时间的视为放弃投标资格，作无效标处理；通过“政采云平台”上传递交的“电子加密响应文件”无法按时解密，供应商递交了备份响应文件的，以备份响应文件为依据，否则视为磋商响应文件撤回。</w:t>
            </w:r>
          </w:p>
          <w:p w14:paraId="29DF838C">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②</w:t>
            </w:r>
            <w:r>
              <w:rPr>
                <w:rFonts w:hint="eastAsia" w:ascii="宋体" w:hAnsi="宋体" w:cs="宋体"/>
                <w:color w:val="auto"/>
                <w:sz w:val="24"/>
                <w:highlight w:val="none"/>
              </w:rPr>
              <w:t>供应商应当在磋商响应截止时间前完成电子响应文件的传输递交，磋商响应截止时间前可以补充、修改或者撤回电子响应文件。补充或者修改电子响应文件的，应当先行撤回原文件，补充、修改后重新传输递交。磋商响应截止时间前未完成传输的，视为撤回响应文件。磋商响应截止时间后递交的响应文件，电子交易平台将拒收。</w:t>
            </w:r>
          </w:p>
          <w:p w14:paraId="668C802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③</w:t>
            </w:r>
            <w:r>
              <w:rPr>
                <w:rFonts w:hint="eastAsia" w:ascii="宋体" w:hAnsi="宋体" w:cs="宋体"/>
                <w:color w:val="auto"/>
                <w:sz w:val="24"/>
                <w:highlight w:val="none"/>
              </w:rPr>
              <w:t>“电子加密响应文件”成功上传递交后，供应商可自行打印响应文件接收回执</w:t>
            </w:r>
          </w:p>
        </w:tc>
      </w:tr>
      <w:tr w14:paraId="5EB5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14" w:type="dxa"/>
            <w:shd w:val="clear" w:color="auto" w:fill="auto"/>
            <w:vAlign w:val="center"/>
          </w:tcPr>
          <w:p w14:paraId="5BD28D74">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2093" w:type="dxa"/>
            <w:shd w:val="clear" w:color="auto" w:fill="auto"/>
            <w:vAlign w:val="center"/>
          </w:tcPr>
          <w:p w14:paraId="12991D04">
            <w:pPr>
              <w:snapToGrid w:val="0"/>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备份响应文件送达地点和签收人员</w:t>
            </w:r>
          </w:p>
        </w:tc>
        <w:tc>
          <w:tcPr>
            <w:tcW w:w="6927" w:type="dxa"/>
            <w:shd w:val="clear" w:color="auto" w:fill="auto"/>
            <w:vAlign w:val="center"/>
          </w:tcPr>
          <w:p w14:paraId="74C2F1FB">
            <w:pPr>
              <w:pStyle w:val="35"/>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lang w:eastAsia="zh-CN"/>
              </w:rPr>
              <w:t>杭州市西湖区东海宾馆裙楼301室</w:t>
            </w:r>
            <w:r>
              <w:rPr>
                <w:rFonts w:hint="eastAsia" w:hAnsi="宋体" w:cs="宋体"/>
                <w:color w:val="auto"/>
                <w:kern w:val="28"/>
                <w:sz w:val="24"/>
                <w:szCs w:val="24"/>
                <w:highlight w:val="none"/>
              </w:rPr>
              <w:t>；</w:t>
            </w:r>
          </w:p>
          <w:p w14:paraId="42EC50E7">
            <w:pPr>
              <w:pStyle w:val="35"/>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徐工/17706633850</w:t>
            </w:r>
            <w:r>
              <w:rPr>
                <w:rFonts w:hint="eastAsia" w:hAnsi="宋体" w:cs="宋体"/>
                <w:color w:val="auto"/>
                <w:sz w:val="24"/>
                <w:szCs w:val="24"/>
                <w:highlight w:val="none"/>
              </w:rPr>
              <w:t>。</w:t>
            </w:r>
          </w:p>
          <w:p w14:paraId="0D4F47AD">
            <w:pPr>
              <w:pStyle w:val="35"/>
              <w:spacing w:line="360" w:lineRule="auto"/>
              <w:rPr>
                <w:rFonts w:hint="eastAsia" w:ascii="宋体" w:hAnsi="宋体" w:eastAsia="宋体" w:cs="宋体"/>
                <w:snapToGrid w:val="0"/>
                <w:color w:val="auto"/>
                <w:kern w:val="2"/>
                <w:sz w:val="24"/>
                <w:szCs w:val="21"/>
                <w:highlight w:val="none"/>
                <w:lang w:val="en-US" w:eastAsia="zh-CN" w:bidi="ar-SA"/>
              </w:rPr>
            </w:pPr>
            <w:r>
              <w:rPr>
                <w:rFonts w:hint="eastAsia" w:hAnsi="宋体" w:cs="宋体"/>
                <w:b/>
                <w:color w:val="auto"/>
                <w:sz w:val="24"/>
                <w:szCs w:val="24"/>
                <w:highlight w:val="none"/>
              </w:rPr>
              <w:t>采购人、采购代理机构不强制或变相强制供应商提交备份响应文件。</w:t>
            </w:r>
          </w:p>
        </w:tc>
      </w:tr>
      <w:tr w14:paraId="2390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14" w:type="dxa"/>
            <w:shd w:val="clear" w:color="auto" w:fill="auto"/>
            <w:vAlign w:val="center"/>
          </w:tcPr>
          <w:p w14:paraId="6454F2EB">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2093" w:type="dxa"/>
            <w:shd w:val="clear" w:color="auto" w:fill="auto"/>
            <w:vAlign w:val="center"/>
          </w:tcPr>
          <w:p w14:paraId="5940C63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lang w:val="en-US" w:eastAsia="zh-CN"/>
              </w:rPr>
              <w:t>电子加密响应文件的解密和异常情况处理</w:t>
            </w:r>
          </w:p>
        </w:tc>
        <w:tc>
          <w:tcPr>
            <w:tcW w:w="6927" w:type="dxa"/>
            <w:shd w:val="clear" w:color="auto" w:fill="auto"/>
            <w:vAlign w:val="center"/>
          </w:tcPr>
          <w:p w14:paraId="303A9194">
            <w:pPr>
              <w:spacing w:line="440" w:lineRule="exact"/>
              <w:rPr>
                <w:rFonts w:ascii="宋体" w:hAnsi="宋体"/>
                <w:color w:val="auto"/>
                <w:sz w:val="24"/>
                <w:highlight w:val="none"/>
              </w:rPr>
            </w:pPr>
            <w:r>
              <w:rPr>
                <w:rFonts w:hint="eastAsia" w:ascii="宋体" w:hAnsi="宋体"/>
                <w:color w:val="auto"/>
                <w:sz w:val="24"/>
                <w:highlight w:val="none"/>
              </w:rPr>
              <w:t>（1）开标后，采购组织机构将向各供应商发出“电子加密响应文件”的解密通知，各供应商代表应当在接到解密通知后30分钟内自行完成“电子加密响应文件”的在线解密。</w:t>
            </w:r>
          </w:p>
          <w:p w14:paraId="758A1829">
            <w:pPr>
              <w:spacing w:line="440" w:lineRule="exact"/>
              <w:rPr>
                <w:rFonts w:ascii="宋体" w:hAnsi="宋体"/>
                <w:color w:val="auto"/>
                <w:sz w:val="24"/>
                <w:highlight w:val="none"/>
              </w:rPr>
            </w:pPr>
            <w:r>
              <w:rPr>
                <w:rFonts w:hint="eastAsia" w:ascii="宋体" w:hAnsi="宋体"/>
                <w:color w:val="auto"/>
                <w:sz w:val="24"/>
                <w:highlight w:val="none"/>
              </w:rPr>
              <w:t>（2）通过“政采云平台”成功上传递交的“电子加密响应文件”无法按时解密的，供应商递交了备份响应文件的，以备份响应文件为依据，否则视为响应文件撤回。通过“政采云平台”上传递交的“电子加密响应文件”已按时解密的，“备份响应文件”自动失效。供应商仅递交备份响应文件的，投标无效。</w:t>
            </w:r>
          </w:p>
          <w:p w14:paraId="439F1E86">
            <w:pPr>
              <w:spacing w:line="4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 xml:space="preserve">3、为保障解密成功，派授权代表出席的供应商建议携带笔记本电脑及CA数字证书至开标现场完成传输、解密等事宜。（交易中心不提供无线网络，请供应商自行解决上网问题）  </w:t>
            </w:r>
          </w:p>
        </w:tc>
      </w:tr>
      <w:tr w14:paraId="7F61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shd w:val="clear" w:color="auto" w:fill="auto"/>
            <w:vAlign w:val="center"/>
          </w:tcPr>
          <w:p w14:paraId="277FDEA1">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11</w:t>
            </w:r>
          </w:p>
        </w:tc>
        <w:tc>
          <w:tcPr>
            <w:tcW w:w="2093" w:type="dxa"/>
            <w:shd w:val="clear" w:color="auto" w:fill="auto"/>
            <w:vAlign w:val="center"/>
          </w:tcPr>
          <w:p w14:paraId="19CD0EE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rPr>
              <w:t>可中止电子交易</w:t>
            </w:r>
            <w:r>
              <w:rPr>
                <w:rFonts w:hint="eastAsia" w:ascii="宋体" w:hAnsi="宋体" w:cs="宋体"/>
                <w:b/>
                <w:bCs/>
                <w:color w:val="auto"/>
                <w:sz w:val="24"/>
                <w:highlight w:val="none"/>
                <w:lang w:val="en-US" w:eastAsia="zh-CN"/>
              </w:rPr>
              <w:t>活动的情形</w:t>
            </w:r>
          </w:p>
        </w:tc>
        <w:tc>
          <w:tcPr>
            <w:tcW w:w="6927" w:type="dxa"/>
            <w:shd w:val="clear" w:color="auto" w:fill="auto"/>
            <w:vAlign w:val="center"/>
          </w:tcPr>
          <w:p w14:paraId="497AD1A2">
            <w:pPr>
              <w:spacing w:line="440" w:lineRule="exact"/>
              <w:rPr>
                <w:rFonts w:ascii="宋体" w:hAnsi="宋体"/>
                <w:color w:val="auto"/>
                <w:sz w:val="24"/>
                <w:highlight w:val="none"/>
              </w:rPr>
            </w:pPr>
            <w:r>
              <w:rPr>
                <w:rFonts w:hint="eastAsia" w:ascii="宋体" w:hAnsi="宋体"/>
                <w:color w:val="auto"/>
                <w:sz w:val="24"/>
                <w:highlight w:val="none"/>
              </w:rPr>
              <w:t>采购过程中出现以下情形，导致电子交易平台无法正常运行，或者无法保证电子交易的公平、公正和安全时，采购组织机构可中止电子交易活动：</w:t>
            </w:r>
          </w:p>
          <w:p w14:paraId="757B1BAA">
            <w:pPr>
              <w:spacing w:line="440" w:lineRule="exact"/>
              <w:rPr>
                <w:rFonts w:ascii="宋体" w:hAnsi="宋体"/>
                <w:color w:val="auto"/>
                <w:sz w:val="24"/>
                <w:highlight w:val="none"/>
              </w:rPr>
            </w:pPr>
            <w:r>
              <w:rPr>
                <w:rFonts w:hint="eastAsia" w:ascii="宋体" w:hAnsi="宋体"/>
                <w:color w:val="auto"/>
                <w:sz w:val="24"/>
                <w:highlight w:val="none"/>
              </w:rPr>
              <w:t>（1）电子交易平台发生故障而无法登录访问的；</w:t>
            </w:r>
          </w:p>
          <w:p w14:paraId="76239C88">
            <w:pPr>
              <w:spacing w:line="440" w:lineRule="exact"/>
              <w:rPr>
                <w:rFonts w:ascii="宋体" w:hAnsi="宋体"/>
                <w:color w:val="auto"/>
                <w:sz w:val="24"/>
                <w:highlight w:val="none"/>
              </w:rPr>
            </w:pPr>
            <w:r>
              <w:rPr>
                <w:rFonts w:hint="eastAsia" w:ascii="宋体" w:hAnsi="宋体"/>
                <w:color w:val="auto"/>
                <w:sz w:val="24"/>
                <w:highlight w:val="none"/>
              </w:rPr>
              <w:t>（2）电子交易平台应用或数据库出现错误，不能进行正常操作的；</w:t>
            </w:r>
          </w:p>
          <w:p w14:paraId="36B52922">
            <w:pPr>
              <w:spacing w:line="440" w:lineRule="exact"/>
              <w:rPr>
                <w:rFonts w:ascii="宋体" w:hAnsi="宋体"/>
                <w:color w:val="auto"/>
                <w:sz w:val="24"/>
                <w:highlight w:val="none"/>
              </w:rPr>
            </w:pPr>
            <w:r>
              <w:rPr>
                <w:rFonts w:hint="eastAsia" w:ascii="宋体" w:hAnsi="宋体"/>
                <w:color w:val="auto"/>
                <w:sz w:val="24"/>
                <w:highlight w:val="none"/>
              </w:rPr>
              <w:t>（3）电子交易平台发现严重安全漏洞，有潜在泄密危险的；</w:t>
            </w:r>
          </w:p>
          <w:p w14:paraId="4180005C">
            <w:pPr>
              <w:spacing w:line="440" w:lineRule="exact"/>
              <w:rPr>
                <w:rFonts w:ascii="宋体" w:hAnsi="宋体"/>
                <w:color w:val="auto"/>
                <w:sz w:val="24"/>
                <w:highlight w:val="none"/>
              </w:rPr>
            </w:pPr>
            <w:r>
              <w:rPr>
                <w:rFonts w:hint="eastAsia" w:ascii="宋体" w:hAnsi="宋体"/>
                <w:color w:val="auto"/>
                <w:sz w:val="24"/>
                <w:highlight w:val="none"/>
              </w:rPr>
              <w:t>（4）病毒发作导致不能进行正常操作的；</w:t>
            </w:r>
          </w:p>
          <w:p w14:paraId="140C5DA9">
            <w:pPr>
              <w:spacing w:line="440" w:lineRule="exact"/>
              <w:rPr>
                <w:rFonts w:ascii="宋体" w:hAnsi="宋体"/>
                <w:color w:val="auto"/>
                <w:sz w:val="24"/>
                <w:highlight w:val="none"/>
              </w:rPr>
            </w:pPr>
            <w:r>
              <w:rPr>
                <w:rFonts w:hint="eastAsia" w:ascii="宋体" w:hAnsi="宋体"/>
                <w:color w:val="auto"/>
                <w:sz w:val="24"/>
                <w:highlight w:val="none"/>
              </w:rPr>
              <w:t>（5）其他无法保证电子交易的公平、公正和安全的情况。</w:t>
            </w:r>
          </w:p>
          <w:p w14:paraId="330A00B1">
            <w:pPr>
              <w:spacing w:line="4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3753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shd w:val="clear" w:color="auto" w:fill="auto"/>
            <w:vAlign w:val="center"/>
          </w:tcPr>
          <w:p w14:paraId="5C66EABA">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w:t>
            </w:r>
          </w:p>
        </w:tc>
        <w:tc>
          <w:tcPr>
            <w:tcW w:w="2093" w:type="dxa"/>
            <w:shd w:val="clear" w:color="auto" w:fill="auto"/>
            <w:vAlign w:val="center"/>
          </w:tcPr>
          <w:p w14:paraId="59BFC189">
            <w:pPr>
              <w:spacing w:line="440" w:lineRule="exact"/>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
                <w:bCs/>
                <w:color w:val="auto"/>
                <w:sz w:val="24"/>
                <w:highlight w:val="none"/>
              </w:rPr>
              <w:t>磋商有效期</w:t>
            </w:r>
          </w:p>
        </w:tc>
        <w:tc>
          <w:tcPr>
            <w:tcW w:w="6927" w:type="dxa"/>
            <w:shd w:val="clear" w:color="auto" w:fill="auto"/>
            <w:vAlign w:val="center"/>
          </w:tcPr>
          <w:p w14:paraId="48F32199">
            <w:pPr>
              <w:spacing w:line="4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9</w:t>
            </w:r>
            <w:r>
              <w:rPr>
                <w:rFonts w:hint="eastAsia" w:ascii="宋体" w:hAnsi="宋体"/>
                <w:color w:val="auto"/>
                <w:sz w:val="24"/>
                <w:highlight w:val="none"/>
              </w:rPr>
              <w:t>0天（日历天）</w:t>
            </w:r>
          </w:p>
        </w:tc>
      </w:tr>
      <w:tr w14:paraId="2405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shd w:val="clear" w:color="auto" w:fill="auto"/>
            <w:vAlign w:val="center"/>
          </w:tcPr>
          <w:p w14:paraId="2FB61677">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13</w:t>
            </w:r>
          </w:p>
        </w:tc>
        <w:tc>
          <w:tcPr>
            <w:tcW w:w="2093" w:type="dxa"/>
            <w:shd w:val="clear" w:color="auto" w:fill="auto"/>
            <w:vAlign w:val="center"/>
          </w:tcPr>
          <w:p w14:paraId="2F1D3494">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报价要求</w:t>
            </w:r>
          </w:p>
        </w:tc>
        <w:tc>
          <w:tcPr>
            <w:tcW w:w="6927" w:type="dxa"/>
            <w:shd w:val="clear" w:color="auto" w:fill="auto"/>
            <w:vAlign w:val="center"/>
          </w:tcPr>
          <w:p w14:paraId="534023D7">
            <w:pPr>
              <w:keepNext w:val="0"/>
              <w:keepLines w:val="0"/>
              <w:pageBreakBefore w:val="0"/>
              <w:kinsoku/>
              <w:wordWrap/>
              <w:overflowPunct/>
              <w:topLinePunct w:val="0"/>
              <w:autoSpaceDE/>
              <w:autoSpaceDN/>
              <w:bidi w:val="0"/>
              <w:adjustRightInd w:val="0"/>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提醒：验收时检测费用包含在</w:t>
            </w:r>
            <w:r>
              <w:rPr>
                <w:rFonts w:hint="eastAsia" w:cs="宋体" w:asciiTheme="minorEastAsia" w:hAnsiTheme="minorEastAsia" w:eastAsiaTheme="minorEastAsia"/>
                <w:b/>
                <w:color w:val="auto"/>
                <w:kern w:val="0"/>
                <w:sz w:val="24"/>
                <w:highlight w:val="none"/>
                <w:lang w:val="en-US" w:eastAsia="zh-CN"/>
              </w:rPr>
              <w:t>响应</w:t>
            </w:r>
            <w:r>
              <w:rPr>
                <w:rFonts w:hint="eastAsia" w:cs="宋体" w:asciiTheme="minorEastAsia" w:hAnsiTheme="minorEastAsia" w:eastAsiaTheme="minorEastAsia"/>
                <w:b/>
                <w:color w:val="auto"/>
                <w:kern w:val="0"/>
                <w:sz w:val="24"/>
                <w:highlight w:val="none"/>
                <w:lang w:val="zh-CN"/>
              </w:rPr>
              <w:t>总价中，由</w:t>
            </w:r>
            <w:r>
              <w:rPr>
                <w:rFonts w:hint="eastAsia" w:cs="宋体" w:asciiTheme="minorEastAsia" w:hAnsiTheme="minorEastAsia" w:eastAsiaTheme="minorEastAsia"/>
                <w:b/>
                <w:color w:val="auto"/>
                <w:kern w:val="0"/>
                <w:sz w:val="24"/>
                <w:highlight w:val="none"/>
                <w:lang w:val="en-US" w:eastAsia="zh-CN"/>
              </w:rPr>
              <w:t>成交</w:t>
            </w:r>
            <w:r>
              <w:rPr>
                <w:rFonts w:hint="eastAsia" w:cs="宋体" w:asciiTheme="minorEastAsia" w:hAnsiTheme="minorEastAsia" w:eastAsiaTheme="minorEastAsia"/>
                <w:b/>
                <w:color w:val="auto"/>
                <w:kern w:val="0"/>
                <w:sz w:val="24"/>
                <w:highlight w:val="none"/>
                <w:lang w:val="zh-CN"/>
              </w:rPr>
              <w:t>人支付。</w:t>
            </w:r>
          </w:p>
          <w:p w14:paraId="15F676A8">
            <w:pPr>
              <w:keepNext w:val="0"/>
              <w:keepLines w:val="0"/>
              <w:pageBreakBefore w:val="0"/>
              <w:kinsoku/>
              <w:wordWrap/>
              <w:overflowPunct/>
              <w:topLinePunct w:val="0"/>
              <w:autoSpaceDE/>
              <w:autoSpaceDN/>
              <w:bidi w:val="0"/>
              <w:adjustRightInd w:val="0"/>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74FAD021">
            <w:pPr>
              <w:keepNext w:val="0"/>
              <w:keepLines w:val="0"/>
              <w:pageBreakBefore w:val="0"/>
              <w:kinsoku/>
              <w:wordWrap/>
              <w:overflowPunct/>
              <w:topLinePunct w:val="0"/>
              <w:autoSpaceDE/>
              <w:autoSpaceDN/>
              <w:bidi w:val="0"/>
              <w:adjustRightInd w:val="0"/>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58B1AD3">
            <w:pPr>
              <w:keepNext w:val="0"/>
              <w:keepLines w:val="0"/>
              <w:pageBreakBefore w:val="0"/>
              <w:kinsoku/>
              <w:wordWrap/>
              <w:overflowPunct/>
              <w:topLinePunct w:val="0"/>
              <w:autoSpaceDE/>
              <w:autoSpaceDN/>
              <w:bidi w:val="0"/>
              <w:adjustRightInd w:val="0"/>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0DD8E68B">
            <w:pPr>
              <w:keepNext w:val="0"/>
              <w:keepLines w:val="0"/>
              <w:pageBreakBefore w:val="0"/>
              <w:kinsoku/>
              <w:wordWrap/>
              <w:overflowPunct/>
              <w:topLinePunct w:val="0"/>
              <w:autoSpaceDE/>
              <w:autoSpaceDN/>
              <w:bidi w:val="0"/>
              <w:adjustRightInd w:val="0"/>
              <w:snapToGrid w:val="0"/>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3945FF5F">
            <w:pPr>
              <w:spacing w:line="360" w:lineRule="auto"/>
              <w:ind w:firstLine="241" w:firstLineChars="100"/>
              <w:rPr>
                <w:rFonts w:hint="eastAsia" w:ascii="宋体" w:hAnsi="宋体" w:eastAsia="宋体" w:cs="宋体"/>
                <w:color w:val="auto"/>
                <w:kern w:val="2"/>
                <w:sz w:val="24"/>
                <w:szCs w:val="24"/>
                <w:highlight w:val="none"/>
                <w:lang w:val="en-US" w:eastAsia="zh-CN" w:bidi="ar-SA"/>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7887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shd w:val="clear" w:color="auto" w:fill="auto"/>
            <w:vAlign w:val="center"/>
          </w:tcPr>
          <w:p w14:paraId="7AEE6EBE">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2093" w:type="dxa"/>
            <w:shd w:val="clear" w:color="auto" w:fill="auto"/>
            <w:vAlign w:val="center"/>
          </w:tcPr>
          <w:p w14:paraId="7DDE8F95">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其它</w:t>
            </w:r>
            <w:r>
              <w:rPr>
                <w:rFonts w:hint="eastAsia" w:ascii="宋体" w:hAnsi="宋体" w:cs="宋体"/>
                <w:b/>
                <w:color w:val="auto"/>
                <w:sz w:val="24"/>
                <w:highlight w:val="none"/>
                <w:lang w:val="en-US" w:eastAsia="zh-CN"/>
              </w:rPr>
              <w:t>要求</w:t>
            </w:r>
          </w:p>
        </w:tc>
        <w:tc>
          <w:tcPr>
            <w:tcW w:w="6927" w:type="dxa"/>
            <w:shd w:val="clear" w:color="auto" w:fill="auto"/>
            <w:vAlign w:val="center"/>
          </w:tcPr>
          <w:p w14:paraId="20E390CE">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lang w:val="en-US" w:eastAsia="zh-CN"/>
              </w:rPr>
              <w:t>在确定成交供应商后，签订合同前，成交供应商须提供两份完整的纸质磋商响应文件（其中报价文件必须为含有最终报价及最终报价明细表的完整文件）给采购人及代理机构，纸质响应文件须与电子响应文件格式及内容一致。</w:t>
            </w:r>
          </w:p>
        </w:tc>
      </w:tr>
      <w:tr w14:paraId="7906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shd w:val="clear" w:color="auto" w:fill="auto"/>
            <w:vAlign w:val="center"/>
          </w:tcPr>
          <w:p w14:paraId="021A6915">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2093" w:type="dxa"/>
            <w:shd w:val="clear" w:color="auto" w:fill="auto"/>
            <w:vAlign w:val="center"/>
          </w:tcPr>
          <w:p w14:paraId="4E88B988">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采购代理服务费</w:t>
            </w:r>
          </w:p>
        </w:tc>
        <w:tc>
          <w:tcPr>
            <w:tcW w:w="6927" w:type="dxa"/>
            <w:shd w:val="clear" w:color="auto" w:fill="auto"/>
            <w:vAlign w:val="center"/>
          </w:tcPr>
          <w:p w14:paraId="47BE3ED9">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（1）按[2002]1980号文件规定的招标费率标准的7折收取服务费，不足</w:t>
            </w:r>
            <w:r>
              <w:rPr>
                <w:rFonts w:hint="eastAsia" w:ascii="宋体" w:hAnsi="宋体" w:cs="宋体"/>
                <w:snapToGrid w:val="0"/>
                <w:color w:val="auto"/>
                <w:kern w:val="28"/>
                <w:sz w:val="24"/>
                <w:highlight w:val="none"/>
                <w:lang w:val="en-US" w:eastAsia="zh-CN"/>
              </w:rPr>
              <w:t>5</w:t>
            </w:r>
            <w:r>
              <w:rPr>
                <w:rFonts w:hint="eastAsia" w:ascii="宋体" w:hAnsi="宋体" w:cs="宋体"/>
                <w:snapToGrid w:val="0"/>
                <w:color w:val="auto"/>
                <w:kern w:val="28"/>
                <w:sz w:val="24"/>
                <w:highlight w:val="none"/>
              </w:rPr>
              <w:t>000元按</w:t>
            </w:r>
            <w:r>
              <w:rPr>
                <w:rFonts w:hint="eastAsia" w:ascii="宋体" w:hAnsi="宋体" w:cs="宋体"/>
                <w:snapToGrid w:val="0"/>
                <w:color w:val="auto"/>
                <w:kern w:val="28"/>
                <w:sz w:val="24"/>
                <w:highlight w:val="none"/>
                <w:lang w:val="en-US" w:eastAsia="zh-CN"/>
              </w:rPr>
              <w:t>5000</w:t>
            </w:r>
            <w:r>
              <w:rPr>
                <w:rFonts w:hint="eastAsia" w:ascii="宋体" w:hAnsi="宋体" w:cs="宋体"/>
                <w:snapToGrid w:val="0"/>
                <w:color w:val="auto"/>
                <w:kern w:val="28"/>
                <w:sz w:val="24"/>
                <w:highlight w:val="none"/>
              </w:rPr>
              <w:t>元收取；</w:t>
            </w:r>
          </w:p>
          <w:p w14:paraId="3C325BA3">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（2）成交供应商在领取中标</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成交</w:t>
            </w:r>
            <w:r>
              <w:rPr>
                <w:rFonts w:hint="eastAsia" w:ascii="宋体" w:hAnsi="宋体" w:cs="宋体"/>
                <w:snapToGrid w:val="0"/>
                <w:color w:val="auto"/>
                <w:kern w:val="28"/>
                <w:sz w:val="24"/>
                <w:highlight w:val="none"/>
              </w:rPr>
              <w:t>通知书前，应向代理机构交纳</w:t>
            </w:r>
            <w:r>
              <w:rPr>
                <w:rFonts w:hint="eastAsia" w:ascii="宋体" w:hAnsi="宋体" w:cs="宋体"/>
                <w:snapToGrid w:val="0"/>
                <w:color w:val="auto"/>
                <w:kern w:val="28"/>
                <w:sz w:val="24"/>
                <w:highlight w:val="none"/>
                <w:lang w:val="en-US" w:eastAsia="zh-CN"/>
              </w:rPr>
              <w:t>采购</w:t>
            </w:r>
            <w:r>
              <w:rPr>
                <w:rFonts w:hint="eastAsia" w:ascii="宋体" w:hAnsi="宋体" w:cs="宋体"/>
                <w:snapToGrid w:val="0"/>
                <w:color w:val="auto"/>
                <w:kern w:val="28"/>
                <w:sz w:val="24"/>
                <w:highlight w:val="none"/>
              </w:rPr>
              <w:t>代理服务费；</w:t>
            </w:r>
          </w:p>
          <w:p w14:paraId="53A15E1E">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（3）招标代理服务费以电汇方式支付；</w:t>
            </w:r>
          </w:p>
          <w:p w14:paraId="4DA8894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（4）成交供应商如未按上述规定办理，本招标代理机构有权对不足部分进行追索；</w:t>
            </w:r>
          </w:p>
          <w:p w14:paraId="0FC0AF41">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（5）服务费缴纳账号：</w:t>
            </w:r>
          </w:p>
          <w:p w14:paraId="45AE83E0">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户名：浙江致信招标代理有限公司嘉兴分公司</w:t>
            </w:r>
          </w:p>
          <w:p w14:paraId="45EB0DDE">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税号：91330411MABM992A50</w:t>
            </w:r>
          </w:p>
          <w:p w14:paraId="6E48A743">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 xml:space="preserve">地址：浙江省嘉兴市秀洲区新城街道永泰广场14幢295室 0571-85388866 </w:t>
            </w:r>
          </w:p>
          <w:p w14:paraId="241F114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账号：3301041060004497230</w:t>
            </w:r>
          </w:p>
          <w:p w14:paraId="12277EAA">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snapToGrid w:val="0"/>
                <w:color w:val="auto"/>
                <w:kern w:val="28"/>
                <w:sz w:val="24"/>
                <w:highlight w:val="none"/>
              </w:rPr>
              <w:t>开户行：杭州银行股份有限公司四季青支行</w:t>
            </w:r>
          </w:p>
        </w:tc>
      </w:tr>
      <w:tr w14:paraId="7BE2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Merge w:val="restart"/>
            <w:shd w:val="clear" w:color="auto" w:fill="auto"/>
            <w:vAlign w:val="center"/>
          </w:tcPr>
          <w:p w14:paraId="5C84C641">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Merge w:val="restart"/>
            <w:shd w:val="clear" w:color="auto" w:fill="auto"/>
            <w:vAlign w:val="center"/>
          </w:tcPr>
          <w:p w14:paraId="519EB13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color w:val="auto"/>
                <w:sz w:val="24"/>
                <w:highlight w:val="none"/>
              </w:rPr>
            </w:pPr>
            <w:r>
              <w:rPr>
                <w:rFonts w:hint="eastAsia" w:cs="宋体" w:asciiTheme="minorEastAsia" w:hAnsiTheme="minorEastAsia" w:eastAsiaTheme="minorEastAsia"/>
                <w:b/>
                <w:color w:val="auto"/>
                <w:sz w:val="24"/>
                <w:highlight w:val="none"/>
              </w:rPr>
              <w:t>特别说明</w:t>
            </w:r>
          </w:p>
        </w:tc>
        <w:tc>
          <w:tcPr>
            <w:tcW w:w="6927" w:type="dxa"/>
            <w:shd w:val="clear" w:color="auto" w:fill="auto"/>
            <w:vAlign w:val="center"/>
          </w:tcPr>
          <w:p w14:paraId="6568DE80">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766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Merge w:val="continue"/>
            <w:shd w:val="clear" w:color="auto" w:fill="auto"/>
            <w:vAlign w:val="center"/>
          </w:tcPr>
          <w:p w14:paraId="71CD0A27">
            <w:pPr>
              <w:snapToGrid w:val="0"/>
              <w:spacing w:line="360" w:lineRule="auto"/>
              <w:jc w:val="center"/>
              <w:rPr>
                <w:rFonts w:hint="eastAsia" w:ascii="宋体" w:hAnsi="宋体" w:cs="宋体"/>
                <w:color w:val="auto"/>
                <w:sz w:val="24"/>
                <w:highlight w:val="none"/>
                <w:lang w:val="en-US" w:eastAsia="zh-CN"/>
              </w:rPr>
            </w:pPr>
          </w:p>
        </w:tc>
        <w:tc>
          <w:tcPr>
            <w:tcW w:w="2093" w:type="dxa"/>
            <w:vMerge w:val="continue"/>
            <w:shd w:val="clear" w:color="auto" w:fill="auto"/>
            <w:vAlign w:val="center"/>
          </w:tcPr>
          <w:p w14:paraId="05F3D82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color w:val="auto"/>
                <w:sz w:val="24"/>
                <w:highlight w:val="none"/>
              </w:rPr>
            </w:pPr>
          </w:p>
        </w:tc>
        <w:tc>
          <w:tcPr>
            <w:tcW w:w="6927" w:type="dxa"/>
            <w:shd w:val="clear" w:color="auto" w:fill="auto"/>
            <w:vAlign w:val="center"/>
          </w:tcPr>
          <w:p w14:paraId="1E5C9CF1">
            <w:pPr>
              <w:keepNext w:val="0"/>
              <w:keepLines w:val="0"/>
              <w:pageBreakBefore w:val="0"/>
              <w:kinsoku/>
              <w:wordWrap/>
              <w:overflowPunct/>
              <w:topLinePunct w:val="0"/>
              <w:autoSpaceDE/>
              <w:autoSpaceDN/>
              <w:bidi w:val="0"/>
              <w:adjustRightInd w:val="0"/>
              <w:snapToGrid w:val="0"/>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131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1A417775">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227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bookmarkEnd w:id="13"/>
    </w:tbl>
    <w:p w14:paraId="22A323BF">
      <w:pPr>
        <w:widowControl/>
        <w:adjustRightInd/>
        <w:jc w:val="left"/>
        <w:rPr>
          <w:rFonts w:ascii="宋体" w:hAnsi="宋体" w:cs="宋体"/>
          <w:b/>
          <w:color w:val="auto"/>
          <w:sz w:val="32"/>
          <w:szCs w:val="20"/>
          <w:highlight w:val="none"/>
        </w:rPr>
      </w:pPr>
      <w:bookmarkStart w:id="16" w:name="_Toc164416483"/>
      <w:bookmarkStart w:id="17" w:name="第三部分"/>
      <w:r>
        <w:rPr>
          <w:rFonts w:hint="eastAsia" w:ascii="宋体" w:hAnsi="宋体" w:cs="宋体"/>
          <w:b/>
          <w:color w:val="auto"/>
          <w:sz w:val="32"/>
          <w:szCs w:val="20"/>
          <w:highlight w:val="none"/>
        </w:rPr>
        <w:br w:type="page"/>
      </w:r>
    </w:p>
    <w:p w14:paraId="0697AE65">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791A5E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14:paraId="74E00C7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0971430D">
      <w:pPr>
        <w:numPr>
          <w:ilvl w:val="0"/>
          <w:numId w:val="1"/>
        </w:num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定义</w:t>
      </w:r>
    </w:p>
    <w:p w14:paraId="0C79F2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B0B42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659FB0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0BA84C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822E0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856F8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EC919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265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14747374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69CC8BA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70C667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3.1支持中小企业发展</w:t>
      </w:r>
    </w:p>
    <w:p w14:paraId="14449B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3.1.1中小企业，是指在中华人民共和国境内依法设立，依据国务院批准的中小企业划分标准确定的中型企业、小型企业和微型企业，但与大企业的负责人为同一人，或者与大企业存在直接控股、管理关系的除外。</w:t>
      </w:r>
    </w:p>
    <w:p w14:paraId="47ABB7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D47E58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3.1.2</w:t>
      </w:r>
      <w:r>
        <w:rPr>
          <w:rFonts w:hint="eastAsia" w:ascii="宋体" w:hAnsi="宋体" w:cs="宋体"/>
          <w:color w:val="auto"/>
          <w:kern w:val="0"/>
          <w:sz w:val="24"/>
          <w:highlight w:val="none"/>
        </w:rPr>
        <w:t>在政府采购活动中，供应商提供的工程符合下列情形的，享受中小企业扶持政策：</w:t>
      </w:r>
      <w:r>
        <w:rPr>
          <w:rFonts w:hint="eastAsia"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7D040568">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2AF34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3.1.3对于未预留份额专门面向中小企业的政府采购工程项目，以及预留份额政府采购工程项目中的非预留部分标项，对小型和微型企业的最后报价给予10%的扣除，用扣除后的价格参与评审。接受大中型企业与小微企业组成联合体或者允许大中型企业向一家或者多家小微企业分包的政府采购工程项目，对于</w:t>
      </w:r>
      <w:bookmarkStart w:id="18" w:name="_Hlk101132181"/>
      <w:r>
        <w:rPr>
          <w:rFonts w:hint="eastAsia" w:ascii="宋体" w:hAnsi="宋体" w:cs="宋体"/>
          <w:color w:val="auto"/>
          <w:sz w:val="24"/>
          <w:highlight w:val="none"/>
        </w:rPr>
        <w:t>联合协议或者分包意向协议约定小微企业的合同份额占到合同总金额30%以上的</w:t>
      </w:r>
      <w:bookmarkEnd w:id="18"/>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12BE6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3.1.4符合《关于促进残疾人就业政府采购政策的通知》（财库〔2017〕141号）规定的条件并提供《残疾人福利性单位声明函》（附件1）的残疾人福利性单位视同小型、微型企业；</w:t>
      </w:r>
    </w:p>
    <w:p w14:paraId="0F800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3.1.5符合《关于政府采购支持监狱企业发展有关问题的通知》（财库[2014]68号）规定的监狱企业并提供由省级以上监狱管理局、戒毒管理局（含新疆生产建设兵团）出具的属于监狱企业证明文件的，视同为小型、微型企业。</w:t>
      </w:r>
    </w:p>
    <w:p w14:paraId="35F501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6753D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3.1.7中小企业享受扶持政策获得政府采购合同的，小微企业不得将合同分包给大中型企业，中型企业不得将合同分包给大型企业。</w:t>
      </w:r>
    </w:p>
    <w:p w14:paraId="76DB97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3.2平等对待内外资企业和符合条件的破产重整企业：</w:t>
      </w:r>
    </w:p>
    <w:p w14:paraId="37270366">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AD6E25B">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1B1D1A94">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C3710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3B7C51C">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4F2274">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83281E0">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7B986C44">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5FD5DB6">
      <w:pPr>
        <w:pStyle w:val="9"/>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70B68ED1">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65D0C75B">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F8E8FBF">
      <w:pPr>
        <w:pStyle w:val="35"/>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653212F">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46EC174">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869B983">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37FE6F89">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4B733C00">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6555800C">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4B8DD80">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0AEA645">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BB2F51">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720B66DE">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6A5DFE73">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99CDC7F">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019922F">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A509200">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A58EBCC">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69D0E92B">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23FBD5D7">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7A300410">
      <w:pPr>
        <w:pStyle w:val="130"/>
        <w:snapToGrid w:val="0"/>
        <w:spacing w:before="0"/>
        <w:ind w:firstLine="360"/>
        <w:rPr>
          <w:rFonts w:ascii="宋体" w:hAnsi="宋体" w:cs="宋体"/>
          <w:color w:val="auto"/>
          <w:sz w:val="18"/>
          <w:szCs w:val="18"/>
          <w:highlight w:val="none"/>
        </w:rPr>
      </w:pPr>
    </w:p>
    <w:p w14:paraId="0974037F">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20DD4FC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b/>
          <w:color w:val="auto"/>
          <w:sz w:val="24"/>
          <w:szCs w:val="24"/>
          <w:highlight w:val="none"/>
          <w:lang w:eastAsia="zh-CN"/>
        </w:rPr>
        <w:t>.</w:t>
      </w:r>
      <w:r>
        <w:rPr>
          <w:rFonts w:hint="eastAsia" w:hAnsi="宋体" w:cs="宋体"/>
          <w:b/>
          <w:color w:val="auto"/>
          <w:sz w:val="24"/>
          <w:szCs w:val="24"/>
          <w:highlight w:val="none"/>
        </w:rPr>
        <w:t>采购文件的构成</w:t>
      </w:r>
    </w:p>
    <w:p w14:paraId="46F2DF1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52C55C7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424B9A7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59A91BC">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8857938">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26CEF9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92646AE">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85DBA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01CFF162">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2F1E47D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126ADAD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7F063CD">
      <w:pPr>
        <w:pStyle w:val="3"/>
        <w:rPr>
          <w:rFonts w:hAnsi="宋体" w:cs="宋体"/>
          <w:color w:val="auto"/>
          <w:sz w:val="18"/>
          <w:szCs w:val="18"/>
          <w:highlight w:val="none"/>
          <w:lang w:val="en-US"/>
        </w:rPr>
      </w:pPr>
    </w:p>
    <w:p w14:paraId="6A3D132B">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A7569F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44F47E8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1CA712E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784168E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6C9D4F9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2CB34F72">
      <w:pPr>
        <w:pStyle w:val="9"/>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4C817C6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3696AFB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819035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3212B6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A8150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909203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0EDF6C1">
      <w:pPr>
        <w:snapToGrid w:val="0"/>
        <w:spacing w:line="360" w:lineRule="auto"/>
        <w:ind w:firstLine="960" w:firstLineChars="400"/>
        <w:rPr>
          <w:rFonts w:hint="eastAsia" w:ascii="宋体" w:hAnsi="宋体" w:cs="宋体"/>
          <w:snapToGrid w:val="0"/>
          <w:color w:val="auto"/>
          <w:kern w:val="28"/>
          <w:sz w:val="24"/>
          <w:szCs w:val="20"/>
          <w:highlight w:val="none"/>
          <w:lang w:eastAsia="zh-CN"/>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27336816">
      <w:pPr>
        <w:snapToGrid w:val="0"/>
        <w:spacing w:line="360" w:lineRule="auto"/>
        <w:ind w:firstLine="960" w:firstLineChars="400"/>
        <w:rPr>
          <w:rFonts w:ascii="宋体" w:hAnsi="宋体" w:cs="宋体"/>
          <w:color w:val="auto"/>
          <w:sz w:val="24"/>
          <w:highlight w:val="none"/>
        </w:rPr>
      </w:pPr>
      <w:r>
        <w:rPr>
          <w:rFonts w:hint="eastAsia" w:ascii="宋体" w:hAnsi="宋体" w:cs="宋体"/>
          <w:snapToGrid w:val="0"/>
          <w:color w:val="auto"/>
          <w:kern w:val="28"/>
          <w:sz w:val="24"/>
          <w:szCs w:val="20"/>
          <w:highlight w:val="none"/>
          <w:lang w:val="en-US" w:eastAsia="zh-CN"/>
        </w:rPr>
        <w:t>11.1.4营业执照</w:t>
      </w:r>
      <w:r>
        <w:rPr>
          <w:rFonts w:hint="eastAsia" w:ascii="宋体" w:hAnsi="宋体" w:cs="宋体"/>
          <w:color w:val="auto"/>
          <w:sz w:val="24"/>
          <w:highlight w:val="none"/>
        </w:rPr>
        <w:t>。</w:t>
      </w:r>
    </w:p>
    <w:p w14:paraId="4F2FE8DC">
      <w:pPr>
        <w:snapToGrid w:val="0"/>
        <w:spacing w:line="360" w:lineRule="auto"/>
        <w:ind w:firstLine="480" w:firstLineChars="200"/>
        <w:rPr>
          <w:rFonts w:ascii="宋体" w:hAnsi="宋体" w:cs="宋体"/>
          <w:b/>
          <w:bCs/>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b/>
          <w:bCs/>
          <w:color w:val="auto"/>
          <w:sz w:val="24"/>
          <w:highlight w:val="none"/>
          <w:lang w:eastAsia="zh-CN"/>
        </w:rPr>
        <w:t>资信技术</w:t>
      </w:r>
      <w:r>
        <w:rPr>
          <w:rFonts w:hint="eastAsia" w:ascii="宋体" w:hAnsi="宋体" w:cs="宋体"/>
          <w:b/>
          <w:bCs/>
          <w:color w:val="auto"/>
          <w:sz w:val="24"/>
          <w:highlight w:val="none"/>
          <w:lang w:val="zh-CN"/>
        </w:rPr>
        <w:t>文件：</w:t>
      </w:r>
    </w:p>
    <w:p w14:paraId="3984FE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p>
    <w:p w14:paraId="0288BC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FA4AE6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1294001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评审标准相应的</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资料（格式自拟，）；</w:t>
      </w:r>
    </w:p>
    <w:p w14:paraId="263E3C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偏离表；</w:t>
      </w:r>
    </w:p>
    <w:p w14:paraId="738C6168">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14:paraId="5341D226">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lang w:val="zh-CN"/>
        </w:rPr>
        <w:t>.2.</w:t>
      </w:r>
      <w:r>
        <w:rPr>
          <w:rFonts w:hint="eastAsia" w:ascii="宋体" w:hAnsi="宋体" w:cs="宋体"/>
          <w:color w:val="auto"/>
          <w:sz w:val="24"/>
          <w:highlight w:val="none"/>
          <w:lang w:val="en-US" w:eastAsia="zh-CN"/>
        </w:rPr>
        <w:t>7供应商</w:t>
      </w:r>
      <w:r>
        <w:rPr>
          <w:rFonts w:hint="eastAsia" w:ascii="宋体" w:hAnsi="宋体" w:cs="宋体"/>
          <w:color w:val="auto"/>
          <w:sz w:val="24"/>
          <w:highlight w:val="none"/>
        </w:rPr>
        <w:t>股权信息表</w:t>
      </w:r>
      <w:r>
        <w:rPr>
          <w:rFonts w:hint="eastAsia" w:ascii="宋体" w:hAnsi="宋体" w:cs="宋体"/>
          <w:color w:val="auto"/>
          <w:sz w:val="24"/>
          <w:highlight w:val="none"/>
          <w:lang w:eastAsia="zh-CN"/>
        </w:rPr>
        <w:t>；</w:t>
      </w:r>
    </w:p>
    <w:p w14:paraId="680B4E12">
      <w:pPr>
        <w:snapToGrid w:val="0"/>
        <w:spacing w:line="360" w:lineRule="auto"/>
        <w:ind w:firstLine="720" w:firstLineChars="300"/>
        <w:rPr>
          <w:rFonts w:ascii="宋体" w:hAnsi="宋体" w:cs="宋体"/>
          <w:color w:val="auto"/>
          <w:sz w:val="24"/>
          <w:highlight w:val="none"/>
          <w:lang w:val="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11.2.8</w:t>
      </w:r>
      <w:r>
        <w:rPr>
          <w:rFonts w:hint="eastAsia" w:ascii="宋体" w:hAnsi="宋体" w:cs="宋体"/>
          <w:color w:val="auto"/>
          <w:sz w:val="24"/>
          <w:highlight w:val="none"/>
          <w:lang w:val="zh-CN"/>
        </w:rPr>
        <w:t>缴纳采购代理服务费承诺书。</w:t>
      </w:r>
    </w:p>
    <w:p w14:paraId="59E9008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709257D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31EFCA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11.3.2报价明细表；</w:t>
      </w:r>
    </w:p>
    <w:p w14:paraId="4497D4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5D962A8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03C74571">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14430FB3">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11BB225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资信技术文件、报价文件三部分。各供应商在编制响应文件时请按照采购文件第六部分规定的格式进行，混乱的编排导致响应文件被误读或磋商小组查找不到有效文件是供应商的风险。</w:t>
      </w:r>
    </w:p>
    <w:p w14:paraId="18BD5E0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FA264F4">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99DA7A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F75D2A9">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2EB4EBE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5006880">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19F5C161">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2C482F81">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DB25978">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5520C2B0">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7F016A97">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6AA6431B">
      <w:pPr>
        <w:pStyle w:val="35"/>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332E100B">
      <w:pPr>
        <w:pStyle w:val="35"/>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7E26D04A">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4CFFDCAA">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79ACD705">
      <w:pPr>
        <w:pStyle w:val="35"/>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7559C062">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2C4FC21F">
      <w:pPr>
        <w:pStyle w:val="27"/>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C83FA60">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4E78958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64FA41E1">
      <w:pPr>
        <w:pStyle w:val="130"/>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62B7205A">
      <w:pPr>
        <w:pStyle w:val="130"/>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044BAF85">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FE88232">
      <w:pPr>
        <w:pStyle w:val="556"/>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p>
    <w:p w14:paraId="71AADAA3">
      <w:pPr>
        <w:pStyle w:val="556"/>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2E967105">
      <w:pPr>
        <w:pStyle w:val="556"/>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774738D0">
      <w:pPr>
        <w:pStyle w:val="556"/>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767A354">
      <w:pPr>
        <w:pStyle w:val="556"/>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0294C6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4A0EC2C8">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6755667B">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31E0649D">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525EEDA2">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FA85B06">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733169C4">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64FFD793">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0D7EF94A">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4E3DEC7">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66A48702">
      <w:pPr>
        <w:spacing w:line="360" w:lineRule="auto"/>
        <w:rPr>
          <w:rFonts w:hint="default" w:ascii="宋体" w:hAnsi="宋体" w:eastAsia="宋体" w:cs="宋体"/>
          <w:b/>
          <w:color w:val="auto"/>
          <w:sz w:val="24"/>
          <w:highlight w:val="none"/>
          <w:lang w:val="en-US" w:eastAsia="zh-CN"/>
        </w:rPr>
      </w:pPr>
      <w:bookmarkStart w:id="19" w:name="_Toc9189990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项目评审</w:t>
      </w:r>
    </w:p>
    <w:p w14:paraId="7BF0EC14">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21.1</w:t>
      </w:r>
      <w:r>
        <w:rPr>
          <w:rFonts w:hint="eastAsia" w:hAnsi="宋体" w:cs="宋体"/>
          <w:color w:val="auto"/>
          <w:sz w:val="24"/>
          <w:szCs w:val="24"/>
          <w:highlight w:val="none"/>
        </w:rPr>
        <w:t>采购人将根据磋商项目的特点，依照</w:t>
      </w:r>
      <w:r>
        <w:rPr>
          <w:rFonts w:hint="eastAsia" w:hAnsi="宋体" w:cs="宋体"/>
          <w:color w:val="auto"/>
          <w:kern w:val="0"/>
          <w:sz w:val="24"/>
          <w:highlight w:val="none"/>
        </w:rPr>
        <w:t>《中华人民共和国政府采购法》、《政府采购竞争性磋商采购方式管理暂行办法》</w:t>
      </w:r>
      <w:r>
        <w:rPr>
          <w:rFonts w:hint="eastAsia" w:hAnsi="宋体" w:cs="宋体"/>
          <w:color w:val="auto"/>
          <w:sz w:val="24"/>
          <w:szCs w:val="24"/>
          <w:highlight w:val="none"/>
        </w:rPr>
        <w:t>的有关规定组建磋商评审小组。成员人数为三人，其成员由经济、技术等方面的评审专家组成。其中评审专家不少于成员总数的三分之二，采购人代表不超过总人数的三分之</w:t>
      </w:r>
      <w:r>
        <w:rPr>
          <w:rFonts w:hint="eastAsia" w:hAnsi="宋体" w:cs="宋体"/>
          <w:color w:val="auto"/>
          <w:sz w:val="24"/>
          <w:szCs w:val="24"/>
          <w:highlight w:val="none"/>
          <w:lang w:val="en-US" w:eastAsia="zh-CN"/>
        </w:rPr>
        <w:t>一，</w:t>
      </w:r>
      <w:r>
        <w:rPr>
          <w:rFonts w:hint="eastAsia" w:hAnsi="宋体" w:cs="宋体"/>
          <w:color w:val="auto"/>
          <w:sz w:val="24"/>
          <w:szCs w:val="24"/>
          <w:highlight w:val="none"/>
        </w:rPr>
        <w:t>并由磋商评审小组推选小组负责人</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业主代表不得作为评审组长</w:t>
      </w:r>
      <w:r>
        <w:rPr>
          <w:rFonts w:hint="eastAsia" w:hAnsi="宋体" w:cs="宋体"/>
          <w:color w:val="auto"/>
          <w:sz w:val="24"/>
          <w:szCs w:val="24"/>
          <w:highlight w:val="none"/>
          <w:lang w:eastAsia="zh-CN"/>
        </w:rPr>
        <w:t>）</w:t>
      </w:r>
      <w:r>
        <w:rPr>
          <w:rFonts w:hint="eastAsia" w:hAnsi="宋体" w:cs="宋体"/>
          <w:color w:val="auto"/>
          <w:sz w:val="24"/>
          <w:szCs w:val="24"/>
          <w:highlight w:val="none"/>
        </w:rPr>
        <w:t>。</w:t>
      </w:r>
    </w:p>
    <w:p w14:paraId="7730398C">
      <w:pPr>
        <w:pStyle w:val="723"/>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21.2</w:t>
      </w:r>
      <w:r>
        <w:rPr>
          <w:rFonts w:hint="eastAsia" w:ascii="宋体" w:hAnsi="宋体" w:eastAsia="宋体" w:cs="宋体"/>
          <w:b/>
          <w:bCs/>
          <w:color w:val="auto"/>
          <w:szCs w:val="21"/>
          <w:highlight w:val="none"/>
        </w:rPr>
        <w:t>响应文件符合性评审</w:t>
      </w:r>
    </w:p>
    <w:p w14:paraId="4786329D">
      <w:pPr>
        <w:pStyle w:val="723"/>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.2.1磋商小组将首先审查每份响应文件是否实质上响应了竞争性磋商文件的要求，实质性响应的响应文件是指响应文件符合竞争性磋商文件规定的实质性内容、条件和规定。</w:t>
      </w:r>
    </w:p>
    <w:p w14:paraId="3FE66D26">
      <w:pPr>
        <w:pStyle w:val="723"/>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2.2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14:paraId="43A45CAF">
      <w:pPr>
        <w:pStyle w:val="723"/>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.2.3细微偏离是指响应文件对竞争性磋商文件的非实质性内容存在不完全响应或不响应。</w:t>
      </w:r>
    </w:p>
    <w:p w14:paraId="689644F2">
      <w:pPr>
        <w:pStyle w:val="723"/>
        <w:spacing w:line="360" w:lineRule="auto"/>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2.4重大偏离和保留、细微偏离由磋商小组界定。符合性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14:paraId="11BE6160">
      <w:pPr>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21.3响应文件的澄清</w:t>
      </w:r>
    </w:p>
    <w:p w14:paraId="28B1A58F">
      <w:p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磋商小组可要求供应商对响应文件中含义不明确、同类问题表述不一致、有明显的文字和计算错误的内容等进行澄清并做出答复。澄清以通过“政府采购云平台”在线询标的形式进行。要求供应商在规定的时间内作出必要的澄清、说明或者补正，供应商人澄清、说明或补正时间为30分钟以内。</w:t>
      </w:r>
    </w:p>
    <w:p w14:paraId="7020A83B">
      <w:pPr>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21.4响应文件计算错误的修正</w:t>
      </w:r>
    </w:p>
    <w:p w14:paraId="4E49D967">
      <w:p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21.4.1响应文件中磋商报价一览表内容与响应文件中磋商分项报价表内容不一致的，以磋商报价一览表为准；</w:t>
      </w:r>
    </w:p>
    <w:p w14:paraId="06331BD8">
      <w:p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21.4.2响应文件的大写金额和小写金额不一致的，以大写金额为准；</w:t>
      </w:r>
    </w:p>
    <w:p w14:paraId="59653578">
      <w:p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21.4.3总价金额与按单价汇总金额不一致的，以单价金额计算结果为准;</w:t>
      </w:r>
    </w:p>
    <w:p w14:paraId="090077D0">
      <w:p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21.4.4单价金额小数点有明显错位的，应以总价为准，并修改单价；</w:t>
      </w:r>
    </w:p>
    <w:p w14:paraId="7981929C">
      <w:pPr>
        <w:spacing w:line="360" w:lineRule="auto"/>
        <w:ind w:firstLine="480" w:firstLineChars="20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21.4.5对不同文字文本响应文件的解释发生异议的，以中文文本为准。</w:t>
      </w:r>
    </w:p>
    <w:p w14:paraId="3D1A8C08">
      <w:p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21.3磋商小组根据磋商文件的内容与通过审查的各供应商分别进行磋商，各供应商应通过政采云平台在线答复。</w:t>
      </w:r>
    </w:p>
    <w:p w14:paraId="13F2DE6D">
      <w:pPr>
        <w:spacing w:line="360" w:lineRule="auto"/>
        <w:ind w:firstLine="480" w:firstLineChars="200"/>
        <w:rPr>
          <w:rFonts w:hint="eastAsia" w:ascii="宋体" w:hAnsi="宋体" w:cs="宋体"/>
          <w:b/>
          <w:color w:val="auto"/>
          <w:sz w:val="24"/>
          <w:highlight w:val="none"/>
        </w:rPr>
      </w:pPr>
      <w:r>
        <w:rPr>
          <w:rFonts w:hint="eastAsia" w:hAnsi="宋体" w:cs="宋体"/>
          <w:color w:val="auto"/>
          <w:sz w:val="24"/>
          <w:szCs w:val="24"/>
          <w:highlight w:val="none"/>
          <w:lang w:val="en-US" w:eastAsia="zh-CN"/>
        </w:rPr>
        <w:t>21.5</w:t>
      </w:r>
      <w:r>
        <w:rPr>
          <w:rFonts w:hint="eastAsia" w:hAnsi="宋体" w:cs="宋体"/>
          <w:color w:val="auto"/>
          <w:sz w:val="24"/>
          <w:szCs w:val="24"/>
          <w:highlight w:val="none"/>
        </w:rPr>
        <w:t>磋商评审小组</w:t>
      </w:r>
      <w:r>
        <w:rPr>
          <w:rFonts w:hint="eastAsia" w:ascii="宋体" w:hAnsi="宋体" w:cs="宋体"/>
          <w:color w:val="auto"/>
          <w:sz w:val="24"/>
          <w:highlight w:val="none"/>
        </w:rPr>
        <w:t>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587ED59F">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21.6磋商报价分二轮进行，首次报价在响应文件中体现；最终报价由各供应商在规定时间内通过政采云平台在线完成。各供应商应事先做好充足准备，如未能在规定的时间内提供最终报价，作自动放弃处理。</w:t>
      </w:r>
    </w:p>
    <w:p w14:paraId="43188B76">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注：最后一轮报价只允许有一个报价，不接受有选择报价的响应文件。</w:t>
      </w:r>
    </w:p>
    <w:p w14:paraId="7AA69C2D">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1EAFB10F">
      <w:pPr>
        <w:pStyle w:val="27"/>
        <w:spacing w:line="360" w:lineRule="auto"/>
        <w:ind w:left="479" w:hanging="479" w:hangingChars="199"/>
        <w:rPr>
          <w:rFonts w:cs="宋体"/>
          <w:b/>
          <w:color w:val="auto"/>
          <w:highlight w:val="none"/>
        </w:rPr>
      </w:pPr>
      <w:r>
        <w:rPr>
          <w:rFonts w:hint="eastAsia" w:cs="宋体"/>
          <w:b/>
          <w:color w:val="auto"/>
          <w:highlight w:val="none"/>
        </w:rPr>
        <w:t>22. 确定成交供应商</w:t>
      </w:r>
    </w:p>
    <w:p w14:paraId="12BF6983">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BD95113">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14E5C4C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3A32D18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46493B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2FA7C60">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7F3403E1">
      <w:pPr>
        <w:pStyle w:val="27"/>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42C2887">
      <w:pPr>
        <w:pStyle w:val="27"/>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1E68DC31">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3089E89F">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75CA3B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0BE665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3274CE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9B2DADE">
      <w:pPr>
        <w:pStyle w:val="27"/>
        <w:snapToGrid w:val="0"/>
        <w:spacing w:line="360" w:lineRule="auto"/>
        <w:ind w:left="479" w:hanging="479" w:hangingChars="199"/>
        <w:rPr>
          <w:rFonts w:cs="宋体"/>
          <w:b/>
          <w:color w:val="auto"/>
          <w:highlight w:val="none"/>
        </w:rPr>
      </w:pPr>
      <w:r>
        <w:rPr>
          <w:rFonts w:hint="eastAsia" w:cs="宋体"/>
          <w:b/>
          <w:color w:val="auto"/>
          <w:highlight w:val="none"/>
        </w:rPr>
        <w:t>26.履约保证金</w:t>
      </w:r>
    </w:p>
    <w:p w14:paraId="6701D70E">
      <w:pPr>
        <w:widowControl/>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0"/>
          <w:highlight w:val="none"/>
          <w:lang w:eastAsia="zh-CN"/>
        </w:rPr>
      </w:pPr>
      <w:r>
        <w:rPr>
          <w:rFonts w:hint="eastAsia" w:ascii="宋体" w:hAnsi="宋体" w:cs="宋体"/>
          <w:color w:val="auto"/>
          <w:sz w:val="24"/>
          <w:highlight w:val="none"/>
          <w:lang w:val="en-US" w:eastAsia="zh-CN"/>
        </w:rPr>
        <w:t>无。</w:t>
      </w:r>
    </w:p>
    <w:p w14:paraId="551B601E">
      <w:pPr>
        <w:pStyle w:val="27"/>
        <w:snapToGrid w:val="0"/>
        <w:spacing w:line="360" w:lineRule="auto"/>
        <w:ind w:left="479" w:hanging="479" w:hangingChars="199"/>
        <w:rPr>
          <w:rFonts w:cs="宋体"/>
          <w:b/>
          <w:color w:val="auto"/>
          <w:highlight w:val="none"/>
        </w:rPr>
      </w:pPr>
      <w:r>
        <w:rPr>
          <w:rFonts w:hint="eastAsia" w:cs="宋体"/>
          <w:b/>
          <w:color w:val="auto"/>
          <w:highlight w:val="none"/>
        </w:rPr>
        <w:t>27.预付款</w:t>
      </w:r>
    </w:p>
    <w:p w14:paraId="59F5FB84">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lang w:val="zh-CN"/>
        </w:rPr>
        <w:t>合同生效且收到供应商正式发票后7个工作日内支付合同金额的40%作为预付款；开发完成、系统上线试运行支付（凭借试运行报告）合同金额的30%，试运行，最终验收通过后支付系统交付并通过验收且收到供应商正式发票后7个工作日内支付合同金额的30%。若</w:t>
      </w:r>
      <w:r>
        <w:rPr>
          <w:rFonts w:hint="eastAsia" w:ascii="宋体" w:hAnsi="宋体" w:cs="宋体"/>
          <w:color w:val="auto"/>
          <w:sz w:val="24"/>
          <w:highlight w:val="none"/>
          <w:lang w:eastAsia="zh-CN"/>
        </w:rPr>
        <w:t>成交人</w:t>
      </w:r>
      <w:r>
        <w:rPr>
          <w:rFonts w:hint="eastAsia" w:ascii="宋体" w:hAnsi="宋体" w:cs="宋体"/>
          <w:color w:val="auto"/>
          <w:sz w:val="24"/>
          <w:highlight w:val="none"/>
          <w:lang w:val="zh-CN"/>
        </w:rPr>
        <w:t>无需预付款的可选择在验收合格后一次性支付；预付款的支付进程不得影响合同的履行</w:t>
      </w:r>
      <w:r>
        <w:rPr>
          <w:rFonts w:hint="eastAsia" w:ascii="宋体" w:hAnsi="宋体" w:cs="宋体"/>
          <w:color w:val="auto"/>
          <w:sz w:val="24"/>
          <w:highlight w:val="none"/>
        </w:rPr>
        <w:t>。</w:t>
      </w:r>
    </w:p>
    <w:p w14:paraId="65C893D2">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584651B2">
      <w:pPr>
        <w:pStyle w:val="130"/>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B10881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96752F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A6EE9C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E16506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C2B35E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593404E">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EAD63AE">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0609DB6E">
      <w:pPr>
        <w:pStyle w:val="27"/>
        <w:spacing w:line="360" w:lineRule="auto"/>
        <w:ind w:firstLine="0" w:firstLineChars="0"/>
        <w:rPr>
          <w:rFonts w:cs="宋体"/>
          <w:b/>
          <w:color w:val="auto"/>
          <w:highlight w:val="none"/>
        </w:rPr>
      </w:pPr>
      <w:r>
        <w:rPr>
          <w:rFonts w:hint="eastAsia" w:cs="宋体"/>
          <w:b/>
          <w:color w:val="auto"/>
          <w:highlight w:val="none"/>
        </w:rPr>
        <w:t>30.验收</w:t>
      </w:r>
    </w:p>
    <w:p w14:paraId="16346E0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649DB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025361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591CA9">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635A4A8C">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bookmarkStart w:id="20" w:name="_Hlt75236290"/>
      <w:bookmarkEnd w:id="20"/>
      <w:bookmarkStart w:id="21" w:name="_Hlt75236011"/>
      <w:bookmarkEnd w:id="21"/>
      <w:bookmarkStart w:id="22" w:name="_Hlt68072998"/>
      <w:bookmarkEnd w:id="22"/>
      <w:bookmarkStart w:id="23" w:name="_Hlt75236101"/>
      <w:bookmarkEnd w:id="23"/>
      <w:bookmarkStart w:id="24" w:name="_Hlt74707468"/>
      <w:bookmarkEnd w:id="24"/>
      <w:bookmarkStart w:id="25" w:name="_Hlt68072990"/>
      <w:bookmarkEnd w:id="25"/>
      <w:bookmarkStart w:id="26" w:name="_Hlt68403820"/>
      <w:bookmarkEnd w:id="26"/>
      <w:bookmarkStart w:id="27" w:name="_Hlt68057669"/>
      <w:bookmarkEnd w:id="27"/>
      <w:bookmarkStart w:id="28" w:name="_Hlt74714665"/>
      <w:bookmarkEnd w:id="28"/>
      <w:bookmarkStart w:id="29" w:name="_Hlt74729768"/>
      <w:bookmarkEnd w:id="29"/>
      <w:bookmarkStart w:id="30" w:name="_Hlt74730295"/>
      <w:bookmarkEnd w:id="30"/>
      <w:bookmarkStart w:id="31" w:name="_Hlt68073093"/>
      <w:bookmarkEnd w:id="31"/>
    </w:p>
    <w:bookmarkEnd w:id="16"/>
    <w:bookmarkEnd w:id="17"/>
    <w:p w14:paraId="22CCBB69">
      <w:pPr>
        <w:adjustRightInd/>
        <w:spacing w:line="360" w:lineRule="auto"/>
        <w:jc w:val="center"/>
        <w:outlineLvl w:val="0"/>
        <w:rPr>
          <w:rFonts w:ascii="宋体" w:hAnsi="宋体" w:cs="宋体"/>
          <w:b/>
          <w:color w:val="auto"/>
          <w:sz w:val="36"/>
          <w:szCs w:val="20"/>
          <w:highlight w:val="none"/>
        </w:rPr>
      </w:pPr>
      <w:bookmarkStart w:id="32" w:name="_Toc12756"/>
      <w:bookmarkStart w:id="33" w:name="第四部分"/>
      <w:r>
        <w:rPr>
          <w:rFonts w:hint="eastAsia" w:ascii="宋体" w:hAnsi="宋体" w:cs="宋体"/>
          <w:b/>
          <w:color w:val="auto"/>
          <w:sz w:val="36"/>
          <w:szCs w:val="20"/>
          <w:highlight w:val="none"/>
        </w:rPr>
        <w:t>第三部分 采购需求</w:t>
      </w:r>
      <w:bookmarkEnd w:id="32"/>
    </w:p>
    <w:p w14:paraId="341B9639">
      <w:pPr>
        <w:pStyle w:val="7"/>
        <w:bidi w:val="0"/>
        <w:jc w:val="left"/>
        <w:rPr>
          <w:color w:val="auto"/>
          <w:highlight w:val="none"/>
        </w:rPr>
      </w:pPr>
      <w:bookmarkStart w:id="34" w:name="_Toc10673"/>
      <w:bookmarkStart w:id="35" w:name="_Toc6822"/>
      <w:r>
        <w:rPr>
          <w:rFonts w:hint="eastAsia"/>
          <w:color w:val="auto"/>
          <w:highlight w:val="none"/>
        </w:rPr>
        <w:t>一、项目背景</w:t>
      </w:r>
    </w:p>
    <w:p w14:paraId="76A1C1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浙江省教育厅办公室关于公布2022年教育领域数字化改革创新试点项目的通知》精神，高校系统的采购业务越来越受到监管部门的重视，高校采购业务管理中普遍存在政策性强、流程繁琐、风险点多、情况复杂等特征。目前我校尚未形成一套规范高效、监督有力的数字化</w:t>
      </w:r>
      <w:r>
        <w:rPr>
          <w:rFonts w:hint="eastAsia" w:asciiTheme="minorEastAsia" w:hAnsiTheme="minorEastAsia" w:eastAsiaTheme="minorEastAsia" w:cstheme="minorEastAsia"/>
          <w:strike w:val="0"/>
          <w:dstrike w:val="0"/>
          <w:color w:val="auto"/>
          <w:sz w:val="24"/>
          <w:szCs w:val="24"/>
          <w:highlight w:val="none"/>
          <w:lang w:val="en-US" w:eastAsia="zh-CN"/>
        </w:rPr>
        <w:t>采购管理系统</w:t>
      </w:r>
      <w:r>
        <w:rPr>
          <w:rFonts w:hint="eastAsia" w:asciiTheme="minorEastAsia" w:hAnsiTheme="minorEastAsia" w:eastAsiaTheme="minorEastAsia" w:cstheme="minorEastAsia"/>
          <w:color w:val="auto"/>
          <w:sz w:val="24"/>
          <w:szCs w:val="24"/>
          <w:highlight w:val="none"/>
        </w:rPr>
        <w:t>，日常繁冗的采购程序与环节导致</w:t>
      </w:r>
      <w:r>
        <w:rPr>
          <w:rFonts w:hint="eastAsia" w:asciiTheme="minorEastAsia" w:hAnsiTheme="minorEastAsia" w:eastAsiaTheme="minorEastAsia" w:cstheme="minorEastAsia"/>
          <w:strike w:val="0"/>
          <w:dstrike w:val="0"/>
          <w:color w:val="auto"/>
          <w:sz w:val="24"/>
          <w:szCs w:val="24"/>
          <w:highlight w:val="none"/>
          <w:lang w:eastAsia="zh-CN"/>
        </w:rPr>
        <w:t>学校部分采购滞后</w:t>
      </w:r>
      <w:r>
        <w:rPr>
          <w:rFonts w:hint="eastAsia" w:asciiTheme="minorEastAsia" w:hAnsiTheme="minorEastAsia" w:eastAsiaTheme="minorEastAsia" w:cstheme="minorEastAsia"/>
          <w:color w:val="auto"/>
          <w:sz w:val="24"/>
          <w:szCs w:val="24"/>
          <w:highlight w:val="none"/>
        </w:rPr>
        <w:t>，一定程度上影响了采购效率，最终影响经费的使用效益。</w:t>
      </w:r>
    </w:p>
    <w:p w14:paraId="7F0C07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基于本校现有内部采购管理体系，拟建设一套覆盖采购全过程场景的采购管理系统。能够基于 PC 端和移动端，采购各环节线上化，实现经费管理、采购需求管理、采购交易执行管理、预约入库等。实现采购管理系统串联学校融合财务系统、资产系统、政采云平台、省财政内网系统等，打造采购事前、事中、事后全周期管理平台，实现采购全流程跟踪，全过程数据留痕，提高采购管理效率，提高采购透明度，提高跨部门协同能力，“让数据多跑路”，助力学校采购数字化改革，实现采购工作提质增效。</w:t>
      </w:r>
    </w:p>
    <w:p w14:paraId="4DD82306">
      <w:pPr>
        <w:pStyle w:val="7"/>
        <w:bidi w:val="0"/>
        <w:jc w:val="left"/>
        <w:rPr>
          <w:rFonts w:hint="eastAsia"/>
          <w:color w:val="auto"/>
          <w:highlight w:val="none"/>
        </w:rPr>
      </w:pPr>
      <w:r>
        <w:rPr>
          <w:rFonts w:hint="eastAsia"/>
          <w:color w:val="auto"/>
          <w:highlight w:val="none"/>
        </w:rPr>
        <w:t>二、建设目标</w:t>
      </w:r>
    </w:p>
    <w:p w14:paraId="07028B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实现采购全流程信息化，提高工作效率，营造公开透明的采购环境</w:t>
      </w:r>
    </w:p>
    <w:p w14:paraId="4F0A8A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建立采购申请、采购实施、售后服务、质量评价的采购全流程业务闭环，满足采购单位、财政、招标代理机构、供应商等采购参与单位在线协同工作，实现在线申报、在线审批，提高工作效率。</w:t>
      </w:r>
    </w:p>
    <w:p w14:paraId="600B12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建立采购大数据，为宏观决策分析服务，管理前置</w:t>
      </w:r>
    </w:p>
    <w:p w14:paraId="31DD7E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立以采购数据库为核心的基础数据库，以及采购需求、采购项目、采购明细、采购合同为内容的采购存档数据库，形成采购大数据，全面掌握学校的采购情况、质量情况、运维情况，为采购决策和项目规划与实施、教育公共服务提供支撑。</w:t>
      </w:r>
    </w:p>
    <w:p w14:paraId="61A76E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通过整体信息化设计，使得采购过程规范化</w:t>
      </w:r>
    </w:p>
    <w:p w14:paraId="48E6A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通过采购管理系统，能够实现申报、审批、采购、</w:t>
      </w:r>
      <w:r>
        <w:rPr>
          <w:rFonts w:hint="eastAsia" w:asciiTheme="minorEastAsia" w:hAnsiTheme="minorEastAsia" w:eastAsiaTheme="minorEastAsia" w:cstheme="minorEastAsia"/>
          <w:color w:val="auto"/>
          <w:sz w:val="24"/>
          <w:szCs w:val="24"/>
          <w:highlight w:val="none"/>
          <w:lang w:val="en-US" w:eastAsia="zh-CN"/>
        </w:rPr>
        <w:t>验收、结算、归档</w:t>
      </w:r>
      <w:r>
        <w:rPr>
          <w:rFonts w:hint="eastAsia" w:asciiTheme="minorEastAsia" w:hAnsiTheme="minorEastAsia" w:eastAsiaTheme="minorEastAsia" w:cstheme="minorEastAsia"/>
          <w:color w:val="auto"/>
          <w:sz w:val="24"/>
          <w:szCs w:val="24"/>
          <w:highlight w:val="none"/>
        </w:rPr>
        <w:t>一体化,明确了采购流程，清晰了审批、采购的权限界定，在审批环节就实现了采购信息的痕迹化管理。采购过程中电子卖场、竞价、公开招标的方式都使得采购信息公开，相关采购记录信息都能在采购管理系统“追根溯源”,实现采购动态信息化管理。</w:t>
      </w:r>
    </w:p>
    <w:p w14:paraId="3EB26E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实行有效监督,杜绝腐败滋生</w:t>
      </w:r>
    </w:p>
    <w:p w14:paraId="2E86B9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申请、审批、采购、中标以及结算等一系列信息都能在数据库找寻踪迹，采购工作流程公开透明。在信息系统中使用数据采集，统计分析等技术，对历史数据进行深入的处理,使采购工作的管理实现信息化、智能化。由于网络的开放性、共享性，采购监管部门可以全程跟踪网上采购的全过程，实现网上监管，上级部门和其他相关部门也可以实现网上监督。同时，可以避免采购人员暗箱操作，防止接受贿赂进行舞弊的可能。</w:t>
      </w:r>
    </w:p>
    <w:p w14:paraId="41503C56">
      <w:pPr>
        <w:pStyle w:val="7"/>
        <w:bidi w:val="0"/>
        <w:jc w:val="left"/>
        <w:rPr>
          <w:color w:val="auto"/>
          <w:sz w:val="24"/>
          <w:szCs w:val="24"/>
          <w:highlight w:val="none"/>
        </w:rPr>
      </w:pPr>
      <w:r>
        <w:rPr>
          <w:rFonts w:hint="eastAsia" w:ascii="宋体" w:hAnsi="宋体" w:eastAsia="宋体" w:cs="宋体"/>
          <w:color w:val="auto"/>
          <w:sz w:val="24"/>
          <w:szCs w:val="24"/>
          <w:highlight w:val="none"/>
        </w:rPr>
        <w:t>三、服</w:t>
      </w:r>
      <w:r>
        <w:rPr>
          <w:color w:val="auto"/>
          <w:sz w:val="24"/>
          <w:szCs w:val="24"/>
          <w:highlight w:val="none"/>
        </w:rPr>
        <w:t>务内容</w:t>
      </w:r>
    </w:p>
    <w:tbl>
      <w:tblPr>
        <w:tblStyle w:val="64"/>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89"/>
        <w:gridCol w:w="1214"/>
        <w:gridCol w:w="1228"/>
        <w:gridCol w:w="5930"/>
      </w:tblGrid>
      <w:tr w14:paraId="1EC7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8" w:type="pct"/>
            <w:noWrap/>
            <w:vAlign w:val="center"/>
          </w:tcPr>
          <w:p w14:paraId="78D77079">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497" w:type="pct"/>
            <w:noWrap/>
            <w:vAlign w:val="center"/>
          </w:tcPr>
          <w:p w14:paraId="23EE3205">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一级</w:t>
            </w:r>
          </w:p>
          <w:p w14:paraId="78C418DF">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功能</w:t>
            </w:r>
          </w:p>
        </w:tc>
        <w:tc>
          <w:tcPr>
            <w:tcW w:w="610" w:type="pct"/>
            <w:vAlign w:val="center"/>
          </w:tcPr>
          <w:p w14:paraId="533321B1">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二级</w:t>
            </w:r>
          </w:p>
          <w:p w14:paraId="7E6AB537">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功能</w:t>
            </w:r>
          </w:p>
        </w:tc>
        <w:tc>
          <w:tcPr>
            <w:tcW w:w="617" w:type="pct"/>
            <w:vAlign w:val="center"/>
          </w:tcPr>
          <w:p w14:paraId="19F7AEAB">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三级</w:t>
            </w:r>
          </w:p>
          <w:p w14:paraId="0B092D15">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功能</w:t>
            </w:r>
          </w:p>
        </w:tc>
        <w:tc>
          <w:tcPr>
            <w:tcW w:w="2984" w:type="pct"/>
            <w:vAlign w:val="center"/>
          </w:tcPr>
          <w:p w14:paraId="52EBA816">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功能描述</w:t>
            </w:r>
          </w:p>
        </w:tc>
      </w:tr>
      <w:tr w14:paraId="1F16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0" w:type="pct"/>
            <w:gridSpan w:val="5"/>
            <w:shd w:val="clear" w:color="auto" w:fill="DDEBF7"/>
            <w:noWrap/>
            <w:vAlign w:val="center"/>
          </w:tcPr>
          <w:p w14:paraId="0F75E4ED">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采购管理系统</w:t>
            </w:r>
          </w:p>
        </w:tc>
      </w:tr>
      <w:tr w14:paraId="6195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restart"/>
            <w:noWrap/>
            <w:vAlign w:val="center"/>
          </w:tcPr>
          <w:p w14:paraId="7AE1084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497" w:type="pct"/>
            <w:vMerge w:val="restart"/>
            <w:noWrap/>
            <w:vAlign w:val="center"/>
          </w:tcPr>
          <w:p w14:paraId="5AF67DB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系统</w:t>
            </w:r>
          </w:p>
          <w:p w14:paraId="11C3E65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总览</w:t>
            </w:r>
          </w:p>
        </w:tc>
        <w:tc>
          <w:tcPr>
            <w:tcW w:w="610" w:type="pct"/>
            <w:vAlign w:val="center"/>
          </w:tcPr>
          <w:p w14:paraId="15364C3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操作</w:t>
            </w:r>
          </w:p>
          <w:p w14:paraId="625DBD0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指南</w:t>
            </w:r>
          </w:p>
        </w:tc>
        <w:tc>
          <w:tcPr>
            <w:tcW w:w="617" w:type="pct"/>
            <w:vAlign w:val="center"/>
          </w:tcPr>
          <w:p w14:paraId="4062309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4760F6A0">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支持快速查看系统操作指南（文字版/视频版），方便用户快速掌握操作。</w:t>
            </w:r>
          </w:p>
        </w:tc>
      </w:tr>
      <w:tr w14:paraId="49D9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4911AD8A">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4BF668C2">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324528C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操作</w:t>
            </w:r>
          </w:p>
          <w:p w14:paraId="7FBAE50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指引</w:t>
            </w:r>
          </w:p>
        </w:tc>
        <w:tc>
          <w:tcPr>
            <w:tcW w:w="617" w:type="pct"/>
            <w:vAlign w:val="center"/>
          </w:tcPr>
          <w:p w14:paraId="70EBDF5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7A72C711">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我校采购内控管理流程划分，包含但不限于以下模块：采购预算申报、采购意向等信息公开、采购需求、采购执行、采购合同、履约验收、电子档案、资产入库、预约报销等管理功能单元，可动态显示采购业务全过程。</w:t>
            </w:r>
          </w:p>
        </w:tc>
      </w:tr>
      <w:tr w14:paraId="7864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37BC4D74">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4DABE417">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3EE655BE">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快速</w:t>
            </w:r>
          </w:p>
          <w:p w14:paraId="3D52C2FB">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发起</w:t>
            </w:r>
          </w:p>
        </w:tc>
        <w:tc>
          <w:tcPr>
            <w:tcW w:w="617" w:type="pct"/>
            <w:vAlign w:val="center"/>
          </w:tcPr>
          <w:p w14:paraId="6AC9720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2FC1ADC">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支持快速发起有关审批流程。</w:t>
            </w:r>
          </w:p>
        </w:tc>
      </w:tr>
      <w:tr w14:paraId="1055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3FA6FADF">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05B8EBDE">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4311FD24">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采购制度文件公示</w:t>
            </w:r>
          </w:p>
        </w:tc>
        <w:tc>
          <w:tcPr>
            <w:tcW w:w="617" w:type="pct"/>
            <w:vAlign w:val="center"/>
          </w:tcPr>
          <w:p w14:paraId="53BDA5AF">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5C21AEB">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支持相关采购政策、制度和文件集中展示；支持PDF、word等格式文件下载。</w:t>
            </w:r>
          </w:p>
        </w:tc>
      </w:tr>
      <w:tr w14:paraId="49B4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1E6517D9">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4C2203D3">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7B2D329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年度采购情况公示</w:t>
            </w:r>
          </w:p>
        </w:tc>
        <w:tc>
          <w:tcPr>
            <w:tcW w:w="617" w:type="pct"/>
            <w:vAlign w:val="center"/>
          </w:tcPr>
          <w:p w14:paraId="780DD25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4D396E5">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支持年度政府采购情况可选择和自定义公示，支持按部门</w:t>
            </w:r>
            <w:r>
              <w:rPr>
                <w:rFonts w:hint="eastAsia" w:ascii="宋体" w:hAnsi="宋体" w:eastAsia="宋体" w:cs="宋体"/>
                <w:b w:val="0"/>
                <w:bCs w:val="0"/>
                <w:color w:val="auto"/>
                <w:kern w:val="0"/>
                <w:sz w:val="24"/>
                <w:highlight w:val="none"/>
              </w:rPr>
              <w:t>、</w:t>
            </w:r>
            <w:r>
              <w:rPr>
                <w:rFonts w:hint="eastAsia" w:ascii="宋体" w:hAnsi="宋体" w:eastAsia="宋体" w:cs="宋体"/>
                <w:b w:val="0"/>
                <w:bCs w:val="0"/>
                <w:color w:val="auto"/>
                <w:kern w:val="0"/>
                <w:sz w:val="24"/>
                <w:highlight w:val="none"/>
                <w:lang w:val="en-US" w:eastAsia="zh-CN"/>
              </w:rPr>
              <w:t>采购方式</w:t>
            </w:r>
            <w:r>
              <w:rPr>
                <w:rFonts w:hint="eastAsia" w:ascii="宋体" w:hAnsi="宋体" w:eastAsia="宋体" w:cs="宋体"/>
                <w:b w:val="0"/>
                <w:bCs w:val="0"/>
                <w:color w:val="auto"/>
                <w:kern w:val="0"/>
                <w:sz w:val="24"/>
                <w:highlight w:val="none"/>
              </w:rPr>
              <w:t>、</w:t>
            </w:r>
            <w:r>
              <w:rPr>
                <w:rFonts w:hint="eastAsia" w:ascii="宋体" w:hAnsi="宋体" w:eastAsia="宋体" w:cs="宋体"/>
                <w:color w:val="auto"/>
                <w:kern w:val="0"/>
                <w:sz w:val="24"/>
                <w:highlight w:val="none"/>
              </w:rPr>
              <w:t>成交金额、成交笔数等进行排名列示，并支持关联发布到我校门户网站采购信息公示栏。</w:t>
            </w:r>
          </w:p>
        </w:tc>
      </w:tr>
      <w:tr w14:paraId="089C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restart"/>
            <w:vAlign w:val="center"/>
          </w:tcPr>
          <w:p w14:paraId="4FF8B02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497" w:type="pct"/>
            <w:vMerge w:val="restart"/>
            <w:vAlign w:val="center"/>
          </w:tcPr>
          <w:p w14:paraId="74611A50">
            <w:pPr>
              <w:widowControl/>
              <w:spacing w:line="360" w:lineRule="auto"/>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基础</w:t>
            </w:r>
          </w:p>
          <w:p w14:paraId="5144B73F">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设置</w:t>
            </w:r>
          </w:p>
        </w:tc>
        <w:tc>
          <w:tcPr>
            <w:tcW w:w="610" w:type="pct"/>
            <w:vAlign w:val="center"/>
          </w:tcPr>
          <w:p w14:paraId="144798E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组织机构及人员管理</w:t>
            </w:r>
          </w:p>
        </w:tc>
        <w:tc>
          <w:tcPr>
            <w:tcW w:w="617" w:type="pct"/>
            <w:vAlign w:val="center"/>
          </w:tcPr>
          <w:p w14:paraId="28632F0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485046D0">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支持管理我校各部门关联关系，支持部门资产管理员、采购经办人、部门负责人、分管领导、部门名称、部门层级等设置和修改。</w:t>
            </w:r>
          </w:p>
        </w:tc>
      </w:tr>
      <w:tr w14:paraId="0964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36019FE9">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5C8DFFA4">
            <w:pPr>
              <w:widowControl/>
              <w:spacing w:line="360" w:lineRule="auto"/>
              <w:jc w:val="left"/>
              <w:rPr>
                <w:rFonts w:hint="eastAsia" w:ascii="宋体" w:hAnsi="宋体" w:eastAsia="宋体" w:cs="宋体"/>
                <w:color w:val="auto"/>
                <w:kern w:val="0"/>
                <w:sz w:val="24"/>
                <w:highlight w:val="none"/>
                <w:lang w:bidi="ar"/>
              </w:rPr>
            </w:pPr>
          </w:p>
        </w:tc>
        <w:tc>
          <w:tcPr>
            <w:tcW w:w="610" w:type="pct"/>
            <w:vAlign w:val="center"/>
          </w:tcPr>
          <w:p w14:paraId="534783D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权限</w:t>
            </w:r>
          </w:p>
          <w:p w14:paraId="5435683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管理</w:t>
            </w:r>
          </w:p>
        </w:tc>
        <w:tc>
          <w:tcPr>
            <w:tcW w:w="617" w:type="pct"/>
            <w:vAlign w:val="center"/>
          </w:tcPr>
          <w:p w14:paraId="4846875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1A9448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根据我校内控需要，支持可针对不同岗位和人员设置相应管理权限，按实际管理需要实现数据隔离。</w:t>
            </w:r>
          </w:p>
        </w:tc>
      </w:tr>
      <w:tr w14:paraId="13C7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restart"/>
            <w:vAlign w:val="center"/>
          </w:tcPr>
          <w:p w14:paraId="77B64F3F">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497" w:type="pct"/>
            <w:vMerge w:val="restart"/>
            <w:vAlign w:val="center"/>
          </w:tcPr>
          <w:p w14:paraId="4AA41063">
            <w:pPr>
              <w:widowControl/>
              <w:spacing w:line="360" w:lineRule="auto"/>
              <w:jc w:val="left"/>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采购首页</w:t>
            </w:r>
          </w:p>
        </w:tc>
        <w:tc>
          <w:tcPr>
            <w:tcW w:w="610" w:type="pct"/>
            <w:vAlign w:val="center"/>
          </w:tcPr>
          <w:p w14:paraId="6FD05FC2">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待办提醒</w:t>
            </w:r>
          </w:p>
        </w:tc>
        <w:tc>
          <w:tcPr>
            <w:tcW w:w="617" w:type="pct"/>
            <w:vAlign w:val="center"/>
          </w:tcPr>
          <w:p w14:paraId="28883D8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72A56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按照用户权限和数据边界，显示本人所有待办事项提醒列表，每行显示“采购环节、待办数量和时间”，点击进入相应采购功能模块办理，并与业务流程办理状态保持一致性。</w:t>
            </w:r>
          </w:p>
        </w:tc>
      </w:tr>
      <w:tr w14:paraId="5624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6AD72798">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297E590F">
            <w:pPr>
              <w:widowControl/>
              <w:spacing w:line="360" w:lineRule="auto"/>
              <w:jc w:val="left"/>
              <w:rPr>
                <w:rFonts w:hint="eastAsia" w:ascii="宋体" w:hAnsi="宋体" w:eastAsia="宋体" w:cs="宋体"/>
                <w:color w:val="auto"/>
                <w:kern w:val="0"/>
                <w:sz w:val="24"/>
                <w:highlight w:val="none"/>
                <w:lang w:val="en-US" w:eastAsia="zh-CN" w:bidi="ar"/>
              </w:rPr>
            </w:pPr>
          </w:p>
        </w:tc>
        <w:tc>
          <w:tcPr>
            <w:tcW w:w="610" w:type="pct"/>
            <w:vAlign w:val="center"/>
          </w:tcPr>
          <w:p w14:paraId="01E75C81">
            <w:pPr>
              <w:spacing w:line="360" w:lineRule="auto"/>
              <w:jc w:val="center"/>
              <w:rPr>
                <w:rFonts w:hint="eastAsia" w:ascii="宋体" w:hAnsi="宋体" w:eastAsia="宋体" w:cs="宋体"/>
                <w:color w:val="auto"/>
                <w:sz w:val="24"/>
                <w:highlight w:val="none"/>
              </w:rPr>
            </w:pPr>
            <w:r>
              <w:rPr>
                <w:rFonts w:hint="eastAsia" w:cs="宋体"/>
                <w:b/>
                <w:color w:val="auto"/>
                <w:sz w:val="24"/>
                <w:szCs w:val="24"/>
                <w:highlight w:val="none"/>
                <w:lang w:bidi="ar-SA"/>
              </w:rPr>
              <w:t>流程跟踪</w:t>
            </w:r>
          </w:p>
        </w:tc>
        <w:tc>
          <w:tcPr>
            <w:tcW w:w="617" w:type="pct"/>
            <w:vAlign w:val="center"/>
          </w:tcPr>
          <w:p w14:paraId="656921D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201AE8F">
            <w:pPr>
              <w:spacing w:line="360" w:lineRule="auto"/>
              <w:rPr>
                <w:rFonts w:hint="eastAsia" w:ascii="宋体" w:hAnsi="宋体" w:eastAsia="宋体" w:cs="宋体"/>
                <w:color w:val="auto"/>
                <w:sz w:val="24"/>
                <w:highlight w:val="none"/>
              </w:rPr>
            </w:pPr>
            <w:r>
              <w:rPr>
                <w:rFonts w:hint="eastAsia"/>
                <w:color w:val="auto"/>
                <w:sz w:val="24"/>
                <w:szCs w:val="24"/>
                <w:highlight w:val="none"/>
                <w:lang w:bidi="ar"/>
              </w:rPr>
              <w:t>按照用数据边界，跟踪本人所有采购项目的进度。按照业务结构化形式显示项目采购进度，并点击查看采购具体进展情况。</w:t>
            </w:r>
          </w:p>
        </w:tc>
      </w:tr>
      <w:tr w14:paraId="28FD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3676CE31">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133E9FCD">
            <w:pPr>
              <w:widowControl/>
              <w:spacing w:line="360" w:lineRule="auto"/>
              <w:jc w:val="left"/>
              <w:rPr>
                <w:rFonts w:hint="eastAsia" w:ascii="宋体" w:hAnsi="宋体" w:eastAsia="宋体" w:cs="宋体"/>
                <w:color w:val="auto"/>
                <w:kern w:val="0"/>
                <w:sz w:val="24"/>
                <w:highlight w:val="none"/>
                <w:lang w:val="en-US" w:eastAsia="zh-CN" w:bidi="ar"/>
              </w:rPr>
            </w:pPr>
          </w:p>
        </w:tc>
        <w:tc>
          <w:tcPr>
            <w:tcW w:w="610" w:type="pct"/>
            <w:vAlign w:val="center"/>
          </w:tcPr>
          <w:p w14:paraId="13CEBFDB">
            <w:pPr>
              <w:spacing w:line="360" w:lineRule="auto"/>
              <w:jc w:val="center"/>
              <w:rPr>
                <w:rFonts w:hint="eastAsia" w:ascii="宋体" w:hAnsi="宋体" w:eastAsia="宋体" w:cs="宋体"/>
                <w:color w:val="auto"/>
                <w:sz w:val="24"/>
                <w:highlight w:val="none"/>
              </w:rPr>
            </w:pPr>
            <w:r>
              <w:rPr>
                <w:rFonts w:hint="eastAsia" w:cs="宋体"/>
                <w:b/>
                <w:color w:val="auto"/>
                <w:sz w:val="24"/>
                <w:szCs w:val="24"/>
                <w:highlight w:val="none"/>
                <w:lang w:bidi="ar-SA"/>
              </w:rPr>
              <w:t>采购预警</w:t>
            </w:r>
          </w:p>
        </w:tc>
        <w:tc>
          <w:tcPr>
            <w:tcW w:w="617" w:type="pct"/>
            <w:vAlign w:val="center"/>
          </w:tcPr>
          <w:p w14:paraId="7D46683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5A3D6AA3">
            <w:pPr>
              <w:spacing w:line="360" w:lineRule="auto"/>
              <w:rPr>
                <w:rFonts w:hint="eastAsia" w:ascii="宋体" w:hAnsi="宋体" w:eastAsia="宋体" w:cs="宋体"/>
                <w:color w:val="auto"/>
                <w:sz w:val="24"/>
                <w:highlight w:val="none"/>
                <w:lang w:val="en-US" w:eastAsia="zh-CN"/>
              </w:rPr>
            </w:pPr>
            <w:r>
              <w:rPr>
                <w:rFonts w:hint="eastAsia" w:cs="宋体"/>
                <w:color w:val="auto"/>
                <w:sz w:val="24"/>
                <w:szCs w:val="24"/>
                <w:highlight w:val="none"/>
                <w:lang w:bidi="ar-SA"/>
              </w:rPr>
              <w:t>按照采购内控管理要求，在采购各采购业务流程模块中，内嵌监控点和数据模型，实时监测，</w:t>
            </w:r>
            <w:r>
              <w:rPr>
                <w:rFonts w:hint="eastAsia" w:cs="宋体"/>
                <w:color w:val="auto"/>
                <w:sz w:val="24"/>
                <w:szCs w:val="24"/>
                <w:highlight w:val="none"/>
                <w:lang w:val="en-US" w:eastAsia="zh-CN" w:bidi="ar-SA"/>
              </w:rPr>
              <w:t>发现</w:t>
            </w:r>
            <w:r>
              <w:rPr>
                <w:rFonts w:hint="eastAsia" w:cs="宋体"/>
                <w:color w:val="auto"/>
                <w:sz w:val="24"/>
                <w:szCs w:val="24"/>
                <w:highlight w:val="none"/>
                <w:lang w:bidi="ar-SA"/>
              </w:rPr>
              <w:t>异常实时预警，并显示本所有预警列表，点击查看。</w:t>
            </w:r>
          </w:p>
        </w:tc>
      </w:tr>
      <w:tr w14:paraId="6FD5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1EC4FCBF">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697D09CC">
            <w:pPr>
              <w:widowControl/>
              <w:spacing w:line="360" w:lineRule="auto"/>
              <w:jc w:val="left"/>
              <w:rPr>
                <w:rFonts w:hint="eastAsia" w:ascii="宋体" w:hAnsi="宋体" w:eastAsia="宋体" w:cs="宋体"/>
                <w:color w:val="auto"/>
                <w:kern w:val="0"/>
                <w:sz w:val="24"/>
                <w:highlight w:val="none"/>
                <w:lang w:val="en-US" w:eastAsia="zh-CN" w:bidi="ar"/>
              </w:rPr>
            </w:pPr>
          </w:p>
        </w:tc>
        <w:tc>
          <w:tcPr>
            <w:tcW w:w="610" w:type="pct"/>
            <w:vAlign w:val="center"/>
          </w:tcPr>
          <w:p w14:paraId="5FD88ADA">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通知公告</w:t>
            </w:r>
          </w:p>
        </w:tc>
        <w:tc>
          <w:tcPr>
            <w:tcW w:w="617" w:type="pct"/>
            <w:vAlign w:val="center"/>
          </w:tcPr>
          <w:p w14:paraId="2B82AE9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6ED5E2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在首页中，显示内部采购通知公告信息，点击查看内容列表和通知公告信息。</w:t>
            </w:r>
          </w:p>
        </w:tc>
      </w:tr>
      <w:tr w14:paraId="3CF3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8" w:type="pct"/>
            <w:vMerge w:val="restart"/>
            <w:noWrap/>
            <w:vAlign w:val="center"/>
          </w:tcPr>
          <w:p w14:paraId="5678B8DB">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p>
        </w:tc>
        <w:tc>
          <w:tcPr>
            <w:tcW w:w="497" w:type="pct"/>
            <w:vMerge w:val="restart"/>
            <w:noWrap/>
            <w:vAlign w:val="center"/>
          </w:tcPr>
          <w:p w14:paraId="427544EB">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w:t>
            </w:r>
          </w:p>
          <w:p w14:paraId="6181C08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意向</w:t>
            </w:r>
          </w:p>
          <w:p w14:paraId="4028FE9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公开</w:t>
            </w:r>
          </w:p>
          <w:p w14:paraId="505DA00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w:t>
            </w:r>
          </w:p>
        </w:tc>
        <w:tc>
          <w:tcPr>
            <w:tcW w:w="610" w:type="pct"/>
            <w:vAlign w:val="center"/>
          </w:tcPr>
          <w:p w14:paraId="5BC9D34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政府采购意向公开发起</w:t>
            </w:r>
          </w:p>
        </w:tc>
        <w:tc>
          <w:tcPr>
            <w:tcW w:w="617" w:type="pct"/>
            <w:vAlign w:val="center"/>
          </w:tcPr>
          <w:p w14:paraId="5712844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1DCCC272">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支持由需求部门发起政府采购意向公开审批流程，按上级政府采购意向管理要求填写相应意向公开内容，支持关联发布到浙江政府采购网采购意向公开栏目，并在</w:t>
            </w:r>
            <w:r>
              <w:rPr>
                <w:rFonts w:hint="eastAsia" w:ascii="宋体" w:hAnsi="宋体" w:eastAsia="宋体" w:cs="宋体"/>
                <w:color w:val="auto"/>
                <w:kern w:val="0"/>
                <w:sz w:val="24"/>
                <w:highlight w:val="none"/>
                <w:lang w:val="en-US" w:eastAsia="zh-CN"/>
              </w:rPr>
              <w:t>采购管理</w:t>
            </w:r>
            <w:r>
              <w:rPr>
                <w:rFonts w:hint="eastAsia" w:ascii="宋体" w:hAnsi="宋体" w:eastAsia="宋体" w:cs="宋体"/>
                <w:color w:val="auto"/>
                <w:kern w:val="0"/>
                <w:sz w:val="24"/>
                <w:highlight w:val="none"/>
              </w:rPr>
              <w:t>系统留下已完成办事记录以及浙江政府采购网公开网页链接或截图。</w:t>
            </w:r>
          </w:p>
        </w:tc>
      </w:tr>
      <w:tr w14:paraId="21BE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5E65BE74">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686AAB90">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380632BB">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意向公开审批流程</w:t>
            </w:r>
          </w:p>
        </w:tc>
        <w:tc>
          <w:tcPr>
            <w:tcW w:w="617" w:type="pct"/>
            <w:vAlign w:val="center"/>
          </w:tcPr>
          <w:p w14:paraId="2F7C86D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31077214">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意向公开审批流程支持自定义，可根据我校采购管理办法配置相关审核流程。</w:t>
            </w:r>
          </w:p>
        </w:tc>
      </w:tr>
      <w:tr w14:paraId="0F9B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324FCEFD">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15D19560">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62D4742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color w:val="auto"/>
                <w:sz w:val="24"/>
                <w:szCs w:val="24"/>
                <w:highlight w:val="none"/>
              </w:rPr>
              <w:t>采购意向公开查询</w:t>
            </w:r>
          </w:p>
        </w:tc>
        <w:tc>
          <w:tcPr>
            <w:tcW w:w="617" w:type="pct"/>
            <w:vAlign w:val="center"/>
          </w:tcPr>
          <w:p w14:paraId="3BB02197">
            <w:pPr>
              <w:widowControl/>
              <w:spacing w:line="360" w:lineRule="auto"/>
              <w:jc w:val="center"/>
              <w:rPr>
                <w:rFonts w:hint="eastAsia" w:ascii="宋体" w:hAnsi="宋体" w:eastAsia="宋体" w:cs="宋体"/>
                <w:color w:val="auto"/>
                <w:kern w:val="0"/>
                <w:sz w:val="24"/>
                <w:highlight w:val="none"/>
              </w:rPr>
            </w:pPr>
          </w:p>
        </w:tc>
        <w:tc>
          <w:tcPr>
            <w:tcW w:w="2984" w:type="pct"/>
            <w:vAlign w:val="center"/>
          </w:tcPr>
          <w:p w14:paraId="643364A0">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支持采购意向公开查询包括公示内容、公示时间及政府采购网公示链接查询。支持多维条件查询。</w:t>
            </w:r>
          </w:p>
        </w:tc>
      </w:tr>
      <w:tr w14:paraId="3560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8" w:type="pct"/>
            <w:vMerge w:val="restart"/>
            <w:noWrap/>
            <w:vAlign w:val="center"/>
          </w:tcPr>
          <w:p w14:paraId="4B9476A8">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497" w:type="pct"/>
            <w:vMerge w:val="restart"/>
            <w:noWrap/>
            <w:vAlign w:val="center"/>
          </w:tcPr>
          <w:p w14:paraId="3E9EA20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w:t>
            </w:r>
          </w:p>
          <w:p w14:paraId="138FBDA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审批</w:t>
            </w:r>
          </w:p>
          <w:p w14:paraId="0A67AB2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w:t>
            </w:r>
          </w:p>
        </w:tc>
        <w:tc>
          <w:tcPr>
            <w:tcW w:w="610" w:type="pct"/>
            <w:vMerge w:val="restart"/>
            <w:vAlign w:val="center"/>
          </w:tcPr>
          <w:p w14:paraId="21CB30A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基础</w:t>
            </w:r>
          </w:p>
          <w:p w14:paraId="0D4685C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设置</w:t>
            </w:r>
          </w:p>
        </w:tc>
        <w:tc>
          <w:tcPr>
            <w:tcW w:w="617" w:type="pct"/>
            <w:vAlign w:val="center"/>
          </w:tcPr>
          <w:p w14:paraId="1DA548C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审批</w:t>
            </w:r>
          </w:p>
          <w:p w14:paraId="4C2AD07E">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模板</w:t>
            </w:r>
          </w:p>
        </w:tc>
        <w:tc>
          <w:tcPr>
            <w:tcW w:w="2984" w:type="pct"/>
            <w:vAlign w:val="center"/>
          </w:tcPr>
          <w:p w14:paraId="04C5573A">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（1）根据内控规定配置相应审批业务类型，可配置范围包含单据内容填写、审批环节、办理人及权限等，包括</w:t>
            </w:r>
            <w:r>
              <w:rPr>
                <w:rFonts w:hint="eastAsia" w:ascii="宋体" w:hAnsi="宋体" w:eastAsia="宋体" w:cs="宋体"/>
                <w:color w:val="auto"/>
                <w:kern w:val="0"/>
                <w:sz w:val="24"/>
                <w:highlight w:val="none"/>
                <w:lang w:val="en-US" w:eastAsia="zh-CN"/>
              </w:rPr>
              <w:t>采购方式审批、</w:t>
            </w:r>
            <w:r>
              <w:rPr>
                <w:rFonts w:hint="eastAsia" w:ascii="宋体" w:hAnsi="宋体" w:eastAsia="宋体" w:cs="宋体"/>
                <w:color w:val="auto"/>
                <w:kern w:val="0"/>
                <w:sz w:val="24"/>
                <w:highlight w:val="none"/>
              </w:rPr>
              <w:t>单一来源专家论证、政府采购意向公开、采购项目撤销申请、采购文件编制与审定、质疑答复审核、标书会签、合同会签等多种审批，同时支持模板字段自定义。</w:t>
            </w:r>
          </w:p>
          <w:p w14:paraId="13C781C1">
            <w:pPr>
              <w:pStyle w:val="9"/>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（2）支持提交采购审批时自动关联预算经费信息，明确预算来源后方可提交采购审批，并支持冻结相应预算经费，可根据实际情况实时冻结和解冻经费。</w:t>
            </w:r>
          </w:p>
        </w:tc>
      </w:tr>
      <w:tr w14:paraId="573F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609A60A0">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6D9EE314">
            <w:pPr>
              <w:widowControl/>
              <w:spacing w:line="360" w:lineRule="auto"/>
              <w:jc w:val="left"/>
              <w:rPr>
                <w:rFonts w:hint="eastAsia" w:ascii="宋体" w:hAnsi="宋体" w:eastAsia="宋体" w:cs="宋体"/>
                <w:color w:val="auto"/>
                <w:kern w:val="0"/>
                <w:sz w:val="24"/>
                <w:highlight w:val="none"/>
              </w:rPr>
            </w:pPr>
          </w:p>
        </w:tc>
        <w:tc>
          <w:tcPr>
            <w:tcW w:w="610" w:type="pct"/>
            <w:vMerge w:val="continue"/>
            <w:vAlign w:val="center"/>
          </w:tcPr>
          <w:p w14:paraId="46DD9414">
            <w:pPr>
              <w:widowControl/>
              <w:spacing w:line="360" w:lineRule="auto"/>
              <w:jc w:val="left"/>
              <w:rPr>
                <w:rFonts w:hint="eastAsia" w:ascii="宋体" w:hAnsi="宋体" w:eastAsia="宋体" w:cs="宋体"/>
                <w:color w:val="auto"/>
                <w:kern w:val="0"/>
                <w:sz w:val="24"/>
                <w:highlight w:val="none"/>
              </w:rPr>
            </w:pPr>
          </w:p>
        </w:tc>
        <w:tc>
          <w:tcPr>
            <w:tcW w:w="617" w:type="pct"/>
            <w:vAlign w:val="center"/>
          </w:tcPr>
          <w:p w14:paraId="5B837E9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类型</w:t>
            </w:r>
          </w:p>
          <w:p w14:paraId="2E8339D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说明</w:t>
            </w:r>
          </w:p>
        </w:tc>
        <w:tc>
          <w:tcPr>
            <w:tcW w:w="2984" w:type="pct"/>
            <w:vAlign w:val="center"/>
          </w:tcPr>
          <w:p w14:paraId="192FFD5E">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支持前置审批业务说明，通过说明方式方便发起人发起相关前置审批业务。</w:t>
            </w:r>
          </w:p>
        </w:tc>
      </w:tr>
      <w:tr w14:paraId="479F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49D03813">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3B208D1B">
            <w:pPr>
              <w:widowControl/>
              <w:spacing w:line="360" w:lineRule="auto"/>
              <w:jc w:val="left"/>
              <w:rPr>
                <w:rFonts w:hint="eastAsia" w:ascii="宋体" w:hAnsi="宋体" w:eastAsia="宋体" w:cs="宋体"/>
                <w:color w:val="auto"/>
                <w:kern w:val="0"/>
                <w:sz w:val="24"/>
                <w:highlight w:val="none"/>
              </w:rPr>
            </w:pPr>
          </w:p>
        </w:tc>
        <w:tc>
          <w:tcPr>
            <w:tcW w:w="610" w:type="pct"/>
            <w:shd w:val="clear" w:color="auto" w:fill="auto"/>
            <w:vAlign w:val="center"/>
          </w:tcPr>
          <w:p w14:paraId="7D41244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w:t>
            </w:r>
          </w:p>
          <w:p w14:paraId="6DD256DF">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需求</w:t>
            </w:r>
          </w:p>
          <w:p w14:paraId="65983E5F">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w:t>
            </w:r>
          </w:p>
        </w:tc>
        <w:tc>
          <w:tcPr>
            <w:tcW w:w="617" w:type="pct"/>
            <w:shd w:val="clear" w:color="auto" w:fill="auto"/>
            <w:vAlign w:val="center"/>
          </w:tcPr>
          <w:p w14:paraId="68179B5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shd w:val="clear" w:color="auto" w:fill="auto"/>
            <w:vAlign w:val="center"/>
          </w:tcPr>
          <w:p w14:paraId="413D3555">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批发起人可根据相关采购需求选择相关入口，按要求填写项目名称、需求内容、选择预算经费、上传需求方案、论证结论、需求清单等相关附件，支持关联政府采购云平台（网上超市等财政厅监管模块）购物车选品、链接选品、自定义描述等；支持PDF、word、excel等附件上传、下载和预览；实现多部门多角色协同参与审批。</w:t>
            </w:r>
          </w:p>
        </w:tc>
      </w:tr>
      <w:tr w14:paraId="6FF7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5384E1C6">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1AB23717">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2E2F98E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采购方式审批</w:t>
            </w:r>
          </w:p>
        </w:tc>
        <w:tc>
          <w:tcPr>
            <w:tcW w:w="617" w:type="pct"/>
            <w:vAlign w:val="center"/>
          </w:tcPr>
          <w:p w14:paraId="35A17D1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w:t>
            </w:r>
          </w:p>
        </w:tc>
        <w:tc>
          <w:tcPr>
            <w:tcW w:w="2984" w:type="pct"/>
            <w:vAlign w:val="center"/>
          </w:tcPr>
          <w:p w14:paraId="6519B04C">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支持采购组织形式和采购方式的配置管理，符合政府采购和学校内部采购需要，并按照配置关系确定采购任务执行方式，包括政府项目采购、非政府采购项目、框架协议、电子卖场和用户自行零星采购等。</w:t>
            </w:r>
          </w:p>
        </w:tc>
      </w:tr>
      <w:tr w14:paraId="4EA6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6B84110E">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570D0B07">
            <w:pPr>
              <w:widowControl/>
              <w:spacing w:line="360" w:lineRule="auto"/>
              <w:jc w:val="left"/>
              <w:rPr>
                <w:rFonts w:hint="eastAsia" w:ascii="宋体" w:hAnsi="宋体" w:eastAsia="宋体" w:cs="宋体"/>
                <w:color w:val="auto"/>
                <w:kern w:val="0"/>
                <w:sz w:val="24"/>
                <w:highlight w:val="none"/>
              </w:rPr>
            </w:pPr>
          </w:p>
        </w:tc>
        <w:tc>
          <w:tcPr>
            <w:tcW w:w="610" w:type="pct"/>
            <w:shd w:val="clear" w:color="auto" w:fill="auto"/>
            <w:vAlign w:val="center"/>
          </w:tcPr>
          <w:p w14:paraId="22B821A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w:t>
            </w:r>
          </w:p>
          <w:p w14:paraId="23049F1D">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执行</w:t>
            </w:r>
          </w:p>
          <w:p w14:paraId="2ECAF56B">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管理</w:t>
            </w:r>
          </w:p>
        </w:tc>
        <w:tc>
          <w:tcPr>
            <w:tcW w:w="617" w:type="pct"/>
            <w:shd w:val="clear" w:color="auto" w:fill="auto"/>
            <w:vAlign w:val="center"/>
          </w:tcPr>
          <w:p w14:paraId="6CBB3A3B">
            <w:pPr>
              <w:widowControl/>
              <w:spacing w:line="360" w:lineRule="auto"/>
              <w:jc w:val="center"/>
              <w:rPr>
                <w:rFonts w:hint="eastAsia" w:ascii="宋体" w:hAnsi="宋体" w:eastAsia="宋体" w:cs="宋体"/>
                <w:color w:val="auto"/>
                <w:kern w:val="0"/>
                <w:sz w:val="24"/>
                <w:szCs w:val="24"/>
                <w:highlight w:val="none"/>
                <w:lang w:val="en-US" w:eastAsia="zh-CN" w:bidi="ar-SA"/>
              </w:rPr>
            </w:pPr>
          </w:p>
        </w:tc>
        <w:tc>
          <w:tcPr>
            <w:tcW w:w="2984" w:type="pct"/>
            <w:shd w:val="clear" w:color="auto" w:fill="auto"/>
            <w:vAlign w:val="center"/>
          </w:tcPr>
          <w:p w14:paraId="48025B94">
            <w:pPr>
              <w:widowControl/>
              <w:spacing w:line="360" w:lineRule="auto"/>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在完成需求管理审批的基础上，采购管理部门针对采购品目、采购方式、组织形式、实施过程等进行流程管控，根据实际情况进行采购任务分派和执行，同时支持线上实时跟踪每笔采购对应程序的执行进度和完成情况。</w:t>
            </w:r>
          </w:p>
        </w:tc>
      </w:tr>
      <w:tr w14:paraId="4A12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288" w:type="pct"/>
            <w:vMerge w:val="continue"/>
            <w:vAlign w:val="center"/>
          </w:tcPr>
          <w:p w14:paraId="3487D41C">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7A32A8F3">
            <w:pPr>
              <w:widowControl/>
              <w:spacing w:line="360" w:lineRule="auto"/>
              <w:jc w:val="left"/>
              <w:rPr>
                <w:rFonts w:hint="eastAsia" w:ascii="宋体" w:hAnsi="宋体" w:eastAsia="宋体" w:cs="宋体"/>
                <w:color w:val="auto"/>
                <w:kern w:val="0"/>
                <w:sz w:val="24"/>
                <w:highlight w:val="none"/>
              </w:rPr>
            </w:pPr>
          </w:p>
        </w:tc>
        <w:tc>
          <w:tcPr>
            <w:tcW w:w="1214" w:type="dxa"/>
            <w:vAlign w:val="center"/>
          </w:tcPr>
          <w:p w14:paraId="664A1B9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采购方式变更、采购组织形式变更审批</w:t>
            </w:r>
          </w:p>
        </w:tc>
        <w:tc>
          <w:tcPr>
            <w:tcW w:w="1228" w:type="dxa"/>
            <w:vAlign w:val="center"/>
          </w:tcPr>
          <w:p w14:paraId="1D13895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w:t>
            </w:r>
          </w:p>
        </w:tc>
        <w:tc>
          <w:tcPr>
            <w:tcW w:w="5931" w:type="dxa"/>
            <w:vAlign w:val="center"/>
          </w:tcPr>
          <w:p w14:paraId="3A2C48AB">
            <w:pPr>
              <w:widowControl/>
              <w:spacing w:line="360" w:lineRule="auto"/>
              <w:jc w:val="left"/>
              <w:rPr>
                <w:rFonts w:hint="default" w:ascii="宋体" w:hAnsi="宋体" w:eastAsia="宋体" w:cs="宋体"/>
                <w:color w:val="auto"/>
                <w:kern w:val="0"/>
                <w:sz w:val="24"/>
                <w:highlight w:val="none"/>
                <w:lang w:val="en-US"/>
              </w:rPr>
            </w:pPr>
            <w:r>
              <w:rPr>
                <w:rFonts w:hint="eastAsia" w:ascii="宋体" w:hAnsi="宋体" w:cs="宋体"/>
                <w:color w:val="auto"/>
                <w:kern w:val="0"/>
                <w:sz w:val="24"/>
                <w:highlight w:val="none"/>
                <w:u w:val="single"/>
                <w:lang w:val="en-US" w:eastAsia="zh-CN"/>
              </w:rPr>
              <w:t>支持对已完成采购方式选择、采购组织形式选择的项目发起采购方式、采购组织形式变更审批流程，应对可能存在的采购方式/采购组织形式变更调整。</w:t>
            </w:r>
          </w:p>
        </w:tc>
      </w:tr>
      <w:tr w14:paraId="60B5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55A1C444">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7EA9E61A">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510F289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审批</w:t>
            </w:r>
          </w:p>
          <w:p w14:paraId="5E1B449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意见</w:t>
            </w:r>
          </w:p>
        </w:tc>
        <w:tc>
          <w:tcPr>
            <w:tcW w:w="617" w:type="pct"/>
            <w:vAlign w:val="center"/>
          </w:tcPr>
          <w:p w14:paraId="293D495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3DCBA59A">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支持采购需求管理和采购执行管理等审批，含同意、不同意、转交、加签、退回等功能；支持审批意见填写，支持在线审批单模板打印。</w:t>
            </w:r>
          </w:p>
        </w:tc>
      </w:tr>
      <w:tr w14:paraId="6FD5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1BBB096E">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272B1442">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2AE58FD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审批</w:t>
            </w:r>
          </w:p>
          <w:p w14:paraId="2C6ED03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查询</w:t>
            </w:r>
          </w:p>
        </w:tc>
        <w:tc>
          <w:tcPr>
            <w:tcW w:w="617" w:type="pct"/>
            <w:vAlign w:val="center"/>
          </w:tcPr>
          <w:p w14:paraId="36FC414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5568ED2">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用户权限可对已提交的各类审批流程进行查询，支持事前、事中、事后相关审批环节关联查询，支持部门领导查询本部门采购业务数据、流程记录以及工作进度。可按项目编号和名称、审批单号、关键字、发起人、部门等多字段查询所有采购状态，支持根据实际需要调整查询条件。</w:t>
            </w:r>
          </w:p>
        </w:tc>
      </w:tr>
      <w:tr w14:paraId="5BB4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01EEA349">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47F2B3C5">
            <w:pPr>
              <w:widowControl/>
              <w:spacing w:line="360" w:lineRule="auto"/>
              <w:jc w:val="left"/>
              <w:rPr>
                <w:rFonts w:hint="eastAsia" w:ascii="宋体" w:hAnsi="宋体" w:eastAsia="宋体" w:cs="宋体"/>
                <w:color w:val="auto"/>
                <w:kern w:val="0"/>
                <w:sz w:val="24"/>
                <w:highlight w:val="none"/>
              </w:rPr>
            </w:pPr>
          </w:p>
        </w:tc>
        <w:tc>
          <w:tcPr>
            <w:tcW w:w="610" w:type="pct"/>
            <w:vMerge w:val="restart"/>
            <w:vAlign w:val="center"/>
          </w:tcPr>
          <w:p w14:paraId="0588039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消息</w:t>
            </w:r>
          </w:p>
          <w:p w14:paraId="76E5461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提醒</w:t>
            </w:r>
          </w:p>
        </w:tc>
        <w:tc>
          <w:tcPr>
            <w:tcW w:w="617" w:type="pct"/>
            <w:vAlign w:val="center"/>
          </w:tcPr>
          <w:p w14:paraId="18318E64">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采购管理系统</w:t>
            </w:r>
          </w:p>
        </w:tc>
        <w:tc>
          <w:tcPr>
            <w:tcW w:w="2984" w:type="pct"/>
            <w:vAlign w:val="center"/>
          </w:tcPr>
          <w:p w14:paraId="2433AEA5">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支持PC端待办等消息提醒，支持移动端办理。</w:t>
            </w:r>
          </w:p>
        </w:tc>
      </w:tr>
      <w:tr w14:paraId="3BD9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23FB6495">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205147B7">
            <w:pPr>
              <w:widowControl/>
              <w:spacing w:line="360" w:lineRule="auto"/>
              <w:jc w:val="left"/>
              <w:rPr>
                <w:rFonts w:hint="eastAsia" w:ascii="宋体" w:hAnsi="宋体" w:eastAsia="宋体" w:cs="宋体"/>
                <w:color w:val="auto"/>
                <w:kern w:val="0"/>
                <w:sz w:val="24"/>
                <w:highlight w:val="none"/>
              </w:rPr>
            </w:pPr>
          </w:p>
        </w:tc>
        <w:tc>
          <w:tcPr>
            <w:tcW w:w="610" w:type="pct"/>
            <w:vMerge w:val="continue"/>
            <w:vAlign w:val="center"/>
          </w:tcPr>
          <w:p w14:paraId="3DA1545B">
            <w:pPr>
              <w:widowControl/>
              <w:spacing w:line="360" w:lineRule="auto"/>
              <w:jc w:val="left"/>
              <w:rPr>
                <w:rFonts w:hint="eastAsia" w:ascii="宋体" w:hAnsi="宋体" w:eastAsia="宋体" w:cs="宋体"/>
                <w:color w:val="auto"/>
                <w:kern w:val="0"/>
                <w:sz w:val="24"/>
                <w:highlight w:val="none"/>
              </w:rPr>
            </w:pPr>
          </w:p>
        </w:tc>
        <w:tc>
          <w:tcPr>
            <w:tcW w:w="617" w:type="pct"/>
            <w:vAlign w:val="center"/>
          </w:tcPr>
          <w:p w14:paraId="1EE6C0B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网上办事大厅和企业微信</w:t>
            </w:r>
          </w:p>
        </w:tc>
        <w:tc>
          <w:tcPr>
            <w:tcW w:w="2984" w:type="pct"/>
            <w:vAlign w:val="center"/>
          </w:tcPr>
          <w:p w14:paraId="607445D4">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通过对接我校PC端办事大厅和移动端，支持待办消息推送至我校办事大厅客户端显示，支持企业微信提醒和移动办理。</w:t>
            </w:r>
          </w:p>
        </w:tc>
      </w:tr>
      <w:tr w14:paraId="5BCC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7871F754">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319AC73A">
            <w:pPr>
              <w:widowControl/>
              <w:spacing w:line="360" w:lineRule="auto"/>
              <w:jc w:val="left"/>
              <w:rPr>
                <w:rFonts w:hint="eastAsia" w:ascii="宋体" w:hAnsi="宋体" w:eastAsia="宋体" w:cs="宋体"/>
                <w:color w:val="auto"/>
                <w:kern w:val="0"/>
                <w:sz w:val="24"/>
                <w:highlight w:val="none"/>
              </w:rPr>
            </w:pPr>
          </w:p>
        </w:tc>
        <w:tc>
          <w:tcPr>
            <w:tcW w:w="610" w:type="pct"/>
            <w:vMerge w:val="continue"/>
            <w:vAlign w:val="center"/>
          </w:tcPr>
          <w:p w14:paraId="5548BDAF">
            <w:pPr>
              <w:widowControl/>
              <w:spacing w:line="360" w:lineRule="auto"/>
              <w:jc w:val="center"/>
              <w:rPr>
                <w:rFonts w:hint="eastAsia" w:ascii="宋体" w:hAnsi="宋体" w:eastAsia="宋体" w:cs="宋体"/>
                <w:color w:val="auto"/>
                <w:kern w:val="0"/>
                <w:sz w:val="24"/>
                <w:highlight w:val="none"/>
              </w:rPr>
            </w:pPr>
          </w:p>
        </w:tc>
        <w:tc>
          <w:tcPr>
            <w:tcW w:w="617" w:type="pct"/>
            <w:vAlign w:val="center"/>
          </w:tcPr>
          <w:p w14:paraId="6D63B68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需提醒</w:t>
            </w:r>
          </w:p>
          <w:p w14:paraId="132783D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范围</w:t>
            </w:r>
          </w:p>
        </w:tc>
        <w:tc>
          <w:tcPr>
            <w:tcW w:w="2984" w:type="pct"/>
            <w:vAlign w:val="center"/>
          </w:tcPr>
          <w:p w14:paraId="09371176">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支持全流程消息提醒，包括但不限于审批通过、任务创建、计划关联、采购执行、资产入库等提醒。</w:t>
            </w:r>
          </w:p>
        </w:tc>
      </w:tr>
      <w:tr w14:paraId="2A9F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1BC3E434">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180C8C14">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7D23DE1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审批数据导出</w:t>
            </w:r>
          </w:p>
        </w:tc>
        <w:tc>
          <w:tcPr>
            <w:tcW w:w="617" w:type="pct"/>
            <w:vAlign w:val="center"/>
          </w:tcPr>
          <w:p w14:paraId="4288B6C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34979421">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支持按EXCEL批量导出各类审批的字段信息。</w:t>
            </w:r>
          </w:p>
        </w:tc>
      </w:tr>
      <w:tr w14:paraId="357A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restart"/>
            <w:noWrap/>
            <w:vAlign w:val="center"/>
          </w:tcPr>
          <w:p w14:paraId="5E99B7D0">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6</w:t>
            </w:r>
          </w:p>
        </w:tc>
        <w:tc>
          <w:tcPr>
            <w:tcW w:w="497" w:type="pct"/>
            <w:vMerge w:val="restart"/>
            <w:noWrap/>
            <w:vAlign w:val="center"/>
          </w:tcPr>
          <w:p w14:paraId="5315EB5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w:t>
            </w:r>
          </w:p>
          <w:p w14:paraId="7546CDE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执行</w:t>
            </w:r>
          </w:p>
          <w:p w14:paraId="3CEBBA5D">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w:t>
            </w:r>
          </w:p>
        </w:tc>
        <w:tc>
          <w:tcPr>
            <w:tcW w:w="610" w:type="pct"/>
            <w:vMerge w:val="restart"/>
            <w:vAlign w:val="center"/>
          </w:tcPr>
          <w:p w14:paraId="615EF5AF">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采购任务执行</w:t>
            </w:r>
          </w:p>
        </w:tc>
        <w:tc>
          <w:tcPr>
            <w:tcW w:w="617" w:type="pct"/>
            <w:vAlign w:val="center"/>
          </w:tcPr>
          <w:p w14:paraId="4977C3EB">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val="0"/>
                <w:bCs/>
                <w:color w:val="auto"/>
                <w:sz w:val="24"/>
                <w:szCs w:val="24"/>
                <w:highlight w:val="none"/>
                <w:u w:val="single"/>
              </w:rPr>
              <w:t>采购执行面板</w:t>
            </w:r>
          </w:p>
        </w:tc>
        <w:tc>
          <w:tcPr>
            <w:tcW w:w="2984" w:type="pct"/>
            <w:vAlign w:val="center"/>
          </w:tcPr>
          <w:p w14:paraId="62EC312E">
            <w:pPr>
              <w:pStyle w:val="9"/>
              <w:spacing w:line="360" w:lineRule="auto"/>
              <w:ind w:firstLine="0"/>
              <w:rPr>
                <w:rFonts w:hint="eastAsia" w:ascii="宋体" w:hAnsi="宋体" w:eastAsia="宋体" w:cs="宋体"/>
                <w:color w:val="auto"/>
                <w:kern w:val="0"/>
                <w:sz w:val="24"/>
                <w:szCs w:val="24"/>
                <w:highlight w:val="none"/>
              </w:rPr>
            </w:pPr>
            <w:r>
              <w:rPr>
                <w:rFonts w:hint="eastAsia" w:ascii="宋体" w:hAnsi="宋体" w:cs="宋体"/>
                <w:color w:val="auto"/>
                <w:sz w:val="24"/>
                <w:highlight w:val="none"/>
              </w:rPr>
              <w:t>建立采购执行看板，动态跟踪采购执行全过程，看板内容分为三大部分：一是待执行的采购任务（项目、网超、框架、部门自行等）、二是正在执行采购任务（委托、受理、执行）三是采购执行完成（成交、合同签订、履行）等。涉及各类采购任务的前期、中期和后期的采购执行过程跟踪和异常预警</w:t>
            </w:r>
          </w:p>
        </w:tc>
      </w:tr>
      <w:tr w14:paraId="446D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noWrap/>
            <w:vAlign w:val="center"/>
          </w:tcPr>
          <w:p w14:paraId="6AF79E12">
            <w:pPr>
              <w:widowControl/>
              <w:spacing w:line="360" w:lineRule="auto"/>
              <w:jc w:val="center"/>
              <w:rPr>
                <w:rFonts w:hint="eastAsia" w:ascii="宋体" w:hAnsi="宋体" w:eastAsia="宋体" w:cs="宋体"/>
                <w:color w:val="auto"/>
                <w:kern w:val="0"/>
                <w:sz w:val="24"/>
                <w:highlight w:val="none"/>
              </w:rPr>
            </w:pPr>
          </w:p>
        </w:tc>
        <w:tc>
          <w:tcPr>
            <w:tcW w:w="497" w:type="pct"/>
            <w:vMerge w:val="continue"/>
            <w:noWrap/>
            <w:vAlign w:val="center"/>
          </w:tcPr>
          <w:p w14:paraId="3343392F">
            <w:pPr>
              <w:widowControl/>
              <w:spacing w:line="360" w:lineRule="auto"/>
              <w:jc w:val="center"/>
              <w:rPr>
                <w:rFonts w:hint="eastAsia" w:ascii="宋体" w:hAnsi="宋体" w:eastAsia="宋体" w:cs="宋体"/>
                <w:color w:val="auto"/>
                <w:kern w:val="0"/>
                <w:sz w:val="24"/>
                <w:highlight w:val="none"/>
              </w:rPr>
            </w:pPr>
          </w:p>
        </w:tc>
        <w:tc>
          <w:tcPr>
            <w:tcW w:w="610" w:type="pct"/>
            <w:vMerge w:val="continue"/>
            <w:vAlign w:val="center"/>
          </w:tcPr>
          <w:p w14:paraId="5C42A81B">
            <w:pPr>
              <w:widowControl/>
              <w:spacing w:line="360" w:lineRule="auto"/>
              <w:jc w:val="center"/>
              <w:rPr>
                <w:rFonts w:hint="eastAsia" w:ascii="宋体" w:hAnsi="宋体" w:eastAsia="宋体" w:cs="宋体"/>
                <w:color w:val="auto"/>
                <w:kern w:val="0"/>
                <w:sz w:val="24"/>
                <w:highlight w:val="none"/>
              </w:rPr>
            </w:pPr>
          </w:p>
        </w:tc>
        <w:tc>
          <w:tcPr>
            <w:tcW w:w="617" w:type="pct"/>
            <w:vAlign w:val="center"/>
          </w:tcPr>
          <w:p w14:paraId="542ECF1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电子卖场采购</w:t>
            </w:r>
          </w:p>
        </w:tc>
        <w:tc>
          <w:tcPr>
            <w:tcW w:w="2984" w:type="pct"/>
            <w:vAlign w:val="center"/>
          </w:tcPr>
          <w:p w14:paraId="307E4545">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（1）支持政府采购云平台电子卖场采购执行任务查询，关联包含但不限于网上超市等财政厅监</w:t>
            </w:r>
          </w:p>
          <w:p w14:paraId="0AD259A3">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管模块采购程序执行；</w:t>
            </w:r>
          </w:p>
          <w:p w14:paraId="38F81969">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（2）支持采购订单与前置审批单关联查询，可实时查看各采购程序、验收和结算等执行进度和完成情况；</w:t>
            </w:r>
          </w:p>
          <w:p w14:paraId="6BB95590">
            <w:pPr>
              <w:pStyle w:val="9"/>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（3）支持电子卖场成交结果多维数据自定义字段excel导出。</w:t>
            </w:r>
          </w:p>
        </w:tc>
      </w:tr>
      <w:tr w14:paraId="2F21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17E2BDF5">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610D1193">
            <w:pPr>
              <w:widowControl/>
              <w:spacing w:line="360" w:lineRule="auto"/>
              <w:jc w:val="left"/>
              <w:rPr>
                <w:rFonts w:hint="eastAsia" w:ascii="宋体" w:hAnsi="宋体" w:eastAsia="宋体" w:cs="宋体"/>
                <w:color w:val="auto"/>
                <w:kern w:val="0"/>
                <w:sz w:val="24"/>
                <w:highlight w:val="none"/>
              </w:rPr>
            </w:pPr>
          </w:p>
        </w:tc>
        <w:tc>
          <w:tcPr>
            <w:tcW w:w="610" w:type="pct"/>
            <w:vMerge w:val="continue"/>
            <w:vAlign w:val="center"/>
          </w:tcPr>
          <w:p w14:paraId="265FE21F">
            <w:pPr>
              <w:widowControl/>
              <w:spacing w:line="360" w:lineRule="auto"/>
              <w:jc w:val="left"/>
              <w:rPr>
                <w:rFonts w:hint="eastAsia" w:ascii="宋体" w:hAnsi="宋体" w:eastAsia="宋体" w:cs="宋体"/>
                <w:color w:val="auto"/>
                <w:kern w:val="0"/>
                <w:sz w:val="24"/>
                <w:highlight w:val="none"/>
              </w:rPr>
            </w:pPr>
          </w:p>
        </w:tc>
        <w:tc>
          <w:tcPr>
            <w:tcW w:w="617" w:type="pct"/>
            <w:vAlign w:val="center"/>
          </w:tcPr>
          <w:p w14:paraId="44D5B95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w:t>
            </w:r>
          </w:p>
          <w:p w14:paraId="1536FAB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w:t>
            </w:r>
          </w:p>
          <w:p w14:paraId="42DF40D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w:t>
            </w:r>
          </w:p>
        </w:tc>
        <w:tc>
          <w:tcPr>
            <w:tcW w:w="2984" w:type="pct"/>
            <w:vAlign w:val="center"/>
          </w:tcPr>
          <w:p w14:paraId="312AB9AD">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实现关联读取政府采购云平台和浙江政府采购网项目采购程序执行公开记录到内控采管系统，实现通过采购审批单编号、项目编号及名称等关键信息查询，可实时查看各项目采购程序、验收和结算等执行进度和完成情况；（2）实现采购文件线上审核流程，支持采购需求部门、采购管理部门及第三方招标代理机构进行采购文件终稿上传、下载、预览和多方确认等操作。</w:t>
            </w:r>
            <w:r>
              <w:rPr>
                <w:rFonts w:hint="eastAsia" w:ascii="宋体" w:hAnsi="宋体" w:eastAsia="宋体" w:cs="宋体"/>
                <w:color w:val="auto"/>
                <w:sz w:val="24"/>
                <w:szCs w:val="24"/>
                <w:highlight w:val="none"/>
              </w:rPr>
              <w:t>支持采购文件自定义审核流程，支持采购文件在线编辑留痕功能，支持采购文件多维度查询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下载</w:t>
            </w:r>
            <w:r>
              <w:rPr>
                <w:rFonts w:hint="eastAsia" w:ascii="宋体" w:hAnsi="宋体" w:eastAsia="宋体" w:cs="宋体"/>
                <w:color w:val="auto"/>
                <w:sz w:val="24"/>
                <w:szCs w:val="24"/>
                <w:highlight w:val="none"/>
              </w:rPr>
              <w:t>功能。</w:t>
            </w:r>
          </w:p>
        </w:tc>
      </w:tr>
      <w:tr w14:paraId="17FE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88" w:type="pct"/>
            <w:vMerge w:val="continue"/>
            <w:vAlign w:val="center"/>
          </w:tcPr>
          <w:p w14:paraId="544F8AE9">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2FE6F563">
            <w:pPr>
              <w:widowControl/>
              <w:spacing w:line="360" w:lineRule="auto"/>
              <w:jc w:val="left"/>
              <w:rPr>
                <w:rFonts w:hint="eastAsia" w:ascii="宋体" w:hAnsi="宋体" w:eastAsia="宋体" w:cs="宋体"/>
                <w:color w:val="auto"/>
                <w:kern w:val="0"/>
                <w:sz w:val="24"/>
                <w:highlight w:val="none"/>
              </w:rPr>
            </w:pPr>
          </w:p>
        </w:tc>
        <w:tc>
          <w:tcPr>
            <w:tcW w:w="610" w:type="pct"/>
            <w:vMerge w:val="continue"/>
            <w:vAlign w:val="center"/>
          </w:tcPr>
          <w:p w14:paraId="5771BB8C">
            <w:pPr>
              <w:widowControl/>
              <w:spacing w:line="360" w:lineRule="auto"/>
              <w:jc w:val="left"/>
              <w:rPr>
                <w:rFonts w:hint="eastAsia" w:ascii="宋体" w:hAnsi="宋体" w:eastAsia="宋体" w:cs="宋体"/>
                <w:color w:val="auto"/>
                <w:kern w:val="0"/>
                <w:sz w:val="24"/>
                <w:highlight w:val="none"/>
              </w:rPr>
            </w:pPr>
          </w:p>
        </w:tc>
        <w:tc>
          <w:tcPr>
            <w:tcW w:w="617" w:type="pct"/>
            <w:vAlign w:val="center"/>
          </w:tcPr>
          <w:p w14:paraId="79F0166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线下采购管理</w:t>
            </w:r>
          </w:p>
        </w:tc>
        <w:tc>
          <w:tcPr>
            <w:tcW w:w="2984" w:type="pct"/>
            <w:vAlign w:val="center"/>
          </w:tcPr>
          <w:p w14:paraId="76CEFEFB">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支持各部门线下采购业务管理，各部门可线上进行竞价或上传线下竞价材料、验收记录等。</w:t>
            </w:r>
          </w:p>
        </w:tc>
      </w:tr>
      <w:tr w14:paraId="1A75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88" w:type="pct"/>
            <w:vMerge w:val="continue"/>
            <w:vAlign w:val="center"/>
          </w:tcPr>
          <w:p w14:paraId="082DA4E8">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25324B03">
            <w:pPr>
              <w:widowControl/>
              <w:spacing w:line="360" w:lineRule="auto"/>
              <w:jc w:val="left"/>
              <w:rPr>
                <w:rFonts w:hint="eastAsia" w:ascii="宋体" w:hAnsi="宋体" w:eastAsia="宋体" w:cs="宋体"/>
                <w:color w:val="auto"/>
                <w:kern w:val="0"/>
                <w:sz w:val="24"/>
                <w:highlight w:val="none"/>
              </w:rPr>
            </w:pPr>
          </w:p>
        </w:tc>
        <w:tc>
          <w:tcPr>
            <w:tcW w:w="610" w:type="pct"/>
            <w:vMerge w:val="continue"/>
            <w:vAlign w:val="center"/>
          </w:tcPr>
          <w:p w14:paraId="364FAA21">
            <w:pPr>
              <w:widowControl/>
              <w:spacing w:line="360" w:lineRule="auto"/>
              <w:jc w:val="left"/>
              <w:rPr>
                <w:rFonts w:hint="eastAsia" w:ascii="宋体" w:hAnsi="宋体" w:eastAsia="宋体" w:cs="宋体"/>
                <w:color w:val="auto"/>
                <w:kern w:val="0"/>
                <w:sz w:val="24"/>
                <w:highlight w:val="none"/>
              </w:rPr>
            </w:pPr>
          </w:p>
        </w:tc>
        <w:tc>
          <w:tcPr>
            <w:tcW w:w="617" w:type="pct"/>
            <w:vAlign w:val="center"/>
          </w:tcPr>
          <w:p w14:paraId="0EEDEB8E">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政府采购订单</w:t>
            </w:r>
          </w:p>
          <w:p w14:paraId="48A5C3B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关联</w:t>
            </w:r>
          </w:p>
        </w:tc>
        <w:tc>
          <w:tcPr>
            <w:tcW w:w="2984" w:type="pct"/>
            <w:vAlign w:val="center"/>
          </w:tcPr>
          <w:p w14:paraId="5135608D">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支持政府采购云平台（网上超市等财政厅监管模块）产生的相关交易信息与内控审批单关联，实现采购事前、事中、事后全过程管理，关联类型包含但不限于网上超市订单、项目采购合同等信息。</w:t>
            </w:r>
          </w:p>
        </w:tc>
      </w:tr>
      <w:tr w14:paraId="6FF5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2F80A09B">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53AA8F54">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1A92604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采购内容替换</w:t>
            </w:r>
          </w:p>
        </w:tc>
        <w:tc>
          <w:tcPr>
            <w:tcW w:w="617" w:type="pct"/>
            <w:vAlign w:val="center"/>
          </w:tcPr>
          <w:p w14:paraId="0A6E036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6DDF1BC2">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能实现电子卖场下单前需求审批范围内（预算总额、采购品目不变）的采购内容链接替换。</w:t>
            </w:r>
          </w:p>
        </w:tc>
      </w:tr>
      <w:tr w14:paraId="234A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restart"/>
            <w:vAlign w:val="center"/>
          </w:tcPr>
          <w:p w14:paraId="090686DF">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497" w:type="pct"/>
            <w:vMerge w:val="restart"/>
            <w:vAlign w:val="center"/>
          </w:tcPr>
          <w:p w14:paraId="448A901F">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b/>
                <w:color w:val="auto"/>
                <w:sz w:val="24"/>
                <w:szCs w:val="24"/>
                <w:highlight w:val="none"/>
              </w:rPr>
              <w:t>采购合同</w:t>
            </w:r>
          </w:p>
        </w:tc>
        <w:tc>
          <w:tcPr>
            <w:tcW w:w="610" w:type="pct"/>
            <w:vAlign w:val="center"/>
          </w:tcPr>
          <w:p w14:paraId="4486D4F7">
            <w:pPr>
              <w:widowControl/>
              <w:spacing w:line="360" w:lineRule="auto"/>
              <w:jc w:val="center"/>
              <w:rPr>
                <w:rFonts w:hint="eastAsia" w:ascii="宋体" w:hAnsi="宋体" w:eastAsia="宋体" w:cs="宋体"/>
                <w:color w:val="auto"/>
                <w:kern w:val="0"/>
                <w:sz w:val="24"/>
                <w:highlight w:val="none"/>
              </w:rPr>
            </w:pPr>
            <w:r>
              <w:rPr>
                <w:rFonts w:hint="eastAsia"/>
                <w:b/>
                <w:color w:val="auto"/>
                <w:sz w:val="24"/>
                <w:szCs w:val="24"/>
                <w:highlight w:val="none"/>
              </w:rPr>
              <w:t>合同起草</w:t>
            </w:r>
          </w:p>
        </w:tc>
        <w:tc>
          <w:tcPr>
            <w:tcW w:w="617" w:type="pct"/>
            <w:vAlign w:val="center"/>
          </w:tcPr>
          <w:p w14:paraId="57AC7E4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47F1F525">
            <w:pPr>
              <w:widowControl/>
              <w:spacing w:line="300" w:lineRule="auto"/>
              <w:jc w:val="left"/>
              <w:rPr>
                <w:rFonts w:hint="eastAsia" w:ascii="宋体" w:hAnsi="宋体" w:eastAsia="宋体" w:cs="宋体"/>
                <w:color w:val="auto"/>
                <w:kern w:val="0"/>
                <w:sz w:val="24"/>
                <w:highlight w:val="none"/>
              </w:rPr>
            </w:pPr>
            <w:r>
              <w:rPr>
                <w:rFonts w:hint="eastAsia"/>
                <w:color w:val="auto"/>
                <w:sz w:val="24"/>
                <w:szCs w:val="24"/>
                <w:highlight w:val="none"/>
              </w:rPr>
              <w:t>采购项目合同起草，根据采购项目成交（中标）结果起草合同，</w:t>
            </w:r>
            <w:r>
              <w:rPr>
                <w:rFonts w:hint="eastAsia"/>
                <w:color w:val="auto"/>
                <w:sz w:val="24"/>
                <w:szCs w:val="24"/>
                <w:highlight w:val="none"/>
                <w:lang w:val="en-US" w:eastAsia="zh-CN"/>
              </w:rPr>
              <w:t>提供与对应招标文件匹配合同模板下载，</w:t>
            </w:r>
            <w:r>
              <w:rPr>
                <w:rFonts w:hint="eastAsia"/>
                <w:color w:val="auto"/>
                <w:sz w:val="24"/>
                <w:szCs w:val="24"/>
                <w:highlight w:val="none"/>
              </w:rPr>
              <w:t>要求继承采购执行基本、合同明细，合同支付期次、质保金和期限等，并上传合同，提交合同流程审核，支持合同提交和撤回。</w:t>
            </w:r>
          </w:p>
        </w:tc>
      </w:tr>
      <w:tr w14:paraId="404D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06A8FA0E">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435F5004">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64422C70">
            <w:pPr>
              <w:widowControl/>
              <w:spacing w:line="360" w:lineRule="auto"/>
              <w:jc w:val="center"/>
              <w:rPr>
                <w:rFonts w:hint="eastAsia" w:ascii="宋体" w:hAnsi="宋体" w:eastAsia="宋体" w:cs="宋体"/>
                <w:color w:val="auto"/>
                <w:kern w:val="0"/>
                <w:sz w:val="24"/>
                <w:highlight w:val="none"/>
              </w:rPr>
            </w:pPr>
            <w:r>
              <w:rPr>
                <w:rFonts w:hint="eastAsia"/>
                <w:b/>
                <w:color w:val="auto"/>
                <w:sz w:val="24"/>
                <w:szCs w:val="24"/>
                <w:highlight w:val="none"/>
              </w:rPr>
              <w:t>合同审核</w:t>
            </w:r>
          </w:p>
        </w:tc>
        <w:tc>
          <w:tcPr>
            <w:tcW w:w="617" w:type="pct"/>
            <w:vAlign w:val="center"/>
          </w:tcPr>
          <w:p w14:paraId="7596E4A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3BA1898E">
            <w:pPr>
              <w:widowControl/>
              <w:spacing w:line="300" w:lineRule="auto"/>
              <w:jc w:val="left"/>
              <w:rPr>
                <w:rFonts w:hint="eastAsia" w:ascii="宋体" w:hAnsi="宋体" w:eastAsia="宋体" w:cs="宋体"/>
                <w:color w:val="auto"/>
                <w:kern w:val="0"/>
                <w:sz w:val="24"/>
                <w:highlight w:val="none"/>
              </w:rPr>
            </w:pPr>
            <w:r>
              <w:rPr>
                <w:rFonts w:hint="eastAsia"/>
                <w:color w:val="auto"/>
                <w:sz w:val="24"/>
                <w:szCs w:val="24"/>
                <w:highlight w:val="none"/>
              </w:rPr>
              <w:t>按照学校项目采购合同自定义审批流程，支持不同类型合同的审批流程，并要求保留审批痕迹。</w:t>
            </w:r>
          </w:p>
        </w:tc>
      </w:tr>
      <w:tr w14:paraId="4B83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4432677B">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3461D99C">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27CA327B">
            <w:pPr>
              <w:widowControl/>
              <w:spacing w:line="360" w:lineRule="auto"/>
              <w:jc w:val="center"/>
              <w:rPr>
                <w:rFonts w:hint="eastAsia" w:ascii="宋体" w:hAnsi="宋体" w:eastAsia="宋体" w:cs="宋体"/>
                <w:color w:val="auto"/>
                <w:kern w:val="0"/>
                <w:sz w:val="24"/>
                <w:highlight w:val="none"/>
              </w:rPr>
            </w:pPr>
            <w:r>
              <w:rPr>
                <w:rFonts w:hint="eastAsia"/>
                <w:b/>
                <w:color w:val="auto"/>
                <w:sz w:val="24"/>
                <w:szCs w:val="24"/>
                <w:highlight w:val="none"/>
              </w:rPr>
              <w:t>合同签署</w:t>
            </w:r>
          </w:p>
        </w:tc>
        <w:tc>
          <w:tcPr>
            <w:tcW w:w="617" w:type="pct"/>
            <w:vAlign w:val="center"/>
          </w:tcPr>
          <w:p w14:paraId="608DB1E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33748984">
            <w:pPr>
              <w:widowControl/>
              <w:spacing w:line="360" w:lineRule="auto"/>
              <w:jc w:val="left"/>
              <w:rPr>
                <w:rFonts w:hint="eastAsia" w:ascii="宋体" w:hAnsi="宋体" w:eastAsia="宋体" w:cs="宋体"/>
                <w:color w:val="auto"/>
                <w:kern w:val="0"/>
                <w:sz w:val="24"/>
                <w:highlight w:val="none"/>
              </w:rPr>
            </w:pPr>
            <w:r>
              <w:rPr>
                <w:rFonts w:hint="eastAsia"/>
                <w:color w:val="auto"/>
                <w:sz w:val="24"/>
                <w:szCs w:val="24"/>
                <w:highlight w:val="none"/>
              </w:rPr>
              <w:t>采购合同签署后，要求采购人上载签章合同扫描件。下载支持</w:t>
            </w:r>
            <w:r>
              <w:rPr>
                <w:rFonts w:hint="eastAsia"/>
                <w:color w:val="auto"/>
                <w:sz w:val="24"/>
                <w:szCs w:val="24"/>
                <w:highlight w:val="none"/>
                <w:lang w:val="en-US" w:eastAsia="zh-CN"/>
              </w:rPr>
              <w:t>带</w:t>
            </w:r>
            <w:r>
              <w:rPr>
                <w:rFonts w:hint="eastAsia"/>
                <w:color w:val="auto"/>
                <w:sz w:val="24"/>
                <w:szCs w:val="24"/>
                <w:highlight w:val="none"/>
              </w:rPr>
              <w:t>水印</w:t>
            </w:r>
            <w:r>
              <w:rPr>
                <w:rFonts w:hint="eastAsia"/>
                <w:color w:val="auto"/>
                <w:sz w:val="24"/>
                <w:szCs w:val="24"/>
                <w:highlight w:val="none"/>
                <w:lang w:val="en-US" w:eastAsia="zh-CN"/>
              </w:rPr>
              <w:t>功能。</w:t>
            </w:r>
          </w:p>
        </w:tc>
      </w:tr>
      <w:tr w14:paraId="1110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158E6CB1">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5398171B">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7D72D465">
            <w:pPr>
              <w:widowControl/>
              <w:spacing w:line="360" w:lineRule="auto"/>
              <w:jc w:val="center"/>
              <w:rPr>
                <w:rFonts w:hint="eastAsia" w:ascii="宋体" w:hAnsi="宋体" w:eastAsia="宋体" w:cs="宋体"/>
                <w:color w:val="auto"/>
                <w:kern w:val="0"/>
                <w:sz w:val="24"/>
                <w:highlight w:val="none"/>
              </w:rPr>
            </w:pPr>
            <w:r>
              <w:rPr>
                <w:rFonts w:hint="eastAsia"/>
                <w:b/>
                <w:color w:val="auto"/>
                <w:sz w:val="24"/>
                <w:szCs w:val="24"/>
                <w:highlight w:val="none"/>
              </w:rPr>
              <w:t>合同跟踪预警</w:t>
            </w:r>
          </w:p>
        </w:tc>
        <w:tc>
          <w:tcPr>
            <w:tcW w:w="617" w:type="pct"/>
            <w:vAlign w:val="center"/>
          </w:tcPr>
          <w:p w14:paraId="2D990C5B">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1CA9A3E5">
            <w:pPr>
              <w:widowControl/>
              <w:spacing w:line="360" w:lineRule="auto"/>
              <w:jc w:val="left"/>
              <w:rPr>
                <w:rFonts w:hint="eastAsia" w:ascii="宋体" w:hAnsi="宋体" w:eastAsia="宋体" w:cs="宋体"/>
                <w:color w:val="auto"/>
                <w:kern w:val="0"/>
                <w:sz w:val="24"/>
                <w:highlight w:val="none"/>
              </w:rPr>
            </w:pPr>
            <w:r>
              <w:rPr>
                <w:rFonts w:hint="eastAsia"/>
                <w:color w:val="auto"/>
                <w:sz w:val="24"/>
                <w:szCs w:val="24"/>
                <w:highlight w:val="none"/>
              </w:rPr>
              <w:t>项目采购合同跟踪和预警，按照项目采购合同管理要求对采购合同签订和履行时限进行监控，发现异常发布红色和黄色不同级别预警</w:t>
            </w:r>
            <w:r>
              <w:rPr>
                <w:rFonts w:hint="eastAsia"/>
                <w:color w:val="auto"/>
                <w:sz w:val="24"/>
                <w:szCs w:val="24"/>
                <w:highlight w:val="none"/>
                <w:lang w:eastAsia="zh-CN"/>
              </w:rPr>
              <w:t>。</w:t>
            </w:r>
          </w:p>
        </w:tc>
      </w:tr>
      <w:tr w14:paraId="0A7C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03D12B1F">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351C7B42">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473ECFDA">
            <w:pPr>
              <w:widowControl/>
              <w:spacing w:line="360" w:lineRule="auto"/>
              <w:jc w:val="center"/>
              <w:rPr>
                <w:rFonts w:hint="eastAsia" w:ascii="宋体" w:hAnsi="宋体" w:eastAsia="宋体" w:cs="宋体"/>
                <w:color w:val="auto"/>
                <w:kern w:val="0"/>
                <w:sz w:val="24"/>
                <w:highlight w:val="none"/>
              </w:rPr>
            </w:pPr>
            <w:r>
              <w:rPr>
                <w:rFonts w:hint="eastAsia"/>
                <w:b/>
                <w:color w:val="auto"/>
                <w:sz w:val="24"/>
                <w:szCs w:val="24"/>
                <w:highlight w:val="none"/>
              </w:rPr>
              <w:t>合同变更</w:t>
            </w:r>
          </w:p>
        </w:tc>
        <w:tc>
          <w:tcPr>
            <w:tcW w:w="617" w:type="pct"/>
            <w:vAlign w:val="center"/>
          </w:tcPr>
          <w:p w14:paraId="5335C3D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6B4F8490">
            <w:pPr>
              <w:widowControl/>
              <w:spacing w:line="360" w:lineRule="auto"/>
              <w:jc w:val="left"/>
              <w:rPr>
                <w:rFonts w:hint="eastAsia" w:ascii="宋体" w:hAnsi="宋体" w:eastAsia="宋体" w:cs="宋体"/>
                <w:color w:val="auto"/>
                <w:kern w:val="0"/>
                <w:sz w:val="24"/>
                <w:highlight w:val="none"/>
              </w:rPr>
            </w:pPr>
            <w:r>
              <w:rPr>
                <w:rFonts w:hint="eastAsia"/>
                <w:color w:val="auto"/>
                <w:sz w:val="24"/>
                <w:szCs w:val="24"/>
                <w:highlight w:val="none"/>
              </w:rPr>
              <w:t>支持对异常项目采购合同实施终止或变更。要求按照合同管理要求实施合同变更申请审批流程，并上载所在部门签字盖章的合同变更申请，审批通过后，实施系统变更。</w:t>
            </w:r>
          </w:p>
        </w:tc>
      </w:tr>
      <w:tr w14:paraId="69E2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2B5FDA73">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08D11F15">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04D3EC1E">
            <w:pPr>
              <w:widowControl/>
              <w:spacing w:line="360" w:lineRule="auto"/>
              <w:jc w:val="center"/>
              <w:rPr>
                <w:rFonts w:hint="eastAsia" w:ascii="宋体" w:hAnsi="宋体" w:eastAsia="宋体" w:cs="宋体"/>
                <w:color w:val="auto"/>
                <w:kern w:val="0"/>
                <w:sz w:val="24"/>
                <w:highlight w:val="none"/>
              </w:rPr>
            </w:pPr>
            <w:r>
              <w:rPr>
                <w:rFonts w:hint="eastAsia"/>
                <w:b/>
                <w:color w:val="auto"/>
                <w:sz w:val="24"/>
                <w:szCs w:val="24"/>
                <w:highlight w:val="none"/>
              </w:rPr>
              <w:t>合同备案</w:t>
            </w:r>
          </w:p>
        </w:tc>
        <w:tc>
          <w:tcPr>
            <w:tcW w:w="617" w:type="pct"/>
            <w:vAlign w:val="center"/>
          </w:tcPr>
          <w:p w14:paraId="547A1094">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1974E635">
            <w:pPr>
              <w:widowControl/>
              <w:spacing w:line="360" w:lineRule="auto"/>
              <w:jc w:val="left"/>
              <w:rPr>
                <w:rFonts w:hint="eastAsia" w:ascii="宋体" w:hAnsi="宋体" w:eastAsia="宋体" w:cs="宋体"/>
                <w:color w:val="auto"/>
                <w:kern w:val="0"/>
                <w:sz w:val="24"/>
                <w:highlight w:val="none"/>
              </w:rPr>
            </w:pPr>
            <w:r>
              <w:rPr>
                <w:rFonts w:hint="eastAsia"/>
                <w:color w:val="auto"/>
                <w:sz w:val="24"/>
                <w:szCs w:val="24"/>
                <w:highlight w:val="none"/>
              </w:rPr>
              <w:t>根据框架协议、网超和自行采购等采购结果，采购人登记采购合同上载合同扫描件，并经审核备案入库</w:t>
            </w:r>
            <w:r>
              <w:rPr>
                <w:rFonts w:hint="eastAsia"/>
                <w:color w:val="auto"/>
                <w:sz w:val="24"/>
                <w:szCs w:val="24"/>
                <w:highlight w:val="none"/>
                <w:lang w:eastAsia="zh-CN"/>
              </w:rPr>
              <w:t>。</w:t>
            </w:r>
          </w:p>
        </w:tc>
      </w:tr>
      <w:tr w14:paraId="0F1D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13462BC9">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34FE2303">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0B244934">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合同查询</w:t>
            </w:r>
          </w:p>
        </w:tc>
        <w:tc>
          <w:tcPr>
            <w:tcW w:w="617" w:type="pct"/>
            <w:vAlign w:val="center"/>
          </w:tcPr>
          <w:p w14:paraId="55063F0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137E6356">
            <w:pPr>
              <w:widowControl/>
              <w:spacing w:line="360" w:lineRule="auto"/>
              <w:jc w:val="left"/>
              <w:rPr>
                <w:rFonts w:hint="eastAsia" w:ascii="宋体" w:hAnsi="宋体" w:eastAsia="宋体" w:cs="宋体"/>
                <w:color w:val="auto"/>
                <w:kern w:val="0"/>
                <w:sz w:val="24"/>
                <w:highlight w:val="none"/>
              </w:rPr>
            </w:pPr>
            <w:r>
              <w:rPr>
                <w:rFonts w:hint="eastAsia"/>
                <w:color w:val="auto"/>
                <w:sz w:val="24"/>
                <w:szCs w:val="24"/>
                <w:highlight w:val="none"/>
              </w:rPr>
              <w:t>支持多维条件的采购合同台账查询，包括合同各类履行状态的查询、数据预览、打印和导出</w:t>
            </w:r>
            <w:r>
              <w:rPr>
                <w:rFonts w:hint="eastAsia"/>
                <w:color w:val="auto"/>
                <w:sz w:val="24"/>
                <w:szCs w:val="24"/>
                <w:highlight w:val="none"/>
                <w:lang w:eastAsia="zh-CN"/>
              </w:rPr>
              <w:t>。</w:t>
            </w:r>
          </w:p>
        </w:tc>
      </w:tr>
      <w:tr w14:paraId="511F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restart"/>
            <w:vAlign w:val="center"/>
          </w:tcPr>
          <w:p w14:paraId="4BDC0C83">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497" w:type="pct"/>
            <w:vMerge w:val="restart"/>
            <w:vAlign w:val="center"/>
          </w:tcPr>
          <w:p w14:paraId="6ED1A012">
            <w:pPr>
              <w:widowControl/>
              <w:spacing w:line="360" w:lineRule="auto"/>
              <w:jc w:val="left"/>
              <w:rPr>
                <w:rFonts w:hint="eastAsia" w:ascii="宋体" w:hAnsi="宋体" w:eastAsia="宋体" w:cs="宋体"/>
                <w:color w:val="auto"/>
                <w:kern w:val="0"/>
                <w:sz w:val="24"/>
                <w:highlight w:val="none"/>
              </w:rPr>
            </w:pPr>
            <w:r>
              <w:rPr>
                <w:rFonts w:hint="eastAsia" w:ascii="宋体" w:hAnsi="宋体" w:cs="宋体"/>
                <w:color w:val="auto"/>
                <w:sz w:val="24"/>
                <w:highlight w:val="none"/>
              </w:rPr>
              <w:t>采购档案</w:t>
            </w:r>
          </w:p>
        </w:tc>
        <w:tc>
          <w:tcPr>
            <w:tcW w:w="610" w:type="pct"/>
            <w:vAlign w:val="center"/>
          </w:tcPr>
          <w:p w14:paraId="4E360165">
            <w:pPr>
              <w:widowControl/>
              <w:spacing w:line="360" w:lineRule="auto"/>
              <w:jc w:val="center"/>
              <w:rPr>
                <w:rFonts w:hint="eastAsia" w:ascii="宋体" w:hAnsi="宋体" w:eastAsia="宋体" w:cs="宋体"/>
                <w:b/>
                <w:bCs/>
                <w:color w:val="auto"/>
                <w:kern w:val="0"/>
                <w:sz w:val="24"/>
                <w:highlight w:val="none"/>
                <w:lang w:val="en-US" w:eastAsia="zh-CN"/>
              </w:rPr>
            </w:pPr>
            <w:r>
              <w:rPr>
                <w:rFonts w:hint="eastAsia"/>
                <w:color w:val="auto"/>
                <w:kern w:val="0"/>
                <w:sz w:val="24"/>
                <w:highlight w:val="none"/>
                <w:lang w:bidi="ar"/>
              </w:rPr>
              <w:t>档案登记</w:t>
            </w:r>
          </w:p>
        </w:tc>
        <w:tc>
          <w:tcPr>
            <w:tcW w:w="617" w:type="pct"/>
            <w:vAlign w:val="center"/>
          </w:tcPr>
          <w:p w14:paraId="064B95AF">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2984" w:type="pct"/>
            <w:vAlign w:val="center"/>
          </w:tcPr>
          <w:p w14:paraId="74A10C2C">
            <w:pPr>
              <w:widowControl/>
              <w:spacing w:line="360" w:lineRule="auto"/>
              <w:jc w:val="left"/>
              <w:rPr>
                <w:rFonts w:hint="eastAsia"/>
                <w:color w:val="auto"/>
                <w:sz w:val="24"/>
                <w:szCs w:val="24"/>
                <w:highlight w:val="none"/>
              </w:rPr>
            </w:pPr>
            <w:r>
              <w:rPr>
                <w:rFonts w:hint="eastAsia"/>
                <w:color w:val="auto"/>
                <w:kern w:val="0"/>
                <w:sz w:val="24"/>
                <w:highlight w:val="none"/>
                <w:lang w:bidi="ar"/>
              </w:rPr>
              <w:t>选择已验收采购合同，创建档案登记表，生成档案目录和档案编号（按规则自动生成），自动获取相关目录的采购电子文件（PDF），并查看卷宗目录文件清单，支持档案卷宗表保存。</w:t>
            </w:r>
          </w:p>
        </w:tc>
      </w:tr>
      <w:tr w14:paraId="17A4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414C1AE2">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1A35BC53">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20511704">
            <w:pPr>
              <w:widowControl/>
              <w:spacing w:line="360" w:lineRule="auto"/>
              <w:jc w:val="center"/>
              <w:rPr>
                <w:rFonts w:hint="eastAsia" w:ascii="宋体" w:hAnsi="宋体" w:eastAsia="宋体" w:cs="宋体"/>
                <w:b/>
                <w:bCs/>
                <w:color w:val="auto"/>
                <w:kern w:val="0"/>
                <w:sz w:val="24"/>
                <w:highlight w:val="none"/>
                <w:lang w:val="en-US" w:eastAsia="zh-CN"/>
              </w:rPr>
            </w:pPr>
            <w:r>
              <w:rPr>
                <w:rFonts w:hint="eastAsia"/>
                <w:color w:val="auto"/>
                <w:kern w:val="0"/>
                <w:sz w:val="24"/>
                <w:highlight w:val="none"/>
                <w:lang w:bidi="ar"/>
              </w:rPr>
              <w:t>档案管理</w:t>
            </w:r>
          </w:p>
        </w:tc>
        <w:tc>
          <w:tcPr>
            <w:tcW w:w="617" w:type="pct"/>
            <w:vAlign w:val="center"/>
          </w:tcPr>
          <w:p w14:paraId="60988DDE">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2984" w:type="pct"/>
            <w:vAlign w:val="center"/>
          </w:tcPr>
          <w:p w14:paraId="6E49CDB3">
            <w:pPr>
              <w:widowControl/>
              <w:spacing w:line="360" w:lineRule="auto"/>
              <w:jc w:val="left"/>
              <w:rPr>
                <w:rFonts w:hint="eastAsia" w:eastAsiaTheme="minorEastAsia"/>
                <w:color w:val="auto"/>
                <w:sz w:val="24"/>
                <w:szCs w:val="24"/>
                <w:highlight w:val="none"/>
                <w:lang w:eastAsia="zh-CN"/>
              </w:rPr>
            </w:pPr>
            <w:r>
              <w:rPr>
                <w:rFonts w:hint="eastAsia"/>
                <w:color w:val="auto"/>
                <w:kern w:val="0"/>
                <w:sz w:val="24"/>
                <w:highlight w:val="none"/>
                <w:lang w:bidi="ar"/>
              </w:rPr>
              <w:t>选择保存档案卷宗登记表，支持对登记表的编辑、删除、查询和打印档案卷宗目录等功能。支持多维条件查询和数据导出</w:t>
            </w:r>
            <w:r>
              <w:rPr>
                <w:rFonts w:hint="eastAsia"/>
                <w:color w:val="auto"/>
                <w:kern w:val="0"/>
                <w:sz w:val="24"/>
                <w:highlight w:val="none"/>
                <w:lang w:eastAsia="zh-CN" w:bidi="ar"/>
              </w:rPr>
              <w:t>。</w:t>
            </w:r>
          </w:p>
        </w:tc>
      </w:tr>
      <w:tr w14:paraId="2885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0126C8F2">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2FC4F28C">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30F3112E">
            <w:pPr>
              <w:widowControl/>
              <w:spacing w:line="360" w:lineRule="auto"/>
              <w:jc w:val="center"/>
              <w:rPr>
                <w:rFonts w:hint="eastAsia" w:ascii="宋体" w:hAnsi="宋体" w:eastAsia="宋体" w:cs="宋体"/>
                <w:b/>
                <w:bCs/>
                <w:color w:val="auto"/>
                <w:kern w:val="0"/>
                <w:sz w:val="24"/>
                <w:highlight w:val="none"/>
                <w:lang w:val="en-US" w:eastAsia="zh-CN"/>
              </w:rPr>
            </w:pPr>
            <w:r>
              <w:rPr>
                <w:rFonts w:hint="eastAsia"/>
                <w:color w:val="auto"/>
                <w:kern w:val="0"/>
                <w:sz w:val="24"/>
                <w:highlight w:val="none"/>
                <w:lang w:bidi="ar"/>
              </w:rPr>
              <w:t>档案移交</w:t>
            </w:r>
          </w:p>
        </w:tc>
        <w:tc>
          <w:tcPr>
            <w:tcW w:w="617" w:type="pct"/>
            <w:vAlign w:val="center"/>
          </w:tcPr>
          <w:p w14:paraId="52A50DE3">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2984" w:type="pct"/>
            <w:vAlign w:val="center"/>
          </w:tcPr>
          <w:p w14:paraId="76FC5058">
            <w:pPr>
              <w:widowControl/>
              <w:spacing w:line="360" w:lineRule="auto"/>
              <w:jc w:val="left"/>
              <w:rPr>
                <w:rFonts w:hint="eastAsia"/>
                <w:color w:val="auto"/>
                <w:kern w:val="0"/>
                <w:sz w:val="24"/>
                <w:szCs w:val="24"/>
                <w:highlight w:val="none"/>
                <w:lang w:bidi="ar"/>
              </w:rPr>
            </w:pPr>
            <w:r>
              <w:rPr>
                <w:rFonts w:hint="eastAsia"/>
                <w:color w:val="auto"/>
                <w:kern w:val="0"/>
                <w:sz w:val="24"/>
                <w:highlight w:val="none"/>
                <w:lang w:bidi="ar"/>
              </w:rPr>
              <w:t>选择档案卷宗，新增档案移交登记表。支持登记表的保存、编辑、删除、打印，以及档案移交登记表的签字扫描（拍照）上载。支持多维条件查询。</w:t>
            </w:r>
          </w:p>
        </w:tc>
      </w:tr>
      <w:tr w14:paraId="4CAB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Align w:val="center"/>
          </w:tcPr>
          <w:p w14:paraId="72AFA78A">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497" w:type="pct"/>
            <w:vAlign w:val="center"/>
          </w:tcPr>
          <w:p w14:paraId="64CA268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采购监督预警</w:t>
            </w:r>
          </w:p>
        </w:tc>
        <w:tc>
          <w:tcPr>
            <w:tcW w:w="610" w:type="pct"/>
            <w:vAlign w:val="center"/>
          </w:tcPr>
          <w:p w14:paraId="1C8B100C">
            <w:pPr>
              <w:widowControl/>
              <w:spacing w:line="360" w:lineRule="auto"/>
              <w:jc w:val="center"/>
              <w:rPr>
                <w:rFonts w:hint="eastAsia"/>
                <w:color w:val="auto"/>
                <w:kern w:val="0"/>
                <w:sz w:val="24"/>
                <w:highlight w:val="none"/>
                <w:lang w:bidi="ar"/>
              </w:rPr>
            </w:pPr>
            <w:r>
              <w:rPr>
                <w:rFonts w:hint="eastAsia" w:ascii="宋体" w:hAnsi="宋体" w:eastAsia="宋体" w:cs="宋体"/>
                <w:color w:val="auto"/>
                <w:kern w:val="0"/>
                <w:sz w:val="24"/>
                <w:highlight w:val="none"/>
                <w:lang w:val="en-US" w:eastAsia="zh-CN"/>
              </w:rPr>
              <w:t>-</w:t>
            </w:r>
          </w:p>
        </w:tc>
        <w:tc>
          <w:tcPr>
            <w:tcW w:w="617" w:type="pct"/>
            <w:vAlign w:val="center"/>
          </w:tcPr>
          <w:p w14:paraId="26ED226C">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2984" w:type="pct"/>
            <w:vAlign w:val="center"/>
          </w:tcPr>
          <w:p w14:paraId="36F9DDC3">
            <w:pPr>
              <w:widowControl/>
              <w:spacing w:line="360" w:lineRule="auto"/>
              <w:jc w:val="left"/>
              <w:rPr>
                <w:rFonts w:hint="eastAsia" w:ascii="Times New Roman" w:hAnsi="Times New Roman" w:eastAsia="宋体" w:cs="Times New Roman"/>
                <w:color w:val="auto"/>
                <w:kern w:val="0"/>
                <w:sz w:val="24"/>
                <w:highlight w:val="none"/>
                <w:lang w:bidi="ar"/>
              </w:rPr>
            </w:pPr>
            <w:r>
              <w:rPr>
                <w:rFonts w:hint="eastAsia" w:ascii="Times New Roman" w:hAnsi="Times New Roman" w:eastAsia="宋体" w:cs="Times New Roman"/>
                <w:color w:val="auto"/>
                <w:kern w:val="0"/>
                <w:sz w:val="24"/>
                <w:highlight w:val="none"/>
                <w:lang w:bidi="ar"/>
              </w:rPr>
              <w:t>1.根据学校采购监督要求，配置采购过程相关预警点，建立监督模型和预警规则；</w:t>
            </w:r>
          </w:p>
          <w:p w14:paraId="6D8BD5F7">
            <w:pPr>
              <w:widowControl/>
              <w:spacing w:line="360" w:lineRule="auto"/>
              <w:jc w:val="left"/>
              <w:rPr>
                <w:rFonts w:hint="eastAsia" w:ascii="Times New Roman" w:hAnsi="Times New Roman" w:eastAsia="宋体" w:cs="Times New Roman"/>
                <w:color w:val="auto"/>
                <w:kern w:val="0"/>
                <w:sz w:val="24"/>
                <w:highlight w:val="none"/>
                <w:lang w:bidi="ar"/>
              </w:rPr>
            </w:pPr>
            <w:r>
              <w:rPr>
                <w:rFonts w:hint="eastAsia" w:ascii="Times New Roman" w:hAnsi="Times New Roman" w:eastAsia="宋体" w:cs="Times New Roman"/>
                <w:color w:val="auto"/>
                <w:kern w:val="0"/>
                <w:sz w:val="24"/>
                <w:highlight w:val="none"/>
                <w:lang w:bidi="ar"/>
              </w:rPr>
              <w:t>2.支持</w:t>
            </w:r>
            <w:r>
              <w:rPr>
                <w:rFonts w:hint="eastAsia" w:cs="Times New Roman"/>
                <w:color w:val="auto"/>
                <w:kern w:val="0"/>
                <w:sz w:val="24"/>
                <w:highlight w:val="none"/>
                <w:lang w:val="en-US" w:eastAsia="zh-CN" w:bidi="ar"/>
              </w:rPr>
              <w:t>多个点位</w:t>
            </w:r>
            <w:r>
              <w:rPr>
                <w:rFonts w:hint="eastAsia" w:ascii="Times New Roman" w:hAnsi="Times New Roman" w:eastAsia="宋体" w:cs="Times New Roman"/>
                <w:color w:val="auto"/>
                <w:kern w:val="0"/>
                <w:sz w:val="24"/>
                <w:highlight w:val="none"/>
                <w:lang w:bidi="ar"/>
              </w:rPr>
              <w:t>采购监督预警，项目采购预警包括合同待起草至合同签订完成效能预警、项目多次抽取预警、合同附件异常未公开预警。  电子卖场预警包括竞价报价结束时供应商信用异常（行政处罚情况）异常、供应商发货效能异常预警、采购计划变更采购方式预警。</w:t>
            </w:r>
          </w:p>
          <w:p w14:paraId="1B0EF0F2">
            <w:pPr>
              <w:widowControl/>
              <w:spacing w:line="360" w:lineRule="auto"/>
              <w:jc w:val="left"/>
              <w:rPr>
                <w:rFonts w:hint="eastAsia"/>
                <w:color w:val="auto"/>
                <w:kern w:val="0"/>
                <w:sz w:val="24"/>
                <w:highlight w:val="none"/>
                <w:lang w:bidi="ar"/>
              </w:rPr>
            </w:pPr>
            <w:r>
              <w:rPr>
                <w:rFonts w:hint="eastAsia" w:ascii="Times New Roman" w:hAnsi="Times New Roman" w:eastAsia="宋体" w:cs="Times New Roman"/>
                <w:color w:val="auto"/>
                <w:kern w:val="0"/>
                <w:sz w:val="24"/>
                <w:highlight w:val="none"/>
                <w:lang w:bidi="ar"/>
              </w:rPr>
              <w:t>3.查询采购监督预警记录，并导出数据</w:t>
            </w:r>
          </w:p>
        </w:tc>
      </w:tr>
      <w:tr w14:paraId="595A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noWrap/>
            <w:vAlign w:val="center"/>
          </w:tcPr>
          <w:p w14:paraId="2E475B88">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497" w:type="pct"/>
            <w:noWrap/>
            <w:vAlign w:val="center"/>
          </w:tcPr>
          <w:p w14:paraId="63056FE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财务</w:t>
            </w:r>
          </w:p>
          <w:p w14:paraId="1AD11A6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系统对接</w:t>
            </w:r>
          </w:p>
        </w:tc>
        <w:tc>
          <w:tcPr>
            <w:tcW w:w="610" w:type="pct"/>
            <w:vAlign w:val="center"/>
          </w:tcPr>
          <w:p w14:paraId="424DE10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关联预算经费和预约报销</w:t>
            </w:r>
          </w:p>
        </w:tc>
        <w:tc>
          <w:tcPr>
            <w:tcW w:w="617" w:type="pct"/>
            <w:vAlign w:val="center"/>
          </w:tcPr>
          <w:p w14:paraId="46CE54E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7F624448">
            <w:pPr>
              <w:pStyle w:val="969"/>
              <w:widowControl/>
              <w:numPr>
                <w:ilvl w:val="0"/>
                <w:numId w:val="0"/>
              </w:numPr>
              <w:spacing w:line="360" w:lineRule="auto"/>
              <w:ind w:left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关联经费：根据采购人需求实现采购与财务系统对接；通过下拉框选择经费项目代码读取经费名称、经费负责人、管理部门以及可用余额；支持关联多个经费项目代码及多个经费项目负责人。</w:t>
            </w:r>
          </w:p>
          <w:p w14:paraId="013E1E25">
            <w:pPr>
              <w:pStyle w:val="969"/>
              <w:widowControl/>
              <w:numPr>
                <w:ilvl w:val="-1"/>
                <w:numId w:val="0"/>
              </w:numPr>
              <w:spacing w:line="360" w:lineRule="auto"/>
              <w:ind w:left="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冻结经费：经办人在发起采购审批时，输入经费项目代码并填写所需预算金额后，在提交采购申请时，实现自动冻结对应申请额度的经费。</w:t>
            </w:r>
          </w:p>
          <w:p w14:paraId="0EF420C6">
            <w:pPr>
              <w:pStyle w:val="969"/>
              <w:widowControl/>
              <w:numPr>
                <w:ilvl w:val="-1"/>
                <w:numId w:val="0"/>
              </w:numPr>
              <w:spacing w:line="360" w:lineRule="auto"/>
              <w:ind w:left="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解冻经费：可通过几种形式解冻经费：a.提交采购审批后，审批未通过时直接退回、撤销、作废的均可解冻经费；b.已审批完成的，在撤销申请审批后，可在取消该申请单的采购任务，“作废”该需求申请单，自动解冻经费。</w:t>
            </w:r>
            <w:r>
              <w:rPr>
                <w:rFonts w:hint="default" w:ascii="宋体" w:hAnsi="宋体" w:eastAsia="宋体" w:cs="宋体"/>
                <w:color w:val="auto"/>
                <w:kern w:val="0"/>
                <w:sz w:val="24"/>
                <w:highlight w:val="none"/>
                <w:woUserID w:val="1"/>
              </w:rPr>
              <w:t>c</w:t>
            </w:r>
            <w:r>
              <w:rPr>
                <w:rFonts w:hint="eastAsia" w:ascii="宋体" w:hAnsi="宋体" w:eastAsia="宋体" w:cs="宋体"/>
                <w:color w:val="auto"/>
                <w:kern w:val="0"/>
                <w:sz w:val="24"/>
                <w:highlight w:val="none"/>
              </w:rPr>
              <w:t>.采购完成后，可对经费进行分批解冻，合同公告后，先解冻预算金额与成交金额的差额经费；财务报销时，可根据预约报销金额分批解冻经费。</w:t>
            </w:r>
          </w:p>
          <w:p w14:paraId="070E8101">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预约报销。系统根据是否需登记资产条件选择，自动推送采购信息以备报销，支持网超订单、项目合同预约报销流程，支持合同或网超订单多个标的物分期、分批支付报账的流程；根据实际需求，可选择线上和线下预约报销两种形式。</w:t>
            </w:r>
          </w:p>
        </w:tc>
      </w:tr>
      <w:tr w14:paraId="179A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8" w:type="pct"/>
            <w:noWrap/>
            <w:vAlign w:val="center"/>
          </w:tcPr>
          <w:p w14:paraId="5E41D7A9">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497" w:type="pct"/>
            <w:noWrap/>
            <w:vAlign w:val="center"/>
          </w:tcPr>
          <w:p w14:paraId="52C8C67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资产</w:t>
            </w:r>
          </w:p>
          <w:p w14:paraId="1195BCCB">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入库</w:t>
            </w:r>
          </w:p>
          <w:p w14:paraId="3270C9BE">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w:t>
            </w:r>
          </w:p>
        </w:tc>
        <w:tc>
          <w:tcPr>
            <w:tcW w:w="610" w:type="pct"/>
            <w:vAlign w:val="center"/>
          </w:tcPr>
          <w:p w14:paraId="3AC73F7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标准化接口</w:t>
            </w:r>
          </w:p>
        </w:tc>
        <w:tc>
          <w:tcPr>
            <w:tcW w:w="617" w:type="pct"/>
            <w:vAlign w:val="center"/>
          </w:tcPr>
          <w:p w14:paraId="35146F6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1774306F">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预留与学校数据中台的标准化接口（提供接口），以便数据中台将采购管理系统中相关采购信息提供给资产系统，可实现将已验收的采购信息同步至资产系统，生成入库登记草稿，提高资产入库登记填写效率。</w:t>
            </w:r>
          </w:p>
        </w:tc>
      </w:tr>
      <w:tr w14:paraId="643A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restart"/>
            <w:noWrap/>
            <w:vAlign w:val="center"/>
          </w:tcPr>
          <w:p w14:paraId="37B390F9">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497" w:type="pct"/>
            <w:vMerge w:val="restart"/>
            <w:noWrap/>
            <w:vAlign w:val="center"/>
          </w:tcPr>
          <w:p w14:paraId="309D1A7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决策</w:t>
            </w:r>
          </w:p>
          <w:p w14:paraId="128CA45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w:t>
            </w:r>
          </w:p>
        </w:tc>
        <w:tc>
          <w:tcPr>
            <w:tcW w:w="610" w:type="pct"/>
            <w:vAlign w:val="center"/>
          </w:tcPr>
          <w:p w14:paraId="415555FD">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w:t>
            </w:r>
          </w:p>
          <w:p w14:paraId="620AFF6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报表</w:t>
            </w:r>
          </w:p>
        </w:tc>
        <w:tc>
          <w:tcPr>
            <w:tcW w:w="617" w:type="pct"/>
            <w:vAlign w:val="center"/>
          </w:tcPr>
          <w:p w14:paraId="3076BBAE">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8F87527">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现可自定义采购数据报表格式，满足审计数据上报要求，采购业务数据统计分析等。包含但不限于我校采购管理系统产生的内控数据、政府采购云平台（网上超市等财政厅监管模块）或浙江政府采购网的公开数据。</w:t>
            </w:r>
          </w:p>
        </w:tc>
      </w:tr>
      <w:tr w14:paraId="46EF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2BB0D9E1">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40C1AFA5">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5586DE2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统计</w:t>
            </w:r>
          </w:p>
          <w:p w14:paraId="7874745F">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分析</w:t>
            </w:r>
          </w:p>
        </w:tc>
        <w:tc>
          <w:tcPr>
            <w:tcW w:w="617" w:type="pct"/>
            <w:vAlign w:val="center"/>
          </w:tcPr>
          <w:p w14:paraId="2BF5774B">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6B9DC5B9">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根据我校需求实现图文形式的个性化数据看板，展现各类采购预算、执行、合同、验收、资产和支付等动态信息；支持多维度展示我校各类采购数据，为决策提供参考。 </w:t>
            </w:r>
          </w:p>
        </w:tc>
      </w:tr>
      <w:tr w14:paraId="6E17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29AE527D">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497" w:type="pct"/>
            <w:vAlign w:val="center"/>
          </w:tcPr>
          <w:p w14:paraId="50CFE0C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单点登录</w:t>
            </w:r>
          </w:p>
        </w:tc>
        <w:tc>
          <w:tcPr>
            <w:tcW w:w="610" w:type="pct"/>
            <w:vAlign w:val="center"/>
          </w:tcPr>
          <w:p w14:paraId="46CF715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单点登录</w:t>
            </w:r>
          </w:p>
        </w:tc>
        <w:tc>
          <w:tcPr>
            <w:tcW w:w="617" w:type="pct"/>
            <w:vAlign w:val="center"/>
          </w:tcPr>
          <w:p w14:paraId="0D4C801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19CEBFA6">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实现采购管理系统用户体系与学校统一身份认证对接，支持工号登录采购管理系统。</w:t>
            </w:r>
          </w:p>
        </w:tc>
      </w:tr>
      <w:tr w14:paraId="4B72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2672E314">
            <w:pPr>
              <w:widowControl/>
              <w:spacing w:line="360" w:lineRule="auto"/>
              <w:ind w:left="0" w:leftChars="0" w:firstLine="0" w:firstLineChars="0"/>
              <w:jc w:val="center"/>
              <w:rPr>
                <w:rFonts w:hint="eastAsia"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woUserID w:val="1"/>
              </w:rPr>
              <w:t>1</w:t>
            </w:r>
            <w:r>
              <w:rPr>
                <w:rFonts w:hint="eastAsia" w:ascii="宋体" w:hAnsi="宋体" w:cs="宋体"/>
                <w:color w:val="auto"/>
                <w:kern w:val="0"/>
                <w:sz w:val="24"/>
                <w:highlight w:val="none"/>
                <w:lang w:val="en-US" w:eastAsia="zh-CN"/>
                <w:woUserID w:val="1"/>
              </w:rPr>
              <w:t>4</w:t>
            </w:r>
          </w:p>
        </w:tc>
        <w:tc>
          <w:tcPr>
            <w:tcW w:w="497" w:type="pct"/>
            <w:vAlign w:val="center"/>
          </w:tcPr>
          <w:p w14:paraId="45836FE8">
            <w:pPr>
              <w:widowControl/>
              <w:spacing w:line="360" w:lineRule="auto"/>
              <w:ind w:left="0" w:leftChars="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学校数据中台对接，配合提供学校项目管理系统内所需要的项目信息</w:t>
            </w:r>
          </w:p>
        </w:tc>
        <w:tc>
          <w:tcPr>
            <w:tcW w:w="610" w:type="pct"/>
            <w:vAlign w:val="center"/>
          </w:tcPr>
          <w:p w14:paraId="287676EB">
            <w:pPr>
              <w:widowControl/>
              <w:spacing w:line="360" w:lineRule="auto"/>
              <w:ind w:left="0" w:leftChars="0"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woUserID w:val="1"/>
              </w:rPr>
              <w:t>标准化接口</w:t>
            </w:r>
          </w:p>
        </w:tc>
        <w:tc>
          <w:tcPr>
            <w:tcW w:w="617" w:type="pct"/>
            <w:vAlign w:val="center"/>
          </w:tcPr>
          <w:p w14:paraId="1D034ED0">
            <w:pPr>
              <w:widowControl/>
              <w:spacing w:line="360" w:lineRule="auto"/>
              <w:ind w:left="0" w:leftChars="0" w:firstLine="0" w:firstLineChars="0"/>
              <w:jc w:val="center"/>
              <w:rPr>
                <w:rFonts w:hint="eastAsia" w:ascii="宋体" w:hAnsi="宋体" w:eastAsia="宋体" w:cs="宋体"/>
                <w:color w:val="auto"/>
                <w:kern w:val="0"/>
                <w:sz w:val="24"/>
                <w:highlight w:val="none"/>
              </w:rPr>
            </w:pPr>
            <w:r>
              <w:rPr>
                <w:rFonts w:hint="default" w:ascii="宋体" w:hAnsi="宋体" w:eastAsia="宋体" w:cs="宋体"/>
                <w:color w:val="auto"/>
                <w:kern w:val="0"/>
                <w:sz w:val="24"/>
                <w:highlight w:val="none"/>
                <w:woUserID w:val="1"/>
              </w:rPr>
              <w:t>-</w:t>
            </w:r>
          </w:p>
        </w:tc>
        <w:tc>
          <w:tcPr>
            <w:tcW w:w="2984" w:type="pct"/>
            <w:vAlign w:val="center"/>
          </w:tcPr>
          <w:p w14:paraId="109BFFE4">
            <w:pPr>
              <w:widowControl/>
              <w:spacing w:line="360" w:lineRule="auto"/>
              <w:ind w:left="0" w:leftChars="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预留与学校数据中台的标准化接口，包括但不限于提供项目的意向公示信息、招投标项目项目信息、政采云电子卖场订单信息、相关合同信息、采购执行进度信息等采购管理系统中的数据，以实现项目信息共享。</w:t>
            </w:r>
          </w:p>
        </w:tc>
      </w:tr>
      <w:tr w14:paraId="24C0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vAlign w:val="center"/>
          </w:tcPr>
          <w:p w14:paraId="420281C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手机应用终端</w:t>
            </w:r>
          </w:p>
        </w:tc>
      </w:tr>
      <w:tr w14:paraId="382E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15B66911">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497" w:type="pct"/>
            <w:shd w:val="clear" w:color="auto" w:fill="FFFFFF"/>
            <w:vAlign w:val="center"/>
          </w:tcPr>
          <w:p w14:paraId="66AB4DD0">
            <w:pPr>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手机首页</w:t>
            </w:r>
          </w:p>
        </w:tc>
        <w:tc>
          <w:tcPr>
            <w:tcW w:w="610" w:type="pct"/>
            <w:vAlign w:val="center"/>
          </w:tcPr>
          <w:p w14:paraId="0F3DDE5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617" w:type="pct"/>
            <w:vAlign w:val="center"/>
          </w:tcPr>
          <w:p w14:paraId="327D768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3F1751BB">
            <w:pPr>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显示采购系统手机应用功能模块，包括待办消息、业务审批和业务查询等功能。手机统一用户身份认证和单点登录、消息互动提醒。</w:t>
            </w:r>
          </w:p>
        </w:tc>
      </w:tr>
      <w:tr w14:paraId="76E8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46FBBE27">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497" w:type="pct"/>
            <w:shd w:val="clear" w:color="auto" w:fill="FFFFFF"/>
            <w:vAlign w:val="center"/>
          </w:tcPr>
          <w:p w14:paraId="56236AF7">
            <w:pPr>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待办事项</w:t>
            </w:r>
          </w:p>
        </w:tc>
        <w:tc>
          <w:tcPr>
            <w:tcW w:w="610" w:type="pct"/>
            <w:vAlign w:val="center"/>
          </w:tcPr>
          <w:p w14:paraId="6EE651E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617" w:type="pct"/>
            <w:vAlign w:val="center"/>
          </w:tcPr>
          <w:p w14:paraId="65C255BD">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3964DDFB">
            <w:pPr>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各类采购业务流程待办审批事项提醒，点击可以直接进入业务审批页面，查询业务流程，并在线审批和提交。</w:t>
            </w:r>
          </w:p>
        </w:tc>
      </w:tr>
      <w:tr w14:paraId="3A26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7CFA6BF4">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497" w:type="pct"/>
            <w:shd w:val="clear" w:color="auto" w:fill="FFFFFF"/>
            <w:vAlign w:val="center"/>
          </w:tcPr>
          <w:p w14:paraId="664B6BA6">
            <w:pPr>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互动消息</w:t>
            </w:r>
          </w:p>
        </w:tc>
        <w:tc>
          <w:tcPr>
            <w:tcW w:w="610" w:type="pct"/>
            <w:vAlign w:val="center"/>
          </w:tcPr>
          <w:p w14:paraId="662CAFF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617" w:type="pct"/>
            <w:vAlign w:val="center"/>
          </w:tcPr>
          <w:p w14:paraId="08F19A1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0C00E5E2">
            <w:pPr>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在业务办理过程中，系统自动发布业务告知、招投标、成交信息、业务超时、催办等消息。</w:t>
            </w:r>
          </w:p>
        </w:tc>
      </w:tr>
      <w:tr w14:paraId="4BA0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4CF56E65">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497" w:type="pct"/>
            <w:shd w:val="clear" w:color="auto" w:fill="FFFFFF"/>
            <w:vAlign w:val="center"/>
          </w:tcPr>
          <w:p w14:paraId="214EA559">
            <w:pPr>
              <w:spacing w:line="30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业务查询</w:t>
            </w:r>
          </w:p>
        </w:tc>
        <w:tc>
          <w:tcPr>
            <w:tcW w:w="610" w:type="pct"/>
            <w:vAlign w:val="center"/>
          </w:tcPr>
          <w:p w14:paraId="1CE113B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617" w:type="pct"/>
            <w:vAlign w:val="center"/>
          </w:tcPr>
          <w:p w14:paraId="00E359E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63B1CC33">
            <w:pPr>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查询业务流程的各类审批信息。</w:t>
            </w:r>
          </w:p>
        </w:tc>
      </w:tr>
      <w:tr w14:paraId="4A57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6F6E86F1">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497" w:type="pct"/>
            <w:shd w:val="clear" w:color="auto" w:fill="FFFFFF"/>
            <w:vAlign w:val="center"/>
          </w:tcPr>
          <w:p w14:paraId="16BEBD51">
            <w:pPr>
              <w:spacing w:line="30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全周期查询</w:t>
            </w:r>
          </w:p>
        </w:tc>
        <w:tc>
          <w:tcPr>
            <w:tcW w:w="610" w:type="pct"/>
            <w:vAlign w:val="center"/>
          </w:tcPr>
          <w:p w14:paraId="5B28509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617" w:type="pct"/>
            <w:vAlign w:val="center"/>
          </w:tcPr>
          <w:p w14:paraId="0F4377D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6751DFB3">
            <w:pPr>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选择采购项目，查询项目采购的全周期过程。</w:t>
            </w:r>
          </w:p>
        </w:tc>
      </w:tr>
      <w:tr w14:paraId="0E2C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3524189A">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497" w:type="pct"/>
            <w:shd w:val="clear" w:color="auto" w:fill="FFFFFF"/>
            <w:vAlign w:val="center"/>
          </w:tcPr>
          <w:p w14:paraId="4D9D9956">
            <w:pPr>
              <w:spacing w:line="30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通知公告</w:t>
            </w:r>
          </w:p>
        </w:tc>
        <w:tc>
          <w:tcPr>
            <w:tcW w:w="610" w:type="pct"/>
            <w:vAlign w:val="center"/>
          </w:tcPr>
          <w:p w14:paraId="6E4D3A5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617" w:type="pct"/>
            <w:vAlign w:val="center"/>
          </w:tcPr>
          <w:p w14:paraId="7BE47E4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33176FD0">
            <w:pPr>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查询采购的通知公告信息。</w:t>
            </w:r>
          </w:p>
        </w:tc>
      </w:tr>
    </w:tbl>
    <w:p w14:paraId="1FE0A9BA">
      <w:pPr>
        <w:bidi w:val="0"/>
        <w:rPr>
          <w:rFonts w:hint="eastAsia"/>
          <w:color w:val="auto"/>
          <w:highlight w:val="none"/>
        </w:rPr>
      </w:pPr>
    </w:p>
    <w:p w14:paraId="63A105CA">
      <w:pPr>
        <w:pStyle w:val="7"/>
        <w:bidi w:val="0"/>
        <w:jc w:val="left"/>
        <w:rPr>
          <w:color w:val="auto"/>
          <w:sz w:val="24"/>
          <w:szCs w:val="24"/>
          <w:highlight w:val="none"/>
        </w:rPr>
      </w:pPr>
      <w:r>
        <w:rPr>
          <w:rFonts w:hint="eastAsia" w:ascii="undefined" w:hAnsi="undefined" w:cs="undefined"/>
          <w:color w:val="auto"/>
          <w:sz w:val="24"/>
          <w:szCs w:val="24"/>
          <w:highlight w:val="none"/>
        </w:rPr>
        <w:t>四、</w:t>
      </w:r>
      <w:r>
        <w:rPr>
          <w:color w:val="auto"/>
          <w:sz w:val="24"/>
          <w:szCs w:val="24"/>
          <w:highlight w:val="none"/>
        </w:rPr>
        <w:t>其他要求</w:t>
      </w:r>
    </w:p>
    <w:tbl>
      <w:tblPr>
        <w:tblStyle w:val="6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155"/>
        <w:gridCol w:w="8021"/>
      </w:tblGrid>
      <w:tr w14:paraId="6CC7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91" w:type="pct"/>
            <w:vAlign w:val="center"/>
          </w:tcPr>
          <w:p w14:paraId="61686D89">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b/>
                <w:bCs/>
                <w:color w:val="auto"/>
                <w:sz w:val="24"/>
                <w:highlight w:val="none"/>
                <w:lang w:val="en-US" w:eastAsia="zh-CN"/>
              </w:rPr>
            </w:pPr>
            <w:r>
              <w:rPr>
                <w:rFonts w:hint="eastAsia" w:ascii="Times New Roman" w:hAnsi="Times New Roman"/>
                <w:b/>
                <w:bCs/>
                <w:color w:val="auto"/>
                <w:sz w:val="24"/>
                <w:highlight w:val="none"/>
                <w:lang w:val="en-US" w:eastAsia="zh-CN"/>
              </w:rPr>
              <w:t>序号</w:t>
            </w:r>
          </w:p>
        </w:tc>
        <w:tc>
          <w:tcPr>
            <w:tcW w:w="580" w:type="pct"/>
            <w:vAlign w:val="center"/>
          </w:tcPr>
          <w:p w14:paraId="796EF456">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Times New Roman" w:eastAsia="宋体"/>
                <w:b/>
                <w:bCs/>
                <w:color w:val="auto"/>
                <w:sz w:val="24"/>
                <w:highlight w:val="none"/>
                <w:lang w:val="en-US" w:eastAsia="zh-CN"/>
              </w:rPr>
            </w:pPr>
            <w:r>
              <w:rPr>
                <w:rFonts w:hint="eastAsia" w:ascii="Times New Roman" w:hAnsi="Times New Roman"/>
                <w:b/>
                <w:bCs/>
                <w:color w:val="auto"/>
                <w:sz w:val="24"/>
                <w:highlight w:val="none"/>
                <w:lang w:val="en-US" w:eastAsia="zh-CN"/>
              </w:rPr>
              <w:t>要求</w:t>
            </w:r>
          </w:p>
        </w:tc>
        <w:tc>
          <w:tcPr>
            <w:tcW w:w="4027" w:type="pct"/>
            <w:vAlign w:val="center"/>
          </w:tcPr>
          <w:p w14:paraId="6923C330">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Times New Roman" w:eastAsia="宋体"/>
                <w:b/>
                <w:bCs/>
                <w:color w:val="auto"/>
                <w:sz w:val="24"/>
                <w:highlight w:val="none"/>
                <w:lang w:val="en-US" w:eastAsia="zh-CN"/>
              </w:rPr>
            </w:pPr>
            <w:r>
              <w:rPr>
                <w:rFonts w:hint="eastAsia" w:ascii="Times New Roman" w:hAnsi="Times New Roman"/>
                <w:b/>
                <w:bCs/>
                <w:color w:val="auto"/>
                <w:sz w:val="24"/>
                <w:highlight w:val="none"/>
                <w:lang w:val="en-US" w:eastAsia="zh-CN"/>
              </w:rPr>
              <w:t>具体内容</w:t>
            </w:r>
          </w:p>
        </w:tc>
      </w:tr>
      <w:tr w14:paraId="2F92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91" w:type="pct"/>
            <w:vAlign w:val="center"/>
          </w:tcPr>
          <w:p w14:paraId="2936504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1</w:t>
            </w:r>
          </w:p>
        </w:tc>
        <w:tc>
          <w:tcPr>
            <w:tcW w:w="580" w:type="pct"/>
            <w:vAlign w:val="center"/>
          </w:tcPr>
          <w:p w14:paraId="6A0E5107">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ascii="Times New Roman" w:hAnsi="Times New Roman"/>
                <w:color w:val="auto"/>
                <w:sz w:val="24"/>
                <w:highlight w:val="none"/>
              </w:rPr>
            </w:pPr>
            <w:r>
              <w:rPr>
                <w:rFonts w:hint="eastAsia" w:ascii="Times New Roman" w:hAnsi="Times New Roman"/>
                <w:color w:val="auto"/>
                <w:sz w:val="24"/>
                <w:highlight w:val="none"/>
              </w:rPr>
              <w:t>系统</w:t>
            </w:r>
            <w:r>
              <w:rPr>
                <w:rFonts w:ascii="Times New Roman" w:hAnsi="Times New Roman"/>
                <w:color w:val="auto"/>
                <w:sz w:val="24"/>
                <w:highlight w:val="none"/>
              </w:rPr>
              <w:t>基本要求</w:t>
            </w:r>
          </w:p>
        </w:tc>
        <w:tc>
          <w:tcPr>
            <w:tcW w:w="4027" w:type="pct"/>
            <w:vAlign w:val="center"/>
          </w:tcPr>
          <w:p w14:paraId="62751DC1">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w:t>
            </w:r>
            <w:r>
              <w:rPr>
                <w:rFonts w:hint="eastAsia" w:ascii="Times New Roman" w:hAnsi="Times New Roman"/>
                <w:color w:val="auto"/>
                <w:sz w:val="24"/>
                <w:highlight w:val="none"/>
              </w:rPr>
              <w:t>不得设置系统数量、终端数量、用户数量、功能数量或其它等可能制约后续学校应用的限制。</w:t>
            </w:r>
          </w:p>
          <w:p w14:paraId="520A6A0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ascii="Times New Roman" w:hAnsi="Times New Roman"/>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w:t>
            </w:r>
            <w:r>
              <w:rPr>
                <w:rFonts w:hint="eastAsia" w:ascii="Times New Roman" w:hAnsi="Times New Roman"/>
                <w:color w:val="auto"/>
                <w:sz w:val="24"/>
                <w:highlight w:val="none"/>
              </w:rPr>
              <w:t>有完善的网络安全和数据安全设计，保证系统的安全稳定运行和数据的安全使用，能达到等保测评二级及以上安全要求。</w:t>
            </w:r>
          </w:p>
          <w:p w14:paraId="320AC52B">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w:t>
            </w:r>
            <w:r>
              <w:rPr>
                <w:rFonts w:hint="eastAsia" w:ascii="Times New Roman" w:hAnsi="Times New Roman"/>
                <w:color w:val="auto"/>
                <w:sz w:val="24"/>
                <w:highlight w:val="none"/>
              </w:rPr>
              <w:t>系统需兼容微软IE、谷歌Chrome、360浏览器、搜狗浏览器、苹果Safari、UC浏览器、QQ浏览器、火狐Firefox等多种浏览器。</w:t>
            </w:r>
          </w:p>
          <w:p w14:paraId="314646CA">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ascii="Times New Roman" w:hAnsi="Times New Roman"/>
                <w:color w:val="auto"/>
                <w:sz w:val="24"/>
                <w:highlight w:val="none"/>
              </w:rPr>
            </w:pPr>
            <w:r>
              <w:rPr>
                <w:rFonts w:hint="eastAsia" w:ascii="Times New Roman" w:hAnsi="Times New Roman"/>
                <w:color w:val="auto"/>
                <w:sz w:val="24"/>
                <w:highlight w:val="none"/>
              </w:rPr>
              <w:t>4</w:t>
            </w:r>
            <w:r>
              <w:rPr>
                <w:rFonts w:ascii="Times New Roman" w:hAnsi="Times New Roman"/>
                <w:color w:val="auto"/>
                <w:sz w:val="24"/>
                <w:highlight w:val="none"/>
              </w:rPr>
              <w:t>.</w:t>
            </w:r>
            <w:r>
              <w:rPr>
                <w:rFonts w:hint="eastAsia" w:ascii="Times New Roman" w:hAnsi="Times New Roman"/>
                <w:color w:val="auto"/>
                <w:sz w:val="24"/>
                <w:highlight w:val="none"/>
              </w:rPr>
              <w:t>兼容全部主流PC端和有移动端应用的需兼容主流智能手机的操作系统和不同设备的分辨率。</w:t>
            </w:r>
          </w:p>
        </w:tc>
      </w:tr>
      <w:tr w14:paraId="12F5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91" w:type="pct"/>
            <w:vAlign w:val="center"/>
          </w:tcPr>
          <w:p w14:paraId="4B120B14">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2</w:t>
            </w:r>
          </w:p>
        </w:tc>
        <w:tc>
          <w:tcPr>
            <w:tcW w:w="580" w:type="pct"/>
            <w:vAlign w:val="center"/>
          </w:tcPr>
          <w:p w14:paraId="7AFAF61D">
            <w:pPr>
              <w:spacing w:line="360" w:lineRule="auto"/>
              <w:jc w:val="center"/>
              <w:rPr>
                <w:rFonts w:hint="eastAsia" w:ascii="Times New Roman" w:hAnsi="Times New Roman"/>
                <w:color w:val="auto"/>
                <w:sz w:val="24"/>
                <w:highlight w:val="none"/>
              </w:rPr>
            </w:pPr>
            <w:r>
              <w:rPr>
                <w:rFonts w:hint="eastAsia" w:ascii="Times New Roman" w:hAnsi="Times New Roman"/>
                <w:color w:val="auto"/>
                <w:sz w:val="24"/>
                <w:highlight w:val="none"/>
              </w:rPr>
              <w:t>系统与数智同科应用支撑平台对接需求</w:t>
            </w:r>
          </w:p>
        </w:tc>
        <w:tc>
          <w:tcPr>
            <w:tcW w:w="4027" w:type="pct"/>
            <w:vAlign w:val="center"/>
          </w:tcPr>
          <w:p w14:paraId="60962ADC">
            <w:pPr>
              <w:numPr>
                <w:ilvl w:val="0"/>
                <w:numId w:val="0"/>
              </w:numPr>
              <w:spacing w:line="360" w:lineRule="auto"/>
              <w:jc w:val="left"/>
              <w:rPr>
                <w:b/>
                <w:bCs/>
                <w:color w:val="auto"/>
                <w:sz w:val="24"/>
                <w:highlight w:val="none"/>
              </w:rPr>
            </w:pPr>
            <w:r>
              <w:rPr>
                <w:rFonts w:hint="eastAsia"/>
                <w:b/>
                <w:bCs/>
                <w:color w:val="auto"/>
                <w:sz w:val="24"/>
                <w:highlight w:val="none"/>
                <w:lang w:val="en-US" w:eastAsia="zh-CN"/>
              </w:rPr>
              <w:t>1.</w:t>
            </w:r>
            <w:r>
              <w:rPr>
                <w:rFonts w:hint="eastAsia"/>
                <w:b/>
                <w:bCs/>
                <w:color w:val="auto"/>
                <w:sz w:val="24"/>
                <w:highlight w:val="none"/>
              </w:rPr>
              <w:t>与学校业务中枢对接</w:t>
            </w:r>
          </w:p>
          <w:p w14:paraId="69572F06">
            <w:pPr>
              <w:spacing w:line="360" w:lineRule="auto"/>
              <w:ind w:firstLine="482" w:firstLineChars="200"/>
              <w:rPr>
                <w:color w:val="auto"/>
                <w:sz w:val="24"/>
                <w:highlight w:val="none"/>
              </w:rPr>
            </w:pPr>
            <w:r>
              <w:rPr>
                <w:rFonts w:hint="eastAsia"/>
                <w:b/>
                <w:bCs/>
                <w:color w:val="auto"/>
                <w:sz w:val="24"/>
                <w:highlight w:val="none"/>
              </w:rPr>
              <w:t>（1）身份认证对接：</w:t>
            </w:r>
            <w:r>
              <w:rPr>
                <w:rFonts w:hint="eastAsia"/>
                <w:color w:val="auto"/>
                <w:sz w:val="24"/>
                <w:highlight w:val="none"/>
              </w:rPr>
              <w:t>系统需</w:t>
            </w:r>
            <w:r>
              <w:rPr>
                <w:rFonts w:hint="eastAsia" w:ascii="宋体" w:hAnsi="宋体" w:eastAsia="宋体" w:cs="宋体"/>
                <w:color w:val="auto"/>
                <w:sz w:val="24"/>
                <w:highlight w:val="none"/>
                <w:lang w:bidi="ar"/>
              </w:rPr>
              <w:t>按照CAS或OAUTH2技术规范</w:t>
            </w:r>
            <w:r>
              <w:rPr>
                <w:rFonts w:hint="eastAsia" w:ascii="宋体" w:hAnsi="宋体" w:eastAsia="宋体" w:cs="宋体"/>
                <w:color w:val="auto"/>
                <w:sz w:val="24"/>
                <w:highlight w:val="none"/>
              </w:rPr>
              <w:t>入</w:t>
            </w:r>
            <w:r>
              <w:rPr>
                <w:rFonts w:hint="eastAsia"/>
                <w:color w:val="auto"/>
                <w:sz w:val="24"/>
                <w:highlight w:val="none"/>
              </w:rPr>
              <w:t>学校统一身份认证体系，无特殊情况原则上不开通系统本地登录地址和管理账号。</w:t>
            </w:r>
          </w:p>
          <w:p w14:paraId="5C7F2B3B">
            <w:pPr>
              <w:spacing w:line="360" w:lineRule="auto"/>
              <w:ind w:firstLine="482" w:firstLineChars="200"/>
              <w:jc w:val="left"/>
              <w:rPr>
                <w:color w:val="auto"/>
                <w:sz w:val="24"/>
                <w:highlight w:val="none"/>
              </w:rPr>
            </w:pPr>
            <w:r>
              <w:rPr>
                <w:rFonts w:hint="eastAsia"/>
                <w:b/>
                <w:bCs/>
                <w:color w:val="auto"/>
                <w:sz w:val="24"/>
                <w:highlight w:val="none"/>
              </w:rPr>
              <w:t>（2）组织架构对接：</w:t>
            </w:r>
            <w:r>
              <w:rPr>
                <w:rFonts w:hint="eastAsia"/>
                <w:color w:val="auto"/>
                <w:sz w:val="24"/>
                <w:highlight w:val="none"/>
              </w:rPr>
              <w:t>学校提供部门、人员等组织架构API接口，业务系统需经申请授权后获取数据，自行开发数据自动更新程序，满足业务部门使用需求。</w:t>
            </w:r>
          </w:p>
          <w:p w14:paraId="1E22EC30">
            <w:pPr>
              <w:spacing w:line="360" w:lineRule="auto"/>
              <w:ind w:firstLine="482" w:firstLineChars="200"/>
              <w:jc w:val="left"/>
              <w:rPr>
                <w:color w:val="auto"/>
                <w:sz w:val="24"/>
                <w:highlight w:val="none"/>
              </w:rPr>
            </w:pPr>
            <w:r>
              <w:rPr>
                <w:rFonts w:hint="eastAsia"/>
                <w:b/>
                <w:bCs/>
                <w:color w:val="auto"/>
                <w:sz w:val="24"/>
                <w:highlight w:val="none"/>
              </w:rPr>
              <w:t>（3）任务中心、消息中心对接：</w:t>
            </w:r>
            <w:r>
              <w:rPr>
                <w:rFonts w:hint="eastAsia"/>
                <w:color w:val="auto"/>
                <w:sz w:val="24"/>
                <w:highlight w:val="none"/>
              </w:rPr>
              <w:t>业务系统审批、任务模块需向学校提供API接口，统一接入学校任务中心。业务系统</w:t>
            </w:r>
            <w:r>
              <w:rPr>
                <w:rFonts w:hint="eastAsia" w:asciiTheme="minorEastAsia" w:hAnsiTheme="minorEastAsia"/>
                <w:color w:val="auto"/>
                <w:sz w:val="24"/>
                <w:szCs w:val="22"/>
                <w:highlight w:val="none"/>
              </w:rPr>
              <w:t>各类消息服务(如流程待办提醒、通知、日程提醒等)对接</w:t>
            </w:r>
            <w:r>
              <w:rPr>
                <w:rFonts w:hint="eastAsia"/>
                <w:color w:val="auto"/>
                <w:sz w:val="24"/>
                <w:highlight w:val="none"/>
              </w:rPr>
              <w:t>学校提供的消息中心API接口，</w:t>
            </w:r>
            <w:r>
              <w:rPr>
                <w:rFonts w:hint="eastAsia" w:asciiTheme="minorEastAsia" w:hAnsiTheme="minorEastAsia"/>
                <w:color w:val="auto"/>
                <w:sz w:val="24"/>
                <w:szCs w:val="22"/>
                <w:highlight w:val="none"/>
              </w:rPr>
              <w:t>提供统一的消息提醒服务</w:t>
            </w:r>
            <w:r>
              <w:rPr>
                <w:rFonts w:hint="eastAsia"/>
                <w:color w:val="auto"/>
                <w:sz w:val="24"/>
                <w:highlight w:val="none"/>
              </w:rPr>
              <w:t>。</w:t>
            </w:r>
          </w:p>
          <w:p w14:paraId="50A39537">
            <w:pPr>
              <w:spacing w:line="360" w:lineRule="auto"/>
              <w:ind w:firstLine="482" w:firstLineChars="200"/>
              <w:rPr>
                <w:color w:val="auto"/>
                <w:sz w:val="24"/>
                <w:highlight w:val="none"/>
              </w:rPr>
            </w:pPr>
            <w:r>
              <w:rPr>
                <w:rFonts w:hint="eastAsia"/>
                <w:b/>
                <w:bCs/>
                <w:color w:val="auto"/>
                <w:sz w:val="24"/>
                <w:highlight w:val="none"/>
              </w:rPr>
              <w:t>（4）门户对接：</w:t>
            </w:r>
            <w:r>
              <w:rPr>
                <w:rFonts w:hint="eastAsia"/>
                <w:color w:val="auto"/>
                <w:sz w:val="24"/>
                <w:highlight w:val="none"/>
              </w:rPr>
              <w:t>系统支持H5协议，支持以微应用和微服务形式接入学校PC端和移动端（企业微信、钉钉）融合门户，供用户订阅，实现单点登录。其他由信息中心和业务部门确认需接入融合门户展现的数据、业务服务，需提供API接口。</w:t>
            </w:r>
          </w:p>
          <w:p w14:paraId="2744DD58">
            <w:pPr>
              <w:spacing w:line="360" w:lineRule="auto"/>
              <w:ind w:firstLine="210"/>
              <w:rPr>
                <w:rFonts w:ascii="宋体" w:hAnsi="宋体" w:eastAsia="宋体" w:cs="宋体"/>
                <w:color w:val="auto"/>
                <w:sz w:val="24"/>
                <w:highlight w:val="none"/>
                <w:lang w:bidi="ar"/>
              </w:rPr>
            </w:pPr>
            <w:r>
              <w:rPr>
                <w:rFonts w:ascii="仿宋_GB2312" w:hAnsi="宋体" w:eastAsia="仿宋_GB2312" w:cs="仿宋_GB2312"/>
                <w:color w:val="auto"/>
                <w:sz w:val="30"/>
                <w:szCs w:val="30"/>
                <w:highlight w:val="none"/>
                <w:lang w:bidi="ar"/>
              </w:rPr>
              <w:t xml:space="preserve">   </w:t>
            </w:r>
            <w:r>
              <w:rPr>
                <w:rFonts w:hint="eastAsia" w:ascii="宋体" w:hAnsi="宋体" w:eastAsia="宋体" w:cs="宋体"/>
                <w:b/>
                <w:bCs/>
                <w:color w:val="auto"/>
                <w:sz w:val="24"/>
                <w:highlight w:val="none"/>
                <w:lang w:bidi="ar"/>
              </w:rPr>
              <w:t>（5）应用集成：</w:t>
            </w:r>
            <w:r>
              <w:rPr>
                <w:rFonts w:hint="eastAsia" w:ascii="宋体" w:hAnsi="宋体" w:eastAsia="宋体" w:cs="宋体"/>
                <w:color w:val="auto"/>
                <w:sz w:val="24"/>
                <w:highlight w:val="none"/>
                <w:lang w:bidi="ar"/>
              </w:rPr>
              <w:t>遵循学校应用中心的应用注册规范要求，遵循服务组件的多种展示形式，包括应用图标、嵌入页面、单点登录链接、RSS链接等。应用注册需要按照应用基本信息描述、应用图标素材、应用地址信息注册等接入要求进行应用接入。</w:t>
            </w:r>
          </w:p>
          <w:p w14:paraId="62FAA31B">
            <w:pPr>
              <w:numPr>
                <w:ilvl w:val="0"/>
                <w:numId w:val="0"/>
              </w:numPr>
              <w:spacing w:line="360" w:lineRule="auto"/>
              <w:jc w:val="left"/>
              <w:rPr>
                <w:b/>
                <w:bCs/>
                <w:color w:val="auto"/>
                <w:sz w:val="24"/>
                <w:highlight w:val="none"/>
              </w:rPr>
            </w:pPr>
            <w:r>
              <w:rPr>
                <w:rFonts w:hint="eastAsia"/>
                <w:b/>
                <w:bCs/>
                <w:color w:val="auto"/>
                <w:sz w:val="24"/>
                <w:highlight w:val="none"/>
                <w:lang w:val="en-US" w:eastAsia="zh-CN"/>
              </w:rPr>
              <w:t>2.</w:t>
            </w:r>
            <w:r>
              <w:rPr>
                <w:rFonts w:hint="eastAsia"/>
                <w:b/>
                <w:bCs/>
                <w:color w:val="auto"/>
                <w:sz w:val="24"/>
                <w:highlight w:val="none"/>
              </w:rPr>
              <w:t>与学校数据中枢对接</w:t>
            </w:r>
          </w:p>
          <w:p w14:paraId="2E3448F9">
            <w:pPr>
              <w:spacing w:line="360" w:lineRule="auto"/>
              <w:ind w:firstLine="482" w:firstLineChars="200"/>
              <w:jc w:val="left"/>
              <w:rPr>
                <w:color w:val="auto"/>
                <w:sz w:val="24"/>
                <w:highlight w:val="none"/>
              </w:rPr>
            </w:pPr>
            <w:r>
              <w:rPr>
                <w:rFonts w:hint="eastAsia"/>
                <w:b/>
                <w:bCs/>
                <w:color w:val="auto"/>
                <w:sz w:val="24"/>
                <w:highlight w:val="none"/>
              </w:rPr>
              <w:t>（1）业务系统源头数据抽取：</w:t>
            </w:r>
            <w:r>
              <w:rPr>
                <w:rFonts w:hint="eastAsia"/>
                <w:color w:val="auto"/>
                <w:sz w:val="24"/>
                <w:highlight w:val="none"/>
              </w:rPr>
              <w:t>业务系统生产的源头数据，需经信息中心、业务部门与乙方充分沟通数据需求后，由乙方遵循学校数据标准，开发本业务系统数据接口，供学校数据交换平台抽取，并实时更新接口数据，确保与源头数据的一致性。</w:t>
            </w:r>
          </w:p>
          <w:p w14:paraId="1FF548AF">
            <w:pPr>
              <w:spacing w:line="360" w:lineRule="auto"/>
              <w:ind w:firstLine="482" w:firstLineChars="200"/>
              <w:jc w:val="left"/>
              <w:rPr>
                <w:color w:val="auto"/>
                <w:sz w:val="24"/>
                <w:highlight w:val="none"/>
              </w:rPr>
            </w:pPr>
            <w:r>
              <w:rPr>
                <w:rFonts w:hint="eastAsia"/>
                <w:b/>
                <w:bCs/>
                <w:color w:val="auto"/>
                <w:sz w:val="24"/>
                <w:highlight w:val="none"/>
              </w:rPr>
              <w:t>（2）数据中心数据共享：</w:t>
            </w:r>
            <w:r>
              <w:rPr>
                <w:rFonts w:ascii="宋体" w:hAnsi="宋体" w:eastAsia="宋体" w:cs="宋体"/>
                <w:color w:val="auto"/>
                <w:sz w:val="24"/>
                <w:szCs w:val="24"/>
                <w:highlight w:val="none"/>
                <w:woUserID w:val="1"/>
              </w:rPr>
              <w:t>业务系统所需的、学校数据中心已有的基础数据及相关业务数据，需经信息中心、业务部门与乙方充分沟通数据需求后，由乙方通过数据开放平台申请授权后获取数据，自行开发数据自动更新程序，确保数据实时性。系统建设初期，乙方需与信息中心进行数据字典一数一源分析，明确各源头数据的来源，并按照要求与数据中心对接，定期同步统一代码。</w:t>
            </w:r>
          </w:p>
          <w:p w14:paraId="38EEF57F">
            <w:pPr>
              <w:spacing w:line="360" w:lineRule="auto"/>
              <w:ind w:firstLine="482" w:firstLineChars="200"/>
              <w:jc w:val="left"/>
              <w:rPr>
                <w:color w:val="auto"/>
                <w:sz w:val="24"/>
                <w:highlight w:val="none"/>
              </w:rPr>
            </w:pPr>
            <w:r>
              <w:rPr>
                <w:rFonts w:hint="eastAsia"/>
                <w:b/>
                <w:bCs/>
                <w:color w:val="auto"/>
                <w:sz w:val="24"/>
                <w:highlight w:val="none"/>
              </w:rPr>
              <w:t>（3）上级部门数据汇聚：</w:t>
            </w:r>
            <w:r>
              <w:rPr>
                <w:rFonts w:hint="eastAsia"/>
                <w:color w:val="auto"/>
                <w:sz w:val="24"/>
                <w:highlight w:val="none"/>
              </w:rPr>
              <w:t>满足教育厅大数据仓数据汇聚需求，如审计数据、思政数据、后勤数据等，按照数据标准规范以中间库表、视图等方式提供本系统数据接口。</w:t>
            </w:r>
          </w:p>
          <w:p w14:paraId="3FAF9DEC">
            <w:pPr>
              <w:spacing w:line="360" w:lineRule="auto"/>
              <w:ind w:firstLine="482" w:firstLineChars="200"/>
              <w:jc w:val="left"/>
              <w:rPr>
                <w:rFonts w:hint="eastAsia"/>
                <w:color w:val="auto"/>
                <w:sz w:val="24"/>
                <w:highlight w:val="none"/>
              </w:rPr>
            </w:pPr>
            <w:r>
              <w:rPr>
                <w:b/>
                <w:bCs/>
                <w:color w:val="auto"/>
                <w:sz w:val="24"/>
                <w:highlight w:val="none"/>
              </w:rPr>
              <w:t>（4）数据分类分级：</w:t>
            </w:r>
            <w:r>
              <w:rPr>
                <w:color w:val="auto"/>
                <w:sz w:val="24"/>
                <w:highlight w:val="none"/>
              </w:rPr>
              <w:t>参照学校数据分类分级规范和数据分类分级策略进行数据资产梳理，完成数据资产分类分级和数据资产登记。</w:t>
            </w:r>
          </w:p>
          <w:p w14:paraId="139A2462">
            <w:pPr>
              <w:numPr>
                <w:ilvl w:val="0"/>
                <w:numId w:val="0"/>
              </w:numPr>
              <w:spacing w:line="360" w:lineRule="auto"/>
              <w:jc w:val="left"/>
              <w:rPr>
                <w:b/>
                <w:bCs/>
                <w:color w:val="auto"/>
                <w:sz w:val="24"/>
                <w:highlight w:val="none"/>
              </w:rPr>
            </w:pPr>
            <w:r>
              <w:rPr>
                <w:rFonts w:hint="eastAsia"/>
                <w:b/>
                <w:bCs/>
                <w:color w:val="auto"/>
                <w:sz w:val="24"/>
                <w:highlight w:val="none"/>
                <w:lang w:val="en-US" w:eastAsia="zh-CN"/>
              </w:rPr>
              <w:t>3.</w:t>
            </w:r>
            <w:r>
              <w:rPr>
                <w:rFonts w:hint="eastAsia"/>
                <w:b/>
                <w:bCs/>
                <w:color w:val="auto"/>
                <w:sz w:val="24"/>
                <w:highlight w:val="none"/>
              </w:rPr>
              <w:t>符合学校网络资源部署及网络安全要求</w:t>
            </w:r>
          </w:p>
          <w:p w14:paraId="19810146">
            <w:pPr>
              <w:spacing w:line="360" w:lineRule="auto"/>
              <w:ind w:firstLine="480" w:firstLineChars="200"/>
              <w:jc w:val="left"/>
              <w:rPr>
                <w:color w:val="auto"/>
                <w:sz w:val="24"/>
                <w:highlight w:val="none"/>
              </w:rPr>
            </w:pPr>
            <w:r>
              <w:rPr>
                <w:rFonts w:hint="eastAsia"/>
                <w:color w:val="auto"/>
                <w:sz w:val="24"/>
                <w:highlight w:val="none"/>
              </w:rPr>
              <w:t>（1）需与学校签订</w:t>
            </w:r>
            <w:r>
              <w:rPr>
                <w:color w:val="auto"/>
                <w:sz w:val="24"/>
                <w:highlight w:val="none"/>
              </w:rPr>
              <w:t>网络安全协议</w:t>
            </w:r>
            <w:r>
              <w:rPr>
                <w:rFonts w:hint="eastAsia"/>
                <w:color w:val="auto"/>
                <w:sz w:val="24"/>
                <w:highlight w:val="none"/>
              </w:rPr>
              <w:t>。</w:t>
            </w:r>
          </w:p>
          <w:p w14:paraId="47F1D070">
            <w:pPr>
              <w:spacing w:line="360" w:lineRule="auto"/>
              <w:ind w:firstLine="480" w:firstLineChars="200"/>
              <w:jc w:val="left"/>
              <w:rPr>
                <w:color w:val="auto"/>
                <w:sz w:val="24"/>
                <w:highlight w:val="none"/>
              </w:rPr>
            </w:pPr>
            <w:r>
              <w:rPr>
                <w:rFonts w:hint="eastAsia"/>
                <w:color w:val="auto"/>
                <w:sz w:val="24"/>
                <w:highlight w:val="none"/>
              </w:rPr>
              <w:t>（2）根据学校组织的</w:t>
            </w:r>
            <w:r>
              <w:rPr>
                <w:color w:val="auto"/>
                <w:sz w:val="24"/>
                <w:highlight w:val="none"/>
              </w:rPr>
              <w:t>等保测评</w:t>
            </w:r>
            <w:r>
              <w:rPr>
                <w:rFonts w:hint="eastAsia"/>
                <w:color w:val="auto"/>
                <w:sz w:val="24"/>
                <w:highlight w:val="none"/>
              </w:rPr>
              <w:t>和</w:t>
            </w:r>
            <w:r>
              <w:rPr>
                <w:color w:val="auto"/>
                <w:sz w:val="24"/>
                <w:highlight w:val="none"/>
              </w:rPr>
              <w:t>渗透测试</w:t>
            </w:r>
            <w:r>
              <w:rPr>
                <w:rFonts w:hint="eastAsia"/>
                <w:color w:val="auto"/>
                <w:sz w:val="24"/>
                <w:highlight w:val="none"/>
              </w:rPr>
              <w:t>结果，以及日常安全监测中发现的安全漏洞，积极配合</w:t>
            </w:r>
            <w:r>
              <w:rPr>
                <w:color w:val="auto"/>
                <w:sz w:val="24"/>
                <w:highlight w:val="none"/>
              </w:rPr>
              <w:t>系统安全</w:t>
            </w:r>
            <w:r>
              <w:rPr>
                <w:rFonts w:hint="eastAsia"/>
                <w:color w:val="auto"/>
                <w:sz w:val="24"/>
                <w:highlight w:val="none"/>
              </w:rPr>
              <w:t>整改。</w:t>
            </w:r>
          </w:p>
          <w:p w14:paraId="74C5BA83">
            <w:pPr>
              <w:spacing w:line="360" w:lineRule="auto"/>
              <w:ind w:firstLine="480" w:firstLineChars="200"/>
              <w:jc w:val="left"/>
              <w:rPr>
                <w:color w:val="auto"/>
                <w:sz w:val="24"/>
                <w:highlight w:val="none"/>
              </w:rPr>
            </w:pPr>
            <w:r>
              <w:rPr>
                <w:rFonts w:hint="eastAsia"/>
                <w:color w:val="auto"/>
                <w:sz w:val="24"/>
                <w:highlight w:val="none"/>
              </w:rPr>
              <w:t>（3）系统符合等保2.0二级及以上要求，包括</w:t>
            </w:r>
            <w:r>
              <w:rPr>
                <w:color w:val="auto"/>
                <w:sz w:val="24"/>
                <w:highlight w:val="none"/>
              </w:rPr>
              <w:t>密码校验</w:t>
            </w:r>
            <w:r>
              <w:rPr>
                <w:rFonts w:hint="eastAsia"/>
                <w:color w:val="auto"/>
                <w:sz w:val="24"/>
                <w:highlight w:val="none"/>
              </w:rPr>
              <w:t>要求</w:t>
            </w:r>
            <w:r>
              <w:rPr>
                <w:color w:val="auto"/>
                <w:sz w:val="24"/>
                <w:highlight w:val="none"/>
              </w:rPr>
              <w:t>，限制明文密码</w:t>
            </w:r>
            <w:r>
              <w:rPr>
                <w:rFonts w:hint="eastAsia"/>
                <w:color w:val="auto"/>
                <w:sz w:val="24"/>
                <w:highlight w:val="none"/>
              </w:rPr>
              <w:t>和</w:t>
            </w:r>
            <w:r>
              <w:rPr>
                <w:color w:val="auto"/>
                <w:sz w:val="24"/>
                <w:highlight w:val="none"/>
              </w:rPr>
              <w:t>弱密码</w:t>
            </w:r>
            <w:r>
              <w:rPr>
                <w:rFonts w:hint="eastAsia"/>
                <w:color w:val="auto"/>
                <w:sz w:val="24"/>
                <w:highlight w:val="none"/>
              </w:rPr>
              <w:t>，</w:t>
            </w:r>
            <w:r>
              <w:rPr>
                <w:color w:val="auto"/>
                <w:sz w:val="24"/>
                <w:highlight w:val="none"/>
              </w:rPr>
              <w:t>数据库配置文件加密</w:t>
            </w:r>
            <w:r>
              <w:rPr>
                <w:rFonts w:hint="eastAsia"/>
                <w:color w:val="auto"/>
                <w:sz w:val="24"/>
                <w:highlight w:val="none"/>
              </w:rPr>
              <w:t>，</w:t>
            </w:r>
            <w:r>
              <w:rPr>
                <w:color w:val="auto"/>
                <w:sz w:val="24"/>
                <w:highlight w:val="none"/>
              </w:rPr>
              <w:t>限制用户枚举</w:t>
            </w:r>
            <w:r>
              <w:rPr>
                <w:rFonts w:hint="eastAsia"/>
                <w:color w:val="auto"/>
                <w:sz w:val="24"/>
                <w:highlight w:val="none"/>
              </w:rPr>
              <w:t>、</w:t>
            </w:r>
            <w:r>
              <w:rPr>
                <w:color w:val="auto"/>
                <w:sz w:val="24"/>
                <w:highlight w:val="none"/>
              </w:rPr>
              <w:t>个人信息泄露</w:t>
            </w:r>
            <w:r>
              <w:rPr>
                <w:rFonts w:hint="eastAsia"/>
                <w:color w:val="auto"/>
                <w:sz w:val="24"/>
                <w:highlight w:val="none"/>
              </w:rPr>
              <w:t>，防SQL注入、网页防篡改等，确保</w:t>
            </w:r>
            <w:r>
              <w:rPr>
                <w:color w:val="auto"/>
                <w:sz w:val="24"/>
                <w:highlight w:val="none"/>
              </w:rPr>
              <w:t>数据资产安全</w:t>
            </w:r>
            <w:r>
              <w:rPr>
                <w:rFonts w:hint="eastAsia"/>
                <w:color w:val="auto"/>
                <w:sz w:val="24"/>
                <w:highlight w:val="none"/>
              </w:rPr>
              <w:t>和</w:t>
            </w:r>
            <w:r>
              <w:rPr>
                <w:color w:val="auto"/>
                <w:sz w:val="24"/>
                <w:highlight w:val="none"/>
              </w:rPr>
              <w:t>供应链安全</w:t>
            </w:r>
            <w:r>
              <w:rPr>
                <w:rFonts w:hint="eastAsia"/>
                <w:color w:val="auto"/>
                <w:sz w:val="24"/>
                <w:highlight w:val="none"/>
              </w:rPr>
              <w:t>。</w:t>
            </w:r>
          </w:p>
          <w:p w14:paraId="36174EF0">
            <w:pPr>
              <w:spacing w:line="360" w:lineRule="auto"/>
              <w:ind w:firstLine="480" w:firstLineChars="200"/>
              <w:jc w:val="left"/>
              <w:rPr>
                <w:color w:val="auto"/>
                <w:sz w:val="24"/>
                <w:highlight w:val="none"/>
              </w:rPr>
            </w:pPr>
            <w:r>
              <w:rPr>
                <w:rFonts w:hint="eastAsia"/>
                <w:color w:val="auto"/>
                <w:sz w:val="24"/>
                <w:highlight w:val="none"/>
              </w:rPr>
              <w:t>（4）系统应实现高可靠性的数据备份策略，无需人工干预的前提下实现数据不少于每日自动异机备份，系统瘫痪（如数据库瘫痪、硬盘故障等）恢复时间应小于1小时。系统日志功能完备，有完整的登录日志、操作日志、数据库日志、系统异常日志等</w:t>
            </w:r>
            <w:r>
              <w:rPr>
                <w:rFonts w:hint="eastAsia" w:ascii="Arial" w:hAnsi="Arial" w:eastAsia="宋体" w:cs="Arial"/>
                <w:color w:val="auto"/>
                <w:sz w:val="19"/>
                <w:szCs w:val="19"/>
                <w:highlight w:val="none"/>
                <w:shd w:val="clear" w:color="auto" w:fill="FFFFFF"/>
              </w:rPr>
              <w:t>。</w:t>
            </w:r>
          </w:p>
          <w:p w14:paraId="579BC3FD">
            <w:pPr>
              <w:spacing w:line="360" w:lineRule="auto"/>
              <w:ind w:firstLine="480" w:firstLineChars="200"/>
              <w:jc w:val="left"/>
              <w:rPr>
                <w:color w:val="auto"/>
                <w:sz w:val="24"/>
                <w:highlight w:val="none"/>
              </w:rPr>
            </w:pPr>
            <w:r>
              <w:rPr>
                <w:rFonts w:hint="eastAsia"/>
                <w:color w:val="auto"/>
                <w:sz w:val="24"/>
                <w:highlight w:val="none"/>
              </w:rPr>
              <w:t>（5）系统需安装部署学校提供的SSL安全证书，并定期配合完成证书更新。</w:t>
            </w:r>
          </w:p>
          <w:p w14:paraId="1AC5B927">
            <w:pPr>
              <w:spacing w:line="360" w:lineRule="auto"/>
              <w:ind w:firstLine="480" w:firstLineChars="200"/>
              <w:jc w:val="left"/>
              <w:rPr>
                <w:color w:val="auto"/>
                <w:sz w:val="24"/>
                <w:highlight w:val="none"/>
              </w:rPr>
            </w:pPr>
            <w:r>
              <w:rPr>
                <w:rFonts w:hint="eastAsia"/>
                <w:color w:val="auto"/>
                <w:sz w:val="24"/>
                <w:highlight w:val="none"/>
              </w:rPr>
              <w:t>（6）业务系统全部功能的开发部署均需支持IPv6访问，满足学校IPv6全面部署需求。</w:t>
            </w:r>
          </w:p>
          <w:p w14:paraId="22B0C56E">
            <w:pPr>
              <w:spacing w:line="360" w:lineRule="auto"/>
              <w:ind w:firstLine="480" w:firstLineChars="200"/>
              <w:jc w:val="left"/>
              <w:rPr>
                <w:rFonts w:hint="eastAsia" w:ascii="宋体" w:hAnsi="宋体" w:eastAsia="宋体" w:cs="宋体"/>
                <w:color w:val="auto"/>
                <w:sz w:val="24"/>
                <w:highlight w:val="none"/>
              </w:rPr>
            </w:pPr>
            <w:r>
              <w:rPr>
                <w:rFonts w:hint="eastAsia"/>
                <w:color w:val="auto"/>
                <w:sz w:val="24"/>
                <w:highlight w:val="none"/>
              </w:rPr>
              <w:t>（7）</w:t>
            </w:r>
            <w:r>
              <w:rPr>
                <w:rFonts w:hint="eastAsia" w:ascii="宋体" w:hAnsi="宋体" w:eastAsia="宋体" w:cs="宋体"/>
                <w:color w:val="auto"/>
                <w:sz w:val="24"/>
                <w:highlight w:val="none"/>
                <w:lang w:bidi="ar"/>
              </w:rPr>
              <w:t>系统</w:t>
            </w:r>
            <w:r>
              <w:rPr>
                <w:rFonts w:ascii="宋体" w:hAnsi="宋体" w:eastAsia="宋体" w:cs="宋体"/>
                <w:color w:val="auto"/>
                <w:sz w:val="24"/>
                <w:highlight w:val="none"/>
              </w:rPr>
              <w:t>至少满足信创3条主流技术路线，确保符合信创要求的通用终端能够正常访问使用系统各业务模块，并满足国家、省对信创工作的要求。</w:t>
            </w:r>
            <w:r>
              <w:rPr>
                <w:rFonts w:hint="eastAsia" w:cs="宋体"/>
                <w:color w:val="auto"/>
                <w:sz w:val="24"/>
                <w:highlight w:val="none"/>
                <w:lang w:eastAsia="zh-CN"/>
              </w:rPr>
              <w:t>成交人</w:t>
            </w:r>
            <w:r>
              <w:rPr>
                <w:rFonts w:ascii="宋体" w:hAnsi="宋体" w:eastAsia="宋体" w:cs="宋体"/>
                <w:color w:val="auto"/>
                <w:sz w:val="24"/>
                <w:highlight w:val="none"/>
              </w:rPr>
              <w:t>应出具自测报告或由具备资质的信创实验室出具第三方检测报告；若暂时无法部署到信创环境的系统，应委托具备资质的信创实验室出具适配报告，并且</w:t>
            </w:r>
            <w:r>
              <w:rPr>
                <w:rFonts w:hint="eastAsia" w:cs="宋体"/>
                <w:color w:val="auto"/>
                <w:sz w:val="24"/>
                <w:highlight w:val="none"/>
                <w:lang w:eastAsia="zh-CN"/>
              </w:rPr>
              <w:t>成交人</w:t>
            </w:r>
            <w:r>
              <w:rPr>
                <w:rFonts w:ascii="宋体" w:hAnsi="宋体" w:eastAsia="宋体" w:cs="宋体"/>
                <w:color w:val="auto"/>
                <w:sz w:val="24"/>
                <w:highlight w:val="none"/>
              </w:rPr>
              <w:t>还必须需提供服务承诺函，承诺在具备条件后免费将系统迁移至信创环境。</w:t>
            </w:r>
          </w:p>
          <w:p w14:paraId="1B198375">
            <w:pPr>
              <w:spacing w:line="360" w:lineRule="auto"/>
              <w:jc w:val="left"/>
              <w:rPr>
                <w:b/>
                <w:bCs/>
                <w:color w:val="auto"/>
                <w:sz w:val="24"/>
                <w:highlight w:val="none"/>
              </w:rPr>
            </w:pPr>
            <w:r>
              <w:rPr>
                <w:b/>
                <w:bCs/>
                <w:color w:val="auto"/>
                <w:sz w:val="24"/>
                <w:highlight w:val="none"/>
              </w:rPr>
              <w:t>4. 总体技术要求中包含：</w:t>
            </w:r>
          </w:p>
          <w:p w14:paraId="6918C7A8">
            <w:pPr>
              <w:spacing w:line="360" w:lineRule="auto"/>
              <w:ind w:firstLine="480" w:firstLineChars="200"/>
              <w:jc w:val="left"/>
              <w:rPr>
                <w:rFonts w:hint="eastAsia" w:ascii="Times New Roman" w:hAnsi="Times New Roman"/>
                <w:color w:val="auto"/>
                <w:sz w:val="24"/>
                <w:highlight w:val="none"/>
              </w:rPr>
            </w:pPr>
            <w:r>
              <w:rPr>
                <w:color w:val="auto"/>
                <w:sz w:val="24"/>
                <w:highlight w:val="none"/>
              </w:rPr>
              <w:t xml:space="preserve">（1）性能时间要求。满足5000用户同时在线，1000以上并发访问，并保证系统访问流畅。 </w:t>
            </w:r>
            <w:r>
              <w:rPr>
                <w:rFonts w:hint="eastAsia"/>
                <w:color w:val="auto"/>
                <w:sz w:val="24"/>
                <w:highlight w:val="none"/>
                <w:lang w:eastAsia="zh-CN"/>
              </w:rPr>
              <w:t>响应文件</w:t>
            </w:r>
            <w:r>
              <w:rPr>
                <w:color w:val="auto"/>
                <w:sz w:val="24"/>
                <w:highlight w:val="none"/>
              </w:rPr>
              <w:t>中需提出合理的系统硬件资源需求。</w:t>
            </w:r>
          </w:p>
        </w:tc>
      </w:tr>
    </w:tbl>
    <w:p w14:paraId="75C43AD5">
      <w:pPr>
        <w:pStyle w:val="7"/>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五</w:t>
      </w:r>
      <w:r>
        <w:rPr>
          <w:rFonts w:hint="eastAsia" w:asciiTheme="minorEastAsia" w:hAnsiTheme="minorEastAsia" w:eastAsiaTheme="minorEastAsia" w:cstheme="minorEastAsia"/>
          <w:color w:val="auto"/>
          <w:highlight w:val="none"/>
        </w:rPr>
        <w:t>、商务条款</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952"/>
        <w:gridCol w:w="1288"/>
        <w:gridCol w:w="7017"/>
      </w:tblGrid>
      <w:tr w14:paraId="13DE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0C4A090B">
            <w:pPr>
              <w:keepNext w:val="0"/>
              <w:keepLines w:val="0"/>
              <w:pageBreakBefore w:val="0"/>
              <w:widowControl w:val="0"/>
              <w:kinsoku/>
              <w:wordWrap/>
              <w:overflowPunct/>
              <w:topLinePunct w:val="0"/>
              <w:bidi w:val="0"/>
              <w:adjustRightInd w:val="0"/>
              <w:snapToGrid w:val="0"/>
              <w:spacing w:line="360" w:lineRule="auto"/>
              <w:ind w:firstLine="0"/>
              <w:jc w:val="center"/>
              <w:rPr>
                <w:rFonts w:hint="eastAsia" w:ascii="Times New Roman" w:hAnsi="Times New Roman" w:eastAsia="宋体"/>
                <w:b/>
                <w:bCs/>
                <w:color w:val="auto"/>
                <w:sz w:val="24"/>
                <w:highlight w:val="none"/>
                <w:lang w:val="en-US" w:eastAsia="zh-CN"/>
              </w:rPr>
            </w:pPr>
            <w:r>
              <w:rPr>
                <w:rFonts w:hint="eastAsia" w:ascii="Times New Roman" w:hAnsi="Times New Roman"/>
                <w:b/>
                <w:bCs/>
                <w:color w:val="auto"/>
                <w:sz w:val="24"/>
                <w:highlight w:val="none"/>
                <w:lang w:val="en-US" w:eastAsia="zh-CN"/>
              </w:rPr>
              <w:t>序号</w:t>
            </w:r>
          </w:p>
        </w:tc>
        <w:tc>
          <w:tcPr>
            <w:tcW w:w="952" w:type="dxa"/>
            <w:vAlign w:val="center"/>
          </w:tcPr>
          <w:p w14:paraId="420B9795">
            <w:pPr>
              <w:keepNext w:val="0"/>
              <w:keepLines w:val="0"/>
              <w:pageBreakBefore w:val="0"/>
              <w:widowControl w:val="0"/>
              <w:kinsoku/>
              <w:wordWrap/>
              <w:overflowPunct/>
              <w:topLinePunct w:val="0"/>
              <w:bidi w:val="0"/>
              <w:adjustRightInd w:val="0"/>
              <w:snapToGrid w:val="0"/>
              <w:spacing w:line="360" w:lineRule="auto"/>
              <w:ind w:firstLine="0"/>
              <w:jc w:val="center"/>
              <w:rPr>
                <w:rFonts w:hint="eastAsia" w:ascii="Times New Roman" w:hAnsi="Times New Roman" w:eastAsia="宋体"/>
                <w:b/>
                <w:bCs/>
                <w:color w:val="auto"/>
                <w:sz w:val="24"/>
                <w:highlight w:val="none"/>
                <w:lang w:val="en-US" w:eastAsia="zh-CN"/>
              </w:rPr>
            </w:pPr>
            <w:r>
              <w:rPr>
                <w:rFonts w:hint="eastAsia" w:ascii="Times New Roman" w:hAnsi="Times New Roman"/>
                <w:b/>
                <w:bCs/>
                <w:color w:val="auto"/>
                <w:sz w:val="24"/>
                <w:highlight w:val="none"/>
                <w:lang w:val="en-US" w:eastAsia="zh-CN"/>
              </w:rPr>
              <w:t>要求</w:t>
            </w:r>
          </w:p>
        </w:tc>
        <w:tc>
          <w:tcPr>
            <w:tcW w:w="8305" w:type="dxa"/>
            <w:gridSpan w:val="2"/>
            <w:vAlign w:val="center"/>
          </w:tcPr>
          <w:p w14:paraId="67359881">
            <w:pPr>
              <w:keepNext w:val="0"/>
              <w:keepLines w:val="0"/>
              <w:pageBreakBefore w:val="0"/>
              <w:widowControl w:val="0"/>
              <w:kinsoku/>
              <w:wordWrap/>
              <w:overflowPunct/>
              <w:topLinePunct w:val="0"/>
              <w:bidi w:val="0"/>
              <w:adjustRightInd w:val="0"/>
              <w:snapToGrid w:val="0"/>
              <w:spacing w:line="360" w:lineRule="auto"/>
              <w:ind w:firstLine="0"/>
              <w:jc w:val="center"/>
              <w:rPr>
                <w:rFonts w:hint="eastAsia" w:ascii="Times New Roman" w:hAnsi="Times New Roman" w:eastAsia="宋体"/>
                <w:b/>
                <w:bCs/>
                <w:color w:val="auto"/>
                <w:sz w:val="24"/>
                <w:highlight w:val="none"/>
                <w:lang w:val="en-US" w:eastAsia="zh-CN"/>
              </w:rPr>
            </w:pPr>
            <w:r>
              <w:rPr>
                <w:rFonts w:hint="eastAsia" w:ascii="Times New Roman" w:hAnsi="Times New Roman"/>
                <w:b/>
                <w:bCs/>
                <w:color w:val="auto"/>
                <w:sz w:val="24"/>
                <w:highlight w:val="none"/>
                <w:lang w:val="en-US" w:eastAsia="zh-CN"/>
              </w:rPr>
              <w:t>具体内容</w:t>
            </w:r>
          </w:p>
        </w:tc>
      </w:tr>
      <w:tr w14:paraId="3DFC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Merge w:val="restart"/>
            <w:vAlign w:val="center"/>
          </w:tcPr>
          <w:p w14:paraId="3F81EA2C">
            <w:pPr>
              <w:keepNext w:val="0"/>
              <w:keepLines w:val="0"/>
              <w:pageBreakBefore w:val="0"/>
              <w:widowControl w:val="0"/>
              <w:kinsoku/>
              <w:wordWrap/>
              <w:overflowPunct/>
              <w:topLinePunct w:val="0"/>
              <w:bidi w:val="0"/>
              <w:adjustRightInd w:val="0"/>
              <w:snapToGrid w:val="0"/>
              <w:spacing w:line="360" w:lineRule="auto"/>
              <w:ind w:firstLine="0"/>
              <w:jc w:val="center"/>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1</w:t>
            </w:r>
          </w:p>
        </w:tc>
        <w:tc>
          <w:tcPr>
            <w:tcW w:w="952" w:type="dxa"/>
            <w:vMerge w:val="restart"/>
            <w:vAlign w:val="center"/>
          </w:tcPr>
          <w:p w14:paraId="4C686972">
            <w:pPr>
              <w:keepNext w:val="0"/>
              <w:keepLines w:val="0"/>
              <w:pageBreakBefore w:val="0"/>
              <w:widowControl w:val="0"/>
              <w:kinsoku/>
              <w:wordWrap/>
              <w:overflowPunct/>
              <w:topLinePunct w:val="0"/>
              <w:bidi w:val="0"/>
              <w:adjustRightInd w:val="0"/>
              <w:snapToGrid w:val="0"/>
              <w:spacing w:line="360" w:lineRule="auto"/>
              <w:ind w:firstLine="0"/>
              <w:jc w:val="center"/>
              <w:rPr>
                <w:rFonts w:ascii="Times New Roman" w:hAnsi="Times New Roman"/>
                <w:color w:val="auto"/>
                <w:sz w:val="24"/>
                <w:highlight w:val="none"/>
              </w:rPr>
            </w:pPr>
            <w:r>
              <w:rPr>
                <w:rFonts w:ascii="Times New Roman" w:hAnsi="Times New Roman"/>
                <w:color w:val="auto"/>
                <w:sz w:val="24"/>
                <w:highlight w:val="none"/>
              </w:rPr>
              <w:t>交付要求</w:t>
            </w:r>
          </w:p>
        </w:tc>
        <w:tc>
          <w:tcPr>
            <w:tcW w:w="1288" w:type="dxa"/>
            <w:vAlign w:val="center"/>
          </w:tcPr>
          <w:p w14:paraId="6846BAFE">
            <w:pPr>
              <w:keepNext w:val="0"/>
              <w:keepLines w:val="0"/>
              <w:pageBreakBefore w:val="0"/>
              <w:widowControl w:val="0"/>
              <w:kinsoku/>
              <w:wordWrap/>
              <w:overflowPunct/>
              <w:topLinePunct w:val="0"/>
              <w:bidi w:val="0"/>
              <w:adjustRightInd w:val="0"/>
              <w:snapToGrid w:val="0"/>
              <w:spacing w:line="360" w:lineRule="auto"/>
              <w:ind w:firstLine="0"/>
              <w:jc w:val="center"/>
              <w:rPr>
                <w:rFonts w:ascii="Times New Roman" w:hAnsi="Times New Roman"/>
                <w:color w:val="auto"/>
                <w:sz w:val="24"/>
                <w:highlight w:val="none"/>
              </w:rPr>
            </w:pPr>
            <w:r>
              <w:rPr>
                <w:rFonts w:ascii="Times New Roman" w:hAnsi="Times New Roman"/>
                <w:color w:val="auto"/>
                <w:sz w:val="24"/>
                <w:highlight w:val="none"/>
              </w:rPr>
              <w:t>交付日期</w:t>
            </w:r>
          </w:p>
        </w:tc>
        <w:tc>
          <w:tcPr>
            <w:tcW w:w="0" w:type="auto"/>
            <w:vAlign w:val="center"/>
          </w:tcPr>
          <w:p w14:paraId="21277D42">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rPr>
              <w:t>合同签订后6个月内完成安装、调试。</w:t>
            </w:r>
          </w:p>
        </w:tc>
      </w:tr>
      <w:tr w14:paraId="598C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Merge w:val="continue"/>
            <w:vAlign w:val="center"/>
          </w:tcPr>
          <w:p w14:paraId="3B2CFDC1">
            <w:pPr>
              <w:keepNext w:val="0"/>
              <w:keepLines w:val="0"/>
              <w:pageBreakBefore w:val="0"/>
              <w:widowControl w:val="0"/>
              <w:kinsoku/>
              <w:wordWrap/>
              <w:overflowPunct/>
              <w:topLinePunct w:val="0"/>
              <w:bidi w:val="0"/>
              <w:adjustRightInd w:val="0"/>
              <w:snapToGrid w:val="0"/>
              <w:spacing w:line="360" w:lineRule="auto"/>
              <w:ind w:firstLine="0"/>
              <w:jc w:val="center"/>
              <w:rPr>
                <w:rFonts w:hint="eastAsia" w:ascii="Times New Roman" w:hAnsi="Times New Roman" w:eastAsia="宋体"/>
                <w:color w:val="auto"/>
                <w:sz w:val="24"/>
                <w:highlight w:val="none"/>
                <w:lang w:val="en-US" w:eastAsia="zh-CN"/>
              </w:rPr>
            </w:pPr>
          </w:p>
        </w:tc>
        <w:tc>
          <w:tcPr>
            <w:tcW w:w="952" w:type="dxa"/>
            <w:vMerge w:val="continue"/>
            <w:vAlign w:val="center"/>
          </w:tcPr>
          <w:p w14:paraId="5D748F21">
            <w:pPr>
              <w:keepNext w:val="0"/>
              <w:keepLines w:val="0"/>
              <w:pageBreakBefore w:val="0"/>
              <w:widowControl w:val="0"/>
              <w:kinsoku/>
              <w:wordWrap/>
              <w:overflowPunct/>
              <w:topLinePunct w:val="0"/>
              <w:bidi w:val="0"/>
              <w:adjustRightInd w:val="0"/>
              <w:snapToGrid w:val="0"/>
              <w:spacing w:line="360" w:lineRule="auto"/>
              <w:ind w:firstLine="0"/>
              <w:jc w:val="center"/>
              <w:rPr>
                <w:rFonts w:ascii="Times New Roman" w:hAnsi="Times New Roman"/>
                <w:color w:val="auto"/>
                <w:sz w:val="24"/>
                <w:highlight w:val="none"/>
              </w:rPr>
            </w:pPr>
          </w:p>
        </w:tc>
        <w:tc>
          <w:tcPr>
            <w:tcW w:w="1288" w:type="dxa"/>
            <w:vAlign w:val="center"/>
          </w:tcPr>
          <w:p w14:paraId="0E04A9AB">
            <w:pPr>
              <w:keepNext w:val="0"/>
              <w:keepLines w:val="0"/>
              <w:pageBreakBefore w:val="0"/>
              <w:widowControl w:val="0"/>
              <w:kinsoku/>
              <w:wordWrap/>
              <w:overflowPunct/>
              <w:topLinePunct w:val="0"/>
              <w:bidi w:val="0"/>
              <w:adjustRightInd w:val="0"/>
              <w:snapToGrid w:val="0"/>
              <w:spacing w:line="360" w:lineRule="auto"/>
              <w:ind w:firstLine="0"/>
              <w:jc w:val="center"/>
              <w:rPr>
                <w:rFonts w:ascii="Times New Roman" w:hAnsi="Times New Roman"/>
                <w:color w:val="auto"/>
                <w:sz w:val="24"/>
                <w:highlight w:val="none"/>
              </w:rPr>
            </w:pPr>
            <w:r>
              <w:rPr>
                <w:rFonts w:ascii="Times New Roman" w:hAnsi="Times New Roman"/>
                <w:color w:val="auto"/>
                <w:sz w:val="24"/>
                <w:highlight w:val="none"/>
              </w:rPr>
              <w:t>交付地址</w:t>
            </w:r>
          </w:p>
        </w:tc>
        <w:tc>
          <w:tcPr>
            <w:tcW w:w="0" w:type="auto"/>
            <w:vAlign w:val="center"/>
          </w:tcPr>
          <w:p w14:paraId="47A2D8EF">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rPr>
              <w:t>浙江同济科技职业学院</w:t>
            </w:r>
            <w:r>
              <w:rPr>
                <w:rFonts w:ascii="Times New Roman" w:hAnsi="Times New Roman"/>
                <w:color w:val="auto"/>
                <w:sz w:val="24"/>
                <w:highlight w:val="none"/>
              </w:rPr>
              <w:t>，具体位置由</w:t>
            </w:r>
            <w:r>
              <w:rPr>
                <w:rFonts w:hint="eastAsia" w:ascii="Times New Roman" w:hAnsi="Times New Roman"/>
                <w:color w:val="auto"/>
                <w:sz w:val="24"/>
                <w:highlight w:val="none"/>
                <w:lang w:eastAsia="zh-CN"/>
              </w:rPr>
              <w:t>采购人</w:t>
            </w:r>
            <w:r>
              <w:rPr>
                <w:rFonts w:ascii="Times New Roman" w:hAnsi="Times New Roman"/>
                <w:color w:val="auto"/>
                <w:sz w:val="24"/>
                <w:highlight w:val="none"/>
              </w:rPr>
              <w:t>指定。</w:t>
            </w:r>
          </w:p>
        </w:tc>
      </w:tr>
      <w:tr w14:paraId="718A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Merge w:val="continue"/>
            <w:vAlign w:val="center"/>
          </w:tcPr>
          <w:p w14:paraId="1669FA21">
            <w:pPr>
              <w:keepNext w:val="0"/>
              <w:keepLines w:val="0"/>
              <w:pageBreakBefore w:val="0"/>
              <w:widowControl w:val="0"/>
              <w:kinsoku/>
              <w:wordWrap/>
              <w:overflowPunct/>
              <w:topLinePunct w:val="0"/>
              <w:bidi w:val="0"/>
              <w:adjustRightInd w:val="0"/>
              <w:snapToGrid w:val="0"/>
              <w:spacing w:line="360" w:lineRule="auto"/>
              <w:ind w:firstLine="0"/>
              <w:jc w:val="center"/>
              <w:rPr>
                <w:rFonts w:ascii="Times New Roman" w:hAnsi="Times New Roman"/>
                <w:color w:val="auto"/>
                <w:sz w:val="24"/>
                <w:highlight w:val="none"/>
              </w:rPr>
            </w:pPr>
          </w:p>
        </w:tc>
        <w:tc>
          <w:tcPr>
            <w:tcW w:w="952" w:type="dxa"/>
            <w:vMerge w:val="continue"/>
            <w:vAlign w:val="center"/>
          </w:tcPr>
          <w:p w14:paraId="7A4B6B75">
            <w:pPr>
              <w:keepNext w:val="0"/>
              <w:keepLines w:val="0"/>
              <w:pageBreakBefore w:val="0"/>
              <w:widowControl w:val="0"/>
              <w:kinsoku/>
              <w:wordWrap/>
              <w:overflowPunct/>
              <w:topLinePunct w:val="0"/>
              <w:bidi w:val="0"/>
              <w:adjustRightInd w:val="0"/>
              <w:snapToGrid w:val="0"/>
              <w:spacing w:line="360" w:lineRule="auto"/>
              <w:ind w:firstLine="0"/>
              <w:jc w:val="center"/>
              <w:rPr>
                <w:rFonts w:ascii="Times New Roman" w:hAnsi="Times New Roman"/>
                <w:color w:val="auto"/>
                <w:sz w:val="24"/>
                <w:highlight w:val="none"/>
              </w:rPr>
            </w:pPr>
          </w:p>
        </w:tc>
        <w:tc>
          <w:tcPr>
            <w:tcW w:w="8305" w:type="dxa"/>
            <w:gridSpan w:val="2"/>
            <w:vAlign w:val="center"/>
          </w:tcPr>
          <w:p w14:paraId="1953A8CE">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rPr>
              <w:t>根据用户要求，确保软件按时保质保量开发完成。配置指定项目实施联系人和维护人员。</w:t>
            </w:r>
          </w:p>
        </w:tc>
      </w:tr>
      <w:tr w14:paraId="3F53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2984AA7A">
            <w:pPr>
              <w:keepNext w:val="0"/>
              <w:keepLines w:val="0"/>
              <w:pageBreakBefore w:val="0"/>
              <w:widowControl w:val="0"/>
              <w:kinsoku/>
              <w:wordWrap/>
              <w:overflowPunct/>
              <w:topLinePunct w:val="0"/>
              <w:bidi w:val="0"/>
              <w:adjustRightInd w:val="0"/>
              <w:snapToGrid w:val="0"/>
              <w:spacing w:line="360" w:lineRule="auto"/>
              <w:ind w:firstLine="0"/>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2</w:t>
            </w:r>
          </w:p>
        </w:tc>
        <w:tc>
          <w:tcPr>
            <w:tcW w:w="952" w:type="dxa"/>
            <w:vAlign w:val="center"/>
          </w:tcPr>
          <w:p w14:paraId="7FF855EC">
            <w:pPr>
              <w:keepNext w:val="0"/>
              <w:keepLines w:val="0"/>
              <w:pageBreakBefore w:val="0"/>
              <w:widowControl w:val="0"/>
              <w:kinsoku/>
              <w:wordWrap/>
              <w:overflowPunct/>
              <w:topLinePunct w:val="0"/>
              <w:bidi w:val="0"/>
              <w:adjustRightInd w:val="0"/>
              <w:snapToGrid w:val="0"/>
              <w:spacing w:line="360" w:lineRule="auto"/>
              <w:ind w:firstLine="0"/>
              <w:jc w:val="center"/>
              <w:rPr>
                <w:rFonts w:ascii="Times New Roman" w:hAnsi="Times New Roman"/>
                <w:color w:val="auto"/>
                <w:sz w:val="24"/>
                <w:highlight w:val="none"/>
              </w:rPr>
            </w:pPr>
            <w:r>
              <w:rPr>
                <w:rFonts w:ascii="Times New Roman" w:hAnsi="Times New Roman"/>
                <w:color w:val="auto"/>
                <w:sz w:val="24"/>
                <w:highlight w:val="none"/>
              </w:rPr>
              <w:t>培训</w:t>
            </w:r>
            <w:r>
              <w:rPr>
                <w:rFonts w:hint="eastAsia" w:ascii="Times New Roman" w:hAnsi="Times New Roman"/>
                <w:color w:val="auto"/>
                <w:sz w:val="24"/>
                <w:highlight w:val="none"/>
              </w:rPr>
              <w:t>要求</w:t>
            </w:r>
          </w:p>
        </w:tc>
        <w:tc>
          <w:tcPr>
            <w:tcW w:w="8305" w:type="dxa"/>
            <w:gridSpan w:val="2"/>
            <w:vAlign w:val="center"/>
          </w:tcPr>
          <w:p w14:paraId="29D7E500">
            <w:pPr>
              <w:keepNext w:val="0"/>
              <w:keepLines w:val="0"/>
              <w:pageBreakBefore w:val="0"/>
              <w:widowControl w:val="0"/>
              <w:kinsoku/>
              <w:wordWrap/>
              <w:overflowPunct/>
              <w:topLinePunct w:val="0"/>
              <w:autoSpaceDE w:val="0"/>
              <w:autoSpaceDN w:val="0"/>
              <w:bidi w:val="0"/>
              <w:adjustRightInd w:val="0"/>
              <w:snapToGrid w:val="0"/>
              <w:spacing w:line="360" w:lineRule="auto"/>
              <w:ind w:firstLine="0"/>
              <w:textAlignment w:val="bottom"/>
              <w:rPr>
                <w:rFonts w:ascii="Times New Roman" w:hAnsi="Times New Roman"/>
                <w:color w:val="auto"/>
                <w:sz w:val="24"/>
                <w:highlight w:val="none"/>
              </w:rPr>
            </w:pPr>
            <w:r>
              <w:rPr>
                <w:rFonts w:hint="eastAsia" w:ascii="Times New Roman" w:hAnsi="Times New Roman"/>
                <w:color w:val="auto"/>
                <w:sz w:val="24"/>
                <w:highlight w:val="none"/>
              </w:rPr>
              <w:t>应提供一次以上现场免费培训，应对上述内容的实现方式、地点、人数、时间在采购响应文件中详细说明。还应提供</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内部使用操作与说明手册，确保</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能正常使用。</w:t>
            </w:r>
          </w:p>
        </w:tc>
      </w:tr>
      <w:tr w14:paraId="7E42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0449BDC5">
            <w:pPr>
              <w:keepNext w:val="0"/>
              <w:keepLines w:val="0"/>
              <w:pageBreakBefore w:val="0"/>
              <w:widowControl w:val="0"/>
              <w:kinsoku/>
              <w:wordWrap/>
              <w:overflowPunct/>
              <w:topLinePunct w:val="0"/>
              <w:bidi w:val="0"/>
              <w:adjustRightInd w:val="0"/>
              <w:snapToGrid w:val="0"/>
              <w:spacing w:line="360" w:lineRule="auto"/>
              <w:ind w:firstLine="0"/>
              <w:jc w:val="center"/>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3</w:t>
            </w:r>
          </w:p>
        </w:tc>
        <w:tc>
          <w:tcPr>
            <w:tcW w:w="952" w:type="dxa"/>
            <w:vAlign w:val="center"/>
          </w:tcPr>
          <w:p w14:paraId="50BCC0AC">
            <w:pPr>
              <w:keepNext w:val="0"/>
              <w:keepLines w:val="0"/>
              <w:pageBreakBefore w:val="0"/>
              <w:widowControl w:val="0"/>
              <w:kinsoku/>
              <w:wordWrap/>
              <w:overflowPunct/>
              <w:topLinePunct w:val="0"/>
              <w:bidi w:val="0"/>
              <w:adjustRightInd w:val="0"/>
              <w:snapToGrid w:val="0"/>
              <w:spacing w:line="360" w:lineRule="auto"/>
              <w:ind w:firstLine="0"/>
              <w:jc w:val="center"/>
              <w:rPr>
                <w:rFonts w:ascii="Times New Roman" w:hAnsi="Times New Roman"/>
                <w:color w:val="auto"/>
                <w:sz w:val="24"/>
                <w:highlight w:val="none"/>
              </w:rPr>
            </w:pPr>
            <w:r>
              <w:rPr>
                <w:rFonts w:hint="eastAsia" w:ascii="Times New Roman" w:hAnsi="Times New Roman"/>
                <w:color w:val="auto"/>
                <w:sz w:val="24"/>
                <w:highlight w:val="none"/>
              </w:rPr>
              <w:t>验收</w:t>
            </w:r>
            <w:r>
              <w:rPr>
                <w:rFonts w:ascii="Times New Roman" w:hAnsi="Times New Roman"/>
                <w:color w:val="auto"/>
                <w:sz w:val="24"/>
                <w:highlight w:val="none"/>
              </w:rPr>
              <w:t>要求</w:t>
            </w:r>
          </w:p>
        </w:tc>
        <w:tc>
          <w:tcPr>
            <w:tcW w:w="8305" w:type="dxa"/>
            <w:gridSpan w:val="2"/>
            <w:vAlign w:val="center"/>
          </w:tcPr>
          <w:p w14:paraId="2E817C5E">
            <w:pPr>
              <w:keepNext w:val="0"/>
              <w:keepLines w:val="0"/>
              <w:pageBreakBefore w:val="0"/>
              <w:widowControl w:val="0"/>
              <w:kinsoku/>
              <w:wordWrap/>
              <w:overflowPunct/>
              <w:topLinePunct w:val="0"/>
              <w:autoSpaceDE w:val="0"/>
              <w:autoSpaceDN w:val="0"/>
              <w:bidi w:val="0"/>
              <w:adjustRightInd w:val="0"/>
              <w:snapToGrid w:val="0"/>
              <w:spacing w:line="360" w:lineRule="auto"/>
              <w:ind w:firstLine="0"/>
              <w:textAlignment w:val="bottom"/>
              <w:rPr>
                <w:rFonts w:ascii="Times New Roman" w:hAnsi="Times New Roman"/>
                <w:color w:val="auto"/>
                <w:sz w:val="24"/>
                <w:highlight w:val="none"/>
              </w:rPr>
            </w:pPr>
            <w:r>
              <w:rPr>
                <w:rFonts w:hint="eastAsia" w:ascii="Times New Roman" w:hAnsi="Times New Roman"/>
                <w:color w:val="auto"/>
                <w:sz w:val="24"/>
                <w:highlight w:val="none"/>
              </w:rPr>
              <w:t>1.系统交付后15天内组织验收，按照</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验收的权限，相关部门及人员形成验收小组。</w:t>
            </w:r>
          </w:p>
          <w:p w14:paraId="2D48F4FE">
            <w:pPr>
              <w:keepNext w:val="0"/>
              <w:keepLines w:val="0"/>
              <w:pageBreakBefore w:val="0"/>
              <w:widowControl w:val="0"/>
              <w:kinsoku/>
              <w:wordWrap/>
              <w:overflowPunct/>
              <w:topLinePunct w:val="0"/>
              <w:autoSpaceDE w:val="0"/>
              <w:autoSpaceDN w:val="0"/>
              <w:bidi w:val="0"/>
              <w:adjustRightInd w:val="0"/>
              <w:snapToGrid w:val="0"/>
              <w:spacing w:line="360" w:lineRule="auto"/>
              <w:ind w:firstLine="0"/>
              <w:textAlignment w:val="bottom"/>
              <w:rPr>
                <w:rFonts w:ascii="Times New Roman" w:hAnsi="Times New Roman"/>
                <w:color w:val="auto"/>
                <w:sz w:val="24"/>
                <w:highlight w:val="none"/>
              </w:rPr>
            </w:pPr>
            <w:r>
              <w:rPr>
                <w:rFonts w:hint="eastAsia" w:ascii="Times New Roman" w:hAnsi="Times New Roman"/>
                <w:color w:val="auto"/>
                <w:sz w:val="24"/>
                <w:highlight w:val="none"/>
              </w:rPr>
              <w:t>2.验收标准：</w:t>
            </w:r>
          </w:p>
          <w:p w14:paraId="19A96DC0">
            <w:pPr>
              <w:keepNext w:val="0"/>
              <w:keepLines w:val="0"/>
              <w:pageBreakBefore w:val="0"/>
              <w:widowControl w:val="0"/>
              <w:kinsoku/>
              <w:wordWrap/>
              <w:overflowPunct/>
              <w:topLinePunct w:val="0"/>
              <w:autoSpaceDE w:val="0"/>
              <w:autoSpaceDN w:val="0"/>
              <w:bidi w:val="0"/>
              <w:adjustRightInd w:val="0"/>
              <w:snapToGrid w:val="0"/>
              <w:spacing w:line="360" w:lineRule="auto"/>
              <w:ind w:firstLine="0"/>
              <w:textAlignment w:val="bottom"/>
              <w:rPr>
                <w:rFonts w:ascii="Times New Roman" w:hAnsi="Times New Roman"/>
                <w:color w:val="auto"/>
                <w:sz w:val="24"/>
                <w:highlight w:val="none"/>
              </w:rPr>
            </w:pPr>
            <w:r>
              <w:rPr>
                <w:rFonts w:hint="eastAsia" w:ascii="Times New Roman" w:hAnsi="Times New Roman"/>
                <w:color w:val="auto"/>
                <w:sz w:val="24"/>
                <w:highlight w:val="none"/>
              </w:rPr>
              <w:t>（1）验收依据：合同、采购文件、响应文件；</w:t>
            </w:r>
          </w:p>
          <w:p w14:paraId="08C3BDF1">
            <w:pPr>
              <w:keepNext w:val="0"/>
              <w:keepLines w:val="0"/>
              <w:pageBreakBefore w:val="0"/>
              <w:widowControl w:val="0"/>
              <w:kinsoku/>
              <w:wordWrap/>
              <w:overflowPunct/>
              <w:topLinePunct w:val="0"/>
              <w:autoSpaceDE w:val="0"/>
              <w:autoSpaceDN w:val="0"/>
              <w:bidi w:val="0"/>
              <w:adjustRightInd w:val="0"/>
              <w:snapToGrid w:val="0"/>
              <w:spacing w:line="360" w:lineRule="auto"/>
              <w:ind w:firstLine="0"/>
              <w:textAlignment w:val="bottom"/>
              <w:rPr>
                <w:rFonts w:ascii="Times New Roman" w:hAnsi="Times New Roman"/>
                <w:color w:val="auto"/>
                <w:sz w:val="24"/>
                <w:highlight w:val="none"/>
              </w:rPr>
            </w:pPr>
            <w:r>
              <w:rPr>
                <w:rFonts w:hint="eastAsia" w:ascii="Times New Roman" w:hAnsi="Times New Roman"/>
                <w:color w:val="auto"/>
                <w:sz w:val="24"/>
                <w:highlight w:val="none"/>
              </w:rPr>
              <w:t>（2）验收合格的条件：</w:t>
            </w:r>
          </w:p>
          <w:p w14:paraId="4FD2F1FD">
            <w:pPr>
              <w:keepNext w:val="0"/>
              <w:keepLines w:val="0"/>
              <w:pageBreakBefore w:val="0"/>
              <w:widowControl w:val="0"/>
              <w:kinsoku/>
              <w:wordWrap/>
              <w:overflowPunct/>
              <w:topLinePunct w:val="0"/>
              <w:autoSpaceDE w:val="0"/>
              <w:autoSpaceDN w:val="0"/>
              <w:bidi w:val="0"/>
              <w:adjustRightInd w:val="0"/>
              <w:snapToGrid w:val="0"/>
              <w:spacing w:line="360" w:lineRule="auto"/>
              <w:ind w:firstLine="0"/>
              <w:textAlignment w:val="bottom"/>
              <w:rPr>
                <w:rFonts w:ascii="Times New Roman" w:hAnsi="Times New Roman"/>
                <w:color w:val="auto"/>
                <w:sz w:val="24"/>
                <w:highlight w:val="none"/>
              </w:rPr>
            </w:pPr>
            <w:r>
              <w:rPr>
                <w:rFonts w:hint="eastAsia" w:ascii="Times New Roman" w:hAnsi="Times New Roman"/>
                <w:color w:val="auto"/>
                <w:sz w:val="24"/>
                <w:highlight w:val="none"/>
              </w:rPr>
              <w:t>①符合产品标准及合同的要求；</w:t>
            </w:r>
          </w:p>
          <w:p w14:paraId="42ACA05E">
            <w:pPr>
              <w:keepNext w:val="0"/>
              <w:keepLines w:val="0"/>
              <w:pageBreakBefore w:val="0"/>
              <w:widowControl w:val="0"/>
              <w:kinsoku/>
              <w:wordWrap/>
              <w:overflowPunct/>
              <w:topLinePunct w:val="0"/>
              <w:autoSpaceDE w:val="0"/>
              <w:autoSpaceDN w:val="0"/>
              <w:bidi w:val="0"/>
              <w:adjustRightInd w:val="0"/>
              <w:snapToGrid w:val="0"/>
              <w:spacing w:line="360" w:lineRule="auto"/>
              <w:ind w:firstLine="0"/>
              <w:textAlignment w:val="bottom"/>
              <w:rPr>
                <w:rFonts w:ascii="Times New Roman" w:hAnsi="Times New Roman"/>
                <w:color w:val="auto"/>
                <w:sz w:val="24"/>
                <w:highlight w:val="none"/>
              </w:rPr>
            </w:pPr>
            <w:r>
              <w:rPr>
                <w:rFonts w:hint="eastAsia" w:ascii="Times New Roman" w:hAnsi="Times New Roman"/>
                <w:color w:val="auto"/>
                <w:sz w:val="24"/>
                <w:highlight w:val="none"/>
              </w:rPr>
              <w:t>②在进行测试和验收过程中发现的问题已被解决并得到采购人的认可；</w:t>
            </w:r>
          </w:p>
          <w:p w14:paraId="567B55AF">
            <w:pPr>
              <w:keepNext w:val="0"/>
              <w:keepLines w:val="0"/>
              <w:pageBreakBefore w:val="0"/>
              <w:widowControl w:val="0"/>
              <w:kinsoku/>
              <w:wordWrap/>
              <w:overflowPunct/>
              <w:topLinePunct w:val="0"/>
              <w:autoSpaceDE w:val="0"/>
              <w:autoSpaceDN w:val="0"/>
              <w:bidi w:val="0"/>
              <w:adjustRightInd w:val="0"/>
              <w:snapToGrid w:val="0"/>
              <w:spacing w:line="360" w:lineRule="auto"/>
              <w:ind w:firstLine="0"/>
              <w:textAlignment w:val="bottom"/>
              <w:rPr>
                <w:rFonts w:ascii="Times New Roman" w:hAnsi="Times New Roman"/>
                <w:color w:val="auto"/>
                <w:sz w:val="24"/>
                <w:highlight w:val="none"/>
              </w:rPr>
            </w:pPr>
            <w:r>
              <w:rPr>
                <w:rFonts w:hint="eastAsia" w:ascii="Times New Roman" w:hAnsi="Times New Roman"/>
                <w:color w:val="auto"/>
                <w:sz w:val="24"/>
                <w:highlight w:val="none"/>
              </w:rPr>
              <w:t>③所有相关的技术文件及资料均已提交并得到接受。</w:t>
            </w:r>
          </w:p>
        </w:tc>
      </w:tr>
      <w:tr w14:paraId="2377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07FC7B00">
            <w:pPr>
              <w:keepNext w:val="0"/>
              <w:keepLines w:val="0"/>
              <w:pageBreakBefore w:val="0"/>
              <w:widowControl w:val="0"/>
              <w:kinsoku/>
              <w:wordWrap/>
              <w:overflowPunct/>
              <w:topLinePunct w:val="0"/>
              <w:bidi w:val="0"/>
              <w:adjustRightInd w:val="0"/>
              <w:snapToGrid w:val="0"/>
              <w:spacing w:line="360" w:lineRule="auto"/>
              <w:ind w:firstLine="0"/>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4</w:t>
            </w:r>
          </w:p>
        </w:tc>
        <w:tc>
          <w:tcPr>
            <w:tcW w:w="952" w:type="dxa"/>
            <w:vAlign w:val="center"/>
          </w:tcPr>
          <w:p w14:paraId="714FBA8A">
            <w:pPr>
              <w:keepNext w:val="0"/>
              <w:keepLines w:val="0"/>
              <w:pageBreakBefore w:val="0"/>
              <w:widowControl w:val="0"/>
              <w:kinsoku/>
              <w:wordWrap/>
              <w:overflowPunct/>
              <w:topLinePunct w:val="0"/>
              <w:bidi w:val="0"/>
              <w:adjustRightInd w:val="0"/>
              <w:snapToGrid w:val="0"/>
              <w:spacing w:line="360" w:lineRule="auto"/>
              <w:ind w:firstLine="0"/>
              <w:jc w:val="center"/>
              <w:rPr>
                <w:rFonts w:ascii="Times New Roman" w:hAnsi="Times New Roman"/>
                <w:color w:val="auto"/>
                <w:sz w:val="24"/>
                <w:highlight w:val="none"/>
              </w:rPr>
            </w:pPr>
            <w:r>
              <w:rPr>
                <w:rFonts w:ascii="Times New Roman" w:hAnsi="Times New Roman"/>
                <w:color w:val="auto"/>
                <w:sz w:val="24"/>
                <w:highlight w:val="none"/>
              </w:rPr>
              <w:t>售后服务</w:t>
            </w:r>
          </w:p>
        </w:tc>
        <w:tc>
          <w:tcPr>
            <w:tcW w:w="8305" w:type="dxa"/>
            <w:gridSpan w:val="2"/>
            <w:vAlign w:val="center"/>
          </w:tcPr>
          <w:p w14:paraId="5B9222FB">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w:t>
            </w:r>
            <w:r>
              <w:rPr>
                <w:rFonts w:hint="eastAsia" w:ascii="Times New Roman" w:hAnsi="Times New Roman"/>
                <w:color w:val="auto"/>
                <w:sz w:val="24"/>
                <w:highlight w:val="none"/>
              </w:rPr>
              <w:t>验收合格交付使用后，所有产品质保期（免费维护期）不少于</w:t>
            </w:r>
            <w:r>
              <w:rPr>
                <w:rFonts w:ascii="Times New Roman" w:hAnsi="Times New Roman"/>
                <w:color w:val="auto"/>
                <w:sz w:val="24"/>
                <w:highlight w:val="none"/>
              </w:rPr>
              <w:t>3</w:t>
            </w:r>
            <w:r>
              <w:rPr>
                <w:rFonts w:hint="eastAsia" w:ascii="Times New Roman" w:hAnsi="Times New Roman"/>
                <w:color w:val="auto"/>
                <w:sz w:val="24"/>
                <w:highlight w:val="none"/>
              </w:rPr>
              <w:t>年（技术需求中有特殊要求的除外），质保期内提供上门维修服务、质保期内确保软件升级到最新版本（产品质保期在技术参数中有特殊要求的除外）。质保期（免费维护期）满后，运维服务（含系统和接口功能升级）费可按不高于合同金额的10%收取。</w:t>
            </w:r>
          </w:p>
          <w:p w14:paraId="08C71408">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负责平台重新部署与恢复、系统启停维护、操作系统打补丁、操作系统安全策略配置、操作系统清理空间、安全漏洞响应与修复、数据备份与恢复、数据迁移与处理、系统升级包处理等。</w:t>
            </w:r>
          </w:p>
          <w:p w14:paraId="614A4766">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运维服务期间需安排专人加入</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相关工作联系群，负责向</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提供网络、电话及EMAIL支持服务，以保证平台产品的正常使用；若远程支持无法解决问题的，</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须承诺24小时内上门服务协调解决。产品交付后，</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应提供安装调试、培训服务，帮助</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尽快熟悉使用。</w:t>
            </w:r>
          </w:p>
          <w:p w14:paraId="7AC177C8">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rPr>
              <w:t>4</w:t>
            </w:r>
            <w:r>
              <w:rPr>
                <w:rFonts w:ascii="Times New Roman" w:hAnsi="Times New Roman"/>
                <w:color w:val="auto"/>
                <w:sz w:val="24"/>
                <w:highlight w:val="none"/>
              </w:rPr>
              <w:t>.</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须配合</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各类安全整改，快速响应并及时处置安全问题与漏洞。</w:t>
            </w:r>
          </w:p>
          <w:p w14:paraId="770D03D6">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rPr>
              <w:t>5</w:t>
            </w:r>
            <w:r>
              <w:rPr>
                <w:rFonts w:ascii="Times New Roman" w:hAnsi="Times New Roman"/>
                <w:color w:val="auto"/>
                <w:sz w:val="24"/>
                <w:highlight w:val="none"/>
              </w:rPr>
              <w:t>.</w:t>
            </w:r>
            <w:r>
              <w:rPr>
                <w:rFonts w:hint="eastAsia" w:ascii="Times New Roman" w:hAnsi="Times New Roman"/>
                <w:color w:val="auto"/>
                <w:sz w:val="24"/>
                <w:highlight w:val="none"/>
              </w:rPr>
              <w:t>质保期满后，在使用过程中因系统本身原因导致的异常和错误，</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将提供免费修正和维护。因非系统原因造成的异常与错误，</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须根据情况尽可能地为</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提供帮助。</w:t>
            </w:r>
          </w:p>
        </w:tc>
      </w:tr>
      <w:tr w14:paraId="565A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6A92C26F">
            <w:pPr>
              <w:keepNext w:val="0"/>
              <w:keepLines w:val="0"/>
              <w:pageBreakBefore w:val="0"/>
              <w:widowControl w:val="0"/>
              <w:kinsoku/>
              <w:wordWrap/>
              <w:overflowPunct/>
              <w:topLinePunct w:val="0"/>
              <w:bidi w:val="0"/>
              <w:adjustRightInd w:val="0"/>
              <w:snapToGrid w:val="0"/>
              <w:spacing w:line="360" w:lineRule="auto"/>
              <w:ind w:firstLine="0"/>
              <w:jc w:val="center"/>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5</w:t>
            </w:r>
          </w:p>
        </w:tc>
        <w:tc>
          <w:tcPr>
            <w:tcW w:w="952" w:type="dxa"/>
            <w:vAlign w:val="center"/>
          </w:tcPr>
          <w:p w14:paraId="2EC1D0D7">
            <w:pPr>
              <w:keepNext w:val="0"/>
              <w:keepLines w:val="0"/>
              <w:pageBreakBefore w:val="0"/>
              <w:widowControl w:val="0"/>
              <w:kinsoku/>
              <w:wordWrap/>
              <w:overflowPunct/>
              <w:topLinePunct w:val="0"/>
              <w:bidi w:val="0"/>
              <w:adjustRightInd w:val="0"/>
              <w:snapToGrid w:val="0"/>
              <w:spacing w:line="360" w:lineRule="auto"/>
              <w:ind w:firstLine="0"/>
              <w:jc w:val="center"/>
              <w:rPr>
                <w:rFonts w:ascii="Times New Roman" w:hAnsi="Times New Roman"/>
                <w:color w:val="auto"/>
                <w:sz w:val="24"/>
                <w:highlight w:val="none"/>
              </w:rPr>
            </w:pPr>
            <w:r>
              <w:rPr>
                <w:rFonts w:ascii="Times New Roman" w:hAnsi="Times New Roman"/>
                <w:color w:val="auto"/>
                <w:sz w:val="24"/>
                <w:highlight w:val="none"/>
              </w:rPr>
              <w:t>付款条件</w:t>
            </w:r>
          </w:p>
        </w:tc>
        <w:tc>
          <w:tcPr>
            <w:tcW w:w="8305" w:type="dxa"/>
            <w:gridSpan w:val="2"/>
            <w:vAlign w:val="center"/>
          </w:tcPr>
          <w:p w14:paraId="27F8167B">
            <w:pPr>
              <w:keepNext w:val="0"/>
              <w:keepLines w:val="0"/>
              <w:pageBreakBefore w:val="0"/>
              <w:widowControl w:val="0"/>
              <w:kinsoku/>
              <w:wordWrap/>
              <w:overflowPunct/>
              <w:topLinePunct w:val="0"/>
              <w:bidi w:val="0"/>
              <w:adjustRightInd w:val="0"/>
              <w:snapToGrid w:val="0"/>
              <w:spacing w:line="360" w:lineRule="auto"/>
              <w:ind w:firstLine="0"/>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 xml:space="preserve">1.合同生效且收到供应商正式发票后7个工作日内支付合同金额的40%作为预付款；开发完成、系统上线试运行支付（凭借试运行报告）合同金额的30%，试运行，最终验收通过后支付系统交付并通过验收且收到供应商正式发票后7个工作日内支付合同金额的30%。 </w:t>
            </w:r>
          </w:p>
          <w:p w14:paraId="46C71562">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rPr>
              <w:t>合同价款均为含税价。</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在收款之前，应向采购人提供等额、合法、有效的税务发票，采购人凭发票付款。如</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未按约定提供发票的，采购人有权拒绝付款，直至收到</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提交的相应发票为止，在此情况下，采购人不承担逾期付款违约责任。</w:t>
            </w:r>
          </w:p>
        </w:tc>
      </w:tr>
      <w:tr w14:paraId="04D2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28E332AB">
            <w:pPr>
              <w:keepNext w:val="0"/>
              <w:keepLines w:val="0"/>
              <w:pageBreakBefore w:val="0"/>
              <w:widowControl w:val="0"/>
              <w:kinsoku/>
              <w:wordWrap/>
              <w:overflowPunct/>
              <w:topLinePunct w:val="0"/>
              <w:bidi w:val="0"/>
              <w:adjustRightInd w:val="0"/>
              <w:snapToGrid w:val="0"/>
              <w:spacing w:line="360" w:lineRule="auto"/>
              <w:ind w:firstLine="0"/>
              <w:jc w:val="center"/>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6</w:t>
            </w:r>
          </w:p>
        </w:tc>
        <w:tc>
          <w:tcPr>
            <w:tcW w:w="952" w:type="dxa"/>
            <w:vAlign w:val="center"/>
          </w:tcPr>
          <w:p w14:paraId="7A753557">
            <w:pPr>
              <w:keepNext w:val="0"/>
              <w:keepLines w:val="0"/>
              <w:pageBreakBefore w:val="0"/>
              <w:widowControl w:val="0"/>
              <w:kinsoku/>
              <w:wordWrap/>
              <w:overflowPunct/>
              <w:topLinePunct w:val="0"/>
              <w:bidi w:val="0"/>
              <w:adjustRightInd w:val="0"/>
              <w:snapToGrid w:val="0"/>
              <w:spacing w:line="360" w:lineRule="auto"/>
              <w:ind w:firstLine="0"/>
              <w:jc w:val="center"/>
              <w:rPr>
                <w:rFonts w:ascii="Times New Roman" w:hAnsi="Times New Roman"/>
                <w:color w:val="auto"/>
                <w:sz w:val="24"/>
                <w:highlight w:val="none"/>
              </w:rPr>
            </w:pPr>
            <w:r>
              <w:rPr>
                <w:rFonts w:hint="eastAsia" w:ascii="Times New Roman" w:hAnsi="Times New Roman"/>
                <w:color w:val="auto"/>
                <w:sz w:val="24"/>
                <w:highlight w:val="none"/>
              </w:rPr>
              <w:t>其他</w:t>
            </w:r>
            <w:r>
              <w:rPr>
                <w:rFonts w:ascii="Times New Roman" w:hAnsi="Times New Roman"/>
                <w:color w:val="auto"/>
                <w:sz w:val="24"/>
                <w:highlight w:val="none"/>
              </w:rPr>
              <w:t>要求</w:t>
            </w:r>
          </w:p>
        </w:tc>
        <w:tc>
          <w:tcPr>
            <w:tcW w:w="8305" w:type="dxa"/>
            <w:gridSpan w:val="2"/>
            <w:vAlign w:val="center"/>
          </w:tcPr>
          <w:p w14:paraId="0BF142A0">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须遵守</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的保密要求，签订保密协议，保证对项目技术文件以及由</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提供的所有数据、内部资料、技术文档和信息予以保密，不得擅自转存、获取、利用、泄露</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所有信息和资料。未经</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书面许可，</w:t>
            </w:r>
            <w:r>
              <w:rPr>
                <w:rFonts w:hint="eastAsia" w:ascii="Times New Roman" w:hAnsi="Times New Roman"/>
                <w:color w:val="auto"/>
                <w:sz w:val="24"/>
                <w:highlight w:val="none"/>
                <w:lang w:eastAsia="zh-CN"/>
              </w:rPr>
              <w:t>磋商响应供应商</w:t>
            </w:r>
            <w:r>
              <w:rPr>
                <w:rFonts w:hint="eastAsia" w:ascii="Times New Roman" w:hAnsi="Times New Roman"/>
                <w:color w:val="auto"/>
                <w:sz w:val="24"/>
                <w:highlight w:val="none"/>
              </w:rPr>
              <w:t>不得将</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提供的本项目数据、资料以及项目成果以任何形式向第三方透露或使用。本条款在项目完成或无论何种原因导致合同终止后依然有效。</w:t>
            </w:r>
          </w:p>
          <w:p w14:paraId="0CDBFF4F">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w:t>
            </w:r>
            <w:r>
              <w:rPr>
                <w:rFonts w:hint="eastAsia" w:ascii="Times New Roman" w:hAnsi="Times New Roman"/>
                <w:color w:val="auto"/>
                <w:sz w:val="24"/>
                <w:highlight w:val="none"/>
              </w:rPr>
              <w:t>系统产生的业务数据是</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的重要资产，无论平台部署在何处，使用期限为多久，业务数据的知识产权始终属于</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w:t>
            </w:r>
          </w:p>
          <w:p w14:paraId="1D8D634E">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应对系统内容及其版权负责，由此产生的一切后果由</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承担。</w:t>
            </w:r>
          </w:p>
          <w:p w14:paraId="36671599">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rPr>
              <w:t>4</w:t>
            </w:r>
            <w:r>
              <w:rPr>
                <w:rFonts w:ascii="Times New Roman" w:hAnsi="Times New Roman"/>
                <w:color w:val="auto"/>
                <w:sz w:val="24"/>
                <w:highlight w:val="none"/>
              </w:rPr>
              <w:t>.</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应保障</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所购平台产品在使用期内的完整性。</w:t>
            </w:r>
            <w:r>
              <w:rPr>
                <w:rFonts w:hint="eastAsia" w:ascii="Times New Roman" w:hAnsi="Times New Roman"/>
                <w:color w:val="auto"/>
                <w:sz w:val="24"/>
                <w:highlight w:val="none"/>
                <w:lang w:eastAsia="zh-CN"/>
              </w:rPr>
              <w:t>成交人</w:t>
            </w:r>
            <w:r>
              <w:rPr>
                <w:rFonts w:hint="eastAsia" w:ascii="Times New Roman" w:hAnsi="Times New Roman"/>
                <w:color w:val="auto"/>
                <w:sz w:val="24"/>
                <w:highlight w:val="none"/>
              </w:rPr>
              <w:t>未经</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许可，不得擅自改变</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所购产品的服务模式。</w:t>
            </w:r>
          </w:p>
          <w:p w14:paraId="1D7D5A05">
            <w:pPr>
              <w:keepNext w:val="0"/>
              <w:keepLines w:val="0"/>
              <w:pageBreakBefore w:val="0"/>
              <w:widowControl w:val="0"/>
              <w:kinsoku/>
              <w:wordWrap/>
              <w:overflowPunct/>
              <w:topLinePunct w:val="0"/>
              <w:bidi w:val="0"/>
              <w:adjustRightInd w:val="0"/>
              <w:snapToGrid w:val="0"/>
              <w:spacing w:line="360" w:lineRule="auto"/>
              <w:ind w:firstLine="0"/>
              <w:rPr>
                <w:rFonts w:ascii="Times New Roman" w:hAnsi="Times New Roman"/>
                <w:color w:val="auto"/>
                <w:sz w:val="24"/>
                <w:highlight w:val="none"/>
              </w:rPr>
            </w:pPr>
            <w:r>
              <w:rPr>
                <w:rFonts w:hint="eastAsia" w:ascii="Times New Roman" w:hAnsi="Times New Roman"/>
                <w:color w:val="auto"/>
                <w:sz w:val="24"/>
                <w:highlight w:val="none"/>
              </w:rPr>
              <w:t>5</w:t>
            </w:r>
            <w:r>
              <w:rPr>
                <w:rFonts w:ascii="Times New Roman" w:hAnsi="Times New Roman"/>
                <w:color w:val="auto"/>
                <w:sz w:val="24"/>
                <w:highlight w:val="none"/>
              </w:rPr>
              <w:t>.</w:t>
            </w:r>
            <w:r>
              <w:rPr>
                <w:rFonts w:hint="eastAsia" w:ascii="Times New Roman" w:hAnsi="Times New Roman"/>
                <w:color w:val="auto"/>
                <w:sz w:val="24"/>
                <w:highlight w:val="none"/>
              </w:rPr>
              <w:t>针对实际操作过程中出现的问题和分歧，或其他未尽事宜，按</w:t>
            </w:r>
            <w:r>
              <w:rPr>
                <w:rFonts w:hint="eastAsia" w:ascii="Times New Roman" w:hAnsi="Times New Roman"/>
                <w:color w:val="auto"/>
                <w:sz w:val="24"/>
                <w:highlight w:val="none"/>
                <w:lang w:eastAsia="zh-CN"/>
              </w:rPr>
              <w:t>采购人</w:t>
            </w:r>
            <w:r>
              <w:rPr>
                <w:rFonts w:hint="eastAsia" w:ascii="Times New Roman" w:hAnsi="Times New Roman"/>
                <w:color w:val="auto"/>
                <w:sz w:val="24"/>
                <w:highlight w:val="none"/>
              </w:rPr>
              <w:t>要求协商解决。</w:t>
            </w:r>
          </w:p>
        </w:tc>
      </w:tr>
      <w:tr w14:paraId="29BA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24C8ACD2">
            <w:pPr>
              <w:keepNext w:val="0"/>
              <w:keepLines w:val="0"/>
              <w:pageBreakBefore w:val="0"/>
              <w:widowControl w:val="0"/>
              <w:kinsoku/>
              <w:wordWrap/>
              <w:overflowPunct/>
              <w:topLinePunct w:val="0"/>
              <w:bidi w:val="0"/>
              <w:adjustRightInd w:val="0"/>
              <w:snapToGrid w:val="0"/>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952" w:type="dxa"/>
            <w:vAlign w:val="center"/>
          </w:tcPr>
          <w:p w14:paraId="2AD516F8">
            <w:pPr>
              <w:keepNext w:val="0"/>
              <w:keepLines w:val="0"/>
              <w:pageBreakBefore w:val="0"/>
              <w:widowControl w:val="0"/>
              <w:kinsoku/>
              <w:wordWrap/>
              <w:overflowPunct/>
              <w:topLinePunct w:val="0"/>
              <w:bidi w:val="0"/>
              <w:adjustRightInd w:val="0"/>
              <w:snapToGrid w:val="0"/>
              <w:spacing w:line="360" w:lineRule="auto"/>
              <w:ind w:firstLine="0"/>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8305" w:type="dxa"/>
            <w:gridSpan w:val="2"/>
            <w:vAlign w:val="center"/>
          </w:tcPr>
          <w:p w14:paraId="2AF07BB8">
            <w:pPr>
              <w:keepNext w:val="0"/>
              <w:keepLines w:val="0"/>
              <w:pageBreakBefore w:val="0"/>
              <w:widowControl w:val="0"/>
              <w:kinsoku/>
              <w:wordWrap/>
              <w:overflowPunct/>
              <w:topLinePunct w:val="0"/>
              <w:bidi w:val="0"/>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rPr>
              <w:t>无</w:t>
            </w:r>
          </w:p>
        </w:tc>
      </w:tr>
      <w:bookmarkEnd w:id="34"/>
      <w:bookmarkEnd w:id="35"/>
    </w:tbl>
    <w:p w14:paraId="02EF4430">
      <w:pPr>
        <w:pStyle w:val="7"/>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六</w:t>
      </w:r>
      <w:r>
        <w:rPr>
          <w:rFonts w:hint="eastAsia" w:asciiTheme="minorEastAsia" w:hAnsiTheme="minorEastAsia" w:eastAsiaTheme="minorEastAsia" w:cstheme="minorEastAsia"/>
          <w:color w:val="auto"/>
          <w:highlight w:val="none"/>
        </w:rPr>
        <w:t>、本章未尽之处见合同主要条款中的相关要求。</w:t>
      </w:r>
    </w:p>
    <w:p w14:paraId="512562CF">
      <w:pPr>
        <w:pageBreakBefore w:val="0"/>
        <w:widowControl w:val="0"/>
        <w:shd w:val="clear" w:color="auto" w:fill="FFFFFF" w:themeFill="background1"/>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highlight w:val="none"/>
          <w:lang w:val="en-US" w:eastAsia="zh-CN"/>
        </w:rPr>
        <w:sectPr>
          <w:footerReference r:id="rId8" w:type="default"/>
          <w:pgSz w:w="11907" w:h="16840"/>
          <w:pgMar w:top="1440" w:right="1080" w:bottom="1440" w:left="1080" w:header="851" w:footer="851" w:gutter="0"/>
          <w:pgBorders>
            <w:top w:val="none" w:sz="0" w:space="0"/>
            <w:left w:val="none" w:sz="0" w:space="0"/>
            <w:bottom w:val="none" w:sz="0" w:space="0"/>
            <w:right w:val="none" w:sz="0" w:space="0"/>
          </w:pgBorders>
          <w:cols w:space="720" w:num="1"/>
        </w:sectPr>
      </w:pPr>
    </w:p>
    <w:p w14:paraId="61409DA0">
      <w:pPr>
        <w:adjustRightInd/>
        <w:spacing w:line="360" w:lineRule="auto"/>
        <w:jc w:val="center"/>
        <w:outlineLvl w:val="0"/>
        <w:rPr>
          <w:rFonts w:ascii="宋体" w:hAnsi="宋体" w:cs="宋体"/>
          <w:b/>
          <w:color w:val="auto"/>
          <w:sz w:val="36"/>
          <w:szCs w:val="20"/>
          <w:highlight w:val="none"/>
        </w:rPr>
      </w:pPr>
      <w:bookmarkStart w:id="36" w:name="_Toc23741"/>
      <w:r>
        <w:rPr>
          <w:rFonts w:hint="eastAsia" w:ascii="宋体" w:hAnsi="宋体" w:cs="宋体"/>
          <w:b/>
          <w:color w:val="auto"/>
          <w:sz w:val="36"/>
          <w:szCs w:val="20"/>
          <w:highlight w:val="none"/>
        </w:rPr>
        <w:t>第四部分</w:t>
      </w:r>
      <w:bookmarkStart w:id="37" w:name="_Toc184310328"/>
      <w:bookmarkEnd w:id="37"/>
      <w:bookmarkStart w:id="38" w:name="_Toc184313239"/>
      <w:bookmarkEnd w:id="38"/>
      <w:bookmarkStart w:id="39" w:name="_Toc184313270"/>
      <w:bookmarkEnd w:id="39"/>
      <w:bookmarkStart w:id="40" w:name="_Toc184308052"/>
      <w:bookmarkEnd w:id="40"/>
      <w:bookmarkStart w:id="41" w:name="_Toc184310272"/>
      <w:bookmarkEnd w:id="41"/>
      <w:bookmarkStart w:id="42" w:name="_Toc184314475"/>
      <w:bookmarkEnd w:id="42"/>
      <w:bookmarkStart w:id="43" w:name="_Toc184312136"/>
      <w:bookmarkEnd w:id="43"/>
      <w:bookmarkStart w:id="44" w:name="_Toc184310273"/>
      <w:bookmarkEnd w:id="44"/>
      <w:bookmarkStart w:id="45" w:name="_Toc184310332"/>
      <w:bookmarkEnd w:id="45"/>
      <w:bookmarkStart w:id="46" w:name="_Toc184312115"/>
      <w:bookmarkEnd w:id="46"/>
      <w:bookmarkStart w:id="47" w:name="_Toc184312071"/>
      <w:bookmarkEnd w:id="47"/>
      <w:bookmarkStart w:id="48" w:name="_Toc184308061"/>
      <w:bookmarkEnd w:id="48"/>
      <w:bookmarkStart w:id="49" w:name="_Toc184308106"/>
      <w:bookmarkEnd w:id="49"/>
      <w:bookmarkStart w:id="50" w:name="_Toc184312104"/>
      <w:bookmarkEnd w:id="50"/>
      <w:bookmarkStart w:id="51" w:name="_Toc184310303"/>
      <w:bookmarkEnd w:id="51"/>
      <w:bookmarkStart w:id="52" w:name="_Toc184312122"/>
      <w:bookmarkEnd w:id="52"/>
      <w:bookmarkStart w:id="53" w:name="_Toc184308071"/>
      <w:bookmarkEnd w:id="53"/>
      <w:bookmarkStart w:id="54" w:name="_Toc184312125"/>
      <w:bookmarkEnd w:id="54"/>
      <w:bookmarkStart w:id="55" w:name="_Toc184313297"/>
      <w:bookmarkEnd w:id="55"/>
      <w:bookmarkStart w:id="56" w:name="_Toc184312130"/>
      <w:bookmarkEnd w:id="56"/>
      <w:bookmarkStart w:id="57" w:name="_Toc184308047"/>
      <w:bookmarkEnd w:id="57"/>
      <w:bookmarkStart w:id="58" w:name="_Toc184314440"/>
      <w:bookmarkEnd w:id="58"/>
      <w:bookmarkStart w:id="59" w:name="_Toc184312109"/>
      <w:bookmarkEnd w:id="59"/>
      <w:bookmarkStart w:id="60" w:name="_Toc184310322"/>
      <w:bookmarkEnd w:id="60"/>
      <w:bookmarkStart w:id="61" w:name="_Toc184314444"/>
      <w:bookmarkEnd w:id="61"/>
      <w:bookmarkStart w:id="62" w:name="_Toc184314460"/>
      <w:bookmarkEnd w:id="62"/>
      <w:bookmarkStart w:id="63" w:name="_Toc184312094"/>
      <w:bookmarkEnd w:id="63"/>
      <w:bookmarkStart w:id="64" w:name="_Toc184314430"/>
      <w:bookmarkEnd w:id="64"/>
      <w:bookmarkStart w:id="65" w:name="_Toc184313243"/>
      <w:bookmarkEnd w:id="65"/>
      <w:bookmarkStart w:id="66" w:name="_Toc184310287"/>
      <w:bookmarkEnd w:id="66"/>
      <w:bookmarkStart w:id="67" w:name="_Toc184312081"/>
      <w:bookmarkEnd w:id="67"/>
      <w:bookmarkStart w:id="68" w:name="_Toc184314421"/>
      <w:bookmarkEnd w:id="68"/>
      <w:bookmarkStart w:id="69" w:name="_Toc184308051"/>
      <w:bookmarkEnd w:id="69"/>
      <w:bookmarkStart w:id="70" w:name="_Toc184313276"/>
      <w:bookmarkEnd w:id="70"/>
      <w:bookmarkStart w:id="71" w:name="_Toc184314420"/>
      <w:bookmarkEnd w:id="71"/>
      <w:bookmarkStart w:id="72" w:name="_Toc184314411"/>
      <w:bookmarkEnd w:id="72"/>
      <w:bookmarkStart w:id="73" w:name="_Toc184308086"/>
      <w:bookmarkEnd w:id="73"/>
      <w:bookmarkStart w:id="74" w:name="_Toc184310340"/>
      <w:bookmarkEnd w:id="74"/>
      <w:bookmarkStart w:id="75" w:name="_Toc184308042"/>
      <w:bookmarkEnd w:id="75"/>
      <w:bookmarkStart w:id="76" w:name="_Toc184310324"/>
      <w:bookmarkEnd w:id="76"/>
      <w:bookmarkStart w:id="77" w:name="_Toc184310315"/>
      <w:bookmarkEnd w:id="77"/>
      <w:bookmarkStart w:id="78" w:name="_Toc184314447"/>
      <w:bookmarkEnd w:id="78"/>
      <w:bookmarkStart w:id="79" w:name="_Toc184312068"/>
      <w:bookmarkEnd w:id="79"/>
      <w:bookmarkStart w:id="80" w:name="_Toc184314462"/>
      <w:bookmarkEnd w:id="80"/>
      <w:bookmarkStart w:id="81" w:name="_Toc184313252"/>
      <w:bookmarkEnd w:id="81"/>
      <w:bookmarkStart w:id="82" w:name="_Toc184313301"/>
      <w:bookmarkEnd w:id="82"/>
      <w:bookmarkStart w:id="83" w:name="_Toc184310279"/>
      <w:bookmarkEnd w:id="83"/>
      <w:bookmarkStart w:id="84" w:name="_Toc184312124"/>
      <w:bookmarkEnd w:id="84"/>
      <w:bookmarkStart w:id="85" w:name="_Toc184308084"/>
      <w:bookmarkEnd w:id="85"/>
      <w:bookmarkStart w:id="86" w:name="_Toc184308104"/>
      <w:bookmarkEnd w:id="86"/>
      <w:bookmarkStart w:id="87" w:name="_Toc184313293"/>
      <w:bookmarkEnd w:id="87"/>
      <w:bookmarkStart w:id="88" w:name="_Toc184313287"/>
      <w:bookmarkEnd w:id="88"/>
      <w:bookmarkStart w:id="89" w:name="_Toc184310286"/>
      <w:bookmarkEnd w:id="89"/>
      <w:bookmarkStart w:id="90" w:name="_Toc184310299"/>
      <w:bookmarkEnd w:id="90"/>
      <w:bookmarkStart w:id="91" w:name="_Toc184310294"/>
      <w:bookmarkEnd w:id="91"/>
      <w:bookmarkStart w:id="92" w:name="_Toc184313265"/>
      <w:bookmarkEnd w:id="92"/>
      <w:bookmarkStart w:id="93" w:name="_Toc184314481"/>
      <w:bookmarkEnd w:id="93"/>
      <w:bookmarkStart w:id="94" w:name="_Toc184308044"/>
      <w:bookmarkEnd w:id="94"/>
      <w:bookmarkStart w:id="95" w:name="_Toc184310274"/>
      <w:bookmarkEnd w:id="95"/>
      <w:bookmarkStart w:id="96" w:name="_Toc184308074"/>
      <w:bookmarkEnd w:id="96"/>
      <w:bookmarkStart w:id="97" w:name="_Toc184310297"/>
      <w:bookmarkEnd w:id="97"/>
      <w:bookmarkStart w:id="98" w:name="_Toc184310344"/>
      <w:bookmarkEnd w:id="98"/>
      <w:bookmarkStart w:id="99" w:name="_Toc184308076"/>
      <w:bookmarkEnd w:id="99"/>
      <w:bookmarkStart w:id="100" w:name="_Toc184313241"/>
      <w:bookmarkEnd w:id="100"/>
      <w:bookmarkStart w:id="101" w:name="_Toc184308073"/>
      <w:bookmarkEnd w:id="101"/>
      <w:bookmarkStart w:id="102" w:name="_Toc184310325"/>
      <w:bookmarkEnd w:id="102"/>
      <w:bookmarkStart w:id="103" w:name="_Toc184312096"/>
      <w:bookmarkEnd w:id="103"/>
      <w:bookmarkStart w:id="104" w:name="_Toc184308103"/>
      <w:bookmarkEnd w:id="104"/>
      <w:bookmarkStart w:id="105" w:name="_Toc184314461"/>
      <w:bookmarkEnd w:id="105"/>
      <w:bookmarkStart w:id="106" w:name="_Toc184308054"/>
      <w:bookmarkEnd w:id="106"/>
      <w:bookmarkStart w:id="107" w:name="_Toc184310331"/>
      <w:bookmarkEnd w:id="107"/>
      <w:bookmarkStart w:id="108" w:name="_Toc184308100"/>
      <w:bookmarkEnd w:id="108"/>
      <w:bookmarkStart w:id="109" w:name="_Toc184308098"/>
      <w:bookmarkEnd w:id="109"/>
      <w:bookmarkStart w:id="110" w:name="_Toc184314452"/>
      <w:bookmarkEnd w:id="110"/>
      <w:bookmarkStart w:id="111" w:name="_Toc184308092"/>
      <w:bookmarkEnd w:id="111"/>
      <w:bookmarkStart w:id="112" w:name="_Toc184312117"/>
      <w:bookmarkEnd w:id="112"/>
      <w:bookmarkStart w:id="113" w:name="_Toc184314413"/>
      <w:bookmarkEnd w:id="113"/>
      <w:bookmarkStart w:id="114" w:name="_Toc184314412"/>
      <w:bookmarkEnd w:id="114"/>
      <w:bookmarkStart w:id="115" w:name="_Toc184313249"/>
      <w:bookmarkEnd w:id="115"/>
      <w:bookmarkStart w:id="116" w:name="_Toc184308060"/>
      <w:bookmarkEnd w:id="116"/>
      <w:bookmarkStart w:id="117" w:name="_Toc184314422"/>
      <w:bookmarkEnd w:id="117"/>
      <w:bookmarkStart w:id="118" w:name="_Toc184312078"/>
      <w:bookmarkEnd w:id="118"/>
      <w:bookmarkStart w:id="119" w:name="_Toc184308040"/>
      <w:bookmarkEnd w:id="119"/>
      <w:bookmarkStart w:id="120" w:name="_Toc184310317"/>
      <w:bookmarkEnd w:id="120"/>
      <w:bookmarkStart w:id="121" w:name="_Toc184314443"/>
      <w:bookmarkEnd w:id="121"/>
      <w:bookmarkStart w:id="122" w:name="_Toc184313309"/>
      <w:bookmarkEnd w:id="122"/>
      <w:bookmarkStart w:id="123" w:name="_Toc184313302"/>
      <w:bookmarkEnd w:id="123"/>
      <w:bookmarkStart w:id="124" w:name="_Toc184312118"/>
      <w:bookmarkEnd w:id="124"/>
      <w:bookmarkStart w:id="125" w:name="_Toc184312114"/>
      <w:bookmarkEnd w:id="125"/>
      <w:bookmarkStart w:id="126" w:name="_Toc184313263"/>
      <w:bookmarkEnd w:id="126"/>
      <w:bookmarkStart w:id="127" w:name="_Toc184314465"/>
      <w:bookmarkEnd w:id="127"/>
      <w:bookmarkStart w:id="128" w:name="_Toc184310312"/>
      <w:bookmarkEnd w:id="128"/>
      <w:bookmarkStart w:id="129" w:name="_Toc184314418"/>
      <w:bookmarkEnd w:id="129"/>
      <w:bookmarkStart w:id="130" w:name="_Toc184308062"/>
      <w:bookmarkEnd w:id="130"/>
      <w:bookmarkStart w:id="131" w:name="_Toc184313308"/>
      <w:bookmarkEnd w:id="131"/>
      <w:bookmarkStart w:id="132" w:name="_Toc184314437"/>
      <w:bookmarkEnd w:id="132"/>
      <w:bookmarkStart w:id="133" w:name="_Toc184313250"/>
      <w:bookmarkEnd w:id="133"/>
      <w:bookmarkStart w:id="134" w:name="_Toc184314457"/>
      <w:bookmarkEnd w:id="134"/>
      <w:bookmarkStart w:id="135" w:name="_Toc184308079"/>
      <w:bookmarkEnd w:id="135"/>
      <w:bookmarkStart w:id="136" w:name="_Toc184312075"/>
      <w:bookmarkEnd w:id="136"/>
      <w:bookmarkStart w:id="137" w:name="_Toc184308072"/>
      <w:bookmarkEnd w:id="137"/>
      <w:bookmarkStart w:id="138" w:name="_Toc184312129"/>
      <w:bookmarkEnd w:id="138"/>
      <w:bookmarkStart w:id="139" w:name="_Toc184310281"/>
      <w:bookmarkEnd w:id="139"/>
      <w:bookmarkStart w:id="140" w:name="_Toc184310306"/>
      <w:bookmarkEnd w:id="140"/>
      <w:bookmarkStart w:id="141" w:name="_Toc184308067"/>
      <w:bookmarkEnd w:id="141"/>
      <w:bookmarkStart w:id="142" w:name="_Toc184308097"/>
      <w:bookmarkEnd w:id="142"/>
      <w:bookmarkStart w:id="143" w:name="_Toc184310278"/>
      <w:bookmarkEnd w:id="143"/>
      <w:bookmarkStart w:id="144" w:name="_Toc184314476"/>
      <w:bookmarkEnd w:id="144"/>
      <w:bookmarkStart w:id="145" w:name="_Toc184314470"/>
      <w:bookmarkEnd w:id="145"/>
      <w:bookmarkStart w:id="146" w:name="_Toc184314463"/>
      <w:bookmarkEnd w:id="146"/>
      <w:bookmarkStart w:id="147" w:name="_Toc184312110"/>
      <w:bookmarkEnd w:id="147"/>
      <w:bookmarkStart w:id="148" w:name="_Toc184313246"/>
      <w:bookmarkEnd w:id="148"/>
      <w:bookmarkStart w:id="149" w:name="_Toc184312070"/>
      <w:bookmarkEnd w:id="149"/>
      <w:bookmarkStart w:id="150" w:name="_Toc184312088"/>
      <w:bookmarkEnd w:id="150"/>
      <w:bookmarkStart w:id="151" w:name="_Toc184312126"/>
      <w:bookmarkEnd w:id="151"/>
      <w:bookmarkStart w:id="152" w:name="_Toc184313303"/>
      <w:bookmarkEnd w:id="152"/>
      <w:bookmarkStart w:id="153" w:name="_Toc184310284"/>
      <w:bookmarkEnd w:id="153"/>
      <w:bookmarkStart w:id="154" w:name="_Toc184312072"/>
      <w:bookmarkEnd w:id="154"/>
      <w:bookmarkStart w:id="155" w:name="_Toc184313279"/>
      <w:bookmarkEnd w:id="155"/>
      <w:bookmarkStart w:id="156" w:name="_Toc184314472"/>
      <w:bookmarkEnd w:id="156"/>
      <w:bookmarkStart w:id="157" w:name="_Toc184314414"/>
      <w:bookmarkEnd w:id="157"/>
      <w:bookmarkStart w:id="158" w:name="_Toc184312073"/>
      <w:bookmarkEnd w:id="158"/>
      <w:bookmarkStart w:id="159" w:name="_Toc184308069"/>
      <w:bookmarkEnd w:id="159"/>
      <w:bookmarkStart w:id="160" w:name="_Toc184313272"/>
      <w:bookmarkEnd w:id="160"/>
      <w:bookmarkStart w:id="161" w:name="_Toc184312082"/>
      <w:bookmarkEnd w:id="161"/>
      <w:bookmarkStart w:id="162" w:name="_Toc184314477"/>
      <w:bookmarkEnd w:id="162"/>
      <w:bookmarkStart w:id="163" w:name="_Toc184312095"/>
      <w:bookmarkEnd w:id="163"/>
      <w:bookmarkStart w:id="164" w:name="_Toc184314425"/>
      <w:bookmarkEnd w:id="164"/>
      <w:bookmarkStart w:id="165" w:name="_Toc184313273"/>
      <w:bookmarkEnd w:id="165"/>
      <w:bookmarkStart w:id="166" w:name="_Toc184310335"/>
      <w:bookmarkEnd w:id="166"/>
      <w:bookmarkStart w:id="167" w:name="_Toc184313307"/>
      <w:bookmarkEnd w:id="167"/>
      <w:bookmarkStart w:id="168" w:name="_Toc184310277"/>
      <w:bookmarkEnd w:id="168"/>
      <w:bookmarkStart w:id="169" w:name="_Toc184308078"/>
      <w:bookmarkEnd w:id="169"/>
      <w:bookmarkStart w:id="170" w:name="_Toc184314428"/>
      <w:bookmarkEnd w:id="170"/>
      <w:bookmarkStart w:id="171" w:name="_Toc184312098"/>
      <w:bookmarkEnd w:id="171"/>
      <w:bookmarkStart w:id="172" w:name="_Toc184314434"/>
      <w:bookmarkEnd w:id="172"/>
      <w:bookmarkStart w:id="173" w:name="_Toc184312111"/>
      <w:bookmarkEnd w:id="173"/>
      <w:bookmarkStart w:id="174" w:name="_Toc184314471"/>
      <w:bookmarkEnd w:id="174"/>
      <w:bookmarkStart w:id="175" w:name="_Toc184308096"/>
      <w:bookmarkEnd w:id="175"/>
      <w:bookmarkStart w:id="176" w:name="_Toc184310282"/>
      <w:bookmarkEnd w:id="176"/>
      <w:bookmarkStart w:id="177" w:name="_Toc184314445"/>
      <w:bookmarkEnd w:id="177"/>
      <w:bookmarkStart w:id="178" w:name="_Toc184313288"/>
      <w:bookmarkEnd w:id="178"/>
      <w:bookmarkStart w:id="179" w:name="_Toc184313245"/>
      <w:bookmarkEnd w:id="179"/>
      <w:bookmarkStart w:id="180" w:name="_Toc184312113"/>
      <w:bookmarkEnd w:id="180"/>
      <w:bookmarkStart w:id="181" w:name="_Toc184308041"/>
      <w:bookmarkEnd w:id="181"/>
      <w:bookmarkStart w:id="182" w:name="_Toc184310329"/>
      <w:bookmarkEnd w:id="182"/>
      <w:bookmarkStart w:id="183" w:name="_Toc184308048"/>
      <w:bookmarkEnd w:id="183"/>
      <w:bookmarkStart w:id="184" w:name="_Toc184312123"/>
      <w:bookmarkEnd w:id="184"/>
      <w:bookmarkStart w:id="185" w:name="_Toc184308038"/>
      <w:bookmarkEnd w:id="185"/>
      <w:bookmarkStart w:id="186" w:name="_Toc184312102"/>
      <w:bookmarkEnd w:id="186"/>
      <w:bookmarkStart w:id="187" w:name="_Toc184313253"/>
      <w:bookmarkEnd w:id="187"/>
      <w:bookmarkStart w:id="188" w:name="_Toc184312100"/>
      <w:bookmarkEnd w:id="188"/>
      <w:bookmarkStart w:id="189" w:name="_Toc184310300"/>
      <w:bookmarkEnd w:id="189"/>
      <w:bookmarkStart w:id="190" w:name="_Toc184308080"/>
      <w:bookmarkEnd w:id="190"/>
      <w:bookmarkStart w:id="191" w:name="_Toc184310296"/>
      <w:bookmarkEnd w:id="191"/>
      <w:bookmarkStart w:id="192" w:name="_Toc184314469"/>
      <w:bookmarkEnd w:id="192"/>
      <w:bookmarkStart w:id="193" w:name="_Toc184312093"/>
      <w:bookmarkEnd w:id="193"/>
      <w:bookmarkStart w:id="194" w:name="_Toc184314464"/>
      <w:bookmarkEnd w:id="194"/>
      <w:bookmarkStart w:id="195" w:name="_Toc184312120"/>
      <w:bookmarkEnd w:id="195"/>
      <w:bookmarkStart w:id="196" w:name="_Toc184310295"/>
      <w:bookmarkEnd w:id="196"/>
      <w:bookmarkStart w:id="197" w:name="_Toc184312089"/>
      <w:bookmarkEnd w:id="197"/>
      <w:bookmarkStart w:id="198" w:name="_Toc184310330"/>
      <w:bookmarkEnd w:id="198"/>
      <w:bookmarkStart w:id="199" w:name="_Toc184314429"/>
      <w:bookmarkEnd w:id="199"/>
      <w:bookmarkStart w:id="200" w:name="_Toc184310341"/>
      <w:bookmarkEnd w:id="200"/>
      <w:bookmarkStart w:id="201" w:name="_Toc184313305"/>
      <w:bookmarkEnd w:id="201"/>
      <w:bookmarkStart w:id="202" w:name="_Toc184312108"/>
      <w:bookmarkEnd w:id="202"/>
      <w:bookmarkStart w:id="203" w:name="_Toc184310304"/>
      <w:bookmarkEnd w:id="203"/>
      <w:bookmarkStart w:id="204" w:name="_Toc184312121"/>
      <w:bookmarkEnd w:id="204"/>
      <w:bookmarkStart w:id="205" w:name="_Toc184313262"/>
      <w:bookmarkEnd w:id="205"/>
      <w:bookmarkStart w:id="206" w:name="_Toc184310276"/>
      <w:bookmarkEnd w:id="206"/>
      <w:bookmarkStart w:id="207" w:name="_Toc184313258"/>
      <w:bookmarkEnd w:id="207"/>
      <w:bookmarkStart w:id="208" w:name="_Toc184310289"/>
      <w:bookmarkEnd w:id="208"/>
      <w:bookmarkStart w:id="209" w:name="_Toc184308064"/>
      <w:bookmarkEnd w:id="209"/>
      <w:bookmarkStart w:id="210" w:name="_Toc184313269"/>
      <w:bookmarkEnd w:id="210"/>
      <w:bookmarkStart w:id="211" w:name="_Toc184308083"/>
      <w:bookmarkEnd w:id="211"/>
      <w:bookmarkStart w:id="212" w:name="_Toc184314435"/>
      <w:bookmarkEnd w:id="212"/>
      <w:bookmarkStart w:id="213" w:name="_Toc184312106"/>
      <w:bookmarkEnd w:id="213"/>
      <w:bookmarkStart w:id="214" w:name="_Toc184314480"/>
      <w:bookmarkEnd w:id="214"/>
      <w:bookmarkStart w:id="215" w:name="_Toc184313290"/>
      <w:bookmarkEnd w:id="215"/>
      <w:bookmarkStart w:id="216" w:name="_Toc184308039"/>
      <w:bookmarkEnd w:id="216"/>
      <w:bookmarkStart w:id="217" w:name="_Toc184312133"/>
      <w:bookmarkEnd w:id="217"/>
      <w:bookmarkStart w:id="218" w:name="_Toc184312127"/>
      <w:bookmarkEnd w:id="218"/>
      <w:bookmarkStart w:id="219" w:name="_Toc184312128"/>
      <w:bookmarkEnd w:id="219"/>
      <w:bookmarkStart w:id="220" w:name="_Toc184310275"/>
      <w:bookmarkEnd w:id="220"/>
      <w:bookmarkStart w:id="221" w:name="_Toc184308099"/>
      <w:bookmarkEnd w:id="221"/>
      <w:bookmarkStart w:id="222" w:name="_Toc184313299"/>
      <w:bookmarkEnd w:id="222"/>
      <w:bookmarkStart w:id="223" w:name="_Toc184313259"/>
      <w:bookmarkEnd w:id="223"/>
      <w:bookmarkStart w:id="224" w:name="_Toc184313244"/>
      <w:bookmarkEnd w:id="224"/>
      <w:bookmarkStart w:id="225" w:name="_Toc184314482"/>
      <w:bookmarkEnd w:id="225"/>
      <w:bookmarkStart w:id="226" w:name="_Toc184312067"/>
      <w:bookmarkEnd w:id="226"/>
      <w:bookmarkStart w:id="227" w:name="_Toc184308043"/>
      <w:bookmarkEnd w:id="227"/>
      <w:bookmarkStart w:id="228" w:name="_Toc184313261"/>
      <w:bookmarkEnd w:id="228"/>
      <w:bookmarkStart w:id="229" w:name="_Toc184310326"/>
      <w:bookmarkEnd w:id="229"/>
      <w:bookmarkStart w:id="230" w:name="_Toc184313256"/>
      <w:bookmarkEnd w:id="230"/>
      <w:bookmarkStart w:id="231" w:name="_Toc184310298"/>
      <w:bookmarkEnd w:id="231"/>
      <w:bookmarkStart w:id="232" w:name="_Toc184308108"/>
      <w:bookmarkEnd w:id="232"/>
      <w:bookmarkStart w:id="233" w:name="_Toc184308045"/>
      <w:bookmarkEnd w:id="233"/>
      <w:bookmarkStart w:id="234" w:name="_Toc184312077"/>
      <w:bookmarkEnd w:id="234"/>
      <w:bookmarkStart w:id="235" w:name="_Toc184312112"/>
      <w:bookmarkEnd w:id="235"/>
      <w:bookmarkStart w:id="236" w:name="_Toc184310290"/>
      <w:bookmarkEnd w:id="236"/>
      <w:bookmarkStart w:id="237" w:name="_Toc184308070"/>
      <w:bookmarkEnd w:id="237"/>
      <w:bookmarkStart w:id="238" w:name="_Toc184313271"/>
      <w:bookmarkEnd w:id="238"/>
      <w:bookmarkStart w:id="239" w:name="_Toc184310338"/>
      <w:bookmarkEnd w:id="239"/>
      <w:bookmarkStart w:id="240" w:name="_Toc184313295"/>
      <w:bookmarkEnd w:id="240"/>
      <w:bookmarkStart w:id="241" w:name="_Toc184314468"/>
      <w:bookmarkEnd w:id="241"/>
      <w:bookmarkStart w:id="242" w:name="_Toc184314458"/>
      <w:bookmarkEnd w:id="242"/>
      <w:bookmarkStart w:id="243" w:name="_Toc184310292"/>
      <w:bookmarkEnd w:id="243"/>
      <w:bookmarkStart w:id="244" w:name="_Toc184310293"/>
      <w:bookmarkEnd w:id="244"/>
      <w:bookmarkStart w:id="245" w:name="_Toc184313254"/>
      <w:bookmarkEnd w:id="245"/>
      <w:bookmarkStart w:id="246" w:name="_Toc184313283"/>
      <w:bookmarkEnd w:id="246"/>
      <w:bookmarkStart w:id="247" w:name="_Toc184314467"/>
      <w:bookmarkEnd w:id="247"/>
      <w:bookmarkStart w:id="248" w:name="_Toc184314478"/>
      <w:bookmarkEnd w:id="248"/>
      <w:bookmarkStart w:id="249" w:name="_Toc184314446"/>
      <w:bookmarkEnd w:id="249"/>
      <w:bookmarkStart w:id="250" w:name="_Toc184308082"/>
      <w:bookmarkEnd w:id="250"/>
      <w:bookmarkStart w:id="251" w:name="_Toc184314453"/>
      <w:bookmarkEnd w:id="251"/>
      <w:bookmarkStart w:id="252" w:name="_Toc184310342"/>
      <w:bookmarkEnd w:id="252"/>
      <w:bookmarkStart w:id="253" w:name="_Toc184312074"/>
      <w:bookmarkEnd w:id="253"/>
      <w:bookmarkStart w:id="254" w:name="_Toc184313277"/>
      <w:bookmarkEnd w:id="254"/>
      <w:bookmarkStart w:id="255" w:name="_Toc184312079"/>
      <w:bookmarkEnd w:id="255"/>
      <w:bookmarkStart w:id="256" w:name="_Toc184314417"/>
      <w:bookmarkEnd w:id="256"/>
      <w:bookmarkStart w:id="257" w:name="_Toc184308089"/>
      <w:bookmarkEnd w:id="257"/>
      <w:bookmarkStart w:id="258" w:name="_Toc184308063"/>
      <w:bookmarkEnd w:id="258"/>
      <w:bookmarkStart w:id="259" w:name="_Toc184313266"/>
      <w:bookmarkEnd w:id="259"/>
      <w:bookmarkStart w:id="260" w:name="_Toc184310310"/>
      <w:bookmarkEnd w:id="260"/>
      <w:bookmarkStart w:id="261" w:name="_Toc184308102"/>
      <w:bookmarkEnd w:id="261"/>
      <w:bookmarkStart w:id="262" w:name="_Toc184310305"/>
      <w:bookmarkEnd w:id="262"/>
      <w:bookmarkStart w:id="263" w:name="_Toc184314416"/>
      <w:bookmarkEnd w:id="263"/>
      <w:bookmarkStart w:id="264" w:name="_Toc184310313"/>
      <w:bookmarkEnd w:id="264"/>
      <w:bookmarkStart w:id="265" w:name="_Toc184310336"/>
      <w:bookmarkEnd w:id="265"/>
      <w:bookmarkStart w:id="266" w:name="_Toc184310323"/>
      <w:bookmarkEnd w:id="266"/>
      <w:bookmarkStart w:id="267" w:name="_Toc184314431"/>
      <w:bookmarkEnd w:id="267"/>
      <w:bookmarkStart w:id="268" w:name="_Toc184313251"/>
      <w:bookmarkEnd w:id="268"/>
      <w:bookmarkStart w:id="269" w:name="_Toc184312135"/>
      <w:bookmarkEnd w:id="269"/>
      <w:bookmarkStart w:id="270" w:name="_Toc184308105"/>
      <w:bookmarkEnd w:id="270"/>
      <w:bookmarkStart w:id="271" w:name="_Toc184314436"/>
      <w:bookmarkEnd w:id="271"/>
      <w:bookmarkStart w:id="272" w:name="_Toc184310339"/>
      <w:bookmarkEnd w:id="272"/>
      <w:bookmarkStart w:id="273" w:name="_Toc184313255"/>
      <w:bookmarkEnd w:id="273"/>
      <w:bookmarkStart w:id="274" w:name="_Toc184310280"/>
      <w:bookmarkEnd w:id="274"/>
      <w:bookmarkStart w:id="275" w:name="_Toc184314449"/>
      <w:bookmarkEnd w:id="275"/>
      <w:bookmarkStart w:id="276" w:name="_Toc184313289"/>
      <w:bookmarkEnd w:id="276"/>
      <w:bookmarkStart w:id="277" w:name="_Toc184312085"/>
      <w:bookmarkEnd w:id="277"/>
      <w:bookmarkStart w:id="278" w:name="_Toc184310288"/>
      <w:bookmarkEnd w:id="278"/>
      <w:bookmarkStart w:id="279" w:name="_Toc184312097"/>
      <w:bookmarkEnd w:id="279"/>
      <w:bookmarkStart w:id="280" w:name="_Toc184308081"/>
      <w:bookmarkEnd w:id="280"/>
      <w:bookmarkStart w:id="281" w:name="_Toc184310320"/>
      <w:bookmarkEnd w:id="281"/>
      <w:bookmarkStart w:id="282" w:name="_Toc184314456"/>
      <w:bookmarkEnd w:id="282"/>
      <w:bookmarkStart w:id="283" w:name="_Toc184313281"/>
      <w:bookmarkEnd w:id="283"/>
      <w:bookmarkStart w:id="284" w:name="_Toc184308057"/>
      <w:bookmarkEnd w:id="284"/>
      <w:bookmarkStart w:id="285" w:name="_Toc184314423"/>
      <w:bookmarkEnd w:id="285"/>
      <w:bookmarkStart w:id="286" w:name="_Toc184310307"/>
      <w:bookmarkEnd w:id="286"/>
      <w:bookmarkStart w:id="287" w:name="_Toc184310291"/>
      <w:bookmarkEnd w:id="287"/>
      <w:bookmarkStart w:id="288" w:name="_Toc184314433"/>
      <w:bookmarkEnd w:id="288"/>
      <w:bookmarkStart w:id="289" w:name="_Toc184308075"/>
      <w:bookmarkEnd w:id="289"/>
      <w:bookmarkStart w:id="290" w:name="_Toc184312091"/>
      <w:bookmarkEnd w:id="290"/>
      <w:bookmarkStart w:id="291" w:name="_Toc184313304"/>
      <w:bookmarkEnd w:id="291"/>
      <w:bookmarkStart w:id="292" w:name="_Toc184312084"/>
      <w:bookmarkEnd w:id="292"/>
      <w:bookmarkStart w:id="293" w:name="_Toc184312080"/>
      <w:bookmarkEnd w:id="293"/>
      <w:bookmarkStart w:id="294" w:name="_Toc184313282"/>
      <w:bookmarkEnd w:id="294"/>
      <w:bookmarkStart w:id="295" w:name="_Toc184308068"/>
      <w:bookmarkEnd w:id="295"/>
      <w:bookmarkStart w:id="296" w:name="_Toc184313291"/>
      <w:bookmarkEnd w:id="296"/>
      <w:bookmarkStart w:id="297" w:name="_Toc184313278"/>
      <w:bookmarkEnd w:id="297"/>
      <w:bookmarkStart w:id="298" w:name="_Toc184312131"/>
      <w:bookmarkEnd w:id="298"/>
      <w:bookmarkStart w:id="299" w:name="_Toc184314441"/>
      <w:bookmarkEnd w:id="299"/>
      <w:bookmarkStart w:id="300" w:name="_Toc184312069"/>
      <w:bookmarkEnd w:id="300"/>
      <w:bookmarkStart w:id="301" w:name="_Toc184312076"/>
      <w:bookmarkEnd w:id="301"/>
      <w:bookmarkStart w:id="302" w:name="_Toc184308066"/>
      <w:bookmarkEnd w:id="302"/>
      <w:bookmarkStart w:id="303" w:name="_Toc184310318"/>
      <w:bookmarkEnd w:id="303"/>
      <w:bookmarkStart w:id="304" w:name="_Toc184313310"/>
      <w:bookmarkEnd w:id="304"/>
      <w:bookmarkStart w:id="305" w:name="_Toc184312086"/>
      <w:bookmarkEnd w:id="305"/>
      <w:bookmarkStart w:id="306" w:name="_Toc184314479"/>
      <w:bookmarkEnd w:id="306"/>
      <w:bookmarkStart w:id="307" w:name="_Toc184314474"/>
      <w:bookmarkEnd w:id="307"/>
      <w:bookmarkStart w:id="308" w:name="_Toc184313248"/>
      <w:bookmarkEnd w:id="308"/>
      <w:bookmarkStart w:id="309" w:name="_Toc184308093"/>
      <w:bookmarkEnd w:id="309"/>
      <w:bookmarkStart w:id="310" w:name="_Toc184308055"/>
      <w:bookmarkEnd w:id="310"/>
      <w:bookmarkStart w:id="311" w:name="_Toc184310302"/>
      <w:bookmarkEnd w:id="311"/>
      <w:bookmarkStart w:id="312" w:name="_Toc184314450"/>
      <w:bookmarkEnd w:id="312"/>
      <w:bookmarkStart w:id="313" w:name="_Toc184313300"/>
      <w:bookmarkEnd w:id="313"/>
      <w:bookmarkStart w:id="314" w:name="_Toc184310321"/>
      <w:bookmarkEnd w:id="314"/>
      <w:bookmarkStart w:id="315" w:name="_Toc184310334"/>
      <w:bookmarkEnd w:id="315"/>
      <w:bookmarkStart w:id="316" w:name="_Toc184310319"/>
      <w:bookmarkEnd w:id="316"/>
      <w:bookmarkStart w:id="317" w:name="_Toc184313274"/>
      <w:bookmarkEnd w:id="317"/>
      <w:bookmarkStart w:id="318" w:name="_Toc184308056"/>
      <w:bookmarkEnd w:id="318"/>
      <w:bookmarkStart w:id="319" w:name="_Toc184314424"/>
      <w:bookmarkEnd w:id="319"/>
      <w:bookmarkStart w:id="320" w:name="_Toc184313240"/>
      <w:bookmarkEnd w:id="320"/>
      <w:bookmarkStart w:id="321" w:name="_Toc184313238"/>
      <w:bookmarkEnd w:id="321"/>
      <w:bookmarkStart w:id="322" w:name="_Toc184308087"/>
      <w:bookmarkEnd w:id="322"/>
      <w:bookmarkStart w:id="323" w:name="_Toc184310308"/>
      <w:bookmarkEnd w:id="323"/>
      <w:bookmarkStart w:id="324" w:name="_Toc184312092"/>
      <w:bookmarkEnd w:id="324"/>
      <w:bookmarkStart w:id="325" w:name="_Toc184308091"/>
      <w:bookmarkEnd w:id="325"/>
      <w:bookmarkStart w:id="326" w:name="_Toc184313257"/>
      <w:bookmarkEnd w:id="326"/>
      <w:bookmarkStart w:id="327" w:name="_Toc184314439"/>
      <w:bookmarkEnd w:id="327"/>
      <w:bookmarkStart w:id="328" w:name="_Toc184313280"/>
      <w:bookmarkEnd w:id="328"/>
      <w:bookmarkStart w:id="329" w:name="_Toc184308053"/>
      <w:bookmarkEnd w:id="329"/>
      <w:bookmarkStart w:id="330" w:name="_Toc184314451"/>
      <w:bookmarkEnd w:id="330"/>
      <w:bookmarkStart w:id="331" w:name="_Toc184308090"/>
      <w:bookmarkEnd w:id="331"/>
      <w:bookmarkStart w:id="332" w:name="_Toc184313294"/>
      <w:bookmarkEnd w:id="332"/>
      <w:bookmarkStart w:id="333" w:name="_Toc184313264"/>
      <w:bookmarkEnd w:id="333"/>
      <w:bookmarkStart w:id="334" w:name="_Toc184314473"/>
      <w:bookmarkEnd w:id="334"/>
      <w:bookmarkStart w:id="335" w:name="_Toc184312132"/>
      <w:bookmarkEnd w:id="335"/>
      <w:bookmarkStart w:id="336" w:name="_Toc184312083"/>
      <w:bookmarkEnd w:id="336"/>
      <w:bookmarkStart w:id="337" w:name="_Toc184314427"/>
      <w:bookmarkEnd w:id="337"/>
      <w:bookmarkStart w:id="338" w:name="_Toc184308036"/>
      <w:bookmarkEnd w:id="338"/>
      <w:bookmarkStart w:id="339" w:name="_Toc184310343"/>
      <w:bookmarkEnd w:id="339"/>
      <w:bookmarkStart w:id="340" w:name="_Toc184310311"/>
      <w:bookmarkEnd w:id="340"/>
      <w:bookmarkStart w:id="341" w:name="_Toc184314442"/>
      <w:bookmarkEnd w:id="341"/>
      <w:bookmarkStart w:id="342" w:name="_Toc184313247"/>
      <w:bookmarkEnd w:id="342"/>
      <w:bookmarkStart w:id="343" w:name="_Toc184308101"/>
      <w:bookmarkEnd w:id="343"/>
      <w:bookmarkStart w:id="344" w:name="_Toc184313260"/>
      <w:bookmarkEnd w:id="344"/>
      <w:bookmarkStart w:id="345" w:name="_Toc184313242"/>
      <w:bookmarkEnd w:id="345"/>
      <w:bookmarkStart w:id="346" w:name="_Toc184313275"/>
      <w:bookmarkEnd w:id="346"/>
      <w:bookmarkStart w:id="347" w:name="_Toc184312134"/>
      <w:bookmarkEnd w:id="347"/>
      <w:bookmarkStart w:id="348" w:name="_Toc184313285"/>
      <w:bookmarkEnd w:id="348"/>
      <w:bookmarkStart w:id="349" w:name="_Toc184308088"/>
      <w:bookmarkEnd w:id="349"/>
      <w:bookmarkStart w:id="350" w:name="_Toc184314466"/>
      <w:bookmarkEnd w:id="350"/>
      <w:bookmarkStart w:id="351" w:name="_Toc184308058"/>
      <w:bookmarkEnd w:id="351"/>
      <w:bookmarkStart w:id="352" w:name="_Toc184313284"/>
      <w:bookmarkEnd w:id="352"/>
      <w:bookmarkStart w:id="353" w:name="_Toc184312137"/>
      <w:bookmarkEnd w:id="353"/>
      <w:bookmarkStart w:id="354" w:name="_Toc184310314"/>
      <w:bookmarkEnd w:id="354"/>
      <w:bookmarkStart w:id="355" w:name="_Toc184310309"/>
      <w:bookmarkEnd w:id="355"/>
      <w:bookmarkStart w:id="356" w:name="_Toc184313268"/>
      <w:bookmarkEnd w:id="356"/>
      <w:bookmarkStart w:id="357" w:name="_Toc184312119"/>
      <w:bookmarkEnd w:id="357"/>
      <w:bookmarkStart w:id="358" w:name="_Toc184314410"/>
      <w:bookmarkEnd w:id="358"/>
      <w:bookmarkStart w:id="359" w:name="_Toc184312101"/>
      <w:bookmarkEnd w:id="359"/>
      <w:bookmarkStart w:id="360" w:name="_Toc184312107"/>
      <w:bookmarkEnd w:id="360"/>
      <w:bookmarkStart w:id="361" w:name="_Toc184308107"/>
      <w:bookmarkEnd w:id="361"/>
      <w:bookmarkStart w:id="362" w:name="_Toc184310301"/>
      <w:bookmarkEnd w:id="362"/>
      <w:bookmarkStart w:id="363" w:name="_Toc184312138"/>
      <w:bookmarkEnd w:id="363"/>
      <w:bookmarkStart w:id="364" w:name="_Toc184312103"/>
      <w:bookmarkEnd w:id="364"/>
      <w:bookmarkStart w:id="365" w:name="_Toc184308077"/>
      <w:bookmarkEnd w:id="365"/>
      <w:bookmarkStart w:id="366" w:name="_Toc184314448"/>
      <w:bookmarkEnd w:id="366"/>
      <w:bookmarkStart w:id="367" w:name="_Toc184314415"/>
      <w:bookmarkEnd w:id="367"/>
      <w:bookmarkStart w:id="368" w:name="_Toc184310316"/>
      <w:bookmarkEnd w:id="368"/>
      <w:bookmarkStart w:id="369" w:name="_Toc184310327"/>
      <w:bookmarkEnd w:id="369"/>
      <w:bookmarkStart w:id="370" w:name="_Toc184313286"/>
      <w:bookmarkEnd w:id="370"/>
      <w:bookmarkStart w:id="371" w:name="_Toc184310283"/>
      <w:bookmarkEnd w:id="371"/>
      <w:bookmarkStart w:id="372" w:name="_Toc184313306"/>
      <w:bookmarkEnd w:id="372"/>
      <w:bookmarkStart w:id="373" w:name="_Toc184313296"/>
      <w:bookmarkEnd w:id="373"/>
      <w:bookmarkStart w:id="374" w:name="_Toc184313292"/>
      <w:bookmarkEnd w:id="374"/>
      <w:bookmarkStart w:id="375" w:name="_Toc184312099"/>
      <w:bookmarkEnd w:id="375"/>
      <w:bookmarkStart w:id="376" w:name="_Toc184308065"/>
      <w:bookmarkEnd w:id="376"/>
      <w:bookmarkStart w:id="377" w:name="_Toc184314454"/>
      <w:bookmarkEnd w:id="377"/>
      <w:bookmarkStart w:id="378" w:name="_Toc184308059"/>
      <w:bookmarkEnd w:id="378"/>
      <w:bookmarkStart w:id="379" w:name="_Toc184308095"/>
      <w:bookmarkEnd w:id="379"/>
      <w:bookmarkStart w:id="380" w:name="_Toc184308085"/>
      <w:bookmarkEnd w:id="380"/>
      <w:bookmarkStart w:id="381" w:name="_Toc184314438"/>
      <w:bookmarkEnd w:id="381"/>
      <w:bookmarkStart w:id="382" w:name="_Toc184312087"/>
      <w:bookmarkEnd w:id="382"/>
      <w:bookmarkStart w:id="383" w:name="_Toc184312116"/>
      <w:bookmarkEnd w:id="383"/>
      <w:bookmarkStart w:id="384" w:name="_Toc184313267"/>
      <w:bookmarkEnd w:id="384"/>
      <w:bookmarkStart w:id="385" w:name="_Toc184310337"/>
      <w:bookmarkEnd w:id="385"/>
      <w:bookmarkStart w:id="386" w:name="_Toc184310285"/>
      <w:bookmarkEnd w:id="386"/>
      <w:bookmarkStart w:id="387" w:name="_Toc184312139"/>
      <w:bookmarkEnd w:id="387"/>
      <w:bookmarkStart w:id="388" w:name="_Toc184314426"/>
      <w:bookmarkEnd w:id="388"/>
      <w:bookmarkStart w:id="389" w:name="_Toc184312105"/>
      <w:bookmarkEnd w:id="389"/>
      <w:bookmarkStart w:id="390" w:name="_Toc184308046"/>
      <w:bookmarkEnd w:id="390"/>
      <w:bookmarkStart w:id="391" w:name="_Toc184308094"/>
      <w:bookmarkEnd w:id="391"/>
      <w:bookmarkStart w:id="392" w:name="_Toc184314419"/>
      <w:bookmarkEnd w:id="392"/>
      <w:bookmarkStart w:id="393" w:name="_Toc184308037"/>
      <w:bookmarkEnd w:id="393"/>
      <w:bookmarkStart w:id="394" w:name="_Toc184313298"/>
      <w:bookmarkEnd w:id="394"/>
      <w:bookmarkStart w:id="395" w:name="_Toc184314459"/>
      <w:bookmarkEnd w:id="395"/>
      <w:bookmarkStart w:id="396" w:name="_Toc184308049"/>
      <w:bookmarkEnd w:id="396"/>
      <w:bookmarkStart w:id="397" w:name="_Toc184310333"/>
      <w:bookmarkEnd w:id="397"/>
      <w:bookmarkStart w:id="398" w:name="_Toc184308050"/>
      <w:bookmarkEnd w:id="398"/>
      <w:bookmarkStart w:id="399" w:name="_Toc184312090"/>
      <w:bookmarkEnd w:id="399"/>
      <w:bookmarkStart w:id="400" w:name="_Toc184314455"/>
      <w:bookmarkEnd w:id="400"/>
      <w:bookmarkStart w:id="401" w:name="_Toc184314432"/>
      <w:bookmarkEnd w:id="401"/>
      <w:r>
        <w:rPr>
          <w:rFonts w:hint="eastAsia" w:ascii="宋体" w:hAnsi="宋体" w:cs="宋体"/>
          <w:b/>
          <w:color w:val="auto"/>
          <w:sz w:val="36"/>
          <w:szCs w:val="20"/>
          <w:highlight w:val="none"/>
        </w:rPr>
        <w:t xml:space="preserve"> 评审办法</w:t>
      </w:r>
      <w:bookmarkEnd w:id="36"/>
    </w:p>
    <w:p w14:paraId="2126F3F3">
      <w:pPr>
        <w:snapToGrid w:val="0"/>
        <w:spacing w:line="360" w:lineRule="auto"/>
        <w:jc w:val="center"/>
        <w:rPr>
          <w:rFonts w:hint="eastAsia" w:ascii="宋体" w:hAnsi="宋体" w:cs="宋体"/>
          <w:b/>
          <w:color w:val="auto"/>
          <w:sz w:val="24"/>
          <w:szCs w:val="16"/>
          <w:highlight w:val="none"/>
        </w:rPr>
      </w:pPr>
      <w:r>
        <w:rPr>
          <w:rFonts w:hint="eastAsia" w:ascii="宋体" w:hAnsi="宋体" w:cs="宋体"/>
          <w:b/>
          <w:color w:val="auto"/>
          <w:sz w:val="24"/>
          <w:szCs w:val="16"/>
          <w:highlight w:val="none"/>
        </w:rPr>
        <w:t>评审办法前附表</w:t>
      </w:r>
    </w:p>
    <w:tbl>
      <w:tblPr>
        <w:tblStyle w:val="64"/>
        <w:tblW w:w="4996" w:type="pct"/>
        <w:jc w:val="center"/>
        <w:tblLayout w:type="autofit"/>
        <w:tblCellMar>
          <w:top w:w="0" w:type="dxa"/>
          <w:left w:w="108" w:type="dxa"/>
          <w:bottom w:w="0" w:type="dxa"/>
          <w:right w:w="108" w:type="dxa"/>
        </w:tblCellMar>
      </w:tblPr>
      <w:tblGrid>
        <w:gridCol w:w="741"/>
        <w:gridCol w:w="1635"/>
        <w:gridCol w:w="6766"/>
        <w:gridCol w:w="813"/>
      </w:tblGrid>
      <w:tr w14:paraId="63B154B7">
        <w:tblPrEx>
          <w:tblCellMar>
            <w:top w:w="0" w:type="dxa"/>
            <w:left w:w="108" w:type="dxa"/>
            <w:bottom w:w="0" w:type="dxa"/>
            <w:right w:w="108" w:type="dxa"/>
          </w:tblCellMar>
        </w:tblPrEx>
        <w:trPr>
          <w:trHeight w:val="31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288A05C3">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821" w:type="pct"/>
            <w:tcBorders>
              <w:top w:val="single" w:color="auto" w:sz="4" w:space="0"/>
              <w:left w:val="nil"/>
              <w:bottom w:val="single" w:color="auto" w:sz="4" w:space="0"/>
              <w:right w:val="single" w:color="auto" w:sz="4" w:space="0"/>
            </w:tcBorders>
            <w:shd w:val="clear" w:color="auto" w:fill="auto"/>
            <w:vAlign w:val="center"/>
          </w:tcPr>
          <w:p w14:paraId="520BD5B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评分项</w:t>
            </w:r>
          </w:p>
        </w:tc>
        <w:tc>
          <w:tcPr>
            <w:tcW w:w="3397" w:type="pct"/>
            <w:tcBorders>
              <w:top w:val="single" w:color="auto" w:sz="4" w:space="0"/>
              <w:left w:val="nil"/>
              <w:bottom w:val="single" w:color="auto" w:sz="4" w:space="0"/>
              <w:right w:val="single" w:color="auto" w:sz="4" w:space="0"/>
            </w:tcBorders>
            <w:shd w:val="clear" w:color="auto" w:fill="auto"/>
            <w:vAlign w:val="center"/>
          </w:tcPr>
          <w:p w14:paraId="2B13CAF1">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评分细则</w:t>
            </w:r>
          </w:p>
        </w:tc>
        <w:tc>
          <w:tcPr>
            <w:tcW w:w="408" w:type="pct"/>
            <w:tcBorders>
              <w:top w:val="single" w:color="auto" w:sz="4" w:space="0"/>
              <w:left w:val="nil"/>
              <w:bottom w:val="single" w:color="auto" w:sz="4" w:space="0"/>
              <w:right w:val="single" w:color="auto" w:sz="4" w:space="0"/>
            </w:tcBorders>
            <w:shd w:val="clear" w:color="auto" w:fill="auto"/>
            <w:vAlign w:val="center"/>
          </w:tcPr>
          <w:p w14:paraId="315D4F2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分值</w:t>
            </w:r>
          </w:p>
        </w:tc>
      </w:tr>
      <w:tr w14:paraId="196B2DDA">
        <w:tblPrEx>
          <w:tblCellMar>
            <w:top w:w="0" w:type="dxa"/>
            <w:left w:w="108" w:type="dxa"/>
            <w:bottom w:w="0" w:type="dxa"/>
            <w:right w:w="108" w:type="dxa"/>
          </w:tblCellMar>
        </w:tblPrEx>
        <w:trPr>
          <w:trHeight w:val="945"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14:paraId="250BE55F">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821" w:type="pct"/>
            <w:tcBorders>
              <w:top w:val="nil"/>
              <w:left w:val="nil"/>
              <w:bottom w:val="single" w:color="auto" w:sz="4" w:space="0"/>
              <w:right w:val="single" w:color="auto" w:sz="4" w:space="0"/>
            </w:tcBorders>
            <w:shd w:val="clear" w:color="auto" w:fill="auto"/>
            <w:vAlign w:val="center"/>
          </w:tcPr>
          <w:p w14:paraId="546B2EC6">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对项目的总体理解</w:t>
            </w:r>
          </w:p>
        </w:tc>
        <w:tc>
          <w:tcPr>
            <w:tcW w:w="3397" w:type="pct"/>
            <w:tcBorders>
              <w:top w:val="nil"/>
              <w:left w:val="nil"/>
              <w:bottom w:val="single" w:color="auto" w:sz="4" w:space="0"/>
              <w:right w:val="single" w:color="auto" w:sz="4" w:space="0"/>
            </w:tcBorders>
            <w:shd w:val="clear" w:color="auto" w:fill="auto"/>
            <w:vAlign w:val="center"/>
          </w:tcPr>
          <w:p w14:paraId="2EEE43CA">
            <w:pPr>
              <w:widowControl/>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主观分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根据</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对现状分析、需求分析和重点难点分析进行评审：熟悉该项目建设现状，对采购人需求、项目重点、难点把握准确、分析到位，提供合理并切实可行的建设方案。根据</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提供内容的完整性、合理性综合评分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评分范围：0，1，2，3，4，5，6，7，8</w:t>
            </w:r>
            <w:r>
              <w:rPr>
                <w:rFonts w:hint="eastAsia" w:ascii="仿宋" w:hAnsi="仿宋" w:eastAsia="仿宋" w:cs="仿宋"/>
                <w:color w:val="auto"/>
                <w:kern w:val="0"/>
                <w:sz w:val="24"/>
                <w:highlight w:val="none"/>
                <w:lang w:eastAsia="zh-CN"/>
              </w:rPr>
              <w:t>）</w:t>
            </w:r>
          </w:p>
        </w:tc>
        <w:tc>
          <w:tcPr>
            <w:tcW w:w="408" w:type="pct"/>
            <w:tcBorders>
              <w:top w:val="nil"/>
              <w:left w:val="nil"/>
              <w:bottom w:val="single" w:color="auto" w:sz="4" w:space="0"/>
              <w:right w:val="single" w:color="auto" w:sz="4" w:space="0"/>
            </w:tcBorders>
            <w:shd w:val="clear" w:color="auto" w:fill="auto"/>
            <w:vAlign w:val="center"/>
          </w:tcPr>
          <w:p w14:paraId="05AB586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8分</w:t>
            </w:r>
          </w:p>
        </w:tc>
      </w:tr>
      <w:tr w14:paraId="06FA2658">
        <w:tblPrEx>
          <w:tblCellMar>
            <w:top w:w="0" w:type="dxa"/>
            <w:left w:w="108" w:type="dxa"/>
            <w:bottom w:w="0" w:type="dxa"/>
            <w:right w:w="108" w:type="dxa"/>
          </w:tblCellMar>
        </w:tblPrEx>
        <w:trPr>
          <w:trHeight w:val="629" w:hRule="atLeast"/>
          <w:jc w:val="center"/>
        </w:trPr>
        <w:tc>
          <w:tcPr>
            <w:tcW w:w="372" w:type="pct"/>
            <w:vMerge w:val="restart"/>
            <w:tcBorders>
              <w:top w:val="nil"/>
              <w:left w:val="single" w:color="auto" w:sz="4" w:space="0"/>
              <w:bottom w:val="single" w:color="auto" w:sz="4" w:space="0"/>
              <w:right w:val="single" w:color="auto" w:sz="4" w:space="0"/>
            </w:tcBorders>
            <w:shd w:val="clear" w:color="auto" w:fill="auto"/>
            <w:vAlign w:val="center"/>
          </w:tcPr>
          <w:p w14:paraId="3FCAD42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821" w:type="pct"/>
            <w:vMerge w:val="restart"/>
            <w:tcBorders>
              <w:top w:val="nil"/>
              <w:left w:val="single" w:color="auto" w:sz="4" w:space="0"/>
              <w:bottom w:val="single" w:color="auto" w:sz="4" w:space="0"/>
              <w:right w:val="single" w:color="auto" w:sz="4" w:space="0"/>
            </w:tcBorders>
            <w:shd w:val="clear" w:color="auto" w:fill="auto"/>
            <w:vAlign w:val="center"/>
          </w:tcPr>
          <w:p w14:paraId="63396203">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项目技术方案</w:t>
            </w:r>
          </w:p>
        </w:tc>
        <w:tc>
          <w:tcPr>
            <w:tcW w:w="3397" w:type="pct"/>
            <w:tcBorders>
              <w:top w:val="nil"/>
              <w:left w:val="nil"/>
              <w:bottom w:val="single" w:color="auto" w:sz="4" w:space="0"/>
              <w:right w:val="single" w:color="auto" w:sz="4" w:space="0"/>
            </w:tcBorders>
            <w:shd w:val="clear" w:color="auto" w:fill="auto"/>
            <w:vAlign w:val="center"/>
          </w:tcPr>
          <w:p w14:paraId="2B71ED60">
            <w:pPr>
              <w:widowControl/>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主观分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1.投标方案具有科学性、合理性、先进性，功能设计完善，能够体现系统特色，方案设计有创新性</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评分范围：0，1，2，3，4，5，6</w:t>
            </w:r>
            <w:r>
              <w:rPr>
                <w:rFonts w:hint="eastAsia" w:ascii="仿宋" w:hAnsi="仿宋" w:eastAsia="仿宋" w:cs="仿宋"/>
                <w:color w:val="auto"/>
                <w:kern w:val="0"/>
                <w:sz w:val="24"/>
                <w:highlight w:val="none"/>
                <w:lang w:eastAsia="zh-CN"/>
              </w:rPr>
              <w:t>）</w:t>
            </w:r>
          </w:p>
        </w:tc>
        <w:tc>
          <w:tcPr>
            <w:tcW w:w="408" w:type="pct"/>
            <w:vMerge w:val="restart"/>
            <w:tcBorders>
              <w:top w:val="nil"/>
              <w:left w:val="single" w:color="auto" w:sz="4" w:space="0"/>
              <w:bottom w:val="single" w:color="auto" w:sz="4" w:space="0"/>
              <w:right w:val="single" w:color="auto" w:sz="4" w:space="0"/>
            </w:tcBorders>
            <w:shd w:val="clear" w:color="auto" w:fill="auto"/>
            <w:vAlign w:val="center"/>
          </w:tcPr>
          <w:p w14:paraId="4CAC3F03">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24分</w:t>
            </w:r>
          </w:p>
        </w:tc>
      </w:tr>
      <w:tr w14:paraId="5CCFA864">
        <w:tblPrEx>
          <w:tblCellMar>
            <w:top w:w="0" w:type="dxa"/>
            <w:left w:w="108" w:type="dxa"/>
            <w:bottom w:w="0" w:type="dxa"/>
            <w:right w:w="108" w:type="dxa"/>
          </w:tblCellMar>
        </w:tblPrEx>
        <w:trPr>
          <w:trHeight w:val="629" w:hRule="atLeast"/>
          <w:jc w:val="center"/>
        </w:trPr>
        <w:tc>
          <w:tcPr>
            <w:tcW w:w="372" w:type="pct"/>
            <w:vMerge w:val="continue"/>
            <w:tcBorders>
              <w:top w:val="nil"/>
              <w:left w:val="single" w:color="auto" w:sz="4" w:space="0"/>
              <w:bottom w:val="single" w:color="auto" w:sz="4" w:space="0"/>
              <w:right w:val="single" w:color="auto" w:sz="4" w:space="0"/>
            </w:tcBorders>
            <w:vAlign w:val="center"/>
          </w:tcPr>
          <w:p w14:paraId="459D9FB0">
            <w:pPr>
              <w:widowControl/>
              <w:jc w:val="left"/>
              <w:rPr>
                <w:rFonts w:hint="eastAsia" w:ascii="仿宋" w:hAnsi="仿宋" w:eastAsia="仿宋" w:cs="仿宋"/>
                <w:color w:val="auto"/>
                <w:kern w:val="0"/>
                <w:sz w:val="24"/>
                <w:highlight w:val="none"/>
              </w:rPr>
            </w:pPr>
          </w:p>
        </w:tc>
        <w:tc>
          <w:tcPr>
            <w:tcW w:w="821" w:type="pct"/>
            <w:vMerge w:val="continue"/>
            <w:tcBorders>
              <w:top w:val="nil"/>
              <w:left w:val="single" w:color="auto" w:sz="4" w:space="0"/>
              <w:bottom w:val="single" w:color="auto" w:sz="4" w:space="0"/>
              <w:right w:val="single" w:color="auto" w:sz="4" w:space="0"/>
            </w:tcBorders>
            <w:vAlign w:val="center"/>
          </w:tcPr>
          <w:p w14:paraId="4B03F2BC">
            <w:pPr>
              <w:widowControl/>
              <w:jc w:val="left"/>
              <w:rPr>
                <w:rFonts w:hint="eastAsia" w:ascii="仿宋" w:hAnsi="仿宋" w:eastAsia="仿宋" w:cs="仿宋"/>
                <w:color w:val="auto"/>
                <w:kern w:val="0"/>
                <w:sz w:val="24"/>
                <w:highlight w:val="none"/>
              </w:rPr>
            </w:pPr>
          </w:p>
        </w:tc>
        <w:tc>
          <w:tcPr>
            <w:tcW w:w="3397" w:type="pct"/>
            <w:tcBorders>
              <w:top w:val="nil"/>
              <w:left w:val="nil"/>
              <w:bottom w:val="single" w:color="auto" w:sz="4" w:space="0"/>
              <w:right w:val="single" w:color="auto" w:sz="4" w:space="0"/>
            </w:tcBorders>
            <w:shd w:val="clear" w:color="auto" w:fill="auto"/>
            <w:vAlign w:val="center"/>
          </w:tcPr>
          <w:p w14:paraId="7184014B">
            <w:pPr>
              <w:widowControl/>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主观分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2.针对采购需求管理、采购执行管理模块，能够提供详细、完善的方案设计，提供完整的数据方案，具备高可行性</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评分范围：0，1，2，3，4，5，6</w:t>
            </w:r>
            <w:r>
              <w:rPr>
                <w:rFonts w:hint="eastAsia" w:ascii="仿宋" w:hAnsi="仿宋" w:eastAsia="仿宋" w:cs="仿宋"/>
                <w:color w:val="auto"/>
                <w:kern w:val="0"/>
                <w:sz w:val="24"/>
                <w:highlight w:val="none"/>
                <w:lang w:eastAsia="zh-CN"/>
              </w:rPr>
              <w:t>）</w:t>
            </w:r>
          </w:p>
        </w:tc>
        <w:tc>
          <w:tcPr>
            <w:tcW w:w="408" w:type="pct"/>
            <w:vMerge w:val="continue"/>
            <w:tcBorders>
              <w:top w:val="nil"/>
              <w:left w:val="single" w:color="auto" w:sz="4" w:space="0"/>
              <w:bottom w:val="single" w:color="auto" w:sz="4" w:space="0"/>
              <w:right w:val="single" w:color="auto" w:sz="4" w:space="0"/>
            </w:tcBorders>
            <w:vAlign w:val="center"/>
          </w:tcPr>
          <w:p w14:paraId="703282C5">
            <w:pPr>
              <w:widowControl/>
              <w:jc w:val="left"/>
              <w:rPr>
                <w:rFonts w:hint="eastAsia" w:ascii="仿宋" w:hAnsi="仿宋" w:eastAsia="仿宋" w:cs="仿宋"/>
                <w:color w:val="auto"/>
                <w:kern w:val="0"/>
                <w:sz w:val="24"/>
                <w:highlight w:val="none"/>
              </w:rPr>
            </w:pPr>
          </w:p>
        </w:tc>
      </w:tr>
      <w:tr w14:paraId="016A76F2">
        <w:tblPrEx>
          <w:tblCellMar>
            <w:top w:w="0" w:type="dxa"/>
            <w:left w:w="108" w:type="dxa"/>
            <w:bottom w:w="0" w:type="dxa"/>
            <w:right w:w="108" w:type="dxa"/>
          </w:tblCellMar>
        </w:tblPrEx>
        <w:trPr>
          <w:trHeight w:val="629" w:hRule="atLeast"/>
          <w:jc w:val="center"/>
        </w:trPr>
        <w:tc>
          <w:tcPr>
            <w:tcW w:w="372" w:type="pct"/>
            <w:vMerge w:val="continue"/>
            <w:tcBorders>
              <w:top w:val="nil"/>
              <w:left w:val="single" w:color="auto" w:sz="4" w:space="0"/>
              <w:bottom w:val="single" w:color="auto" w:sz="4" w:space="0"/>
              <w:right w:val="single" w:color="auto" w:sz="4" w:space="0"/>
            </w:tcBorders>
            <w:vAlign w:val="center"/>
          </w:tcPr>
          <w:p w14:paraId="257BE2AA">
            <w:pPr>
              <w:widowControl/>
              <w:jc w:val="left"/>
              <w:rPr>
                <w:rFonts w:hint="eastAsia" w:ascii="仿宋" w:hAnsi="仿宋" w:eastAsia="仿宋" w:cs="仿宋"/>
                <w:color w:val="auto"/>
                <w:kern w:val="0"/>
                <w:sz w:val="24"/>
                <w:highlight w:val="none"/>
              </w:rPr>
            </w:pPr>
          </w:p>
        </w:tc>
        <w:tc>
          <w:tcPr>
            <w:tcW w:w="821" w:type="pct"/>
            <w:vMerge w:val="continue"/>
            <w:tcBorders>
              <w:top w:val="nil"/>
              <w:left w:val="single" w:color="auto" w:sz="4" w:space="0"/>
              <w:bottom w:val="single" w:color="auto" w:sz="4" w:space="0"/>
              <w:right w:val="single" w:color="auto" w:sz="4" w:space="0"/>
            </w:tcBorders>
            <w:vAlign w:val="center"/>
          </w:tcPr>
          <w:p w14:paraId="1CB36189">
            <w:pPr>
              <w:widowControl/>
              <w:jc w:val="left"/>
              <w:rPr>
                <w:rFonts w:hint="eastAsia" w:ascii="仿宋" w:hAnsi="仿宋" w:eastAsia="仿宋" w:cs="仿宋"/>
                <w:color w:val="auto"/>
                <w:kern w:val="0"/>
                <w:sz w:val="24"/>
                <w:highlight w:val="none"/>
              </w:rPr>
            </w:pPr>
          </w:p>
        </w:tc>
        <w:tc>
          <w:tcPr>
            <w:tcW w:w="3397" w:type="pct"/>
            <w:tcBorders>
              <w:top w:val="nil"/>
              <w:left w:val="nil"/>
              <w:bottom w:val="single" w:color="auto" w:sz="4" w:space="0"/>
              <w:right w:val="single" w:color="auto" w:sz="4" w:space="0"/>
            </w:tcBorders>
            <w:shd w:val="clear" w:color="auto" w:fill="auto"/>
            <w:vAlign w:val="center"/>
          </w:tcPr>
          <w:p w14:paraId="28B18D14">
            <w:pPr>
              <w:widowControl/>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主观分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3.能够提供详细的与财务系统、资产系统数据对接方案，方案完善、具备可操作性</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评分范围：0，1，2，3，4，5，6</w:t>
            </w:r>
            <w:r>
              <w:rPr>
                <w:rFonts w:hint="eastAsia" w:ascii="仿宋" w:hAnsi="仿宋" w:eastAsia="仿宋" w:cs="仿宋"/>
                <w:color w:val="auto"/>
                <w:kern w:val="0"/>
                <w:sz w:val="24"/>
                <w:highlight w:val="none"/>
                <w:lang w:eastAsia="zh-CN"/>
              </w:rPr>
              <w:t>）</w:t>
            </w:r>
          </w:p>
        </w:tc>
        <w:tc>
          <w:tcPr>
            <w:tcW w:w="408" w:type="pct"/>
            <w:vMerge w:val="continue"/>
            <w:tcBorders>
              <w:top w:val="nil"/>
              <w:left w:val="single" w:color="auto" w:sz="4" w:space="0"/>
              <w:bottom w:val="single" w:color="auto" w:sz="4" w:space="0"/>
              <w:right w:val="single" w:color="auto" w:sz="4" w:space="0"/>
            </w:tcBorders>
            <w:vAlign w:val="center"/>
          </w:tcPr>
          <w:p w14:paraId="3E7DF69B">
            <w:pPr>
              <w:widowControl/>
              <w:jc w:val="left"/>
              <w:rPr>
                <w:rFonts w:hint="eastAsia" w:ascii="仿宋" w:hAnsi="仿宋" w:eastAsia="仿宋" w:cs="仿宋"/>
                <w:color w:val="auto"/>
                <w:kern w:val="0"/>
                <w:sz w:val="24"/>
                <w:highlight w:val="none"/>
              </w:rPr>
            </w:pPr>
          </w:p>
        </w:tc>
      </w:tr>
      <w:tr w14:paraId="72C27840">
        <w:tblPrEx>
          <w:tblCellMar>
            <w:top w:w="0" w:type="dxa"/>
            <w:left w:w="108" w:type="dxa"/>
            <w:bottom w:w="0" w:type="dxa"/>
            <w:right w:w="108" w:type="dxa"/>
          </w:tblCellMar>
        </w:tblPrEx>
        <w:trPr>
          <w:trHeight w:val="629" w:hRule="atLeast"/>
          <w:jc w:val="center"/>
        </w:trPr>
        <w:tc>
          <w:tcPr>
            <w:tcW w:w="372" w:type="pct"/>
            <w:vMerge w:val="continue"/>
            <w:tcBorders>
              <w:top w:val="nil"/>
              <w:left w:val="single" w:color="auto" w:sz="4" w:space="0"/>
              <w:bottom w:val="single" w:color="auto" w:sz="4" w:space="0"/>
              <w:right w:val="single" w:color="auto" w:sz="4" w:space="0"/>
            </w:tcBorders>
            <w:vAlign w:val="center"/>
          </w:tcPr>
          <w:p w14:paraId="6C61E533">
            <w:pPr>
              <w:widowControl/>
              <w:jc w:val="left"/>
              <w:rPr>
                <w:rFonts w:hint="eastAsia" w:ascii="仿宋" w:hAnsi="仿宋" w:eastAsia="仿宋" w:cs="仿宋"/>
                <w:color w:val="auto"/>
                <w:kern w:val="0"/>
                <w:sz w:val="24"/>
                <w:highlight w:val="none"/>
              </w:rPr>
            </w:pPr>
          </w:p>
        </w:tc>
        <w:tc>
          <w:tcPr>
            <w:tcW w:w="821" w:type="pct"/>
            <w:vMerge w:val="continue"/>
            <w:tcBorders>
              <w:top w:val="nil"/>
              <w:left w:val="single" w:color="auto" w:sz="4" w:space="0"/>
              <w:bottom w:val="single" w:color="auto" w:sz="4" w:space="0"/>
              <w:right w:val="single" w:color="auto" w:sz="4" w:space="0"/>
            </w:tcBorders>
            <w:vAlign w:val="center"/>
          </w:tcPr>
          <w:p w14:paraId="02A2B3B8">
            <w:pPr>
              <w:widowControl/>
              <w:jc w:val="left"/>
              <w:rPr>
                <w:rFonts w:hint="eastAsia" w:ascii="仿宋" w:hAnsi="仿宋" w:eastAsia="仿宋" w:cs="仿宋"/>
                <w:color w:val="auto"/>
                <w:kern w:val="0"/>
                <w:sz w:val="24"/>
                <w:highlight w:val="none"/>
              </w:rPr>
            </w:pPr>
          </w:p>
        </w:tc>
        <w:tc>
          <w:tcPr>
            <w:tcW w:w="3397" w:type="pct"/>
            <w:tcBorders>
              <w:top w:val="nil"/>
              <w:left w:val="nil"/>
              <w:bottom w:val="single" w:color="auto" w:sz="4" w:space="0"/>
              <w:right w:val="single" w:color="auto" w:sz="4" w:space="0"/>
            </w:tcBorders>
            <w:shd w:val="clear" w:color="auto" w:fill="auto"/>
            <w:vAlign w:val="center"/>
          </w:tcPr>
          <w:p w14:paraId="36D53EEF">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主观分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4.提供的针对本项目系统安全建设方案建设</w:t>
            </w:r>
            <w:r>
              <w:rPr>
                <w:rFonts w:hint="eastAsia" w:ascii="仿宋" w:hAnsi="仿宋" w:eastAsia="仿宋" w:cs="仿宋"/>
                <w:color w:val="auto"/>
                <w:kern w:val="0"/>
                <w:sz w:val="24"/>
                <w:highlight w:val="none"/>
                <w:lang w:val="en-US" w:eastAsia="zh-CN"/>
              </w:rPr>
              <w:t>完整、合理、</w:t>
            </w:r>
            <w:r>
              <w:rPr>
                <w:rFonts w:hint="eastAsia" w:ascii="仿宋" w:hAnsi="仿宋" w:eastAsia="仿宋" w:cs="仿宋"/>
                <w:color w:val="auto"/>
                <w:kern w:val="0"/>
                <w:sz w:val="24"/>
                <w:highlight w:val="none"/>
              </w:rPr>
              <w:t>可行、可靠</w:t>
            </w:r>
            <w:r>
              <w:rPr>
                <w:rFonts w:hint="eastAsia" w:ascii="仿宋" w:hAnsi="仿宋" w:eastAsia="仿宋" w:cs="仿宋"/>
                <w:color w:val="auto"/>
                <w:kern w:val="0"/>
                <w:sz w:val="24"/>
                <w:highlight w:val="none"/>
                <w:lang w:val="en-US" w:eastAsia="zh-CN"/>
              </w:rPr>
              <w:t>的最高得6分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评分范围：0，1，2，3，4，5，6</w:t>
            </w:r>
            <w:r>
              <w:rPr>
                <w:rFonts w:hint="eastAsia" w:ascii="仿宋" w:hAnsi="仿宋" w:eastAsia="仿宋" w:cs="仿宋"/>
                <w:color w:val="auto"/>
                <w:kern w:val="0"/>
                <w:sz w:val="24"/>
                <w:highlight w:val="none"/>
                <w:lang w:eastAsia="zh-CN"/>
              </w:rPr>
              <w:t>）</w:t>
            </w:r>
          </w:p>
        </w:tc>
        <w:tc>
          <w:tcPr>
            <w:tcW w:w="408" w:type="pct"/>
            <w:vMerge w:val="continue"/>
            <w:tcBorders>
              <w:top w:val="nil"/>
              <w:left w:val="single" w:color="auto" w:sz="4" w:space="0"/>
              <w:bottom w:val="single" w:color="auto" w:sz="4" w:space="0"/>
              <w:right w:val="single" w:color="auto" w:sz="4" w:space="0"/>
            </w:tcBorders>
            <w:vAlign w:val="center"/>
          </w:tcPr>
          <w:p w14:paraId="2DDC2D4C">
            <w:pPr>
              <w:widowControl/>
              <w:jc w:val="left"/>
              <w:rPr>
                <w:rFonts w:hint="eastAsia" w:ascii="仿宋" w:hAnsi="仿宋" w:eastAsia="仿宋" w:cs="仿宋"/>
                <w:color w:val="auto"/>
                <w:kern w:val="0"/>
                <w:sz w:val="24"/>
                <w:highlight w:val="none"/>
              </w:rPr>
            </w:pPr>
          </w:p>
        </w:tc>
      </w:tr>
      <w:tr w14:paraId="017E6E1F">
        <w:tblPrEx>
          <w:tblCellMar>
            <w:top w:w="0" w:type="dxa"/>
            <w:left w:w="108" w:type="dxa"/>
            <w:bottom w:w="0" w:type="dxa"/>
            <w:right w:w="108" w:type="dxa"/>
          </w:tblCellMar>
        </w:tblPrEx>
        <w:trPr>
          <w:trHeight w:val="629" w:hRule="atLeast"/>
          <w:jc w:val="center"/>
        </w:trPr>
        <w:tc>
          <w:tcPr>
            <w:tcW w:w="372" w:type="pct"/>
            <w:vMerge w:val="restart"/>
            <w:tcBorders>
              <w:top w:val="nil"/>
              <w:left w:val="single" w:color="auto" w:sz="4" w:space="0"/>
              <w:bottom w:val="single" w:color="auto" w:sz="4" w:space="0"/>
              <w:right w:val="single" w:color="auto" w:sz="4" w:space="0"/>
            </w:tcBorders>
            <w:shd w:val="clear" w:color="auto" w:fill="auto"/>
            <w:vAlign w:val="center"/>
          </w:tcPr>
          <w:p w14:paraId="298C1F9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821" w:type="pct"/>
            <w:vMerge w:val="restart"/>
            <w:tcBorders>
              <w:top w:val="nil"/>
              <w:left w:val="single" w:color="auto" w:sz="4" w:space="0"/>
              <w:bottom w:val="single" w:color="auto" w:sz="4" w:space="0"/>
              <w:right w:val="single" w:color="auto" w:sz="4" w:space="0"/>
            </w:tcBorders>
            <w:shd w:val="clear" w:color="auto" w:fill="auto"/>
            <w:vAlign w:val="center"/>
          </w:tcPr>
          <w:p w14:paraId="7FA3E24D">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项目实施方案</w:t>
            </w:r>
          </w:p>
        </w:tc>
        <w:tc>
          <w:tcPr>
            <w:tcW w:w="3397" w:type="pct"/>
            <w:tcBorders>
              <w:top w:val="nil"/>
              <w:left w:val="nil"/>
              <w:bottom w:val="single" w:color="auto" w:sz="4" w:space="0"/>
              <w:right w:val="single" w:color="auto" w:sz="4" w:space="0"/>
            </w:tcBorders>
            <w:shd w:val="clear" w:color="auto" w:fill="auto"/>
            <w:vAlign w:val="center"/>
          </w:tcPr>
          <w:p w14:paraId="4D2DA200">
            <w:pPr>
              <w:widowControl/>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主观分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1.针对项目各阶段进度安排合理，针对实施过程风险识别准确、应对方案有效的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评分范围：0，1，2，3）</w:t>
            </w:r>
          </w:p>
        </w:tc>
        <w:tc>
          <w:tcPr>
            <w:tcW w:w="408" w:type="pct"/>
            <w:vMerge w:val="restart"/>
            <w:tcBorders>
              <w:top w:val="nil"/>
              <w:left w:val="single" w:color="auto" w:sz="4" w:space="0"/>
              <w:bottom w:val="single" w:color="auto" w:sz="4" w:space="0"/>
              <w:right w:val="single" w:color="auto" w:sz="4" w:space="0"/>
            </w:tcBorders>
            <w:shd w:val="clear" w:color="auto" w:fill="auto"/>
            <w:vAlign w:val="center"/>
          </w:tcPr>
          <w:p w14:paraId="6AACC7EB">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16分</w:t>
            </w:r>
          </w:p>
        </w:tc>
      </w:tr>
      <w:tr w14:paraId="6D50BAE8">
        <w:tblPrEx>
          <w:tblCellMar>
            <w:top w:w="0" w:type="dxa"/>
            <w:left w:w="108" w:type="dxa"/>
            <w:bottom w:w="0" w:type="dxa"/>
            <w:right w:w="108" w:type="dxa"/>
          </w:tblCellMar>
        </w:tblPrEx>
        <w:trPr>
          <w:trHeight w:val="314" w:hRule="atLeast"/>
          <w:jc w:val="center"/>
        </w:trPr>
        <w:tc>
          <w:tcPr>
            <w:tcW w:w="372" w:type="pct"/>
            <w:vMerge w:val="continue"/>
            <w:tcBorders>
              <w:top w:val="nil"/>
              <w:left w:val="single" w:color="auto" w:sz="4" w:space="0"/>
              <w:bottom w:val="single" w:color="auto" w:sz="4" w:space="0"/>
              <w:right w:val="single" w:color="auto" w:sz="4" w:space="0"/>
            </w:tcBorders>
            <w:vAlign w:val="center"/>
          </w:tcPr>
          <w:p w14:paraId="6A535661">
            <w:pPr>
              <w:widowControl/>
              <w:jc w:val="left"/>
              <w:rPr>
                <w:rFonts w:hint="eastAsia" w:ascii="仿宋" w:hAnsi="仿宋" w:eastAsia="仿宋" w:cs="仿宋"/>
                <w:color w:val="auto"/>
                <w:kern w:val="0"/>
                <w:sz w:val="24"/>
                <w:highlight w:val="none"/>
              </w:rPr>
            </w:pPr>
          </w:p>
        </w:tc>
        <w:tc>
          <w:tcPr>
            <w:tcW w:w="821" w:type="pct"/>
            <w:vMerge w:val="continue"/>
            <w:tcBorders>
              <w:top w:val="nil"/>
              <w:left w:val="single" w:color="auto" w:sz="4" w:space="0"/>
              <w:bottom w:val="single" w:color="auto" w:sz="4" w:space="0"/>
              <w:right w:val="single" w:color="auto" w:sz="4" w:space="0"/>
            </w:tcBorders>
            <w:vAlign w:val="center"/>
          </w:tcPr>
          <w:p w14:paraId="1A25AD25">
            <w:pPr>
              <w:widowControl/>
              <w:jc w:val="left"/>
              <w:rPr>
                <w:rFonts w:hint="eastAsia" w:ascii="仿宋" w:hAnsi="仿宋" w:eastAsia="仿宋" w:cs="仿宋"/>
                <w:color w:val="auto"/>
                <w:kern w:val="0"/>
                <w:sz w:val="24"/>
                <w:highlight w:val="none"/>
              </w:rPr>
            </w:pPr>
          </w:p>
        </w:tc>
        <w:tc>
          <w:tcPr>
            <w:tcW w:w="3397" w:type="pct"/>
            <w:tcBorders>
              <w:top w:val="nil"/>
              <w:left w:val="nil"/>
              <w:bottom w:val="single" w:color="auto" w:sz="4" w:space="0"/>
              <w:right w:val="single" w:color="auto" w:sz="4" w:space="0"/>
            </w:tcBorders>
            <w:shd w:val="clear" w:color="auto" w:fill="auto"/>
            <w:vAlign w:val="center"/>
          </w:tcPr>
          <w:p w14:paraId="32702495">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主观分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2.项目实施方案是否完整，是否包含采购人招标需求的所有内容</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评分范围：0，1，2，3）</w:t>
            </w:r>
          </w:p>
        </w:tc>
        <w:tc>
          <w:tcPr>
            <w:tcW w:w="408" w:type="pct"/>
            <w:vMerge w:val="continue"/>
            <w:tcBorders>
              <w:top w:val="nil"/>
              <w:left w:val="single" w:color="auto" w:sz="4" w:space="0"/>
              <w:bottom w:val="single" w:color="auto" w:sz="4" w:space="0"/>
              <w:right w:val="single" w:color="auto" w:sz="4" w:space="0"/>
            </w:tcBorders>
            <w:vAlign w:val="center"/>
          </w:tcPr>
          <w:p w14:paraId="13382E31">
            <w:pPr>
              <w:widowControl/>
              <w:jc w:val="left"/>
              <w:rPr>
                <w:rFonts w:hint="eastAsia" w:ascii="仿宋" w:hAnsi="仿宋" w:eastAsia="仿宋" w:cs="仿宋"/>
                <w:color w:val="auto"/>
                <w:kern w:val="0"/>
                <w:sz w:val="24"/>
                <w:highlight w:val="none"/>
              </w:rPr>
            </w:pPr>
          </w:p>
        </w:tc>
      </w:tr>
      <w:tr w14:paraId="3DA920E4">
        <w:tblPrEx>
          <w:tblCellMar>
            <w:top w:w="0" w:type="dxa"/>
            <w:left w:w="108" w:type="dxa"/>
            <w:bottom w:w="0" w:type="dxa"/>
            <w:right w:w="108" w:type="dxa"/>
          </w:tblCellMar>
        </w:tblPrEx>
        <w:trPr>
          <w:trHeight w:val="629" w:hRule="atLeast"/>
          <w:jc w:val="center"/>
        </w:trPr>
        <w:tc>
          <w:tcPr>
            <w:tcW w:w="372" w:type="pct"/>
            <w:vMerge w:val="continue"/>
            <w:tcBorders>
              <w:top w:val="nil"/>
              <w:left w:val="single" w:color="auto" w:sz="4" w:space="0"/>
              <w:bottom w:val="single" w:color="auto" w:sz="4" w:space="0"/>
              <w:right w:val="single" w:color="auto" w:sz="4" w:space="0"/>
            </w:tcBorders>
            <w:vAlign w:val="center"/>
          </w:tcPr>
          <w:p w14:paraId="4D1F3D75">
            <w:pPr>
              <w:widowControl/>
              <w:jc w:val="left"/>
              <w:rPr>
                <w:rFonts w:hint="eastAsia" w:ascii="仿宋" w:hAnsi="仿宋" w:eastAsia="仿宋" w:cs="仿宋"/>
                <w:color w:val="auto"/>
                <w:kern w:val="0"/>
                <w:sz w:val="24"/>
                <w:highlight w:val="none"/>
              </w:rPr>
            </w:pPr>
          </w:p>
        </w:tc>
        <w:tc>
          <w:tcPr>
            <w:tcW w:w="821" w:type="pct"/>
            <w:vMerge w:val="continue"/>
            <w:tcBorders>
              <w:top w:val="nil"/>
              <w:left w:val="single" w:color="auto" w:sz="4" w:space="0"/>
              <w:bottom w:val="single" w:color="auto" w:sz="4" w:space="0"/>
              <w:right w:val="single" w:color="auto" w:sz="4" w:space="0"/>
            </w:tcBorders>
            <w:vAlign w:val="center"/>
          </w:tcPr>
          <w:p w14:paraId="42858FFD">
            <w:pPr>
              <w:widowControl/>
              <w:jc w:val="left"/>
              <w:rPr>
                <w:rFonts w:hint="eastAsia" w:ascii="仿宋" w:hAnsi="仿宋" w:eastAsia="仿宋" w:cs="仿宋"/>
                <w:color w:val="auto"/>
                <w:kern w:val="0"/>
                <w:sz w:val="24"/>
                <w:highlight w:val="none"/>
              </w:rPr>
            </w:pPr>
          </w:p>
        </w:tc>
        <w:tc>
          <w:tcPr>
            <w:tcW w:w="3397" w:type="pct"/>
            <w:tcBorders>
              <w:top w:val="nil"/>
              <w:left w:val="nil"/>
              <w:bottom w:val="single" w:color="auto" w:sz="4" w:space="0"/>
              <w:right w:val="single" w:color="auto" w:sz="4" w:space="0"/>
            </w:tcBorders>
            <w:shd w:val="clear" w:color="auto" w:fill="auto"/>
            <w:vAlign w:val="center"/>
          </w:tcPr>
          <w:p w14:paraId="18F1B8A0">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主观分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3.提出的功能测试、试运行及验收方案合理、可行的</w:t>
            </w:r>
            <w:r>
              <w:rPr>
                <w:rFonts w:hint="eastAsia" w:ascii="仿宋" w:hAnsi="仿宋" w:eastAsia="仿宋" w:cs="仿宋"/>
                <w:color w:val="auto"/>
                <w:kern w:val="0"/>
                <w:sz w:val="24"/>
                <w:highlight w:val="none"/>
                <w:lang w:val="en-US" w:eastAsia="zh-CN"/>
              </w:rPr>
              <w:t>的最高得5分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评分范围：0，1，2，3，4，5</w:t>
            </w:r>
            <w:r>
              <w:rPr>
                <w:rFonts w:hint="eastAsia" w:ascii="仿宋" w:hAnsi="仿宋" w:eastAsia="仿宋" w:cs="仿宋"/>
                <w:color w:val="auto"/>
                <w:kern w:val="0"/>
                <w:sz w:val="24"/>
                <w:highlight w:val="none"/>
                <w:lang w:eastAsia="zh-CN"/>
              </w:rPr>
              <w:t>）</w:t>
            </w:r>
          </w:p>
        </w:tc>
        <w:tc>
          <w:tcPr>
            <w:tcW w:w="408" w:type="pct"/>
            <w:vMerge w:val="continue"/>
            <w:tcBorders>
              <w:top w:val="nil"/>
              <w:left w:val="single" w:color="auto" w:sz="4" w:space="0"/>
              <w:bottom w:val="single" w:color="auto" w:sz="4" w:space="0"/>
              <w:right w:val="single" w:color="auto" w:sz="4" w:space="0"/>
            </w:tcBorders>
            <w:vAlign w:val="center"/>
          </w:tcPr>
          <w:p w14:paraId="0C449231">
            <w:pPr>
              <w:widowControl/>
              <w:jc w:val="left"/>
              <w:rPr>
                <w:rFonts w:hint="eastAsia" w:ascii="仿宋" w:hAnsi="仿宋" w:eastAsia="仿宋" w:cs="仿宋"/>
                <w:color w:val="auto"/>
                <w:kern w:val="0"/>
                <w:sz w:val="24"/>
                <w:highlight w:val="none"/>
              </w:rPr>
            </w:pPr>
          </w:p>
        </w:tc>
      </w:tr>
      <w:tr w14:paraId="71B14E61">
        <w:tblPrEx>
          <w:tblCellMar>
            <w:top w:w="0" w:type="dxa"/>
            <w:left w:w="108" w:type="dxa"/>
            <w:bottom w:w="0" w:type="dxa"/>
            <w:right w:w="108" w:type="dxa"/>
          </w:tblCellMar>
        </w:tblPrEx>
        <w:trPr>
          <w:trHeight w:val="629" w:hRule="atLeast"/>
          <w:jc w:val="center"/>
        </w:trPr>
        <w:tc>
          <w:tcPr>
            <w:tcW w:w="372" w:type="pct"/>
            <w:vMerge w:val="continue"/>
            <w:tcBorders>
              <w:top w:val="nil"/>
              <w:left w:val="single" w:color="auto" w:sz="4" w:space="0"/>
              <w:bottom w:val="single" w:color="auto" w:sz="4" w:space="0"/>
              <w:right w:val="single" w:color="auto" w:sz="4" w:space="0"/>
            </w:tcBorders>
            <w:vAlign w:val="center"/>
          </w:tcPr>
          <w:p w14:paraId="1C5FA26C">
            <w:pPr>
              <w:widowControl/>
              <w:jc w:val="left"/>
              <w:rPr>
                <w:rFonts w:hint="eastAsia" w:ascii="仿宋" w:hAnsi="仿宋" w:eastAsia="仿宋" w:cs="仿宋"/>
                <w:color w:val="auto"/>
                <w:kern w:val="0"/>
                <w:sz w:val="24"/>
                <w:highlight w:val="none"/>
              </w:rPr>
            </w:pPr>
          </w:p>
        </w:tc>
        <w:tc>
          <w:tcPr>
            <w:tcW w:w="821" w:type="pct"/>
            <w:vMerge w:val="continue"/>
            <w:tcBorders>
              <w:top w:val="nil"/>
              <w:left w:val="single" w:color="auto" w:sz="4" w:space="0"/>
              <w:bottom w:val="single" w:color="auto" w:sz="4" w:space="0"/>
              <w:right w:val="single" w:color="auto" w:sz="4" w:space="0"/>
            </w:tcBorders>
            <w:vAlign w:val="center"/>
          </w:tcPr>
          <w:p w14:paraId="1BE6C9AD">
            <w:pPr>
              <w:widowControl/>
              <w:jc w:val="left"/>
              <w:rPr>
                <w:rFonts w:hint="eastAsia" w:ascii="仿宋" w:hAnsi="仿宋" w:eastAsia="仿宋" w:cs="仿宋"/>
                <w:color w:val="auto"/>
                <w:kern w:val="0"/>
                <w:sz w:val="24"/>
                <w:highlight w:val="none"/>
              </w:rPr>
            </w:pPr>
          </w:p>
        </w:tc>
        <w:tc>
          <w:tcPr>
            <w:tcW w:w="3397" w:type="pct"/>
            <w:tcBorders>
              <w:top w:val="nil"/>
              <w:left w:val="nil"/>
              <w:bottom w:val="single" w:color="auto" w:sz="4" w:space="0"/>
              <w:right w:val="single" w:color="auto" w:sz="4" w:space="0"/>
            </w:tcBorders>
            <w:shd w:val="clear" w:color="auto" w:fill="auto"/>
            <w:vAlign w:val="center"/>
          </w:tcPr>
          <w:p w14:paraId="7FD3AD69">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主观分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提供的项目质量目标及保障项目质量的措施科学、可行及完善的</w:t>
            </w:r>
            <w:r>
              <w:rPr>
                <w:rFonts w:hint="eastAsia" w:ascii="仿宋" w:hAnsi="仿宋" w:eastAsia="仿宋" w:cs="仿宋"/>
                <w:color w:val="auto"/>
                <w:kern w:val="0"/>
                <w:sz w:val="24"/>
                <w:highlight w:val="none"/>
                <w:lang w:val="en-US" w:eastAsia="zh-CN"/>
              </w:rPr>
              <w:t>的最高得5分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评分范围：0，1，2，3，4，5</w:t>
            </w:r>
            <w:r>
              <w:rPr>
                <w:rFonts w:hint="eastAsia" w:ascii="仿宋" w:hAnsi="仿宋" w:eastAsia="仿宋" w:cs="仿宋"/>
                <w:color w:val="auto"/>
                <w:kern w:val="0"/>
                <w:sz w:val="24"/>
                <w:highlight w:val="none"/>
                <w:lang w:eastAsia="zh-CN"/>
              </w:rPr>
              <w:t>）</w:t>
            </w:r>
          </w:p>
        </w:tc>
        <w:tc>
          <w:tcPr>
            <w:tcW w:w="408" w:type="pct"/>
            <w:vMerge w:val="continue"/>
            <w:tcBorders>
              <w:top w:val="nil"/>
              <w:left w:val="single" w:color="auto" w:sz="4" w:space="0"/>
              <w:bottom w:val="single" w:color="auto" w:sz="4" w:space="0"/>
              <w:right w:val="single" w:color="auto" w:sz="4" w:space="0"/>
            </w:tcBorders>
            <w:vAlign w:val="center"/>
          </w:tcPr>
          <w:p w14:paraId="76B0A4DB">
            <w:pPr>
              <w:widowControl/>
              <w:jc w:val="left"/>
              <w:rPr>
                <w:rFonts w:hint="eastAsia" w:ascii="仿宋" w:hAnsi="仿宋" w:eastAsia="仿宋" w:cs="仿宋"/>
                <w:color w:val="auto"/>
                <w:kern w:val="0"/>
                <w:sz w:val="24"/>
                <w:highlight w:val="none"/>
              </w:rPr>
            </w:pPr>
          </w:p>
        </w:tc>
      </w:tr>
      <w:tr w14:paraId="6027FB4B">
        <w:tblPrEx>
          <w:tblCellMar>
            <w:top w:w="0" w:type="dxa"/>
            <w:left w:w="108" w:type="dxa"/>
            <w:bottom w:w="0" w:type="dxa"/>
            <w:right w:w="108" w:type="dxa"/>
          </w:tblCellMar>
        </w:tblPrEx>
        <w:trPr>
          <w:trHeight w:val="314" w:hRule="atLeast"/>
          <w:jc w:val="center"/>
        </w:trPr>
        <w:tc>
          <w:tcPr>
            <w:tcW w:w="372" w:type="pct"/>
            <w:vMerge w:val="restart"/>
            <w:tcBorders>
              <w:top w:val="nil"/>
              <w:left w:val="single" w:color="auto" w:sz="4" w:space="0"/>
              <w:bottom w:val="single" w:color="auto" w:sz="4" w:space="0"/>
              <w:right w:val="single" w:color="auto" w:sz="4" w:space="0"/>
            </w:tcBorders>
            <w:shd w:val="clear" w:color="auto" w:fill="auto"/>
            <w:vAlign w:val="center"/>
          </w:tcPr>
          <w:p w14:paraId="3A18E3F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821" w:type="pct"/>
            <w:vMerge w:val="restart"/>
            <w:tcBorders>
              <w:top w:val="nil"/>
              <w:left w:val="single" w:color="auto" w:sz="4" w:space="0"/>
              <w:bottom w:val="single" w:color="auto" w:sz="4" w:space="0"/>
              <w:right w:val="single" w:color="auto" w:sz="4" w:space="0"/>
            </w:tcBorders>
            <w:shd w:val="clear" w:color="auto" w:fill="auto"/>
            <w:vAlign w:val="center"/>
          </w:tcPr>
          <w:p w14:paraId="67ED3C09">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开发管理工具</w:t>
            </w:r>
          </w:p>
        </w:tc>
        <w:tc>
          <w:tcPr>
            <w:tcW w:w="3397" w:type="pct"/>
            <w:tcBorders>
              <w:top w:val="nil"/>
              <w:left w:val="nil"/>
              <w:bottom w:val="single" w:color="auto" w:sz="4" w:space="0"/>
              <w:right w:val="single" w:color="auto" w:sz="4" w:space="0"/>
            </w:tcBorders>
            <w:shd w:val="clear" w:color="auto" w:fill="auto"/>
            <w:vAlign w:val="center"/>
          </w:tcPr>
          <w:p w14:paraId="13251AE9">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客观分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1.能提供合理的系统前台和后台开发工具的得3分，未提供不得分。</w:t>
            </w:r>
          </w:p>
        </w:tc>
        <w:tc>
          <w:tcPr>
            <w:tcW w:w="408" w:type="pct"/>
            <w:vMerge w:val="restart"/>
            <w:tcBorders>
              <w:top w:val="nil"/>
              <w:left w:val="single" w:color="auto" w:sz="4" w:space="0"/>
              <w:bottom w:val="single" w:color="auto" w:sz="4" w:space="0"/>
              <w:right w:val="single" w:color="auto" w:sz="4" w:space="0"/>
            </w:tcBorders>
            <w:shd w:val="clear" w:color="auto" w:fill="auto"/>
            <w:vAlign w:val="center"/>
          </w:tcPr>
          <w:p w14:paraId="118616D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6分</w:t>
            </w:r>
          </w:p>
        </w:tc>
      </w:tr>
      <w:tr w14:paraId="04F72CF6">
        <w:tblPrEx>
          <w:tblCellMar>
            <w:top w:w="0" w:type="dxa"/>
            <w:left w:w="108" w:type="dxa"/>
            <w:bottom w:w="0" w:type="dxa"/>
            <w:right w:w="108" w:type="dxa"/>
          </w:tblCellMar>
        </w:tblPrEx>
        <w:trPr>
          <w:trHeight w:val="314" w:hRule="atLeast"/>
          <w:jc w:val="center"/>
        </w:trPr>
        <w:tc>
          <w:tcPr>
            <w:tcW w:w="372" w:type="pct"/>
            <w:vMerge w:val="continue"/>
            <w:tcBorders>
              <w:top w:val="nil"/>
              <w:left w:val="single" w:color="auto" w:sz="4" w:space="0"/>
              <w:bottom w:val="single" w:color="auto" w:sz="4" w:space="0"/>
              <w:right w:val="single" w:color="auto" w:sz="4" w:space="0"/>
            </w:tcBorders>
            <w:vAlign w:val="center"/>
          </w:tcPr>
          <w:p w14:paraId="78E0525F">
            <w:pPr>
              <w:widowControl/>
              <w:jc w:val="left"/>
              <w:rPr>
                <w:rFonts w:hint="eastAsia" w:ascii="仿宋" w:hAnsi="仿宋" w:eastAsia="仿宋" w:cs="仿宋"/>
                <w:color w:val="auto"/>
                <w:kern w:val="0"/>
                <w:sz w:val="24"/>
                <w:highlight w:val="none"/>
              </w:rPr>
            </w:pPr>
          </w:p>
        </w:tc>
        <w:tc>
          <w:tcPr>
            <w:tcW w:w="821" w:type="pct"/>
            <w:vMerge w:val="continue"/>
            <w:tcBorders>
              <w:top w:val="nil"/>
              <w:left w:val="single" w:color="auto" w:sz="4" w:space="0"/>
              <w:bottom w:val="single" w:color="auto" w:sz="4" w:space="0"/>
              <w:right w:val="single" w:color="auto" w:sz="4" w:space="0"/>
            </w:tcBorders>
            <w:vAlign w:val="center"/>
          </w:tcPr>
          <w:p w14:paraId="50C4F674">
            <w:pPr>
              <w:widowControl/>
              <w:jc w:val="left"/>
              <w:rPr>
                <w:rFonts w:hint="eastAsia" w:ascii="仿宋" w:hAnsi="仿宋" w:eastAsia="仿宋" w:cs="仿宋"/>
                <w:color w:val="auto"/>
                <w:kern w:val="0"/>
                <w:sz w:val="24"/>
                <w:highlight w:val="none"/>
              </w:rPr>
            </w:pPr>
          </w:p>
        </w:tc>
        <w:tc>
          <w:tcPr>
            <w:tcW w:w="3397" w:type="pct"/>
            <w:tcBorders>
              <w:top w:val="nil"/>
              <w:left w:val="nil"/>
              <w:bottom w:val="single" w:color="auto" w:sz="4" w:space="0"/>
              <w:right w:val="single" w:color="auto" w:sz="4" w:space="0"/>
            </w:tcBorders>
            <w:shd w:val="clear" w:color="auto" w:fill="auto"/>
            <w:vAlign w:val="center"/>
          </w:tcPr>
          <w:p w14:paraId="2F2FA85E">
            <w:pPr>
              <w:widowControl/>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客观分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2.在软件工程中提供软件需求、数据建模、项目管理、系统测试等工具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每提供一项工具得0.5分，最高得3分。</w:t>
            </w:r>
          </w:p>
        </w:tc>
        <w:tc>
          <w:tcPr>
            <w:tcW w:w="408" w:type="pct"/>
            <w:vMerge w:val="continue"/>
            <w:tcBorders>
              <w:top w:val="nil"/>
              <w:left w:val="single" w:color="auto" w:sz="4" w:space="0"/>
              <w:bottom w:val="single" w:color="auto" w:sz="4" w:space="0"/>
              <w:right w:val="single" w:color="auto" w:sz="4" w:space="0"/>
            </w:tcBorders>
            <w:vAlign w:val="center"/>
          </w:tcPr>
          <w:p w14:paraId="525AEB06">
            <w:pPr>
              <w:widowControl/>
              <w:jc w:val="left"/>
              <w:rPr>
                <w:rFonts w:hint="eastAsia" w:ascii="仿宋" w:hAnsi="仿宋" w:eastAsia="仿宋" w:cs="仿宋"/>
                <w:color w:val="auto"/>
                <w:kern w:val="0"/>
                <w:sz w:val="24"/>
                <w:highlight w:val="none"/>
              </w:rPr>
            </w:pPr>
          </w:p>
        </w:tc>
      </w:tr>
      <w:tr w14:paraId="6954D65C">
        <w:tblPrEx>
          <w:tblCellMar>
            <w:top w:w="0" w:type="dxa"/>
            <w:left w:w="108" w:type="dxa"/>
            <w:bottom w:w="0" w:type="dxa"/>
            <w:right w:w="108" w:type="dxa"/>
          </w:tblCellMar>
        </w:tblPrEx>
        <w:trPr>
          <w:trHeight w:val="629" w:hRule="atLeast"/>
          <w:jc w:val="center"/>
        </w:trPr>
        <w:tc>
          <w:tcPr>
            <w:tcW w:w="372" w:type="pct"/>
            <w:vMerge w:val="restart"/>
            <w:tcBorders>
              <w:top w:val="nil"/>
              <w:left w:val="single" w:color="auto" w:sz="4" w:space="0"/>
              <w:bottom w:val="single" w:color="auto" w:sz="4" w:space="0"/>
              <w:right w:val="single" w:color="auto" w:sz="4" w:space="0"/>
            </w:tcBorders>
            <w:shd w:val="clear" w:color="auto" w:fill="auto"/>
            <w:vAlign w:val="center"/>
          </w:tcPr>
          <w:p w14:paraId="4312EFFB">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821" w:type="pct"/>
            <w:vMerge w:val="restart"/>
            <w:tcBorders>
              <w:top w:val="nil"/>
              <w:left w:val="single" w:color="auto" w:sz="4" w:space="0"/>
              <w:bottom w:val="single" w:color="auto" w:sz="4" w:space="0"/>
              <w:right w:val="single" w:color="auto" w:sz="4" w:space="0"/>
            </w:tcBorders>
            <w:shd w:val="clear" w:color="auto" w:fill="auto"/>
            <w:vAlign w:val="center"/>
          </w:tcPr>
          <w:p w14:paraId="488D3591">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人员配备</w:t>
            </w:r>
          </w:p>
        </w:tc>
        <w:tc>
          <w:tcPr>
            <w:tcW w:w="3397" w:type="pct"/>
            <w:tcBorders>
              <w:top w:val="nil"/>
              <w:left w:val="nil"/>
              <w:bottom w:val="single" w:color="auto" w:sz="4" w:space="0"/>
              <w:right w:val="single" w:color="auto" w:sz="4" w:space="0"/>
            </w:tcBorders>
            <w:shd w:val="clear" w:color="auto" w:fill="auto"/>
            <w:vAlign w:val="center"/>
          </w:tcPr>
          <w:p w14:paraId="6D394F6A">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客观分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1.项目负责人：</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在本项目应配备1名项目负责人。项目负责人具有信息系统项目管理师证书且具有全日制本科及以上学历证书的得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p>
          <w:p w14:paraId="6C4CDD28">
            <w:pPr>
              <w:widowControl/>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zh-CN"/>
              </w:rPr>
              <w:t>注：</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文件中须提供有效的证书扫描件并加盖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公章，项目负责人另需提供近期</w:t>
            </w:r>
            <w:r>
              <w:rPr>
                <w:rFonts w:hint="eastAsia" w:ascii="仿宋" w:hAnsi="仿宋" w:eastAsia="仿宋" w:cs="仿宋"/>
                <w:color w:val="auto"/>
                <w:sz w:val="24"/>
                <w:highlight w:val="none"/>
                <w:lang w:val="en-US" w:eastAsia="zh-CN"/>
              </w:rPr>
              <w:t>最近三个月任意一个月</w:t>
            </w:r>
            <w:r>
              <w:rPr>
                <w:rFonts w:hint="eastAsia" w:ascii="仿宋" w:hAnsi="仿宋" w:eastAsia="仿宋" w:cs="仿宋"/>
                <w:color w:val="auto"/>
                <w:sz w:val="24"/>
                <w:highlight w:val="none"/>
              </w:rPr>
              <w:t>公司缴纳社保的证明文件或相应的缴纳公积金证明。</w:t>
            </w:r>
          </w:p>
        </w:tc>
        <w:tc>
          <w:tcPr>
            <w:tcW w:w="408" w:type="pct"/>
            <w:vMerge w:val="restart"/>
            <w:tcBorders>
              <w:top w:val="nil"/>
              <w:left w:val="single" w:color="auto" w:sz="4" w:space="0"/>
              <w:bottom w:val="single" w:color="auto" w:sz="4" w:space="0"/>
              <w:right w:val="single" w:color="auto" w:sz="4" w:space="0"/>
            </w:tcBorders>
            <w:shd w:val="clear" w:color="auto" w:fill="auto"/>
            <w:vAlign w:val="center"/>
          </w:tcPr>
          <w:p w14:paraId="5BCD2D6F">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8分</w:t>
            </w:r>
          </w:p>
        </w:tc>
      </w:tr>
      <w:tr w14:paraId="2EA99D27">
        <w:tblPrEx>
          <w:tblCellMar>
            <w:top w:w="0" w:type="dxa"/>
            <w:left w:w="108" w:type="dxa"/>
            <w:bottom w:w="0" w:type="dxa"/>
            <w:right w:w="108" w:type="dxa"/>
          </w:tblCellMar>
        </w:tblPrEx>
        <w:trPr>
          <w:trHeight w:val="1575" w:hRule="atLeast"/>
          <w:jc w:val="center"/>
        </w:trPr>
        <w:tc>
          <w:tcPr>
            <w:tcW w:w="372" w:type="pct"/>
            <w:vMerge w:val="continue"/>
            <w:tcBorders>
              <w:top w:val="nil"/>
              <w:left w:val="single" w:color="auto" w:sz="4" w:space="0"/>
              <w:bottom w:val="single" w:color="auto" w:sz="4" w:space="0"/>
              <w:right w:val="single" w:color="auto" w:sz="4" w:space="0"/>
            </w:tcBorders>
            <w:vAlign w:val="center"/>
          </w:tcPr>
          <w:p w14:paraId="76B07BDC">
            <w:pPr>
              <w:widowControl/>
              <w:jc w:val="left"/>
              <w:rPr>
                <w:rFonts w:hint="eastAsia" w:ascii="仿宋" w:hAnsi="仿宋" w:eastAsia="仿宋" w:cs="仿宋"/>
                <w:color w:val="auto"/>
                <w:kern w:val="0"/>
                <w:sz w:val="24"/>
                <w:highlight w:val="none"/>
              </w:rPr>
            </w:pPr>
          </w:p>
        </w:tc>
        <w:tc>
          <w:tcPr>
            <w:tcW w:w="821" w:type="pct"/>
            <w:vMerge w:val="continue"/>
            <w:tcBorders>
              <w:top w:val="nil"/>
              <w:left w:val="single" w:color="auto" w:sz="4" w:space="0"/>
              <w:bottom w:val="single" w:color="auto" w:sz="4" w:space="0"/>
              <w:right w:val="single" w:color="auto" w:sz="4" w:space="0"/>
            </w:tcBorders>
            <w:vAlign w:val="center"/>
          </w:tcPr>
          <w:p w14:paraId="6B8C8B19">
            <w:pPr>
              <w:widowControl/>
              <w:jc w:val="left"/>
              <w:rPr>
                <w:rFonts w:hint="eastAsia" w:ascii="仿宋" w:hAnsi="仿宋" w:eastAsia="仿宋" w:cs="仿宋"/>
                <w:color w:val="auto"/>
                <w:kern w:val="0"/>
                <w:sz w:val="24"/>
                <w:highlight w:val="none"/>
              </w:rPr>
            </w:pPr>
          </w:p>
        </w:tc>
        <w:tc>
          <w:tcPr>
            <w:tcW w:w="3397" w:type="pct"/>
            <w:tcBorders>
              <w:top w:val="nil"/>
              <w:left w:val="nil"/>
              <w:bottom w:val="single" w:color="auto" w:sz="4" w:space="0"/>
              <w:right w:val="single" w:color="auto" w:sz="4" w:space="0"/>
            </w:tcBorders>
            <w:shd w:val="clear" w:color="auto" w:fill="auto"/>
            <w:vAlign w:val="center"/>
          </w:tcPr>
          <w:p w14:paraId="09C138BE">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客观分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2.项目团队人员：</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拟投入本项目的其他人员具备系统架构设计师、软件设计师、软件测评师、数据库系统工程师、系统集成项目管理工程师，每个类别得1分，最高</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分。须提供相关人员的有效证书复印件，否则不得分。</w:t>
            </w:r>
            <w:r>
              <w:rPr>
                <w:rFonts w:hint="eastAsia" w:ascii="仿宋" w:hAnsi="仿宋" w:eastAsia="仿宋" w:cs="仿宋"/>
                <w:color w:val="auto"/>
                <w:kern w:val="0"/>
                <w:sz w:val="24"/>
                <w:highlight w:val="none"/>
              </w:rPr>
              <w:br w:type="textWrapping"/>
            </w:r>
            <w:r>
              <w:rPr>
                <w:rFonts w:hint="eastAsia" w:ascii="仿宋" w:hAnsi="仿宋" w:eastAsia="仿宋" w:cs="仿宋"/>
                <w:b/>
                <w:bCs/>
                <w:color w:val="auto"/>
                <w:kern w:val="0"/>
                <w:sz w:val="24"/>
                <w:highlight w:val="none"/>
              </w:rPr>
              <w:t>（若其中1人同时具有多个证书以一证计，不累计得分）</w:t>
            </w:r>
          </w:p>
        </w:tc>
        <w:tc>
          <w:tcPr>
            <w:tcW w:w="408" w:type="pct"/>
            <w:vMerge w:val="continue"/>
            <w:tcBorders>
              <w:top w:val="nil"/>
              <w:left w:val="single" w:color="auto" w:sz="4" w:space="0"/>
              <w:bottom w:val="single" w:color="auto" w:sz="4" w:space="0"/>
              <w:right w:val="single" w:color="auto" w:sz="4" w:space="0"/>
            </w:tcBorders>
            <w:vAlign w:val="center"/>
          </w:tcPr>
          <w:p w14:paraId="54AA91D6">
            <w:pPr>
              <w:widowControl/>
              <w:jc w:val="left"/>
              <w:rPr>
                <w:rFonts w:hint="eastAsia" w:ascii="仿宋" w:hAnsi="仿宋" w:eastAsia="仿宋" w:cs="仿宋"/>
                <w:color w:val="auto"/>
                <w:kern w:val="0"/>
                <w:sz w:val="24"/>
                <w:highlight w:val="none"/>
              </w:rPr>
            </w:pPr>
          </w:p>
        </w:tc>
      </w:tr>
      <w:tr w14:paraId="670F943D">
        <w:tblPrEx>
          <w:tblCellMar>
            <w:top w:w="0" w:type="dxa"/>
            <w:left w:w="108" w:type="dxa"/>
            <w:bottom w:w="0" w:type="dxa"/>
            <w:right w:w="108" w:type="dxa"/>
          </w:tblCellMar>
        </w:tblPrEx>
        <w:trPr>
          <w:trHeight w:val="945"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14:paraId="3BFEB5EA">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821" w:type="pct"/>
            <w:tcBorders>
              <w:top w:val="nil"/>
              <w:left w:val="nil"/>
              <w:bottom w:val="single" w:color="auto" w:sz="4" w:space="0"/>
              <w:right w:val="single" w:color="auto" w:sz="4" w:space="0"/>
            </w:tcBorders>
            <w:shd w:val="clear" w:color="auto" w:fill="auto"/>
            <w:vAlign w:val="center"/>
          </w:tcPr>
          <w:p w14:paraId="3595963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售后服务</w:t>
            </w:r>
          </w:p>
        </w:tc>
        <w:tc>
          <w:tcPr>
            <w:tcW w:w="3397" w:type="pct"/>
            <w:tcBorders>
              <w:top w:val="nil"/>
              <w:left w:val="nil"/>
              <w:bottom w:val="single" w:color="auto" w:sz="4" w:space="0"/>
              <w:right w:val="single" w:color="auto" w:sz="4" w:space="0"/>
            </w:tcBorders>
            <w:shd w:val="clear" w:color="auto" w:fill="auto"/>
            <w:vAlign w:val="center"/>
          </w:tcPr>
          <w:p w14:paraId="46AFBAE1">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主观分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lang w:val="zh-CN"/>
              </w:rPr>
              <w:t>根据供应商提供的售后服务方案、服务方式、软件升级、客户化修改及售后巡检服务、现场响应等方面</w:t>
            </w:r>
            <w:r>
              <w:rPr>
                <w:rFonts w:hint="eastAsia" w:ascii="仿宋" w:hAnsi="仿宋" w:eastAsia="仿宋" w:cs="仿宋"/>
                <w:color w:val="auto"/>
                <w:sz w:val="24"/>
                <w:highlight w:val="none"/>
                <w:lang w:val="en-US" w:eastAsia="zh-CN"/>
              </w:rPr>
              <w:t>的完整性、合理性</w:t>
            </w:r>
            <w:r>
              <w:rPr>
                <w:rFonts w:hint="eastAsia" w:ascii="仿宋" w:hAnsi="仿宋" w:eastAsia="仿宋" w:cs="仿宋"/>
                <w:color w:val="auto"/>
                <w:sz w:val="24"/>
                <w:highlight w:val="none"/>
                <w:lang w:val="zh-CN"/>
              </w:rPr>
              <w:t>进行打分。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评分范围：0，1，2，3，4，5</w:t>
            </w:r>
            <w:r>
              <w:rPr>
                <w:rFonts w:hint="eastAsia" w:ascii="仿宋" w:hAnsi="仿宋" w:eastAsia="仿宋" w:cs="仿宋"/>
                <w:color w:val="auto"/>
                <w:kern w:val="0"/>
                <w:sz w:val="24"/>
                <w:highlight w:val="none"/>
                <w:lang w:eastAsia="zh-CN"/>
              </w:rPr>
              <w:t>）</w:t>
            </w:r>
          </w:p>
        </w:tc>
        <w:tc>
          <w:tcPr>
            <w:tcW w:w="408" w:type="pct"/>
            <w:tcBorders>
              <w:top w:val="nil"/>
              <w:left w:val="single" w:color="auto" w:sz="4" w:space="0"/>
              <w:bottom w:val="single" w:color="auto" w:sz="4" w:space="0"/>
              <w:right w:val="single" w:color="auto" w:sz="4" w:space="0"/>
            </w:tcBorders>
            <w:shd w:val="clear" w:color="auto" w:fill="auto"/>
            <w:vAlign w:val="center"/>
          </w:tcPr>
          <w:p w14:paraId="5EA124D9">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5分</w:t>
            </w:r>
          </w:p>
        </w:tc>
      </w:tr>
      <w:tr w14:paraId="6EBC8452">
        <w:tblPrEx>
          <w:tblCellMar>
            <w:top w:w="0" w:type="dxa"/>
            <w:left w:w="108" w:type="dxa"/>
            <w:bottom w:w="0" w:type="dxa"/>
            <w:right w:w="108" w:type="dxa"/>
          </w:tblCellMar>
        </w:tblPrEx>
        <w:trPr>
          <w:trHeight w:val="945"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14:paraId="5BB6C838">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821" w:type="pct"/>
            <w:tcBorders>
              <w:top w:val="nil"/>
              <w:left w:val="nil"/>
              <w:bottom w:val="single" w:color="auto" w:sz="4" w:space="0"/>
              <w:right w:val="single" w:color="auto" w:sz="4" w:space="0"/>
            </w:tcBorders>
            <w:shd w:val="clear" w:color="auto" w:fill="auto"/>
            <w:vAlign w:val="center"/>
          </w:tcPr>
          <w:p w14:paraId="0E2BE0F1">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培训计划</w:t>
            </w:r>
          </w:p>
        </w:tc>
        <w:tc>
          <w:tcPr>
            <w:tcW w:w="3397" w:type="pct"/>
            <w:tcBorders>
              <w:top w:val="nil"/>
              <w:left w:val="nil"/>
              <w:bottom w:val="single" w:color="auto" w:sz="4" w:space="0"/>
              <w:right w:val="single" w:color="auto" w:sz="4" w:space="0"/>
            </w:tcBorders>
            <w:shd w:val="clear" w:color="auto" w:fill="auto"/>
            <w:vAlign w:val="center"/>
          </w:tcPr>
          <w:p w14:paraId="446133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主观分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培训计划较详细、全面、可行，能够对项目的使用对象提供全面的培训的得5分；培训计划及措施基本可行的得3分；培训计划及措施较粗略，可行性较差的得1分。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评分范围：0，1，3，5</w:t>
            </w:r>
            <w:r>
              <w:rPr>
                <w:rFonts w:hint="eastAsia" w:ascii="仿宋" w:hAnsi="仿宋" w:eastAsia="仿宋" w:cs="仿宋"/>
                <w:color w:val="auto"/>
                <w:kern w:val="0"/>
                <w:sz w:val="24"/>
                <w:highlight w:val="none"/>
                <w:lang w:eastAsia="zh-CN"/>
              </w:rPr>
              <w:t>）</w:t>
            </w:r>
          </w:p>
        </w:tc>
        <w:tc>
          <w:tcPr>
            <w:tcW w:w="408" w:type="pct"/>
            <w:tcBorders>
              <w:top w:val="nil"/>
              <w:left w:val="single" w:color="auto" w:sz="4" w:space="0"/>
              <w:bottom w:val="single" w:color="auto" w:sz="4" w:space="0"/>
              <w:right w:val="single" w:color="auto" w:sz="4" w:space="0"/>
            </w:tcBorders>
            <w:shd w:val="clear" w:color="auto" w:fill="auto"/>
            <w:vAlign w:val="center"/>
          </w:tcPr>
          <w:p w14:paraId="600D066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5分</w:t>
            </w:r>
          </w:p>
        </w:tc>
      </w:tr>
      <w:tr w14:paraId="6CB588F5">
        <w:tblPrEx>
          <w:tblCellMar>
            <w:top w:w="0" w:type="dxa"/>
            <w:left w:w="108" w:type="dxa"/>
            <w:bottom w:w="0" w:type="dxa"/>
            <w:right w:w="108" w:type="dxa"/>
          </w:tblCellMar>
        </w:tblPrEx>
        <w:trPr>
          <w:trHeight w:val="1891"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14:paraId="512D403D">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821" w:type="pct"/>
            <w:tcBorders>
              <w:top w:val="nil"/>
              <w:left w:val="nil"/>
              <w:bottom w:val="single" w:color="auto" w:sz="4" w:space="0"/>
              <w:right w:val="single" w:color="auto" w:sz="4" w:space="0"/>
            </w:tcBorders>
            <w:shd w:val="clear" w:color="auto" w:fill="auto"/>
            <w:vAlign w:val="center"/>
          </w:tcPr>
          <w:p w14:paraId="5006472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企业资质认证</w:t>
            </w:r>
          </w:p>
        </w:tc>
        <w:tc>
          <w:tcPr>
            <w:tcW w:w="3397" w:type="pct"/>
            <w:tcBorders>
              <w:top w:val="nil"/>
              <w:left w:val="nil"/>
              <w:bottom w:val="single" w:color="auto" w:sz="4" w:space="0"/>
              <w:right w:val="single" w:color="auto" w:sz="4" w:space="0"/>
            </w:tcBorders>
            <w:shd w:val="clear" w:color="auto" w:fill="auto"/>
            <w:vAlign w:val="center"/>
          </w:tcPr>
          <w:p w14:paraId="7CA799DA">
            <w:pPr>
              <w:widowControl/>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客观分</w:t>
            </w:r>
            <w:r>
              <w:rPr>
                <w:rFonts w:hint="eastAsia" w:ascii="仿宋" w:hAnsi="仿宋" w:eastAsia="仿宋" w:cs="仿宋"/>
                <w:color w:val="auto"/>
                <w:kern w:val="0"/>
                <w:sz w:val="24"/>
                <w:highlight w:val="none"/>
                <w:lang w:eastAsia="zh-CN"/>
              </w:rPr>
              <w:t>】</w:t>
            </w:r>
          </w:p>
          <w:p w14:paraId="1BE407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具有采购全流程管理系统采购项目相关系统软件著作权的得2分，不提供不得分</w:t>
            </w:r>
          </w:p>
          <w:p w14:paraId="160FB1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提供ISO9001质量管理体系认证得1分，不提供的不得分。</w:t>
            </w:r>
          </w:p>
          <w:p w14:paraId="731AAA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提供ISO27001信息安全管理体系认证得1分，不提供的不得分。</w:t>
            </w:r>
          </w:p>
          <w:p w14:paraId="53279D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具有知识产权管理体系认证证书的得2分，不提供不得分。</w:t>
            </w:r>
          </w:p>
          <w:p w14:paraId="61058F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文件中须提供有效的证书扫描件并加盖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公章。</w:t>
            </w:r>
          </w:p>
        </w:tc>
        <w:tc>
          <w:tcPr>
            <w:tcW w:w="408" w:type="pct"/>
            <w:tcBorders>
              <w:top w:val="nil"/>
              <w:left w:val="single" w:color="auto" w:sz="4" w:space="0"/>
              <w:bottom w:val="single" w:color="auto" w:sz="4" w:space="0"/>
              <w:right w:val="single" w:color="auto" w:sz="4" w:space="0"/>
            </w:tcBorders>
            <w:shd w:val="clear" w:color="auto" w:fill="auto"/>
            <w:vAlign w:val="center"/>
          </w:tcPr>
          <w:p w14:paraId="2D673DAB">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6分</w:t>
            </w:r>
          </w:p>
        </w:tc>
      </w:tr>
      <w:tr w14:paraId="71F234AD">
        <w:tblPrEx>
          <w:tblCellMar>
            <w:top w:w="0" w:type="dxa"/>
            <w:left w:w="108" w:type="dxa"/>
            <w:bottom w:w="0" w:type="dxa"/>
            <w:right w:w="108" w:type="dxa"/>
          </w:tblCellMar>
        </w:tblPrEx>
        <w:trPr>
          <w:trHeight w:val="945" w:hRule="atLeast"/>
          <w:jc w:val="center"/>
        </w:trPr>
        <w:tc>
          <w:tcPr>
            <w:tcW w:w="372" w:type="pct"/>
            <w:vMerge w:val="restart"/>
            <w:tcBorders>
              <w:top w:val="nil"/>
              <w:left w:val="single" w:color="auto" w:sz="4" w:space="0"/>
              <w:bottom w:val="single" w:color="auto" w:sz="4" w:space="0"/>
              <w:right w:val="single" w:color="auto" w:sz="4" w:space="0"/>
            </w:tcBorders>
            <w:vAlign w:val="center"/>
          </w:tcPr>
          <w:p w14:paraId="4146340B">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821" w:type="pct"/>
            <w:vMerge w:val="restart"/>
            <w:tcBorders>
              <w:top w:val="nil"/>
              <w:left w:val="single" w:color="auto" w:sz="4" w:space="0"/>
              <w:bottom w:val="single" w:color="auto" w:sz="4" w:space="0"/>
              <w:right w:val="single" w:color="auto" w:sz="4" w:space="0"/>
            </w:tcBorders>
            <w:vAlign w:val="center"/>
          </w:tcPr>
          <w:p w14:paraId="3D47544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实力</w:t>
            </w:r>
          </w:p>
        </w:tc>
        <w:tc>
          <w:tcPr>
            <w:tcW w:w="3397" w:type="pct"/>
            <w:tcBorders>
              <w:top w:val="nil"/>
              <w:left w:val="nil"/>
              <w:bottom w:val="single" w:color="auto" w:sz="4" w:space="0"/>
              <w:right w:val="single" w:color="auto" w:sz="4" w:space="0"/>
            </w:tcBorders>
            <w:shd w:val="clear" w:color="auto" w:fill="auto"/>
            <w:vAlign w:val="center"/>
          </w:tcPr>
          <w:p w14:paraId="7477F5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具有信息系统二级及以上安全等级保护备案证明，每个得2分，最高得4分。</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（提供证书复印件加盖投标单位公章）</w:t>
            </w:r>
          </w:p>
        </w:tc>
        <w:tc>
          <w:tcPr>
            <w:tcW w:w="408" w:type="pct"/>
            <w:vMerge w:val="restart"/>
            <w:tcBorders>
              <w:top w:val="nil"/>
              <w:left w:val="single" w:color="auto" w:sz="4" w:space="0"/>
              <w:bottom w:val="single" w:color="auto" w:sz="4" w:space="0"/>
              <w:right w:val="single" w:color="auto" w:sz="4" w:space="0"/>
            </w:tcBorders>
            <w:vAlign w:val="center"/>
          </w:tcPr>
          <w:p w14:paraId="390AE4A4">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分</w:t>
            </w:r>
          </w:p>
        </w:tc>
      </w:tr>
      <w:tr w14:paraId="249D0258">
        <w:tblPrEx>
          <w:tblCellMar>
            <w:top w:w="0" w:type="dxa"/>
            <w:left w:w="108" w:type="dxa"/>
            <w:bottom w:w="0" w:type="dxa"/>
            <w:right w:w="108" w:type="dxa"/>
          </w:tblCellMar>
        </w:tblPrEx>
        <w:trPr>
          <w:trHeight w:val="629" w:hRule="atLeast"/>
          <w:jc w:val="center"/>
        </w:trPr>
        <w:tc>
          <w:tcPr>
            <w:tcW w:w="372" w:type="pct"/>
            <w:vMerge w:val="continue"/>
            <w:tcBorders>
              <w:top w:val="nil"/>
              <w:left w:val="single" w:color="auto" w:sz="4" w:space="0"/>
              <w:bottom w:val="single" w:color="auto" w:sz="4" w:space="0"/>
              <w:right w:val="single" w:color="auto" w:sz="4" w:space="0"/>
            </w:tcBorders>
            <w:vAlign w:val="center"/>
          </w:tcPr>
          <w:p w14:paraId="29BE11A4">
            <w:pPr>
              <w:widowControl/>
              <w:jc w:val="center"/>
              <w:rPr>
                <w:rFonts w:hint="eastAsia" w:ascii="仿宋" w:hAnsi="仿宋" w:eastAsia="仿宋" w:cs="仿宋"/>
                <w:color w:val="auto"/>
                <w:kern w:val="0"/>
                <w:sz w:val="24"/>
                <w:highlight w:val="none"/>
              </w:rPr>
            </w:pPr>
          </w:p>
        </w:tc>
        <w:tc>
          <w:tcPr>
            <w:tcW w:w="821" w:type="pct"/>
            <w:vMerge w:val="continue"/>
            <w:tcBorders>
              <w:top w:val="nil"/>
              <w:left w:val="single" w:color="auto" w:sz="4" w:space="0"/>
              <w:bottom w:val="single" w:color="auto" w:sz="4" w:space="0"/>
              <w:right w:val="single" w:color="auto" w:sz="4" w:space="0"/>
            </w:tcBorders>
            <w:vAlign w:val="center"/>
          </w:tcPr>
          <w:p w14:paraId="7BB7929F">
            <w:pPr>
              <w:widowControl/>
              <w:jc w:val="left"/>
              <w:rPr>
                <w:rFonts w:hint="eastAsia" w:ascii="仿宋" w:hAnsi="仿宋" w:eastAsia="仿宋" w:cs="仿宋"/>
                <w:color w:val="auto"/>
                <w:kern w:val="0"/>
                <w:sz w:val="24"/>
                <w:highlight w:val="none"/>
              </w:rPr>
            </w:pPr>
          </w:p>
        </w:tc>
        <w:tc>
          <w:tcPr>
            <w:tcW w:w="3397" w:type="pct"/>
            <w:tcBorders>
              <w:top w:val="nil"/>
              <w:left w:val="nil"/>
              <w:bottom w:val="single" w:color="auto" w:sz="4" w:space="0"/>
              <w:right w:val="single" w:color="auto" w:sz="4" w:space="0"/>
            </w:tcBorders>
            <w:shd w:val="clear" w:color="auto" w:fill="auto"/>
            <w:vAlign w:val="center"/>
          </w:tcPr>
          <w:p w14:paraId="4C80D9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.2021年1月1日以来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完成同类项目业绩，每提供一份合同得</w:t>
            </w:r>
            <w:r>
              <w:rPr>
                <w:rFonts w:hint="eastAsia" w:ascii="仿宋" w:hAnsi="仿宋" w:eastAsia="仿宋" w:cs="仿宋"/>
                <w:color w:val="auto"/>
                <w:kern w:val="0"/>
                <w:sz w:val="24"/>
                <w:highlight w:val="none"/>
                <w:lang w:val="en-US" w:eastAsia="zh-CN"/>
              </w:rPr>
              <w:t>0.25</w:t>
            </w:r>
            <w:r>
              <w:rPr>
                <w:rFonts w:hint="eastAsia" w:ascii="仿宋" w:hAnsi="仿宋" w:eastAsia="仿宋" w:cs="仿宋"/>
                <w:color w:val="auto"/>
                <w:kern w:val="0"/>
                <w:sz w:val="24"/>
                <w:highlight w:val="none"/>
              </w:rPr>
              <w:t>分，最高</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（提供合同复印件加盖投标单位公章，否则不得分。）</w:t>
            </w:r>
          </w:p>
        </w:tc>
        <w:tc>
          <w:tcPr>
            <w:tcW w:w="408" w:type="pct"/>
            <w:vMerge w:val="continue"/>
            <w:tcBorders>
              <w:top w:val="nil"/>
              <w:left w:val="single" w:color="auto" w:sz="4" w:space="0"/>
              <w:bottom w:val="single" w:color="auto" w:sz="4" w:space="0"/>
              <w:right w:val="single" w:color="auto" w:sz="4" w:space="0"/>
            </w:tcBorders>
            <w:vAlign w:val="center"/>
          </w:tcPr>
          <w:p w14:paraId="0637C569">
            <w:pPr>
              <w:widowControl/>
              <w:jc w:val="left"/>
              <w:rPr>
                <w:rFonts w:hint="eastAsia" w:ascii="仿宋" w:hAnsi="仿宋" w:eastAsia="仿宋" w:cs="仿宋"/>
                <w:color w:val="auto"/>
                <w:kern w:val="0"/>
                <w:sz w:val="22"/>
                <w:szCs w:val="22"/>
                <w:highlight w:val="none"/>
              </w:rPr>
            </w:pPr>
          </w:p>
        </w:tc>
      </w:tr>
      <w:tr w14:paraId="5DE25CD4">
        <w:tblPrEx>
          <w:tblCellMar>
            <w:top w:w="0" w:type="dxa"/>
            <w:left w:w="108" w:type="dxa"/>
            <w:bottom w:w="0" w:type="dxa"/>
            <w:right w:w="108" w:type="dxa"/>
          </w:tblCellMar>
        </w:tblPrEx>
        <w:trPr>
          <w:trHeight w:val="304" w:hRule="atLeast"/>
          <w:jc w:val="center"/>
        </w:trPr>
        <w:tc>
          <w:tcPr>
            <w:tcW w:w="372" w:type="pct"/>
            <w:tcBorders>
              <w:top w:val="nil"/>
              <w:left w:val="single" w:color="auto" w:sz="4" w:space="0"/>
              <w:bottom w:val="single" w:color="auto" w:sz="4" w:space="0"/>
              <w:right w:val="single" w:color="auto" w:sz="4" w:space="0"/>
            </w:tcBorders>
            <w:vAlign w:val="center"/>
          </w:tcPr>
          <w:p w14:paraId="44CC4A37">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w:t>
            </w:r>
          </w:p>
        </w:tc>
        <w:tc>
          <w:tcPr>
            <w:tcW w:w="821" w:type="pct"/>
            <w:tcBorders>
              <w:top w:val="nil"/>
              <w:left w:val="single" w:color="auto" w:sz="4" w:space="0"/>
              <w:bottom w:val="single" w:color="auto" w:sz="4" w:space="0"/>
              <w:right w:val="single" w:color="auto" w:sz="4" w:space="0"/>
            </w:tcBorders>
            <w:vAlign w:val="center"/>
          </w:tcPr>
          <w:p w14:paraId="0063413A">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演示</w:t>
            </w:r>
          </w:p>
        </w:tc>
        <w:tc>
          <w:tcPr>
            <w:tcW w:w="3397" w:type="pct"/>
            <w:tcBorders>
              <w:top w:val="nil"/>
              <w:left w:val="nil"/>
              <w:bottom w:val="single" w:color="auto" w:sz="4" w:space="0"/>
              <w:right w:val="single" w:color="auto" w:sz="4" w:space="0"/>
            </w:tcBorders>
            <w:shd w:val="clear" w:color="auto" w:fill="auto"/>
            <w:vAlign w:val="center"/>
          </w:tcPr>
          <w:p w14:paraId="78BCB5BE">
            <w:pP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客观分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功能演示，按照</w:t>
            </w:r>
            <w:r>
              <w:rPr>
                <w:rFonts w:hint="eastAsia" w:ascii="仿宋" w:hAnsi="仿宋" w:eastAsia="仿宋" w:cs="仿宋"/>
                <w:color w:val="auto"/>
                <w:kern w:val="0"/>
                <w:sz w:val="24"/>
                <w:highlight w:val="none"/>
                <w:lang w:val="en-US" w:eastAsia="zh-CN"/>
              </w:rPr>
              <w:t>前附表要求提供演示视频，</w:t>
            </w:r>
            <w:r>
              <w:rPr>
                <w:rFonts w:hint="eastAsia" w:ascii="仿宋" w:hAnsi="仿宋" w:eastAsia="仿宋" w:cs="仿宋"/>
                <w:color w:val="auto"/>
                <w:kern w:val="0"/>
                <w:sz w:val="24"/>
                <w:highlight w:val="none"/>
              </w:rPr>
              <w:t>对以下演示点逐一进行功能操作演示，根据演示情况进行评审。</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年度采购情况公示</w:t>
            </w:r>
            <w:r>
              <w:rPr>
                <w:rFonts w:hint="eastAsia" w:ascii="仿宋" w:hAnsi="仿宋" w:eastAsia="仿宋" w:cs="仿宋"/>
                <w:color w:val="auto"/>
                <w:kern w:val="0"/>
                <w:sz w:val="24"/>
                <w:highlight w:val="none"/>
                <w:lang w:eastAsia="zh-CN"/>
              </w:rPr>
              <w:t>：支持年度政府采购情况可选择和自定义公示，支持按部门、采购方式、成交金额、成交笔数等进行排名列示，并支持关联发布到我校门户网站采购信息公示栏。（</w:t>
            </w:r>
            <w:r>
              <w:rPr>
                <w:rFonts w:hint="eastAsia" w:ascii="仿宋" w:hAnsi="仿宋" w:eastAsia="仿宋" w:cs="仿宋"/>
                <w:color w:val="auto"/>
                <w:kern w:val="0"/>
                <w:sz w:val="24"/>
                <w:highlight w:val="none"/>
                <w:lang w:val="en-US" w:eastAsia="zh-CN"/>
              </w:rPr>
              <w:t>完成演示得1分，未完成不得分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br w:type="textWrapping"/>
            </w:r>
            <w:r>
              <w:rPr>
                <w:rFonts w:hint="eastAsia" w:ascii="仿宋" w:hAnsi="仿宋" w:eastAsia="仿宋" w:cs="仿宋"/>
                <w:color w:val="auto"/>
                <w:kern w:val="0"/>
                <w:sz w:val="24"/>
                <w:highlight w:val="none"/>
                <w:lang w:val="en-US" w:eastAsia="zh-CN"/>
              </w:rPr>
              <w:t>2.政府采购意向公开发起：支持由需求部门发起政府采购意向公开审批流程，按上级政府采购意向管理要求填写相应意向公开内容，支持关联发布到浙江政府采购网采购意向公开栏目，并在采购管理系统留下已完成办事记录以及浙江政府采购网公开网页链接或截图。</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完成演示且功能齐全的得1分，未完成不得分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br w:type="textWrapping"/>
            </w:r>
            <w:r>
              <w:rPr>
                <w:rFonts w:hint="eastAsia" w:ascii="仿宋" w:hAnsi="仿宋" w:eastAsia="仿宋" w:cs="仿宋"/>
                <w:color w:val="auto"/>
                <w:kern w:val="0"/>
                <w:sz w:val="24"/>
                <w:highlight w:val="none"/>
                <w:lang w:val="en-US" w:eastAsia="zh-CN"/>
              </w:rPr>
              <w:t>3.采购需求管理：审批发起人可根据相关采购需求选择相关入口，按要求填写项目名称、需求内容、选择预算经费、上传需求方案、论证结论、需求清单等相关附件，支持关联政府采购云平台（网上超市等财政厅监管模块）购物车选品、链接选品、自定义描述等；支持PDF、word、excel等附件上传、下载和预览；实现多部门多角色协同参与审批。</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完成演示得1分，未完成不得分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br w:type="textWrapping"/>
            </w:r>
            <w:r>
              <w:rPr>
                <w:rFonts w:hint="eastAsia" w:ascii="仿宋" w:hAnsi="仿宋" w:eastAsia="仿宋" w:cs="仿宋"/>
                <w:color w:val="auto"/>
                <w:kern w:val="0"/>
                <w:sz w:val="24"/>
                <w:highlight w:val="none"/>
                <w:lang w:val="en-US" w:eastAsia="zh-CN"/>
              </w:rPr>
              <w:t>4.采购合同：具备合同起草、合同审核、合同签署、合同变更、合同备案、合同查询等功能，并逐一对上述功能依据采购文件要求进行演示。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完成全部采购合同模块演示的得3分，每有一个模块未完成扣0.5分，扣完为止</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br w:type="textWrapping"/>
            </w:r>
            <w:r>
              <w:rPr>
                <w:rFonts w:hint="eastAsia" w:ascii="仿宋" w:hAnsi="仿宋" w:eastAsia="仿宋" w:cs="仿宋"/>
                <w:color w:val="auto"/>
                <w:kern w:val="0"/>
                <w:sz w:val="24"/>
                <w:highlight w:val="none"/>
                <w:lang w:val="en-US" w:eastAsia="zh-CN"/>
              </w:rPr>
              <w:t>5.采购监督预警：支持多个点位采购监督预警，项目采购预警包括合同待起草至合同签订完成效能预警、项目多次抽取预警、合同附件异常未公开预警。  电子卖场预警包括竞价报价结束时供应商信用异常（行政处罚情况）异常、供应商发货效能异常预警、采购计划变更采购方式预警。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完成演示得1分，未完成不得分</w:t>
            </w:r>
            <w:r>
              <w:rPr>
                <w:rFonts w:hint="eastAsia" w:ascii="仿宋" w:hAnsi="仿宋" w:eastAsia="仿宋" w:cs="仿宋"/>
                <w:color w:val="auto"/>
                <w:kern w:val="0"/>
                <w:sz w:val="24"/>
                <w:highlight w:val="none"/>
                <w:lang w:eastAsia="zh-CN"/>
              </w:rPr>
              <w:t>）</w:t>
            </w:r>
          </w:p>
        </w:tc>
        <w:tc>
          <w:tcPr>
            <w:tcW w:w="408" w:type="pct"/>
            <w:tcBorders>
              <w:top w:val="nil"/>
              <w:left w:val="single" w:color="auto" w:sz="4" w:space="0"/>
              <w:bottom w:val="single" w:color="auto" w:sz="4" w:space="0"/>
              <w:right w:val="single" w:color="auto" w:sz="4" w:space="0"/>
            </w:tcBorders>
            <w:vAlign w:val="center"/>
          </w:tcPr>
          <w:p w14:paraId="38779DE6">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7分</w:t>
            </w:r>
          </w:p>
        </w:tc>
      </w:tr>
      <w:tr w14:paraId="391F7B41">
        <w:tblPrEx>
          <w:tblCellMar>
            <w:top w:w="0" w:type="dxa"/>
            <w:left w:w="108" w:type="dxa"/>
            <w:bottom w:w="0" w:type="dxa"/>
            <w:right w:w="108" w:type="dxa"/>
          </w:tblCellMar>
        </w:tblPrEx>
        <w:trPr>
          <w:trHeight w:val="947" w:hRule="atLeast"/>
          <w:jc w:val="center"/>
        </w:trPr>
        <w:tc>
          <w:tcPr>
            <w:tcW w:w="372" w:type="pct"/>
            <w:tcBorders>
              <w:top w:val="nil"/>
              <w:left w:val="single" w:color="auto" w:sz="4" w:space="0"/>
              <w:bottom w:val="single" w:color="auto" w:sz="4" w:space="0"/>
              <w:right w:val="single" w:color="auto" w:sz="4" w:space="0"/>
            </w:tcBorders>
            <w:shd w:val="clear" w:color="auto" w:fill="auto"/>
            <w:noWrap/>
            <w:vAlign w:val="center"/>
          </w:tcPr>
          <w:p w14:paraId="536AD516">
            <w:pPr>
              <w:widowControl/>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1</w:t>
            </w:r>
          </w:p>
        </w:tc>
        <w:tc>
          <w:tcPr>
            <w:tcW w:w="821" w:type="pct"/>
            <w:tcBorders>
              <w:top w:val="nil"/>
              <w:left w:val="nil"/>
              <w:bottom w:val="single" w:color="auto" w:sz="4" w:space="0"/>
              <w:right w:val="single" w:color="auto" w:sz="4" w:space="0"/>
            </w:tcBorders>
            <w:shd w:val="clear" w:color="auto" w:fill="auto"/>
            <w:vAlign w:val="center"/>
          </w:tcPr>
          <w:p w14:paraId="447D8EC6">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价格（10分）</w:t>
            </w:r>
          </w:p>
        </w:tc>
        <w:tc>
          <w:tcPr>
            <w:tcW w:w="3397" w:type="pct"/>
            <w:tcBorders>
              <w:top w:val="nil"/>
              <w:left w:val="nil"/>
              <w:bottom w:val="single" w:color="auto" w:sz="4" w:space="0"/>
              <w:right w:val="single" w:color="auto" w:sz="4" w:space="0"/>
            </w:tcBorders>
            <w:shd w:val="clear" w:color="auto" w:fill="auto"/>
            <w:vAlign w:val="center"/>
          </w:tcPr>
          <w:p w14:paraId="1FDB1D5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以合格</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有效投标总报价中的最低价为基准价，基准价为10分。投标报价得分＝（评标基准价/投标报价）×</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0%×100（小数点后保留2位小数）。</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（对于未预留份额专门面向中小企业的政府采购工程项目，以及预留份额政府采购工程项目中的非预留部分标项，对小微企业报价给予10%的扣除，用扣除后的价格计算评标基准价和投标报价）</w:t>
            </w:r>
          </w:p>
        </w:tc>
        <w:tc>
          <w:tcPr>
            <w:tcW w:w="408" w:type="pct"/>
            <w:tcBorders>
              <w:top w:val="nil"/>
              <w:left w:val="nil"/>
              <w:bottom w:val="single" w:color="auto" w:sz="4" w:space="0"/>
              <w:right w:val="single" w:color="auto" w:sz="4" w:space="0"/>
            </w:tcBorders>
            <w:shd w:val="clear" w:color="auto" w:fill="auto"/>
            <w:vAlign w:val="center"/>
          </w:tcPr>
          <w:p w14:paraId="34018386">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10分</w:t>
            </w:r>
          </w:p>
        </w:tc>
      </w:tr>
    </w:tbl>
    <w:p w14:paraId="1428D205">
      <w:pPr>
        <w:pStyle w:val="3"/>
        <w:rPr>
          <w:rFonts w:hint="eastAsia" w:ascii="宋体" w:hAnsi="宋体" w:cs="宋体"/>
          <w:b/>
          <w:color w:val="auto"/>
          <w:sz w:val="24"/>
          <w:szCs w:val="16"/>
          <w:highlight w:val="none"/>
        </w:rPr>
        <w:sectPr>
          <w:pgSz w:w="11907" w:h="16840"/>
          <w:pgMar w:top="1440" w:right="1080" w:bottom="1440" w:left="1080" w:header="851" w:footer="851" w:gutter="0"/>
          <w:pgBorders>
            <w:top w:val="none" w:sz="0" w:space="0"/>
            <w:left w:val="none" w:sz="0" w:space="0"/>
            <w:bottom w:val="none" w:sz="0" w:space="0"/>
            <w:right w:val="none" w:sz="0" w:space="0"/>
          </w:pgBorders>
          <w:cols w:space="720" w:num="1"/>
        </w:sectPr>
      </w:pPr>
    </w:p>
    <w:p w14:paraId="225370B6">
      <w:pPr>
        <w:pStyle w:val="7"/>
        <w:bidi w:val="0"/>
        <w:rPr>
          <w:color w:val="auto"/>
          <w:highlight w:val="none"/>
        </w:rPr>
      </w:pPr>
      <w:bookmarkStart w:id="402" w:name="_Toc1486"/>
      <w:r>
        <w:rPr>
          <w:rFonts w:hint="eastAsia"/>
          <w:color w:val="auto"/>
          <w:highlight w:val="none"/>
        </w:rPr>
        <w:t>一、评审方法</w:t>
      </w:r>
      <w:bookmarkEnd w:id="402"/>
    </w:p>
    <w:p w14:paraId="53460C2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4DE4875F">
      <w:pPr>
        <w:pStyle w:val="7"/>
        <w:bidi w:val="0"/>
        <w:rPr>
          <w:color w:val="auto"/>
          <w:highlight w:val="none"/>
        </w:rPr>
      </w:pPr>
      <w:bookmarkStart w:id="403" w:name="_Toc2352"/>
      <w:r>
        <w:rPr>
          <w:rFonts w:hint="eastAsia"/>
          <w:color w:val="auto"/>
          <w:highlight w:val="none"/>
        </w:rPr>
        <w:t>二、评审标准</w:t>
      </w:r>
      <w:bookmarkEnd w:id="403"/>
    </w:p>
    <w:p w14:paraId="5752A74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13CA35BF">
      <w:pPr>
        <w:pStyle w:val="7"/>
        <w:bidi w:val="0"/>
        <w:rPr>
          <w:color w:val="auto"/>
          <w:highlight w:val="none"/>
        </w:rPr>
      </w:pPr>
      <w:bookmarkStart w:id="404" w:name="_Toc10358"/>
      <w:r>
        <w:rPr>
          <w:rFonts w:hint="eastAsia"/>
          <w:color w:val="auto"/>
          <w:highlight w:val="none"/>
        </w:rPr>
        <w:t>三、评审程序</w:t>
      </w:r>
      <w:bookmarkEnd w:id="404"/>
    </w:p>
    <w:p w14:paraId="0A2272C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23321F8B">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405500F8">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3.2.1</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2BFB69ED">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3.2.2</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BCB096A">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3.2.3</w:t>
      </w:r>
      <w:r>
        <w:rPr>
          <w:rFonts w:hint="eastAsia" w:ascii="宋体" w:hAnsi="宋体" w:cs="宋体"/>
          <w:b/>
          <w:bCs/>
          <w:color w:val="auto"/>
          <w:sz w:val="24"/>
          <w:highlight w:val="none"/>
        </w:rPr>
        <w:t>在磋商过程中，磋商小组可以根据磋商文件和磋商情况实质性变动采购需求。</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638FD1F6">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00A68F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3.3.1磋商文件能够详细列明采购标的的技术、服务要求的，磋商结束后，磋商小组应当要求所有符合性审查合格的供应商在规定时间内提交最后报价，提交最后报价的供应商不得少于3家。</w:t>
      </w:r>
    </w:p>
    <w:p w14:paraId="197A09EB">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F604C6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3.3.3已提交响应文件的供应商，在提交最后报价之前，可以根据磋商情况退出磋商</w:t>
      </w:r>
    </w:p>
    <w:p w14:paraId="5212BEE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1F4F991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0955BF4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6FCC52AD">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7176A4D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4CD312E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28DB28D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6F31463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76300E08">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469E06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2304AFF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7710B4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w:t>
      </w:r>
      <w:r>
        <w:rPr>
          <w:rFonts w:hint="eastAsia" w:asciiTheme="minorEastAsia" w:hAnsiTheme="minorEastAsia" w:eastAsiaTheme="minorEastAsia" w:cstheme="minorEastAsia"/>
          <w:color w:val="auto"/>
          <w:kern w:val="0"/>
          <w:szCs w:val="24"/>
          <w:highlight w:val="none"/>
        </w:rPr>
        <w:t>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kern w:val="0"/>
          <w:szCs w:val="24"/>
          <w:highlight w:val="none"/>
        </w:rPr>
        <w:t>。</w:t>
      </w:r>
    </w:p>
    <w:p w14:paraId="7F382C58">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22DA95F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CC77C96">
      <w:pPr>
        <w:pStyle w:val="7"/>
        <w:bidi w:val="0"/>
        <w:rPr>
          <w:color w:val="auto"/>
          <w:highlight w:val="none"/>
        </w:rPr>
      </w:pPr>
      <w:bookmarkStart w:id="405" w:name="_Toc29624"/>
      <w:r>
        <w:rPr>
          <w:rFonts w:hint="eastAsia"/>
          <w:color w:val="auto"/>
          <w:highlight w:val="none"/>
        </w:rPr>
        <w:t>四、评审中的其他事项</w:t>
      </w:r>
      <w:bookmarkEnd w:id="405"/>
    </w:p>
    <w:p w14:paraId="345477BF">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121F9D3">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2C71F3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44C6B6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162CBE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7CF82B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29AEEBD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7E0B3B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CF534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08C406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45E748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517B97B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0947B2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除政府采购法律法规规章规定的属于恶意串通、视为串通投标情形外，在不影响公平竞争的前提下，参与同一个采购包(标段)的供应商存在下列情形之一且无法合理解释的，其投标(响应)文件无效：（1）不同供应商的电子投标(响应)文件上传IP地址相同的；（2）不同供应商的电子投标(响应)文件上传计算机的网卡MAC地址或硬盘序列号等硬件信息相同的；（3）上传的电子投标(响应)文件若出现使用本项目其他投标(响应)供应商的数字证书加密的，或者加盖本项目其他投标(响应)供应商的电子印章的；（4）不同供应商的投标(响应)文件的内容存在3处(含)以上错误一致的；（5）不同供应商联系人为同一人或不同联系人的联系电话一致的；</w:t>
      </w:r>
    </w:p>
    <w:p w14:paraId="674181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3E6A5E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4.2.13响应文件不满足采购文件的其它实质性要求的；</w:t>
      </w:r>
    </w:p>
    <w:p w14:paraId="4D4136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DB7607F">
      <w:pPr>
        <w:pStyle w:val="27"/>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33B6F327">
      <w:pPr>
        <w:pStyle w:val="27"/>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20F3F070">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6F4E0722">
      <w:pPr>
        <w:pStyle w:val="27"/>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46A63F58">
      <w:pPr>
        <w:pStyle w:val="27"/>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67C989D">
      <w:pPr>
        <w:pStyle w:val="27"/>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17CEB54">
      <w:pPr>
        <w:pStyle w:val="27"/>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2A09D9A">
      <w:pPr>
        <w:pStyle w:val="27"/>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4222C35">
      <w:pPr>
        <w:pStyle w:val="27"/>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FEB4773">
      <w:pPr>
        <w:pStyle w:val="27"/>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0C792084">
      <w:pPr>
        <w:pStyle w:val="27"/>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6893632B">
      <w:pPr>
        <w:rPr>
          <w:rFonts w:hint="eastAsia" w:ascii="宋体" w:hAnsi="宋体" w:cs="宋体"/>
          <w:b/>
          <w:color w:val="auto"/>
          <w:sz w:val="24"/>
          <w:szCs w:val="16"/>
          <w:highlight w:val="none"/>
        </w:rPr>
      </w:pPr>
    </w:p>
    <w:p w14:paraId="7A895B74">
      <w:pPr>
        <w:pStyle w:val="3"/>
        <w:rPr>
          <w:color w:val="auto"/>
          <w:highlight w:val="none"/>
        </w:rPr>
      </w:pPr>
    </w:p>
    <w:p w14:paraId="7A2A9623">
      <w:pPr>
        <w:snapToGrid w:val="0"/>
        <w:spacing w:line="360" w:lineRule="auto"/>
        <w:rPr>
          <w:rFonts w:ascii="宋体" w:hAnsi="宋体" w:cs="宋体"/>
          <w:color w:val="auto"/>
          <w:sz w:val="20"/>
          <w:szCs w:val="20"/>
          <w:highlight w:val="none"/>
          <w:shd w:val="clear" w:color="auto" w:fill="FFFFFF"/>
        </w:rPr>
      </w:pPr>
    </w:p>
    <w:p w14:paraId="51ED930E">
      <w:pPr>
        <w:pStyle w:val="7"/>
        <w:outlineLvl w:val="9"/>
        <w:rPr>
          <w:rFonts w:ascii="宋体" w:hAnsi="宋体" w:cs="宋体"/>
          <w:color w:val="auto"/>
          <w:highlight w:val="none"/>
          <w:lang w:val="en-US"/>
        </w:rPr>
        <w:sectPr>
          <w:pgSz w:w="11907" w:h="16840"/>
          <w:pgMar w:top="1440" w:right="1080" w:bottom="1440" w:left="1080" w:header="851" w:footer="851" w:gutter="0"/>
          <w:pgBorders>
            <w:top w:val="none" w:sz="0" w:space="0"/>
            <w:left w:val="none" w:sz="0" w:space="0"/>
            <w:bottom w:val="none" w:sz="0" w:space="0"/>
            <w:right w:val="none" w:sz="0" w:space="0"/>
          </w:pgBorders>
          <w:cols w:space="720" w:num="1"/>
        </w:sectPr>
      </w:pPr>
    </w:p>
    <w:bookmarkEnd w:id="33"/>
    <w:p w14:paraId="63065449">
      <w:pPr>
        <w:spacing w:line="360" w:lineRule="auto"/>
        <w:jc w:val="center"/>
        <w:outlineLvl w:val="0"/>
        <w:rPr>
          <w:rFonts w:ascii="宋体" w:hAnsi="宋体" w:cs="宋体"/>
          <w:b/>
          <w:color w:val="auto"/>
          <w:sz w:val="36"/>
          <w:szCs w:val="36"/>
          <w:highlight w:val="none"/>
        </w:rPr>
      </w:pPr>
      <w:bookmarkStart w:id="406" w:name="_Toc10403"/>
      <w:bookmarkStart w:id="407" w:name="第五部分"/>
      <w:bookmarkStart w:id="408" w:name="_Toc86217003"/>
      <w:r>
        <w:rPr>
          <w:rFonts w:hint="eastAsia" w:ascii="宋体" w:hAnsi="宋体" w:cs="宋体"/>
          <w:b/>
          <w:color w:val="auto"/>
          <w:sz w:val="36"/>
          <w:szCs w:val="36"/>
          <w:highlight w:val="none"/>
        </w:rPr>
        <w:t>第五部分 拟签订的合同文本</w:t>
      </w:r>
      <w:bookmarkEnd w:id="406"/>
    </w:p>
    <w:p w14:paraId="46DAD54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color w:val="auto"/>
          <w:spacing w:val="-6"/>
          <w:sz w:val="24"/>
          <w:szCs w:val="24"/>
          <w:highlight w:val="none"/>
        </w:rPr>
      </w:pPr>
      <w:r>
        <w:rPr>
          <w:rFonts w:hint="eastAsia" w:ascii="宋体" w:hAnsi="宋体" w:eastAsia="宋体" w:cs="宋体"/>
          <w:color w:val="auto"/>
          <w:spacing w:val="-6"/>
          <w:sz w:val="24"/>
          <w:szCs w:val="24"/>
          <w:highlight w:val="none"/>
        </w:rPr>
        <w:t>（本合同为合同样稿，最终稿由双方协商后确定，合同实质性内容不得更改；签订合同时删除此行）</w:t>
      </w:r>
    </w:p>
    <w:p w14:paraId="438AD2D6">
      <w:pPr>
        <w:keepNext w:val="0"/>
        <w:keepLines w:val="0"/>
        <w:pageBreakBefore w:val="0"/>
        <w:kinsoku/>
        <w:wordWrap/>
        <w:overflowPunct/>
        <w:topLinePunct w:val="0"/>
        <w:autoSpaceDE/>
        <w:autoSpaceDN/>
        <w:bidi w:val="0"/>
        <w:adjustRightInd w:val="0"/>
        <w:snapToGrid w:val="0"/>
        <w:spacing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w:t>
      </w:r>
      <w:r>
        <w:rPr>
          <w:rFonts w:hint="eastAsia" w:ascii="宋体" w:hAnsi="宋体" w:eastAsia="宋体" w:cs="宋体"/>
          <w:bCs/>
          <w:color w:val="auto"/>
          <w:sz w:val="24"/>
          <w:szCs w:val="24"/>
          <w:highlight w:val="none"/>
          <w:u w:val="dotted"/>
          <w:lang w:eastAsia="zh-CN"/>
        </w:rPr>
        <w:t>浙江同济科技职业学院</w:t>
      </w:r>
      <w:r>
        <w:rPr>
          <w:rFonts w:hint="eastAsia" w:ascii="宋体" w:hAnsi="宋体" w:eastAsia="宋体" w:cs="宋体"/>
          <w:bCs/>
          <w:color w:val="auto"/>
          <w:sz w:val="24"/>
          <w:szCs w:val="24"/>
          <w:highlight w:val="none"/>
          <w:u w:val="dotted"/>
        </w:rPr>
        <w:tab/>
      </w:r>
      <w:r>
        <w:rPr>
          <w:rFonts w:hint="eastAsia" w:ascii="宋体" w:hAnsi="宋体" w:eastAsia="宋体" w:cs="宋体"/>
          <w:bCs/>
          <w:color w:val="auto"/>
          <w:sz w:val="24"/>
          <w:szCs w:val="24"/>
          <w:highlight w:val="none"/>
          <w:u w:val="dotted"/>
        </w:rPr>
        <w:t xml:space="preserve">                       </w:t>
      </w:r>
      <w:r>
        <w:rPr>
          <w:rFonts w:hint="eastAsia" w:ascii="宋体" w:hAnsi="宋体" w:eastAsia="宋体" w:cs="宋体"/>
          <w:bCs/>
          <w:color w:val="auto"/>
          <w:sz w:val="24"/>
          <w:szCs w:val="24"/>
          <w:highlight w:val="none"/>
        </w:rPr>
        <w:t>签订日期：</w:t>
      </w:r>
      <w:r>
        <w:rPr>
          <w:rFonts w:hint="eastAsia" w:ascii="宋体" w:hAnsi="宋体" w:eastAsia="宋体" w:cs="宋体"/>
          <w:bCs/>
          <w:color w:val="auto"/>
          <w:sz w:val="24"/>
          <w:szCs w:val="24"/>
          <w:highlight w:val="none"/>
          <w:u w:val="dotted"/>
        </w:rPr>
        <w:t xml:space="preserve">                </w:t>
      </w:r>
    </w:p>
    <w:p w14:paraId="13BF703A">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bCs/>
          <w:color w:val="auto"/>
          <w:sz w:val="24"/>
          <w:szCs w:val="24"/>
          <w:highlight w:val="none"/>
          <w:u w:val="dotted"/>
          <w:lang w:eastAsia="zh-CN"/>
        </w:rPr>
      </w:pPr>
      <w:r>
        <w:rPr>
          <w:rFonts w:hint="eastAsia" w:ascii="宋体" w:hAnsi="宋体" w:eastAsia="宋体" w:cs="宋体"/>
          <w:bCs/>
          <w:color w:val="auto"/>
          <w:sz w:val="24"/>
          <w:szCs w:val="24"/>
          <w:highlight w:val="none"/>
        </w:rPr>
        <w:t>乙方：</w:t>
      </w:r>
      <w:r>
        <w:rPr>
          <w:rFonts w:hint="eastAsia" w:ascii="宋体" w:hAnsi="宋体" w:eastAsia="宋体" w:cs="宋体"/>
          <w:bCs/>
          <w:color w:val="auto"/>
          <w:sz w:val="24"/>
          <w:szCs w:val="24"/>
          <w:highlight w:val="none"/>
          <w:u w:val="dotted"/>
        </w:rPr>
        <w:tab/>
      </w:r>
      <w:r>
        <w:rPr>
          <w:rFonts w:hint="eastAsia" w:ascii="宋体" w:hAnsi="宋体" w:eastAsia="宋体" w:cs="宋体"/>
          <w:bCs/>
          <w:color w:val="auto"/>
          <w:sz w:val="24"/>
          <w:szCs w:val="24"/>
          <w:highlight w:val="none"/>
          <w:u w:val="dotted"/>
        </w:rPr>
        <w:t xml:space="preserve">                                         </w:t>
      </w:r>
      <w:r>
        <w:rPr>
          <w:rFonts w:hint="eastAsia" w:ascii="宋体" w:hAnsi="宋体" w:eastAsia="宋体" w:cs="宋体"/>
          <w:bCs/>
          <w:color w:val="auto"/>
          <w:sz w:val="24"/>
          <w:szCs w:val="24"/>
          <w:highlight w:val="none"/>
        </w:rPr>
        <w:t>签订地点：</w:t>
      </w:r>
      <w:r>
        <w:rPr>
          <w:rFonts w:hint="eastAsia" w:ascii="宋体" w:hAnsi="宋体" w:eastAsia="宋体" w:cs="宋体"/>
          <w:bCs/>
          <w:color w:val="auto"/>
          <w:sz w:val="24"/>
          <w:szCs w:val="24"/>
          <w:highlight w:val="none"/>
          <w:u w:val="dotted"/>
          <w:lang w:eastAsia="zh-CN"/>
        </w:rPr>
        <w:t>浙江同济科技职业学院</w:t>
      </w:r>
    </w:p>
    <w:p w14:paraId="5A9D08F6">
      <w:pPr>
        <w:keepNext w:val="0"/>
        <w:keepLines w:val="0"/>
        <w:pageBreakBefore w:val="0"/>
        <w:kinsoku/>
        <w:wordWrap/>
        <w:overflowPunct/>
        <w:topLinePunct w:val="0"/>
        <w:autoSpaceDE/>
        <w:autoSpaceDN/>
        <w:bidi w:val="0"/>
        <w:adjustRightInd w:val="0"/>
        <w:snapToGrid w:val="0"/>
        <w:spacing w:line="360" w:lineRule="auto"/>
        <w:ind w:firstLine="480"/>
        <w:jc w:val="left"/>
        <w:rPr>
          <w:rFonts w:hint="eastAsia" w:ascii="宋体" w:hAnsi="宋体" w:eastAsia="宋体" w:cs="宋体"/>
          <w:bCs/>
          <w:color w:val="auto"/>
          <w:kern w:val="0"/>
          <w:sz w:val="24"/>
          <w:szCs w:val="24"/>
          <w:highlight w:val="none"/>
        </w:rPr>
      </w:pPr>
      <w:r>
        <w:rPr>
          <w:rFonts w:hint="eastAsia" w:ascii="宋体" w:hAnsi="宋体" w:cs="宋体"/>
          <w:color w:val="auto"/>
          <w:kern w:val="0"/>
          <w:sz w:val="24"/>
          <w:highlight w:val="none"/>
        </w:rPr>
        <w:t>浙江同济科技职业学院委托浙江致信招标代理有限公司</w:t>
      </w:r>
      <w:r>
        <w:rPr>
          <w:rFonts w:hint="eastAsia" w:ascii="宋体" w:hAnsi="宋体" w:eastAsia="宋体" w:cs="宋体"/>
          <w:color w:val="auto"/>
          <w:kern w:val="0"/>
          <w:sz w:val="24"/>
          <w:szCs w:val="24"/>
          <w:highlight w:val="none"/>
        </w:rPr>
        <w:t>通过</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竞争性磋商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方式采购</w:t>
      </w:r>
      <w:r>
        <w:rPr>
          <w:rFonts w:hint="eastAsia" w:ascii="宋体" w:hAnsi="宋体" w:eastAsia="宋体" w:cs="宋体"/>
          <w:color w:val="auto"/>
          <w:kern w:val="0"/>
          <w:sz w:val="24"/>
          <w:szCs w:val="24"/>
          <w:highlight w:val="none"/>
          <w:lang w:eastAsia="zh-CN"/>
        </w:rPr>
        <w:t>浙江同济科技职业学院</w:t>
      </w:r>
      <w:r>
        <w:rPr>
          <w:rFonts w:hint="eastAsia" w:ascii="宋体" w:hAnsi="宋体" w:cs="宋体"/>
          <w:color w:val="auto"/>
          <w:kern w:val="0"/>
          <w:sz w:val="24"/>
          <w:szCs w:val="24"/>
          <w:highlight w:val="none"/>
          <w:u w:val="single"/>
          <w:lang w:val="en-US" w:eastAsia="zh-CN"/>
        </w:rPr>
        <w:t>采购管理系统</w:t>
      </w:r>
      <w:r>
        <w:rPr>
          <w:rFonts w:hint="eastAsia" w:ascii="宋体" w:hAnsi="宋体" w:eastAsia="宋体" w:cs="宋体"/>
          <w:color w:val="auto"/>
          <w:kern w:val="0"/>
          <w:sz w:val="24"/>
          <w:szCs w:val="24"/>
          <w:highlight w:val="none"/>
        </w:rPr>
        <w:t>项目（</w:t>
      </w:r>
      <w:r>
        <w:rPr>
          <w:rFonts w:hint="eastAsia" w:ascii="宋体" w:hAnsi="宋体" w:eastAsia="宋体" w:cs="宋体"/>
          <w:bCs/>
          <w:color w:val="auto"/>
          <w:kern w:val="0"/>
          <w:sz w:val="24"/>
          <w:szCs w:val="24"/>
          <w:highlight w:val="none"/>
        </w:rPr>
        <w:t>编号：</w:t>
      </w:r>
      <w:r>
        <w:rPr>
          <w:rFonts w:hint="eastAsia" w:ascii="宋体" w:hAnsi="宋体" w:eastAsia="宋体" w:cs="宋体"/>
          <w:bCs/>
          <w:color w:val="auto"/>
          <w:kern w:val="0"/>
          <w:sz w:val="24"/>
          <w:szCs w:val="24"/>
          <w:highlight w:val="none"/>
          <w:u w:val="single"/>
          <w:lang w:val="en-US" w:eastAsia="zh-CN"/>
        </w:rPr>
        <w:t>ZXZB-TJ-</w:t>
      </w:r>
      <w:r>
        <w:rPr>
          <w:rFonts w:hint="eastAsia" w:ascii="宋体" w:hAnsi="宋体" w:cs="宋体"/>
          <w:bCs/>
          <w:color w:val="auto"/>
          <w:kern w:val="0"/>
          <w:sz w:val="24"/>
          <w:szCs w:val="24"/>
          <w:highlight w:val="none"/>
          <w:u w:val="single"/>
          <w:lang w:val="en-US" w:eastAsia="zh-CN"/>
        </w:rPr>
        <w:t>2025008C</w:t>
      </w: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经评审由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为</w:t>
      </w:r>
      <w:r>
        <w:rPr>
          <w:rFonts w:hint="eastAsia"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。根据相关法律法规之规定，按照平等、自愿、公平和诚实信用的原则，经甲、乙双方协商一致，约定以下合同条款，以兹共同遵守、全面履行。</w:t>
      </w:r>
    </w:p>
    <w:p w14:paraId="40990AFC">
      <w:pPr>
        <w:keepNext w:val="0"/>
        <w:keepLines w:val="0"/>
        <w:pageBreakBefore w:val="0"/>
        <w:kinsoku/>
        <w:wordWrap/>
        <w:overflowPunct/>
        <w:topLinePunct w:val="0"/>
        <w:autoSpaceDE/>
        <w:autoSpaceDN/>
        <w:bidi w:val="0"/>
        <w:adjustRightInd w:val="0"/>
        <w:snapToGrid w:val="0"/>
        <w:spacing w:line="360" w:lineRule="auto"/>
        <w:ind w:firstLine="48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一、服务</w:t>
      </w:r>
      <w:r>
        <w:rPr>
          <w:rFonts w:hint="eastAsia" w:ascii="宋体" w:hAnsi="宋体" w:eastAsia="宋体" w:cs="宋体"/>
          <w:b/>
          <w:bCs/>
          <w:color w:val="auto"/>
          <w:kern w:val="0"/>
          <w:sz w:val="24"/>
          <w:szCs w:val="24"/>
          <w:highlight w:val="none"/>
          <w:lang w:val="en-US" w:eastAsia="zh-CN"/>
        </w:rPr>
        <w:t>内容</w:t>
      </w:r>
      <w:r>
        <w:rPr>
          <w:rFonts w:hint="eastAsia" w:ascii="宋体" w:hAnsi="宋体" w:eastAsia="宋体" w:cs="宋体"/>
          <w:b/>
          <w:bCs/>
          <w:color w:val="auto"/>
          <w:kern w:val="0"/>
          <w:sz w:val="24"/>
          <w:szCs w:val="24"/>
          <w:highlight w:val="none"/>
        </w:rPr>
        <w:t>及金额：</w:t>
      </w:r>
    </w:p>
    <w:tbl>
      <w:tblPr>
        <w:tblStyle w:val="64"/>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508"/>
        <w:gridCol w:w="3258"/>
        <w:gridCol w:w="2427"/>
      </w:tblGrid>
      <w:tr w14:paraId="15CA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65" w:type="dxa"/>
            <w:vAlign w:val="center"/>
          </w:tcPr>
          <w:p w14:paraId="09EDC32C">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508" w:type="dxa"/>
            <w:vAlign w:val="center"/>
          </w:tcPr>
          <w:p w14:paraId="68132A94">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3258" w:type="dxa"/>
            <w:vAlign w:val="center"/>
          </w:tcPr>
          <w:p w14:paraId="245E7551">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2427" w:type="dxa"/>
            <w:vAlign w:val="center"/>
          </w:tcPr>
          <w:p w14:paraId="7E3C05B6">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金额</w:t>
            </w:r>
          </w:p>
          <w:p w14:paraId="0745EA1F">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r>
      <w:tr w14:paraId="3CF8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65" w:type="dxa"/>
            <w:vAlign w:val="center"/>
          </w:tcPr>
          <w:p w14:paraId="63512111">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08" w:type="dxa"/>
            <w:vAlign w:val="center"/>
          </w:tcPr>
          <w:p w14:paraId="2451F08B">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采购管理系统</w:t>
            </w:r>
          </w:p>
        </w:tc>
        <w:tc>
          <w:tcPr>
            <w:tcW w:w="3258" w:type="dxa"/>
            <w:vAlign w:val="center"/>
          </w:tcPr>
          <w:p w14:paraId="42FD675D">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文件第</w:t>
            </w:r>
            <w:r>
              <w:rPr>
                <w:rFonts w:hint="eastAsia" w:ascii="宋体" w:hAnsi="宋体" w:eastAsia="宋体" w:cs="宋体"/>
                <w:color w:val="auto"/>
                <w:kern w:val="0"/>
                <w:sz w:val="24"/>
                <w:szCs w:val="24"/>
                <w:highlight w:val="none"/>
                <w:lang w:val="en-US" w:eastAsia="zh-CN"/>
              </w:rPr>
              <w:t>三部分</w:t>
            </w:r>
            <w:r>
              <w:rPr>
                <w:rFonts w:hint="eastAsia" w:ascii="宋体" w:hAnsi="宋体" w:eastAsia="宋体" w:cs="宋体"/>
                <w:color w:val="auto"/>
                <w:kern w:val="0"/>
                <w:sz w:val="24"/>
                <w:szCs w:val="24"/>
                <w:highlight w:val="none"/>
              </w:rPr>
              <w:t>“采购需求”</w:t>
            </w:r>
          </w:p>
        </w:tc>
        <w:tc>
          <w:tcPr>
            <w:tcW w:w="2427" w:type="dxa"/>
            <w:vAlign w:val="center"/>
          </w:tcPr>
          <w:p w14:paraId="396857DF">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color w:val="auto"/>
                <w:kern w:val="0"/>
                <w:sz w:val="24"/>
                <w:szCs w:val="24"/>
                <w:highlight w:val="none"/>
              </w:rPr>
            </w:pPr>
          </w:p>
        </w:tc>
      </w:tr>
    </w:tbl>
    <w:p w14:paraId="14F37D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具体如下：</w:t>
      </w:r>
    </w:p>
    <w:p w14:paraId="4865079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lang w:eastAsia="zh-CN"/>
        </w:rPr>
        <w:t>）服务内容</w:t>
      </w:r>
    </w:p>
    <w:tbl>
      <w:tblPr>
        <w:tblStyle w:val="64"/>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89"/>
        <w:gridCol w:w="1214"/>
        <w:gridCol w:w="1228"/>
        <w:gridCol w:w="5929"/>
      </w:tblGrid>
      <w:tr w14:paraId="18E9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88" w:type="pct"/>
            <w:noWrap/>
            <w:vAlign w:val="center"/>
          </w:tcPr>
          <w:p w14:paraId="793A8AF1">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497" w:type="pct"/>
            <w:noWrap/>
            <w:vAlign w:val="center"/>
          </w:tcPr>
          <w:p w14:paraId="3D4447BF">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一级</w:t>
            </w:r>
          </w:p>
          <w:p w14:paraId="0E3F8AAF">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功能</w:t>
            </w:r>
          </w:p>
        </w:tc>
        <w:tc>
          <w:tcPr>
            <w:tcW w:w="610" w:type="pct"/>
            <w:vAlign w:val="center"/>
          </w:tcPr>
          <w:p w14:paraId="23330A89">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二级</w:t>
            </w:r>
          </w:p>
          <w:p w14:paraId="3528573E">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功能</w:t>
            </w:r>
          </w:p>
        </w:tc>
        <w:tc>
          <w:tcPr>
            <w:tcW w:w="617" w:type="pct"/>
            <w:vAlign w:val="center"/>
          </w:tcPr>
          <w:p w14:paraId="39329E0C">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三级</w:t>
            </w:r>
          </w:p>
          <w:p w14:paraId="20ECED5A">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功能</w:t>
            </w:r>
          </w:p>
        </w:tc>
        <w:tc>
          <w:tcPr>
            <w:tcW w:w="2984" w:type="pct"/>
            <w:vAlign w:val="center"/>
          </w:tcPr>
          <w:p w14:paraId="6CB874BF">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功能描述</w:t>
            </w:r>
          </w:p>
        </w:tc>
      </w:tr>
      <w:tr w14:paraId="0432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0" w:type="pct"/>
            <w:gridSpan w:val="5"/>
            <w:shd w:val="clear" w:color="auto" w:fill="DDEBF7"/>
            <w:noWrap/>
            <w:vAlign w:val="center"/>
          </w:tcPr>
          <w:p w14:paraId="05991D23">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采购管理系统</w:t>
            </w:r>
          </w:p>
        </w:tc>
      </w:tr>
      <w:tr w14:paraId="0FC1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restart"/>
            <w:noWrap/>
            <w:vAlign w:val="center"/>
          </w:tcPr>
          <w:p w14:paraId="0526D1FE">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497" w:type="pct"/>
            <w:vMerge w:val="restart"/>
            <w:noWrap/>
            <w:vAlign w:val="center"/>
          </w:tcPr>
          <w:p w14:paraId="44EEDE5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系统</w:t>
            </w:r>
          </w:p>
          <w:p w14:paraId="6C6FB95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总览</w:t>
            </w:r>
          </w:p>
        </w:tc>
        <w:tc>
          <w:tcPr>
            <w:tcW w:w="610" w:type="pct"/>
            <w:vAlign w:val="center"/>
          </w:tcPr>
          <w:p w14:paraId="4A29C4C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操作</w:t>
            </w:r>
          </w:p>
          <w:p w14:paraId="2EB13FF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指南</w:t>
            </w:r>
          </w:p>
        </w:tc>
        <w:tc>
          <w:tcPr>
            <w:tcW w:w="617" w:type="pct"/>
            <w:vAlign w:val="center"/>
          </w:tcPr>
          <w:p w14:paraId="24DBC91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89628B4">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支持快速查看系统操作指南（文字版/视频版），方便用户快速掌握操作。</w:t>
            </w:r>
          </w:p>
        </w:tc>
      </w:tr>
      <w:tr w14:paraId="348D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0397F8DD">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31E3CD5C">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4566962E">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操作</w:t>
            </w:r>
          </w:p>
          <w:p w14:paraId="474FCBB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指引</w:t>
            </w:r>
          </w:p>
        </w:tc>
        <w:tc>
          <w:tcPr>
            <w:tcW w:w="617" w:type="pct"/>
            <w:vAlign w:val="center"/>
          </w:tcPr>
          <w:p w14:paraId="348C29E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2438900">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rPr>
              <w:t>采购内控管理流程划分，包含但不限于以下模块：采购预算申报、采购意向等信息公开、采购需求、采购执行、采购合同、履约验收、电子档案、资产入库、预约报销等管理功能单元，可动态显示采购业务全过程。</w:t>
            </w:r>
          </w:p>
        </w:tc>
      </w:tr>
      <w:tr w14:paraId="745D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7EAEE1DE">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20C1D308">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42AFAE6F">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快速</w:t>
            </w:r>
          </w:p>
          <w:p w14:paraId="194363A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发起</w:t>
            </w:r>
          </w:p>
        </w:tc>
        <w:tc>
          <w:tcPr>
            <w:tcW w:w="617" w:type="pct"/>
            <w:vAlign w:val="center"/>
          </w:tcPr>
          <w:p w14:paraId="6D95423F">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EC7C5FD">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支持快速发起有关审批流程。</w:t>
            </w:r>
          </w:p>
        </w:tc>
      </w:tr>
      <w:tr w14:paraId="4C76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62BA6971">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25E80706">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0D977BE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采购制度文件公示</w:t>
            </w:r>
          </w:p>
        </w:tc>
        <w:tc>
          <w:tcPr>
            <w:tcW w:w="617" w:type="pct"/>
            <w:vAlign w:val="center"/>
          </w:tcPr>
          <w:p w14:paraId="2B30BD4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62C06865">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支持相关采购政策、制度和文件集中展示；支持PDF、word等格式文件下载。</w:t>
            </w:r>
          </w:p>
        </w:tc>
      </w:tr>
      <w:tr w14:paraId="18C5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274FC8A4">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3D561571">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1593A624">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年度采购情况公示</w:t>
            </w:r>
          </w:p>
        </w:tc>
        <w:tc>
          <w:tcPr>
            <w:tcW w:w="617" w:type="pct"/>
            <w:vAlign w:val="center"/>
          </w:tcPr>
          <w:p w14:paraId="0165783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7AD9A3F0">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支持年度政府采购情况可选择和自定义公示，支持按部门</w:t>
            </w:r>
            <w:r>
              <w:rPr>
                <w:rFonts w:hint="eastAsia" w:ascii="宋体" w:hAnsi="宋体" w:eastAsia="宋体" w:cs="宋体"/>
                <w:b w:val="0"/>
                <w:bCs w:val="0"/>
                <w:color w:val="auto"/>
                <w:kern w:val="0"/>
                <w:sz w:val="24"/>
                <w:highlight w:val="none"/>
              </w:rPr>
              <w:t>、</w:t>
            </w:r>
            <w:r>
              <w:rPr>
                <w:rFonts w:hint="eastAsia" w:ascii="宋体" w:hAnsi="宋体" w:eastAsia="宋体" w:cs="宋体"/>
                <w:b w:val="0"/>
                <w:bCs w:val="0"/>
                <w:color w:val="auto"/>
                <w:kern w:val="0"/>
                <w:sz w:val="24"/>
                <w:highlight w:val="none"/>
                <w:lang w:val="en-US" w:eastAsia="zh-CN"/>
              </w:rPr>
              <w:t>采购方式</w:t>
            </w:r>
            <w:r>
              <w:rPr>
                <w:rFonts w:hint="eastAsia" w:ascii="宋体" w:hAnsi="宋体" w:eastAsia="宋体" w:cs="宋体"/>
                <w:b w:val="0"/>
                <w:bCs w:val="0"/>
                <w:color w:val="auto"/>
                <w:kern w:val="0"/>
                <w:sz w:val="24"/>
                <w:highlight w:val="none"/>
              </w:rPr>
              <w:t>、</w:t>
            </w:r>
            <w:r>
              <w:rPr>
                <w:rFonts w:hint="eastAsia" w:ascii="宋体" w:hAnsi="宋体" w:eastAsia="宋体" w:cs="宋体"/>
                <w:color w:val="auto"/>
                <w:kern w:val="0"/>
                <w:sz w:val="24"/>
                <w:highlight w:val="none"/>
              </w:rPr>
              <w:t>成交金额、成交笔数等进行排名列示，并支持关联发布到</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rPr>
              <w:t>门户网站采购信息公示栏。</w:t>
            </w:r>
          </w:p>
        </w:tc>
      </w:tr>
      <w:tr w14:paraId="0BA0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restart"/>
            <w:vAlign w:val="center"/>
          </w:tcPr>
          <w:p w14:paraId="28B5AA6B">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497" w:type="pct"/>
            <w:vMerge w:val="restart"/>
            <w:vAlign w:val="center"/>
          </w:tcPr>
          <w:p w14:paraId="48D828ED">
            <w:pPr>
              <w:widowControl/>
              <w:spacing w:line="360" w:lineRule="auto"/>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基础</w:t>
            </w:r>
          </w:p>
          <w:p w14:paraId="3FD0C25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设置</w:t>
            </w:r>
          </w:p>
        </w:tc>
        <w:tc>
          <w:tcPr>
            <w:tcW w:w="610" w:type="pct"/>
            <w:vAlign w:val="center"/>
          </w:tcPr>
          <w:p w14:paraId="7CE34DB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组织机构及人员管理</w:t>
            </w:r>
          </w:p>
        </w:tc>
        <w:tc>
          <w:tcPr>
            <w:tcW w:w="617" w:type="pct"/>
            <w:vAlign w:val="center"/>
          </w:tcPr>
          <w:p w14:paraId="141AAE7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4246099">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支持管理</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各部门关联关系，支持部门资产管理员、采购经办人、部门负责人、分管领导、部门名称、部门层级等设置和修改。</w:t>
            </w:r>
          </w:p>
        </w:tc>
      </w:tr>
      <w:tr w14:paraId="3B9A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6D123DD2">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4DEEAF22">
            <w:pPr>
              <w:widowControl/>
              <w:spacing w:line="360" w:lineRule="auto"/>
              <w:jc w:val="left"/>
              <w:rPr>
                <w:rFonts w:hint="eastAsia" w:ascii="宋体" w:hAnsi="宋体" w:eastAsia="宋体" w:cs="宋体"/>
                <w:color w:val="auto"/>
                <w:kern w:val="0"/>
                <w:sz w:val="24"/>
                <w:highlight w:val="none"/>
                <w:lang w:bidi="ar"/>
              </w:rPr>
            </w:pPr>
          </w:p>
        </w:tc>
        <w:tc>
          <w:tcPr>
            <w:tcW w:w="610" w:type="pct"/>
            <w:vAlign w:val="center"/>
          </w:tcPr>
          <w:p w14:paraId="1204DF5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权限</w:t>
            </w:r>
          </w:p>
          <w:p w14:paraId="7D1A20F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管理</w:t>
            </w:r>
          </w:p>
        </w:tc>
        <w:tc>
          <w:tcPr>
            <w:tcW w:w="617" w:type="pct"/>
            <w:vAlign w:val="center"/>
          </w:tcPr>
          <w:p w14:paraId="078A7B4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07724F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内控需要，支持可针对不同岗位和人员设置相应管理权限，按实际管理需要实现数据隔离。</w:t>
            </w:r>
          </w:p>
        </w:tc>
      </w:tr>
      <w:tr w14:paraId="0159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restart"/>
            <w:vAlign w:val="center"/>
          </w:tcPr>
          <w:p w14:paraId="6AEF07E8">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497" w:type="pct"/>
            <w:vMerge w:val="restart"/>
            <w:vAlign w:val="center"/>
          </w:tcPr>
          <w:p w14:paraId="595EACEC">
            <w:pPr>
              <w:widowControl/>
              <w:spacing w:line="360" w:lineRule="auto"/>
              <w:jc w:val="left"/>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采购首页</w:t>
            </w:r>
          </w:p>
        </w:tc>
        <w:tc>
          <w:tcPr>
            <w:tcW w:w="610" w:type="pct"/>
            <w:vAlign w:val="center"/>
          </w:tcPr>
          <w:p w14:paraId="404C4D7E">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待办提醒</w:t>
            </w:r>
          </w:p>
        </w:tc>
        <w:tc>
          <w:tcPr>
            <w:tcW w:w="617" w:type="pct"/>
            <w:vAlign w:val="center"/>
          </w:tcPr>
          <w:p w14:paraId="59DAA1D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0B50AF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按照用户权限和数据边界，显示本人所有待办事项提醒列表，每行显示“采购环节、待办数量和时间”，点击进入相应采购功能模块办理，并与业务流程办理状态保持一致性。</w:t>
            </w:r>
          </w:p>
        </w:tc>
      </w:tr>
      <w:tr w14:paraId="6EA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1C7BA98A">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2EAC4C78">
            <w:pPr>
              <w:widowControl/>
              <w:spacing w:line="360" w:lineRule="auto"/>
              <w:jc w:val="left"/>
              <w:rPr>
                <w:rFonts w:hint="eastAsia" w:ascii="宋体" w:hAnsi="宋体" w:eastAsia="宋体" w:cs="宋体"/>
                <w:color w:val="auto"/>
                <w:kern w:val="0"/>
                <w:sz w:val="24"/>
                <w:highlight w:val="none"/>
                <w:lang w:val="en-US" w:eastAsia="zh-CN" w:bidi="ar"/>
              </w:rPr>
            </w:pPr>
          </w:p>
        </w:tc>
        <w:tc>
          <w:tcPr>
            <w:tcW w:w="610" w:type="pct"/>
            <w:vAlign w:val="center"/>
          </w:tcPr>
          <w:p w14:paraId="6D0FA39B">
            <w:pPr>
              <w:spacing w:line="360" w:lineRule="auto"/>
              <w:jc w:val="center"/>
              <w:rPr>
                <w:rFonts w:hint="eastAsia" w:ascii="宋体" w:hAnsi="宋体" w:eastAsia="宋体" w:cs="宋体"/>
                <w:color w:val="auto"/>
                <w:sz w:val="24"/>
                <w:highlight w:val="none"/>
              </w:rPr>
            </w:pPr>
            <w:r>
              <w:rPr>
                <w:rFonts w:hint="eastAsia" w:cs="宋体"/>
                <w:b/>
                <w:color w:val="auto"/>
                <w:sz w:val="24"/>
                <w:szCs w:val="24"/>
                <w:highlight w:val="none"/>
                <w:lang w:bidi="ar-SA"/>
              </w:rPr>
              <w:t>流程跟踪</w:t>
            </w:r>
          </w:p>
        </w:tc>
        <w:tc>
          <w:tcPr>
            <w:tcW w:w="617" w:type="pct"/>
            <w:vAlign w:val="center"/>
          </w:tcPr>
          <w:p w14:paraId="62D3EA8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C17AC1F">
            <w:pPr>
              <w:spacing w:line="360" w:lineRule="auto"/>
              <w:rPr>
                <w:rFonts w:hint="eastAsia" w:ascii="宋体" w:hAnsi="宋体" w:eastAsia="宋体" w:cs="宋体"/>
                <w:color w:val="auto"/>
                <w:sz w:val="24"/>
                <w:highlight w:val="none"/>
              </w:rPr>
            </w:pPr>
            <w:r>
              <w:rPr>
                <w:rFonts w:hint="eastAsia"/>
                <w:color w:val="auto"/>
                <w:sz w:val="24"/>
                <w:szCs w:val="24"/>
                <w:highlight w:val="none"/>
                <w:lang w:bidi="ar"/>
              </w:rPr>
              <w:t>按照用数据边界，跟踪本人所有采购项目的进度。按照业务结构化形式显示项目采购进度，并点击查看采购具体进展情况。</w:t>
            </w:r>
          </w:p>
        </w:tc>
      </w:tr>
      <w:tr w14:paraId="5B9C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5759C671">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7DE64CA3">
            <w:pPr>
              <w:widowControl/>
              <w:spacing w:line="360" w:lineRule="auto"/>
              <w:jc w:val="left"/>
              <w:rPr>
                <w:rFonts w:hint="eastAsia" w:ascii="宋体" w:hAnsi="宋体" w:eastAsia="宋体" w:cs="宋体"/>
                <w:color w:val="auto"/>
                <w:kern w:val="0"/>
                <w:sz w:val="24"/>
                <w:highlight w:val="none"/>
                <w:lang w:val="en-US" w:eastAsia="zh-CN" w:bidi="ar"/>
              </w:rPr>
            </w:pPr>
          </w:p>
        </w:tc>
        <w:tc>
          <w:tcPr>
            <w:tcW w:w="610" w:type="pct"/>
            <w:vAlign w:val="center"/>
          </w:tcPr>
          <w:p w14:paraId="52EE7DA9">
            <w:pPr>
              <w:spacing w:line="360" w:lineRule="auto"/>
              <w:jc w:val="center"/>
              <w:rPr>
                <w:rFonts w:hint="eastAsia" w:ascii="宋体" w:hAnsi="宋体" w:eastAsia="宋体" w:cs="宋体"/>
                <w:color w:val="auto"/>
                <w:sz w:val="24"/>
                <w:highlight w:val="none"/>
              </w:rPr>
            </w:pPr>
            <w:r>
              <w:rPr>
                <w:rFonts w:hint="eastAsia" w:cs="宋体"/>
                <w:b/>
                <w:color w:val="auto"/>
                <w:sz w:val="24"/>
                <w:szCs w:val="24"/>
                <w:highlight w:val="none"/>
                <w:lang w:bidi="ar-SA"/>
              </w:rPr>
              <w:t>采购预警</w:t>
            </w:r>
          </w:p>
        </w:tc>
        <w:tc>
          <w:tcPr>
            <w:tcW w:w="617" w:type="pct"/>
            <w:vAlign w:val="center"/>
          </w:tcPr>
          <w:p w14:paraId="58CDEB8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02FF012C">
            <w:pPr>
              <w:spacing w:line="360" w:lineRule="auto"/>
              <w:rPr>
                <w:rFonts w:hint="eastAsia" w:ascii="宋体" w:hAnsi="宋体" w:eastAsia="宋体" w:cs="宋体"/>
                <w:color w:val="auto"/>
                <w:sz w:val="24"/>
                <w:highlight w:val="none"/>
                <w:lang w:val="en-US" w:eastAsia="zh-CN"/>
              </w:rPr>
            </w:pPr>
            <w:r>
              <w:rPr>
                <w:rFonts w:hint="eastAsia" w:cs="宋体"/>
                <w:color w:val="auto"/>
                <w:sz w:val="24"/>
                <w:szCs w:val="24"/>
                <w:highlight w:val="none"/>
                <w:lang w:bidi="ar-SA"/>
              </w:rPr>
              <w:t>按照采购内控管理要求，在采购各采购业务流程模块中，内嵌监控点和数据模型，实时监测，</w:t>
            </w:r>
            <w:r>
              <w:rPr>
                <w:rFonts w:hint="eastAsia" w:cs="宋体"/>
                <w:color w:val="auto"/>
                <w:sz w:val="24"/>
                <w:szCs w:val="24"/>
                <w:highlight w:val="none"/>
                <w:lang w:val="en-US" w:eastAsia="zh-CN" w:bidi="ar-SA"/>
              </w:rPr>
              <w:t>发现</w:t>
            </w:r>
            <w:r>
              <w:rPr>
                <w:rFonts w:hint="eastAsia" w:cs="宋体"/>
                <w:color w:val="auto"/>
                <w:sz w:val="24"/>
                <w:szCs w:val="24"/>
                <w:highlight w:val="none"/>
                <w:lang w:bidi="ar-SA"/>
              </w:rPr>
              <w:t>异常实时预警，并显示本所有预警列表，点击查看。</w:t>
            </w:r>
          </w:p>
        </w:tc>
      </w:tr>
      <w:tr w14:paraId="1AC1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5C25D58E">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03C48853">
            <w:pPr>
              <w:widowControl/>
              <w:spacing w:line="360" w:lineRule="auto"/>
              <w:jc w:val="left"/>
              <w:rPr>
                <w:rFonts w:hint="eastAsia" w:ascii="宋体" w:hAnsi="宋体" w:eastAsia="宋体" w:cs="宋体"/>
                <w:color w:val="auto"/>
                <w:kern w:val="0"/>
                <w:sz w:val="24"/>
                <w:highlight w:val="none"/>
                <w:lang w:val="en-US" w:eastAsia="zh-CN" w:bidi="ar"/>
              </w:rPr>
            </w:pPr>
          </w:p>
        </w:tc>
        <w:tc>
          <w:tcPr>
            <w:tcW w:w="610" w:type="pct"/>
            <w:vAlign w:val="center"/>
          </w:tcPr>
          <w:p w14:paraId="2D0A2642">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通知公告</w:t>
            </w:r>
          </w:p>
        </w:tc>
        <w:tc>
          <w:tcPr>
            <w:tcW w:w="617" w:type="pct"/>
            <w:vAlign w:val="center"/>
          </w:tcPr>
          <w:p w14:paraId="241423C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2656C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在首页中，显示内部采购通知公告信息，点击查看内容列表和通知公告信息。</w:t>
            </w:r>
          </w:p>
        </w:tc>
      </w:tr>
      <w:tr w14:paraId="7E91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8" w:type="pct"/>
            <w:vMerge w:val="restart"/>
            <w:noWrap/>
            <w:vAlign w:val="center"/>
          </w:tcPr>
          <w:p w14:paraId="21E2FF51">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p>
        </w:tc>
        <w:tc>
          <w:tcPr>
            <w:tcW w:w="497" w:type="pct"/>
            <w:vMerge w:val="restart"/>
            <w:noWrap/>
            <w:vAlign w:val="center"/>
          </w:tcPr>
          <w:p w14:paraId="5A21C6D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w:t>
            </w:r>
          </w:p>
          <w:p w14:paraId="11CB182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意向</w:t>
            </w:r>
          </w:p>
          <w:p w14:paraId="291E5FE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公开</w:t>
            </w:r>
          </w:p>
          <w:p w14:paraId="245BBA7E">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w:t>
            </w:r>
          </w:p>
        </w:tc>
        <w:tc>
          <w:tcPr>
            <w:tcW w:w="610" w:type="pct"/>
            <w:vAlign w:val="center"/>
          </w:tcPr>
          <w:p w14:paraId="2E6ACF3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政府采购意向公开发起</w:t>
            </w:r>
          </w:p>
        </w:tc>
        <w:tc>
          <w:tcPr>
            <w:tcW w:w="617" w:type="pct"/>
            <w:vAlign w:val="center"/>
          </w:tcPr>
          <w:p w14:paraId="51168C8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AB60C16">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支持由需求部门发起政府采购意向公开审批流程，按上级政府采购意向管理要求填写相应意向公开内容，支持关联发布到浙江政府采购网采购意向公开栏目，并在</w:t>
            </w:r>
            <w:r>
              <w:rPr>
                <w:rFonts w:hint="eastAsia" w:ascii="宋体" w:hAnsi="宋体" w:eastAsia="宋体" w:cs="宋体"/>
                <w:color w:val="auto"/>
                <w:kern w:val="0"/>
                <w:sz w:val="24"/>
                <w:highlight w:val="none"/>
                <w:lang w:val="en-US" w:eastAsia="zh-CN"/>
              </w:rPr>
              <w:t>采购管理</w:t>
            </w:r>
            <w:r>
              <w:rPr>
                <w:rFonts w:hint="eastAsia" w:ascii="宋体" w:hAnsi="宋体" w:eastAsia="宋体" w:cs="宋体"/>
                <w:color w:val="auto"/>
                <w:kern w:val="0"/>
                <w:sz w:val="24"/>
                <w:highlight w:val="none"/>
              </w:rPr>
              <w:t>系统留下已完成办事记录以及浙江政府采购网公开网页链接或截图。</w:t>
            </w:r>
          </w:p>
        </w:tc>
      </w:tr>
      <w:tr w14:paraId="08A5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5507167A">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5AC7A496">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4EA18244">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意向公开审批流程</w:t>
            </w:r>
          </w:p>
        </w:tc>
        <w:tc>
          <w:tcPr>
            <w:tcW w:w="617" w:type="pct"/>
            <w:vAlign w:val="center"/>
          </w:tcPr>
          <w:p w14:paraId="1653806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600F1934">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意向公开审批流程支持自定义，可根据</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rPr>
              <w:t>采购管理办法配置相关审核流程。</w:t>
            </w:r>
          </w:p>
        </w:tc>
      </w:tr>
      <w:tr w14:paraId="2468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1E2F4456">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06A1D461">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70AC49B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color w:val="auto"/>
                <w:sz w:val="24"/>
                <w:szCs w:val="24"/>
                <w:highlight w:val="none"/>
              </w:rPr>
              <w:t>采购意向公开查询</w:t>
            </w:r>
          </w:p>
        </w:tc>
        <w:tc>
          <w:tcPr>
            <w:tcW w:w="617" w:type="pct"/>
            <w:vAlign w:val="center"/>
          </w:tcPr>
          <w:p w14:paraId="30BAFD79">
            <w:pPr>
              <w:widowControl/>
              <w:spacing w:line="360" w:lineRule="auto"/>
              <w:jc w:val="center"/>
              <w:rPr>
                <w:rFonts w:hint="eastAsia" w:ascii="宋体" w:hAnsi="宋体" w:eastAsia="宋体" w:cs="宋体"/>
                <w:color w:val="auto"/>
                <w:kern w:val="0"/>
                <w:sz w:val="24"/>
                <w:highlight w:val="none"/>
              </w:rPr>
            </w:pPr>
          </w:p>
        </w:tc>
        <w:tc>
          <w:tcPr>
            <w:tcW w:w="2984" w:type="pct"/>
            <w:vAlign w:val="center"/>
          </w:tcPr>
          <w:p w14:paraId="7FF3931D">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支持采购意向公开查询包括公示内容、公示时间及政府采购网公示链接查询。支持多维条件查询。</w:t>
            </w:r>
          </w:p>
        </w:tc>
      </w:tr>
      <w:tr w14:paraId="580C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8" w:type="pct"/>
            <w:vMerge w:val="restart"/>
            <w:noWrap/>
            <w:vAlign w:val="center"/>
          </w:tcPr>
          <w:p w14:paraId="26B8BCEF">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497" w:type="pct"/>
            <w:vMerge w:val="restart"/>
            <w:noWrap/>
            <w:vAlign w:val="center"/>
          </w:tcPr>
          <w:p w14:paraId="0ED02914">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w:t>
            </w:r>
          </w:p>
          <w:p w14:paraId="42FCB08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审批</w:t>
            </w:r>
          </w:p>
          <w:p w14:paraId="4420F0B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w:t>
            </w:r>
          </w:p>
        </w:tc>
        <w:tc>
          <w:tcPr>
            <w:tcW w:w="610" w:type="pct"/>
            <w:vMerge w:val="restart"/>
            <w:vAlign w:val="center"/>
          </w:tcPr>
          <w:p w14:paraId="2F2F18E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基础</w:t>
            </w:r>
          </w:p>
          <w:p w14:paraId="16DAAE0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设置</w:t>
            </w:r>
          </w:p>
        </w:tc>
        <w:tc>
          <w:tcPr>
            <w:tcW w:w="617" w:type="pct"/>
            <w:vAlign w:val="center"/>
          </w:tcPr>
          <w:p w14:paraId="5058F2C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审批</w:t>
            </w:r>
          </w:p>
          <w:p w14:paraId="33344E9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模板</w:t>
            </w:r>
          </w:p>
        </w:tc>
        <w:tc>
          <w:tcPr>
            <w:tcW w:w="2984" w:type="pct"/>
            <w:vAlign w:val="center"/>
          </w:tcPr>
          <w:p w14:paraId="4545D9CC">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（1）根据内控规定配置相应审批业务类型，可配置范围包含单据内容填写、审批环节、办理人及权限等，包括</w:t>
            </w:r>
            <w:r>
              <w:rPr>
                <w:rFonts w:hint="eastAsia" w:ascii="宋体" w:hAnsi="宋体" w:eastAsia="宋体" w:cs="宋体"/>
                <w:color w:val="auto"/>
                <w:kern w:val="0"/>
                <w:sz w:val="24"/>
                <w:highlight w:val="none"/>
                <w:lang w:val="en-US" w:eastAsia="zh-CN"/>
              </w:rPr>
              <w:t>采购方式审批、</w:t>
            </w:r>
            <w:r>
              <w:rPr>
                <w:rFonts w:hint="eastAsia" w:ascii="宋体" w:hAnsi="宋体" w:eastAsia="宋体" w:cs="宋体"/>
                <w:color w:val="auto"/>
                <w:kern w:val="0"/>
                <w:sz w:val="24"/>
                <w:highlight w:val="none"/>
              </w:rPr>
              <w:t>单一来源专家论证、政府采购意向公开、采购项目撤销申请、采购文件编制与审定、质疑答复审核、标书会签、合同会签等多种审批，同时支持模板字段自定义。</w:t>
            </w:r>
          </w:p>
          <w:p w14:paraId="4270489D">
            <w:pPr>
              <w:pStyle w:val="9"/>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（2）支持提交采购审批时自动关联预算经费信息，明确预算来源后方可提交采购审批，并支持冻结相应预算经费，可根据实际情况实时冻结和解冻经费。</w:t>
            </w:r>
          </w:p>
        </w:tc>
      </w:tr>
      <w:tr w14:paraId="2F75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32143A6C">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049A7E9D">
            <w:pPr>
              <w:widowControl/>
              <w:spacing w:line="360" w:lineRule="auto"/>
              <w:jc w:val="left"/>
              <w:rPr>
                <w:rFonts w:hint="eastAsia" w:ascii="宋体" w:hAnsi="宋体" w:eastAsia="宋体" w:cs="宋体"/>
                <w:color w:val="auto"/>
                <w:kern w:val="0"/>
                <w:sz w:val="24"/>
                <w:highlight w:val="none"/>
              </w:rPr>
            </w:pPr>
          </w:p>
        </w:tc>
        <w:tc>
          <w:tcPr>
            <w:tcW w:w="610" w:type="pct"/>
            <w:vMerge w:val="continue"/>
            <w:vAlign w:val="center"/>
          </w:tcPr>
          <w:p w14:paraId="74FC108B">
            <w:pPr>
              <w:widowControl/>
              <w:spacing w:line="360" w:lineRule="auto"/>
              <w:jc w:val="left"/>
              <w:rPr>
                <w:rFonts w:hint="eastAsia" w:ascii="宋体" w:hAnsi="宋体" w:eastAsia="宋体" w:cs="宋体"/>
                <w:color w:val="auto"/>
                <w:kern w:val="0"/>
                <w:sz w:val="24"/>
                <w:highlight w:val="none"/>
              </w:rPr>
            </w:pPr>
          </w:p>
        </w:tc>
        <w:tc>
          <w:tcPr>
            <w:tcW w:w="617" w:type="pct"/>
            <w:vAlign w:val="center"/>
          </w:tcPr>
          <w:p w14:paraId="2D40B3BB">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类型</w:t>
            </w:r>
          </w:p>
          <w:p w14:paraId="15678C0E">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说明</w:t>
            </w:r>
          </w:p>
        </w:tc>
        <w:tc>
          <w:tcPr>
            <w:tcW w:w="2984" w:type="pct"/>
            <w:vAlign w:val="center"/>
          </w:tcPr>
          <w:p w14:paraId="518065B4">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支持前置审批业务说明，通过说明方式方便发起人发起相关前置审批业务。</w:t>
            </w:r>
          </w:p>
        </w:tc>
      </w:tr>
      <w:tr w14:paraId="07D1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14735A49">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74F1D044">
            <w:pPr>
              <w:widowControl/>
              <w:spacing w:line="360" w:lineRule="auto"/>
              <w:jc w:val="left"/>
              <w:rPr>
                <w:rFonts w:hint="eastAsia" w:ascii="宋体" w:hAnsi="宋体" w:eastAsia="宋体" w:cs="宋体"/>
                <w:color w:val="auto"/>
                <w:kern w:val="0"/>
                <w:sz w:val="24"/>
                <w:highlight w:val="none"/>
              </w:rPr>
            </w:pPr>
          </w:p>
        </w:tc>
        <w:tc>
          <w:tcPr>
            <w:tcW w:w="610" w:type="pct"/>
            <w:shd w:val="clear" w:color="auto" w:fill="auto"/>
            <w:vAlign w:val="center"/>
          </w:tcPr>
          <w:p w14:paraId="2F40306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w:t>
            </w:r>
          </w:p>
          <w:p w14:paraId="4F68B6A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需求</w:t>
            </w:r>
          </w:p>
          <w:p w14:paraId="2A07182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w:t>
            </w:r>
          </w:p>
        </w:tc>
        <w:tc>
          <w:tcPr>
            <w:tcW w:w="617" w:type="pct"/>
            <w:shd w:val="clear" w:color="auto" w:fill="auto"/>
            <w:vAlign w:val="center"/>
          </w:tcPr>
          <w:p w14:paraId="51263C2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shd w:val="clear" w:color="auto" w:fill="auto"/>
            <w:vAlign w:val="center"/>
          </w:tcPr>
          <w:p w14:paraId="091A65B1">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批发起人可根据相关采购需求选择相关入口，按要求填写项目名称、需求内容、选择预算经费、上传需求方案、论证结论、需求清单等相关附件，支持关联政府采购云平台（网上超市等财政厅监管模块）购物车选品、链接选品、自定义描述等；支持PDF、word、excel等附件上传、下载和预览；实现多部门多角色协同参与审批。</w:t>
            </w:r>
          </w:p>
        </w:tc>
      </w:tr>
      <w:tr w14:paraId="3642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41606D99">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08396DE6">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58FDC534">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采购方式审批</w:t>
            </w:r>
          </w:p>
        </w:tc>
        <w:tc>
          <w:tcPr>
            <w:tcW w:w="617" w:type="pct"/>
            <w:vAlign w:val="center"/>
          </w:tcPr>
          <w:p w14:paraId="7E0EBC7E">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w:t>
            </w:r>
          </w:p>
        </w:tc>
        <w:tc>
          <w:tcPr>
            <w:tcW w:w="2984" w:type="pct"/>
            <w:vAlign w:val="center"/>
          </w:tcPr>
          <w:p w14:paraId="466993C5">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支持采购组织形式和采购方式的配置管理，符合政府采购和学校内部采购需要，并按照配置关系确定采购任务执行方式，包括政府项目采购、非政府采购项目、框架协议、电子卖场和用户自行零星采购等。</w:t>
            </w:r>
          </w:p>
        </w:tc>
      </w:tr>
      <w:tr w14:paraId="42C5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509417B3">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7B506E38">
            <w:pPr>
              <w:widowControl/>
              <w:spacing w:line="360" w:lineRule="auto"/>
              <w:jc w:val="left"/>
              <w:rPr>
                <w:rFonts w:hint="eastAsia" w:ascii="宋体" w:hAnsi="宋体" w:eastAsia="宋体" w:cs="宋体"/>
                <w:color w:val="auto"/>
                <w:kern w:val="0"/>
                <w:sz w:val="24"/>
                <w:highlight w:val="none"/>
              </w:rPr>
            </w:pPr>
          </w:p>
        </w:tc>
        <w:tc>
          <w:tcPr>
            <w:tcW w:w="610" w:type="pct"/>
            <w:shd w:val="clear" w:color="auto" w:fill="auto"/>
            <w:vAlign w:val="center"/>
          </w:tcPr>
          <w:p w14:paraId="0397DD4D">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w:t>
            </w:r>
          </w:p>
          <w:p w14:paraId="4F27F24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执行</w:t>
            </w:r>
          </w:p>
          <w:p w14:paraId="574A0CE8">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管理</w:t>
            </w:r>
          </w:p>
        </w:tc>
        <w:tc>
          <w:tcPr>
            <w:tcW w:w="617" w:type="pct"/>
            <w:shd w:val="clear" w:color="auto" w:fill="auto"/>
            <w:vAlign w:val="center"/>
          </w:tcPr>
          <w:p w14:paraId="4402A1AB">
            <w:pPr>
              <w:widowControl/>
              <w:spacing w:line="360" w:lineRule="auto"/>
              <w:jc w:val="center"/>
              <w:rPr>
                <w:rFonts w:hint="eastAsia" w:ascii="宋体" w:hAnsi="宋体" w:eastAsia="宋体" w:cs="宋体"/>
                <w:color w:val="auto"/>
                <w:kern w:val="0"/>
                <w:sz w:val="24"/>
                <w:szCs w:val="24"/>
                <w:highlight w:val="none"/>
                <w:lang w:val="en-US" w:eastAsia="zh-CN" w:bidi="ar-SA"/>
              </w:rPr>
            </w:pPr>
          </w:p>
        </w:tc>
        <w:tc>
          <w:tcPr>
            <w:tcW w:w="2984" w:type="pct"/>
            <w:shd w:val="clear" w:color="auto" w:fill="auto"/>
            <w:vAlign w:val="center"/>
          </w:tcPr>
          <w:p w14:paraId="33F3520B">
            <w:pPr>
              <w:widowControl/>
              <w:spacing w:line="360" w:lineRule="auto"/>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在完成需求管理审批的基础上，采购管理部门针对采购品目、采购方式、组织形式、实施过程等进行流程管控，根据实际情况进行采购任务分派和执行，同时支持线上实时跟踪每笔采购对应程序的执行进度和完成情况。</w:t>
            </w:r>
          </w:p>
        </w:tc>
      </w:tr>
      <w:tr w14:paraId="67A4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288" w:type="pct"/>
            <w:vMerge w:val="continue"/>
            <w:vAlign w:val="center"/>
          </w:tcPr>
          <w:p w14:paraId="2C0FEE7A">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1083FCF8">
            <w:pPr>
              <w:widowControl/>
              <w:spacing w:line="360" w:lineRule="auto"/>
              <w:jc w:val="left"/>
              <w:rPr>
                <w:rFonts w:hint="eastAsia" w:ascii="宋体" w:hAnsi="宋体" w:eastAsia="宋体" w:cs="宋体"/>
                <w:color w:val="auto"/>
                <w:kern w:val="0"/>
                <w:sz w:val="24"/>
                <w:highlight w:val="none"/>
              </w:rPr>
            </w:pPr>
          </w:p>
        </w:tc>
        <w:tc>
          <w:tcPr>
            <w:tcW w:w="1214" w:type="dxa"/>
            <w:vAlign w:val="center"/>
          </w:tcPr>
          <w:p w14:paraId="154B189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采购方式变更、采购组织形式变更审批</w:t>
            </w:r>
          </w:p>
        </w:tc>
        <w:tc>
          <w:tcPr>
            <w:tcW w:w="1228" w:type="dxa"/>
            <w:vAlign w:val="center"/>
          </w:tcPr>
          <w:p w14:paraId="5D1D4EA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w:t>
            </w:r>
          </w:p>
        </w:tc>
        <w:tc>
          <w:tcPr>
            <w:tcW w:w="5931" w:type="dxa"/>
            <w:vAlign w:val="center"/>
          </w:tcPr>
          <w:p w14:paraId="57BDB315">
            <w:pPr>
              <w:widowControl/>
              <w:spacing w:line="360" w:lineRule="auto"/>
              <w:jc w:val="left"/>
              <w:rPr>
                <w:rFonts w:hint="default" w:ascii="宋体" w:hAnsi="宋体" w:eastAsia="宋体" w:cs="宋体"/>
                <w:color w:val="auto"/>
                <w:kern w:val="0"/>
                <w:sz w:val="24"/>
                <w:highlight w:val="none"/>
                <w:lang w:val="en-US"/>
              </w:rPr>
            </w:pPr>
            <w:r>
              <w:rPr>
                <w:rFonts w:hint="eastAsia" w:ascii="宋体" w:hAnsi="宋体" w:cs="宋体"/>
                <w:color w:val="auto"/>
                <w:kern w:val="0"/>
                <w:sz w:val="24"/>
                <w:highlight w:val="none"/>
                <w:u w:val="single"/>
                <w:lang w:val="en-US" w:eastAsia="zh-CN"/>
              </w:rPr>
              <w:t>支持对已完成采购方式选择、采购组织形式选择的项目发起采购方式、采购组织形式变更审批流程，应对可能存在的采购方式/采购组织形式变更调整。</w:t>
            </w:r>
          </w:p>
        </w:tc>
      </w:tr>
      <w:tr w14:paraId="6F07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3717BE8D">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6508FABE">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76FBF7D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审批</w:t>
            </w:r>
          </w:p>
          <w:p w14:paraId="1A5C03B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意见</w:t>
            </w:r>
          </w:p>
        </w:tc>
        <w:tc>
          <w:tcPr>
            <w:tcW w:w="617" w:type="pct"/>
            <w:vAlign w:val="center"/>
          </w:tcPr>
          <w:p w14:paraId="424BAE7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41CFC748">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支持采购需求管理和采购执行管理等审批，含同意、不同意、转交、加签、退回等功能；支持审批意见填写，支持在线审批单模板打印。</w:t>
            </w:r>
          </w:p>
        </w:tc>
      </w:tr>
      <w:tr w14:paraId="0499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7ECE8371">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1F8F0223">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588E0A3B">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审批</w:t>
            </w:r>
          </w:p>
          <w:p w14:paraId="6DDE410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查询</w:t>
            </w:r>
          </w:p>
        </w:tc>
        <w:tc>
          <w:tcPr>
            <w:tcW w:w="617" w:type="pct"/>
            <w:vAlign w:val="center"/>
          </w:tcPr>
          <w:p w14:paraId="539D971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0391777">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用户权限可对已提交的各类审批流程进行查询，支持事前、事中、事后相关审批环节关联查询，支持部门领导查询本部门采购业务数据、流程记录以及工作进度。可按项目编号和名称、审批单号、关键字、发起人、部门等多字段查询所有采购状态，支持根据实际需要调整查询条件。</w:t>
            </w:r>
          </w:p>
        </w:tc>
      </w:tr>
      <w:tr w14:paraId="1DE3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568578E8">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361C4B2F">
            <w:pPr>
              <w:widowControl/>
              <w:spacing w:line="360" w:lineRule="auto"/>
              <w:jc w:val="left"/>
              <w:rPr>
                <w:rFonts w:hint="eastAsia" w:ascii="宋体" w:hAnsi="宋体" w:eastAsia="宋体" w:cs="宋体"/>
                <w:color w:val="auto"/>
                <w:kern w:val="0"/>
                <w:sz w:val="24"/>
                <w:highlight w:val="none"/>
              </w:rPr>
            </w:pPr>
          </w:p>
        </w:tc>
        <w:tc>
          <w:tcPr>
            <w:tcW w:w="610" w:type="pct"/>
            <w:vMerge w:val="restart"/>
            <w:vAlign w:val="center"/>
          </w:tcPr>
          <w:p w14:paraId="6F7CCE3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消息</w:t>
            </w:r>
          </w:p>
          <w:p w14:paraId="2A53A28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提醒</w:t>
            </w:r>
          </w:p>
        </w:tc>
        <w:tc>
          <w:tcPr>
            <w:tcW w:w="617" w:type="pct"/>
            <w:vAlign w:val="center"/>
          </w:tcPr>
          <w:p w14:paraId="0227A70D">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采购管理系统</w:t>
            </w:r>
          </w:p>
        </w:tc>
        <w:tc>
          <w:tcPr>
            <w:tcW w:w="2984" w:type="pct"/>
            <w:vAlign w:val="center"/>
          </w:tcPr>
          <w:p w14:paraId="7A7DD37B">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支持PC端待办等消息提醒，支持移动端办理。</w:t>
            </w:r>
          </w:p>
        </w:tc>
      </w:tr>
      <w:tr w14:paraId="6BE1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15F36ED2">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2FBFE813">
            <w:pPr>
              <w:widowControl/>
              <w:spacing w:line="360" w:lineRule="auto"/>
              <w:jc w:val="left"/>
              <w:rPr>
                <w:rFonts w:hint="eastAsia" w:ascii="宋体" w:hAnsi="宋体" w:eastAsia="宋体" w:cs="宋体"/>
                <w:color w:val="auto"/>
                <w:kern w:val="0"/>
                <w:sz w:val="24"/>
                <w:highlight w:val="none"/>
              </w:rPr>
            </w:pPr>
          </w:p>
        </w:tc>
        <w:tc>
          <w:tcPr>
            <w:tcW w:w="610" w:type="pct"/>
            <w:vMerge w:val="continue"/>
            <w:vAlign w:val="center"/>
          </w:tcPr>
          <w:p w14:paraId="23B7D340">
            <w:pPr>
              <w:widowControl/>
              <w:spacing w:line="360" w:lineRule="auto"/>
              <w:jc w:val="left"/>
              <w:rPr>
                <w:rFonts w:hint="eastAsia" w:ascii="宋体" w:hAnsi="宋体" w:eastAsia="宋体" w:cs="宋体"/>
                <w:color w:val="auto"/>
                <w:kern w:val="0"/>
                <w:sz w:val="24"/>
                <w:highlight w:val="none"/>
              </w:rPr>
            </w:pPr>
          </w:p>
        </w:tc>
        <w:tc>
          <w:tcPr>
            <w:tcW w:w="617" w:type="pct"/>
            <w:vAlign w:val="center"/>
          </w:tcPr>
          <w:p w14:paraId="0F86B09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网上办事大厅和企业微信</w:t>
            </w:r>
          </w:p>
        </w:tc>
        <w:tc>
          <w:tcPr>
            <w:tcW w:w="2984" w:type="pct"/>
            <w:vAlign w:val="center"/>
          </w:tcPr>
          <w:p w14:paraId="6BF8D903">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通过对接</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rPr>
              <w:t>PC端办事大厅和移动端，支持待办消息推送至</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rPr>
              <w:t>办事大厅客户端显示，支持企业微信提醒和移动办理。</w:t>
            </w:r>
          </w:p>
        </w:tc>
      </w:tr>
      <w:tr w14:paraId="6AD1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6A6B32BD">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367960BA">
            <w:pPr>
              <w:widowControl/>
              <w:spacing w:line="360" w:lineRule="auto"/>
              <w:jc w:val="left"/>
              <w:rPr>
                <w:rFonts w:hint="eastAsia" w:ascii="宋体" w:hAnsi="宋体" w:eastAsia="宋体" w:cs="宋体"/>
                <w:color w:val="auto"/>
                <w:kern w:val="0"/>
                <w:sz w:val="24"/>
                <w:highlight w:val="none"/>
              </w:rPr>
            </w:pPr>
          </w:p>
        </w:tc>
        <w:tc>
          <w:tcPr>
            <w:tcW w:w="610" w:type="pct"/>
            <w:vMerge w:val="continue"/>
            <w:vAlign w:val="center"/>
          </w:tcPr>
          <w:p w14:paraId="6A27FDF4">
            <w:pPr>
              <w:widowControl/>
              <w:spacing w:line="360" w:lineRule="auto"/>
              <w:jc w:val="center"/>
              <w:rPr>
                <w:rFonts w:hint="eastAsia" w:ascii="宋体" w:hAnsi="宋体" w:eastAsia="宋体" w:cs="宋体"/>
                <w:color w:val="auto"/>
                <w:kern w:val="0"/>
                <w:sz w:val="24"/>
                <w:highlight w:val="none"/>
              </w:rPr>
            </w:pPr>
          </w:p>
        </w:tc>
        <w:tc>
          <w:tcPr>
            <w:tcW w:w="617" w:type="pct"/>
            <w:vAlign w:val="center"/>
          </w:tcPr>
          <w:p w14:paraId="68500CA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需提醒</w:t>
            </w:r>
          </w:p>
          <w:p w14:paraId="3187932B">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范围</w:t>
            </w:r>
          </w:p>
        </w:tc>
        <w:tc>
          <w:tcPr>
            <w:tcW w:w="2984" w:type="pct"/>
            <w:vAlign w:val="center"/>
          </w:tcPr>
          <w:p w14:paraId="473E3C50">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支持全流程消息提醒，包括但不限于审批通过、任务创建、计划关联、采购执行、资产入库等提醒。</w:t>
            </w:r>
          </w:p>
        </w:tc>
      </w:tr>
      <w:tr w14:paraId="0970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continue"/>
            <w:vAlign w:val="center"/>
          </w:tcPr>
          <w:p w14:paraId="69AA9201">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353E2F70">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6E29B9CD">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审批数据导出</w:t>
            </w:r>
          </w:p>
        </w:tc>
        <w:tc>
          <w:tcPr>
            <w:tcW w:w="617" w:type="pct"/>
            <w:vAlign w:val="center"/>
          </w:tcPr>
          <w:p w14:paraId="69DA77B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32C01584">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支持按EXCEL批量导出各类审批的字段信息。</w:t>
            </w:r>
          </w:p>
        </w:tc>
      </w:tr>
      <w:tr w14:paraId="0D9E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restart"/>
            <w:noWrap/>
            <w:vAlign w:val="center"/>
          </w:tcPr>
          <w:p w14:paraId="55EFB0B5">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6</w:t>
            </w:r>
          </w:p>
        </w:tc>
        <w:tc>
          <w:tcPr>
            <w:tcW w:w="497" w:type="pct"/>
            <w:vMerge w:val="restart"/>
            <w:noWrap/>
            <w:vAlign w:val="center"/>
          </w:tcPr>
          <w:p w14:paraId="531E366F">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w:t>
            </w:r>
          </w:p>
          <w:p w14:paraId="5161183B">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执行</w:t>
            </w:r>
          </w:p>
          <w:p w14:paraId="7EEBFC8E">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w:t>
            </w:r>
          </w:p>
        </w:tc>
        <w:tc>
          <w:tcPr>
            <w:tcW w:w="610" w:type="pct"/>
            <w:vMerge w:val="restart"/>
            <w:vAlign w:val="center"/>
          </w:tcPr>
          <w:p w14:paraId="00971A24">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采购任务执行</w:t>
            </w:r>
          </w:p>
        </w:tc>
        <w:tc>
          <w:tcPr>
            <w:tcW w:w="617" w:type="pct"/>
            <w:vAlign w:val="center"/>
          </w:tcPr>
          <w:p w14:paraId="02033DC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val="0"/>
                <w:bCs/>
                <w:color w:val="auto"/>
                <w:sz w:val="24"/>
                <w:szCs w:val="24"/>
                <w:highlight w:val="none"/>
                <w:u w:val="single"/>
              </w:rPr>
              <w:t>采购执行面板</w:t>
            </w:r>
          </w:p>
        </w:tc>
        <w:tc>
          <w:tcPr>
            <w:tcW w:w="2984" w:type="pct"/>
            <w:vAlign w:val="center"/>
          </w:tcPr>
          <w:p w14:paraId="49306FF0">
            <w:pPr>
              <w:pStyle w:val="9"/>
              <w:spacing w:line="360" w:lineRule="auto"/>
              <w:ind w:firstLine="0"/>
              <w:rPr>
                <w:rFonts w:hint="eastAsia" w:ascii="宋体" w:hAnsi="宋体" w:eastAsia="宋体" w:cs="宋体"/>
                <w:color w:val="auto"/>
                <w:kern w:val="0"/>
                <w:sz w:val="24"/>
                <w:szCs w:val="24"/>
                <w:highlight w:val="none"/>
              </w:rPr>
            </w:pPr>
            <w:r>
              <w:rPr>
                <w:rFonts w:hint="eastAsia" w:ascii="宋体" w:hAnsi="宋体" w:cs="宋体"/>
                <w:color w:val="auto"/>
                <w:sz w:val="24"/>
                <w:highlight w:val="none"/>
              </w:rPr>
              <w:t>建立采购执行看板，动态跟踪采购执行全过程，看板内容分为三大部分：一是待执行的采购任务（项目、网超、框架、部门自行等）、二是正在执行采购任务（委托、受理、执行）三是采购执行完成（成交、合同签订、履行）等。涉及各类采购任务的前期、中期和后期的采购执行过程跟踪和异常预警</w:t>
            </w:r>
          </w:p>
        </w:tc>
      </w:tr>
      <w:tr w14:paraId="7C4D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noWrap/>
            <w:vAlign w:val="center"/>
          </w:tcPr>
          <w:p w14:paraId="3188555C">
            <w:pPr>
              <w:widowControl/>
              <w:spacing w:line="360" w:lineRule="auto"/>
              <w:jc w:val="center"/>
              <w:rPr>
                <w:rFonts w:hint="eastAsia" w:ascii="宋体" w:hAnsi="宋体" w:eastAsia="宋体" w:cs="宋体"/>
                <w:color w:val="auto"/>
                <w:kern w:val="0"/>
                <w:sz w:val="24"/>
                <w:highlight w:val="none"/>
              </w:rPr>
            </w:pPr>
          </w:p>
        </w:tc>
        <w:tc>
          <w:tcPr>
            <w:tcW w:w="497" w:type="pct"/>
            <w:vMerge w:val="continue"/>
            <w:noWrap/>
            <w:vAlign w:val="center"/>
          </w:tcPr>
          <w:p w14:paraId="75C1EACB">
            <w:pPr>
              <w:widowControl/>
              <w:spacing w:line="360" w:lineRule="auto"/>
              <w:jc w:val="center"/>
              <w:rPr>
                <w:rFonts w:hint="eastAsia" w:ascii="宋体" w:hAnsi="宋体" w:eastAsia="宋体" w:cs="宋体"/>
                <w:color w:val="auto"/>
                <w:kern w:val="0"/>
                <w:sz w:val="24"/>
                <w:highlight w:val="none"/>
              </w:rPr>
            </w:pPr>
          </w:p>
        </w:tc>
        <w:tc>
          <w:tcPr>
            <w:tcW w:w="610" w:type="pct"/>
            <w:vMerge w:val="continue"/>
            <w:vAlign w:val="center"/>
          </w:tcPr>
          <w:p w14:paraId="7FBCA543">
            <w:pPr>
              <w:widowControl/>
              <w:spacing w:line="360" w:lineRule="auto"/>
              <w:jc w:val="center"/>
              <w:rPr>
                <w:rFonts w:hint="eastAsia" w:ascii="宋体" w:hAnsi="宋体" w:eastAsia="宋体" w:cs="宋体"/>
                <w:color w:val="auto"/>
                <w:kern w:val="0"/>
                <w:sz w:val="24"/>
                <w:highlight w:val="none"/>
              </w:rPr>
            </w:pPr>
          </w:p>
        </w:tc>
        <w:tc>
          <w:tcPr>
            <w:tcW w:w="617" w:type="pct"/>
            <w:vAlign w:val="center"/>
          </w:tcPr>
          <w:p w14:paraId="4451465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电子卖场采购</w:t>
            </w:r>
          </w:p>
        </w:tc>
        <w:tc>
          <w:tcPr>
            <w:tcW w:w="2984" w:type="pct"/>
            <w:vAlign w:val="center"/>
          </w:tcPr>
          <w:p w14:paraId="72C1C277">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（1）支持政府采购云平台电子卖场采购执行任务查询，关联包含但不限于网上超市等财政厅监</w:t>
            </w:r>
          </w:p>
          <w:p w14:paraId="2FE6CB75">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管模块采购程序执行；</w:t>
            </w:r>
          </w:p>
          <w:p w14:paraId="12FE103C">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（2）支持采购订单与前置审批单关联查询，可实时查看各采购程序、验收和结算等执行进度和完成情况；</w:t>
            </w:r>
          </w:p>
          <w:p w14:paraId="2EEFFBB2">
            <w:pPr>
              <w:pStyle w:val="9"/>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（3）支持电子卖场成交结果多维数据自定义字段excel导出。</w:t>
            </w:r>
          </w:p>
        </w:tc>
      </w:tr>
      <w:tr w14:paraId="2BE5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56E7579C">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4ACA9E17">
            <w:pPr>
              <w:widowControl/>
              <w:spacing w:line="360" w:lineRule="auto"/>
              <w:jc w:val="left"/>
              <w:rPr>
                <w:rFonts w:hint="eastAsia" w:ascii="宋体" w:hAnsi="宋体" w:eastAsia="宋体" w:cs="宋体"/>
                <w:color w:val="auto"/>
                <w:kern w:val="0"/>
                <w:sz w:val="24"/>
                <w:highlight w:val="none"/>
              </w:rPr>
            </w:pPr>
          </w:p>
        </w:tc>
        <w:tc>
          <w:tcPr>
            <w:tcW w:w="610" w:type="pct"/>
            <w:vMerge w:val="continue"/>
            <w:vAlign w:val="center"/>
          </w:tcPr>
          <w:p w14:paraId="7C5B9DE3">
            <w:pPr>
              <w:widowControl/>
              <w:spacing w:line="360" w:lineRule="auto"/>
              <w:jc w:val="left"/>
              <w:rPr>
                <w:rFonts w:hint="eastAsia" w:ascii="宋体" w:hAnsi="宋体" w:eastAsia="宋体" w:cs="宋体"/>
                <w:color w:val="auto"/>
                <w:kern w:val="0"/>
                <w:sz w:val="24"/>
                <w:highlight w:val="none"/>
              </w:rPr>
            </w:pPr>
          </w:p>
        </w:tc>
        <w:tc>
          <w:tcPr>
            <w:tcW w:w="617" w:type="pct"/>
            <w:vAlign w:val="center"/>
          </w:tcPr>
          <w:p w14:paraId="3DA5A31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w:t>
            </w:r>
          </w:p>
          <w:p w14:paraId="4AE3BAED">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w:t>
            </w:r>
          </w:p>
          <w:p w14:paraId="1AF3030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w:t>
            </w:r>
          </w:p>
        </w:tc>
        <w:tc>
          <w:tcPr>
            <w:tcW w:w="2984" w:type="pct"/>
            <w:vAlign w:val="center"/>
          </w:tcPr>
          <w:p w14:paraId="743352DF">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实现关联读取政府采购云平台和浙江政府采购网项目采购程序执行公开记录到内控采管系统，实现通过采购审批单编号、项目编号及名称等关键信息查询，可实时查看各项目采购程序、验收和结算等执行进度和完成情况；（2）实现采购文件线上审核流程，支持采购需求部门、采购管理部门及第三方招标代理机构进行采购文件终稿上传、下载、预览和多方确认等操作。</w:t>
            </w:r>
            <w:r>
              <w:rPr>
                <w:rFonts w:hint="eastAsia" w:ascii="宋体" w:hAnsi="宋体" w:eastAsia="宋体" w:cs="宋体"/>
                <w:color w:val="auto"/>
                <w:sz w:val="24"/>
                <w:szCs w:val="24"/>
                <w:highlight w:val="none"/>
              </w:rPr>
              <w:t>支持采购文件自定义审核流程，支持采购文件在线编辑留痕功能，支持采购文件多维度查询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下载</w:t>
            </w:r>
            <w:r>
              <w:rPr>
                <w:rFonts w:hint="eastAsia" w:ascii="宋体" w:hAnsi="宋体" w:eastAsia="宋体" w:cs="宋体"/>
                <w:color w:val="auto"/>
                <w:sz w:val="24"/>
                <w:szCs w:val="24"/>
                <w:highlight w:val="none"/>
              </w:rPr>
              <w:t>功能。</w:t>
            </w:r>
          </w:p>
        </w:tc>
      </w:tr>
      <w:tr w14:paraId="2F11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88" w:type="pct"/>
            <w:vMerge w:val="continue"/>
            <w:vAlign w:val="center"/>
          </w:tcPr>
          <w:p w14:paraId="50852F88">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049D822D">
            <w:pPr>
              <w:widowControl/>
              <w:spacing w:line="360" w:lineRule="auto"/>
              <w:jc w:val="left"/>
              <w:rPr>
                <w:rFonts w:hint="eastAsia" w:ascii="宋体" w:hAnsi="宋体" w:eastAsia="宋体" w:cs="宋体"/>
                <w:color w:val="auto"/>
                <w:kern w:val="0"/>
                <w:sz w:val="24"/>
                <w:highlight w:val="none"/>
              </w:rPr>
            </w:pPr>
          </w:p>
        </w:tc>
        <w:tc>
          <w:tcPr>
            <w:tcW w:w="610" w:type="pct"/>
            <w:vMerge w:val="continue"/>
            <w:vAlign w:val="center"/>
          </w:tcPr>
          <w:p w14:paraId="4835D147">
            <w:pPr>
              <w:widowControl/>
              <w:spacing w:line="360" w:lineRule="auto"/>
              <w:jc w:val="left"/>
              <w:rPr>
                <w:rFonts w:hint="eastAsia" w:ascii="宋体" w:hAnsi="宋体" w:eastAsia="宋体" w:cs="宋体"/>
                <w:color w:val="auto"/>
                <w:kern w:val="0"/>
                <w:sz w:val="24"/>
                <w:highlight w:val="none"/>
              </w:rPr>
            </w:pPr>
          </w:p>
        </w:tc>
        <w:tc>
          <w:tcPr>
            <w:tcW w:w="617" w:type="pct"/>
            <w:vAlign w:val="center"/>
          </w:tcPr>
          <w:p w14:paraId="0935301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线下采购管理</w:t>
            </w:r>
          </w:p>
        </w:tc>
        <w:tc>
          <w:tcPr>
            <w:tcW w:w="2984" w:type="pct"/>
            <w:vAlign w:val="center"/>
          </w:tcPr>
          <w:p w14:paraId="7C505E4F">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支持各部门线下采购业务管理，各部门可线上进行竞价或上传线下竞价材料、验收记录等。</w:t>
            </w:r>
          </w:p>
        </w:tc>
      </w:tr>
      <w:tr w14:paraId="6328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88" w:type="pct"/>
            <w:vMerge w:val="continue"/>
            <w:vAlign w:val="center"/>
          </w:tcPr>
          <w:p w14:paraId="6D8115D8">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5695D8A8">
            <w:pPr>
              <w:widowControl/>
              <w:spacing w:line="360" w:lineRule="auto"/>
              <w:jc w:val="left"/>
              <w:rPr>
                <w:rFonts w:hint="eastAsia" w:ascii="宋体" w:hAnsi="宋体" w:eastAsia="宋体" w:cs="宋体"/>
                <w:color w:val="auto"/>
                <w:kern w:val="0"/>
                <w:sz w:val="24"/>
                <w:highlight w:val="none"/>
              </w:rPr>
            </w:pPr>
          </w:p>
        </w:tc>
        <w:tc>
          <w:tcPr>
            <w:tcW w:w="610" w:type="pct"/>
            <w:vMerge w:val="continue"/>
            <w:vAlign w:val="center"/>
          </w:tcPr>
          <w:p w14:paraId="645B0B95">
            <w:pPr>
              <w:widowControl/>
              <w:spacing w:line="360" w:lineRule="auto"/>
              <w:jc w:val="left"/>
              <w:rPr>
                <w:rFonts w:hint="eastAsia" w:ascii="宋体" w:hAnsi="宋体" w:eastAsia="宋体" w:cs="宋体"/>
                <w:color w:val="auto"/>
                <w:kern w:val="0"/>
                <w:sz w:val="24"/>
                <w:highlight w:val="none"/>
              </w:rPr>
            </w:pPr>
          </w:p>
        </w:tc>
        <w:tc>
          <w:tcPr>
            <w:tcW w:w="617" w:type="pct"/>
            <w:vAlign w:val="center"/>
          </w:tcPr>
          <w:p w14:paraId="4782150D">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政府采购订单</w:t>
            </w:r>
          </w:p>
          <w:p w14:paraId="7049343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关联</w:t>
            </w:r>
          </w:p>
        </w:tc>
        <w:tc>
          <w:tcPr>
            <w:tcW w:w="2984" w:type="pct"/>
            <w:vAlign w:val="center"/>
          </w:tcPr>
          <w:p w14:paraId="4F1126E9">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支持政府采购云平台（网上超市等财政厅监管模块）产生的相关交易信息与内控审批单关联，实现采购事前、事中、事后全过程管理，关联类型包含但不限于网上超市订单、项目采购合同等信息。</w:t>
            </w:r>
          </w:p>
        </w:tc>
      </w:tr>
      <w:tr w14:paraId="75B8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11451C38">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114B9A34">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46EA4B1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采购内容替换</w:t>
            </w:r>
          </w:p>
        </w:tc>
        <w:tc>
          <w:tcPr>
            <w:tcW w:w="617" w:type="pct"/>
            <w:vAlign w:val="center"/>
          </w:tcPr>
          <w:p w14:paraId="29683E8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BBB2E04">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能实现电子卖场下单前需求审批范围内（预算总额、采购品目不变）的采购内容链接替换。</w:t>
            </w:r>
          </w:p>
        </w:tc>
      </w:tr>
      <w:tr w14:paraId="6818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restart"/>
            <w:vAlign w:val="center"/>
          </w:tcPr>
          <w:p w14:paraId="5D63FD1A">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497" w:type="pct"/>
            <w:vMerge w:val="restart"/>
            <w:vAlign w:val="center"/>
          </w:tcPr>
          <w:p w14:paraId="411F752D">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b/>
                <w:color w:val="auto"/>
                <w:sz w:val="24"/>
                <w:szCs w:val="24"/>
                <w:highlight w:val="none"/>
              </w:rPr>
              <w:t>采购合同</w:t>
            </w:r>
          </w:p>
        </w:tc>
        <w:tc>
          <w:tcPr>
            <w:tcW w:w="610" w:type="pct"/>
            <w:vAlign w:val="center"/>
          </w:tcPr>
          <w:p w14:paraId="7ECCCDE3">
            <w:pPr>
              <w:widowControl/>
              <w:spacing w:line="360" w:lineRule="auto"/>
              <w:jc w:val="center"/>
              <w:rPr>
                <w:rFonts w:hint="eastAsia" w:ascii="宋体" w:hAnsi="宋体" w:eastAsia="宋体" w:cs="宋体"/>
                <w:color w:val="auto"/>
                <w:kern w:val="0"/>
                <w:sz w:val="24"/>
                <w:highlight w:val="none"/>
              </w:rPr>
            </w:pPr>
            <w:r>
              <w:rPr>
                <w:rFonts w:hint="eastAsia"/>
                <w:b/>
                <w:color w:val="auto"/>
                <w:sz w:val="24"/>
                <w:szCs w:val="24"/>
                <w:highlight w:val="none"/>
              </w:rPr>
              <w:t>合同起草</w:t>
            </w:r>
          </w:p>
        </w:tc>
        <w:tc>
          <w:tcPr>
            <w:tcW w:w="617" w:type="pct"/>
            <w:vAlign w:val="center"/>
          </w:tcPr>
          <w:p w14:paraId="23A4540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CA045EF">
            <w:pPr>
              <w:widowControl/>
              <w:spacing w:line="300" w:lineRule="auto"/>
              <w:jc w:val="left"/>
              <w:rPr>
                <w:rFonts w:hint="eastAsia" w:ascii="宋体" w:hAnsi="宋体" w:eastAsia="宋体" w:cs="宋体"/>
                <w:color w:val="auto"/>
                <w:kern w:val="0"/>
                <w:sz w:val="24"/>
                <w:highlight w:val="none"/>
              </w:rPr>
            </w:pPr>
            <w:r>
              <w:rPr>
                <w:rFonts w:hint="eastAsia"/>
                <w:color w:val="auto"/>
                <w:sz w:val="24"/>
                <w:szCs w:val="24"/>
                <w:highlight w:val="none"/>
              </w:rPr>
              <w:t>采购项目合同起草，根据采购项目成交（中标）结果起草合同，</w:t>
            </w:r>
            <w:r>
              <w:rPr>
                <w:rFonts w:hint="eastAsia"/>
                <w:color w:val="auto"/>
                <w:sz w:val="24"/>
                <w:szCs w:val="24"/>
                <w:highlight w:val="none"/>
                <w:lang w:val="en-US" w:eastAsia="zh-CN"/>
              </w:rPr>
              <w:t>提供与对应招标文件匹配合同模板下载，</w:t>
            </w:r>
            <w:r>
              <w:rPr>
                <w:rFonts w:hint="eastAsia"/>
                <w:color w:val="auto"/>
                <w:sz w:val="24"/>
                <w:szCs w:val="24"/>
                <w:highlight w:val="none"/>
              </w:rPr>
              <w:t>要求继承采购执行基本、合同明细，合同支付期次、质保金和期限等，并上传合同，提交合同流程审核，支持合同提交和撤回。</w:t>
            </w:r>
          </w:p>
        </w:tc>
      </w:tr>
      <w:tr w14:paraId="00C5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241D0A9E">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055D810E">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599710A7">
            <w:pPr>
              <w:widowControl/>
              <w:spacing w:line="360" w:lineRule="auto"/>
              <w:jc w:val="center"/>
              <w:rPr>
                <w:rFonts w:hint="eastAsia" w:ascii="宋体" w:hAnsi="宋体" w:eastAsia="宋体" w:cs="宋体"/>
                <w:color w:val="auto"/>
                <w:kern w:val="0"/>
                <w:sz w:val="24"/>
                <w:highlight w:val="none"/>
              </w:rPr>
            </w:pPr>
            <w:r>
              <w:rPr>
                <w:rFonts w:hint="eastAsia"/>
                <w:b/>
                <w:color w:val="auto"/>
                <w:sz w:val="24"/>
                <w:szCs w:val="24"/>
                <w:highlight w:val="none"/>
              </w:rPr>
              <w:t>合同审核</w:t>
            </w:r>
          </w:p>
        </w:tc>
        <w:tc>
          <w:tcPr>
            <w:tcW w:w="617" w:type="pct"/>
            <w:vAlign w:val="center"/>
          </w:tcPr>
          <w:p w14:paraId="6A80994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56EA353F">
            <w:pPr>
              <w:widowControl/>
              <w:spacing w:line="300" w:lineRule="auto"/>
              <w:jc w:val="left"/>
              <w:rPr>
                <w:rFonts w:hint="eastAsia" w:ascii="宋体" w:hAnsi="宋体" w:eastAsia="宋体" w:cs="宋体"/>
                <w:color w:val="auto"/>
                <w:kern w:val="0"/>
                <w:sz w:val="24"/>
                <w:highlight w:val="none"/>
              </w:rPr>
            </w:pPr>
            <w:r>
              <w:rPr>
                <w:rFonts w:hint="eastAsia"/>
                <w:color w:val="auto"/>
                <w:sz w:val="24"/>
                <w:szCs w:val="24"/>
                <w:highlight w:val="none"/>
              </w:rPr>
              <w:t>按照学校项目采购合同自定义审批流程，支持不同类型合同的审批流程，并要求保留审批痕迹。</w:t>
            </w:r>
          </w:p>
        </w:tc>
      </w:tr>
      <w:tr w14:paraId="25ED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7AEC790F">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49D5574B">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25EED7F6">
            <w:pPr>
              <w:widowControl/>
              <w:spacing w:line="360" w:lineRule="auto"/>
              <w:jc w:val="center"/>
              <w:rPr>
                <w:rFonts w:hint="eastAsia" w:ascii="宋体" w:hAnsi="宋体" w:eastAsia="宋体" w:cs="宋体"/>
                <w:color w:val="auto"/>
                <w:kern w:val="0"/>
                <w:sz w:val="24"/>
                <w:highlight w:val="none"/>
              </w:rPr>
            </w:pPr>
            <w:r>
              <w:rPr>
                <w:rFonts w:hint="eastAsia"/>
                <w:b/>
                <w:color w:val="auto"/>
                <w:sz w:val="24"/>
                <w:szCs w:val="24"/>
                <w:highlight w:val="none"/>
              </w:rPr>
              <w:t>合同签署</w:t>
            </w:r>
          </w:p>
        </w:tc>
        <w:tc>
          <w:tcPr>
            <w:tcW w:w="617" w:type="pct"/>
            <w:vAlign w:val="center"/>
          </w:tcPr>
          <w:p w14:paraId="442EB3D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DC8AD46">
            <w:pPr>
              <w:widowControl/>
              <w:spacing w:line="360" w:lineRule="auto"/>
              <w:jc w:val="left"/>
              <w:rPr>
                <w:rFonts w:hint="eastAsia" w:ascii="宋体" w:hAnsi="宋体" w:eastAsia="宋体" w:cs="宋体"/>
                <w:color w:val="auto"/>
                <w:kern w:val="0"/>
                <w:sz w:val="24"/>
                <w:highlight w:val="none"/>
              </w:rPr>
            </w:pPr>
            <w:r>
              <w:rPr>
                <w:rFonts w:hint="eastAsia"/>
                <w:color w:val="auto"/>
                <w:sz w:val="24"/>
                <w:szCs w:val="24"/>
                <w:highlight w:val="none"/>
              </w:rPr>
              <w:t>采购合同签署后，要求采购人上载签章合同扫描件。下载支持</w:t>
            </w:r>
            <w:r>
              <w:rPr>
                <w:rFonts w:hint="eastAsia"/>
                <w:color w:val="auto"/>
                <w:sz w:val="24"/>
                <w:szCs w:val="24"/>
                <w:highlight w:val="none"/>
                <w:lang w:val="en-US" w:eastAsia="zh-CN"/>
              </w:rPr>
              <w:t>带</w:t>
            </w:r>
            <w:r>
              <w:rPr>
                <w:rFonts w:hint="eastAsia"/>
                <w:color w:val="auto"/>
                <w:sz w:val="24"/>
                <w:szCs w:val="24"/>
                <w:highlight w:val="none"/>
              </w:rPr>
              <w:t>水印</w:t>
            </w:r>
            <w:r>
              <w:rPr>
                <w:rFonts w:hint="eastAsia"/>
                <w:color w:val="auto"/>
                <w:sz w:val="24"/>
                <w:szCs w:val="24"/>
                <w:highlight w:val="none"/>
                <w:lang w:val="en-US" w:eastAsia="zh-CN"/>
              </w:rPr>
              <w:t>功能。</w:t>
            </w:r>
          </w:p>
        </w:tc>
      </w:tr>
      <w:tr w14:paraId="1E96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630D88E3">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2C6048F7">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4E4A9175">
            <w:pPr>
              <w:widowControl/>
              <w:spacing w:line="360" w:lineRule="auto"/>
              <w:jc w:val="center"/>
              <w:rPr>
                <w:rFonts w:hint="eastAsia" w:ascii="宋体" w:hAnsi="宋体" w:eastAsia="宋体" w:cs="宋体"/>
                <w:color w:val="auto"/>
                <w:kern w:val="0"/>
                <w:sz w:val="24"/>
                <w:highlight w:val="none"/>
              </w:rPr>
            </w:pPr>
            <w:r>
              <w:rPr>
                <w:rFonts w:hint="eastAsia"/>
                <w:b/>
                <w:color w:val="auto"/>
                <w:sz w:val="24"/>
                <w:szCs w:val="24"/>
                <w:highlight w:val="none"/>
              </w:rPr>
              <w:t>合同跟踪预警</w:t>
            </w:r>
          </w:p>
        </w:tc>
        <w:tc>
          <w:tcPr>
            <w:tcW w:w="617" w:type="pct"/>
            <w:vAlign w:val="center"/>
          </w:tcPr>
          <w:p w14:paraId="2F1F65BB">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11AEBDAB">
            <w:pPr>
              <w:widowControl/>
              <w:spacing w:line="360" w:lineRule="auto"/>
              <w:jc w:val="left"/>
              <w:rPr>
                <w:rFonts w:hint="eastAsia" w:ascii="宋体" w:hAnsi="宋体" w:eastAsia="宋体" w:cs="宋体"/>
                <w:color w:val="auto"/>
                <w:kern w:val="0"/>
                <w:sz w:val="24"/>
                <w:highlight w:val="none"/>
              </w:rPr>
            </w:pPr>
            <w:r>
              <w:rPr>
                <w:rFonts w:hint="eastAsia"/>
                <w:color w:val="auto"/>
                <w:sz w:val="24"/>
                <w:szCs w:val="24"/>
                <w:highlight w:val="none"/>
              </w:rPr>
              <w:t>项目采购合同跟踪和预警，按照项目采购合同管理要求对采购合同签订和履行时限进行监控，发现异常发布红色和黄色不同级别预警</w:t>
            </w:r>
            <w:r>
              <w:rPr>
                <w:rFonts w:hint="eastAsia"/>
                <w:color w:val="auto"/>
                <w:sz w:val="24"/>
                <w:szCs w:val="24"/>
                <w:highlight w:val="none"/>
                <w:lang w:eastAsia="zh-CN"/>
              </w:rPr>
              <w:t>。</w:t>
            </w:r>
          </w:p>
        </w:tc>
      </w:tr>
      <w:tr w14:paraId="3A07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75E16C4A">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7E9214DE">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7CDCEE92">
            <w:pPr>
              <w:widowControl/>
              <w:spacing w:line="360" w:lineRule="auto"/>
              <w:jc w:val="center"/>
              <w:rPr>
                <w:rFonts w:hint="eastAsia" w:ascii="宋体" w:hAnsi="宋体" w:eastAsia="宋体" w:cs="宋体"/>
                <w:color w:val="auto"/>
                <w:kern w:val="0"/>
                <w:sz w:val="24"/>
                <w:highlight w:val="none"/>
              </w:rPr>
            </w:pPr>
            <w:r>
              <w:rPr>
                <w:rFonts w:hint="eastAsia"/>
                <w:b/>
                <w:color w:val="auto"/>
                <w:sz w:val="24"/>
                <w:szCs w:val="24"/>
                <w:highlight w:val="none"/>
              </w:rPr>
              <w:t>合同变更</w:t>
            </w:r>
          </w:p>
        </w:tc>
        <w:tc>
          <w:tcPr>
            <w:tcW w:w="617" w:type="pct"/>
            <w:vAlign w:val="center"/>
          </w:tcPr>
          <w:p w14:paraId="39C0804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3AFE01DB">
            <w:pPr>
              <w:widowControl/>
              <w:spacing w:line="360" w:lineRule="auto"/>
              <w:jc w:val="left"/>
              <w:rPr>
                <w:rFonts w:hint="eastAsia" w:ascii="宋体" w:hAnsi="宋体" w:eastAsia="宋体" w:cs="宋体"/>
                <w:color w:val="auto"/>
                <w:kern w:val="0"/>
                <w:sz w:val="24"/>
                <w:highlight w:val="none"/>
              </w:rPr>
            </w:pPr>
            <w:r>
              <w:rPr>
                <w:rFonts w:hint="eastAsia"/>
                <w:color w:val="auto"/>
                <w:sz w:val="24"/>
                <w:szCs w:val="24"/>
                <w:highlight w:val="none"/>
              </w:rPr>
              <w:t>支持对异常项目采购合同实施终止或变更。要求按照合同管理要求实施合同变更申请审批流程，并上载所在部门签字盖章的合同变更申请，审批通过后，实施系统变更。</w:t>
            </w:r>
          </w:p>
        </w:tc>
      </w:tr>
      <w:tr w14:paraId="48A8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070D12E7">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6CA662DB">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37842185">
            <w:pPr>
              <w:widowControl/>
              <w:spacing w:line="360" w:lineRule="auto"/>
              <w:jc w:val="center"/>
              <w:rPr>
                <w:rFonts w:hint="eastAsia" w:ascii="宋体" w:hAnsi="宋体" w:eastAsia="宋体" w:cs="宋体"/>
                <w:color w:val="auto"/>
                <w:kern w:val="0"/>
                <w:sz w:val="24"/>
                <w:highlight w:val="none"/>
              </w:rPr>
            </w:pPr>
            <w:r>
              <w:rPr>
                <w:rFonts w:hint="eastAsia"/>
                <w:b/>
                <w:color w:val="auto"/>
                <w:sz w:val="24"/>
                <w:szCs w:val="24"/>
                <w:highlight w:val="none"/>
              </w:rPr>
              <w:t>合同备案</w:t>
            </w:r>
          </w:p>
        </w:tc>
        <w:tc>
          <w:tcPr>
            <w:tcW w:w="617" w:type="pct"/>
            <w:vAlign w:val="center"/>
          </w:tcPr>
          <w:p w14:paraId="541ED3AF">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53E38587">
            <w:pPr>
              <w:widowControl/>
              <w:spacing w:line="360" w:lineRule="auto"/>
              <w:jc w:val="left"/>
              <w:rPr>
                <w:rFonts w:hint="eastAsia" w:ascii="宋体" w:hAnsi="宋体" w:eastAsia="宋体" w:cs="宋体"/>
                <w:color w:val="auto"/>
                <w:kern w:val="0"/>
                <w:sz w:val="24"/>
                <w:highlight w:val="none"/>
              </w:rPr>
            </w:pPr>
            <w:r>
              <w:rPr>
                <w:rFonts w:hint="eastAsia"/>
                <w:color w:val="auto"/>
                <w:sz w:val="24"/>
                <w:szCs w:val="24"/>
                <w:highlight w:val="none"/>
              </w:rPr>
              <w:t>根据框架协议、网超和自行采购等采购结果，采购人登记采购合同上载合同扫描件，并经审核备案入库</w:t>
            </w:r>
            <w:r>
              <w:rPr>
                <w:rFonts w:hint="eastAsia"/>
                <w:color w:val="auto"/>
                <w:sz w:val="24"/>
                <w:szCs w:val="24"/>
                <w:highlight w:val="none"/>
                <w:lang w:eastAsia="zh-CN"/>
              </w:rPr>
              <w:t>。</w:t>
            </w:r>
          </w:p>
        </w:tc>
      </w:tr>
      <w:tr w14:paraId="6238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77759FE1">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12F75501">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257EA0C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合同查询</w:t>
            </w:r>
          </w:p>
        </w:tc>
        <w:tc>
          <w:tcPr>
            <w:tcW w:w="617" w:type="pct"/>
            <w:vAlign w:val="center"/>
          </w:tcPr>
          <w:p w14:paraId="6C1467BF">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070EF643">
            <w:pPr>
              <w:widowControl/>
              <w:spacing w:line="360" w:lineRule="auto"/>
              <w:jc w:val="left"/>
              <w:rPr>
                <w:rFonts w:hint="eastAsia" w:ascii="宋体" w:hAnsi="宋体" w:eastAsia="宋体" w:cs="宋体"/>
                <w:color w:val="auto"/>
                <w:kern w:val="0"/>
                <w:sz w:val="24"/>
                <w:highlight w:val="none"/>
              </w:rPr>
            </w:pPr>
            <w:r>
              <w:rPr>
                <w:rFonts w:hint="eastAsia"/>
                <w:color w:val="auto"/>
                <w:sz w:val="24"/>
                <w:szCs w:val="24"/>
                <w:highlight w:val="none"/>
              </w:rPr>
              <w:t>支持多维条件的采购合同台账查询，包括合同各类履行状态的查询、数据预览、打印和导出</w:t>
            </w:r>
            <w:r>
              <w:rPr>
                <w:rFonts w:hint="eastAsia"/>
                <w:color w:val="auto"/>
                <w:sz w:val="24"/>
                <w:szCs w:val="24"/>
                <w:highlight w:val="none"/>
                <w:lang w:eastAsia="zh-CN"/>
              </w:rPr>
              <w:t>。</w:t>
            </w:r>
          </w:p>
        </w:tc>
      </w:tr>
      <w:tr w14:paraId="09C3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restart"/>
            <w:vAlign w:val="center"/>
          </w:tcPr>
          <w:p w14:paraId="53FF0FDC">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497" w:type="pct"/>
            <w:vMerge w:val="restart"/>
            <w:vAlign w:val="center"/>
          </w:tcPr>
          <w:p w14:paraId="409C3176">
            <w:pPr>
              <w:widowControl/>
              <w:spacing w:line="360" w:lineRule="auto"/>
              <w:jc w:val="left"/>
              <w:rPr>
                <w:rFonts w:hint="eastAsia" w:ascii="宋体" w:hAnsi="宋体" w:eastAsia="宋体" w:cs="宋体"/>
                <w:color w:val="auto"/>
                <w:kern w:val="0"/>
                <w:sz w:val="24"/>
                <w:highlight w:val="none"/>
              </w:rPr>
            </w:pPr>
            <w:r>
              <w:rPr>
                <w:rFonts w:hint="eastAsia" w:ascii="宋体" w:hAnsi="宋体" w:cs="宋体"/>
                <w:color w:val="auto"/>
                <w:sz w:val="24"/>
                <w:highlight w:val="none"/>
              </w:rPr>
              <w:t>采购档案</w:t>
            </w:r>
          </w:p>
        </w:tc>
        <w:tc>
          <w:tcPr>
            <w:tcW w:w="610" w:type="pct"/>
            <w:vAlign w:val="center"/>
          </w:tcPr>
          <w:p w14:paraId="133D873B">
            <w:pPr>
              <w:widowControl/>
              <w:spacing w:line="360" w:lineRule="auto"/>
              <w:jc w:val="center"/>
              <w:rPr>
                <w:rFonts w:hint="eastAsia" w:ascii="宋体" w:hAnsi="宋体" w:eastAsia="宋体" w:cs="宋体"/>
                <w:b/>
                <w:bCs/>
                <w:color w:val="auto"/>
                <w:kern w:val="0"/>
                <w:sz w:val="24"/>
                <w:highlight w:val="none"/>
                <w:lang w:val="en-US" w:eastAsia="zh-CN"/>
              </w:rPr>
            </w:pPr>
            <w:r>
              <w:rPr>
                <w:rFonts w:hint="eastAsia"/>
                <w:color w:val="auto"/>
                <w:kern w:val="0"/>
                <w:sz w:val="24"/>
                <w:highlight w:val="none"/>
                <w:lang w:bidi="ar"/>
              </w:rPr>
              <w:t>档案登记</w:t>
            </w:r>
          </w:p>
        </w:tc>
        <w:tc>
          <w:tcPr>
            <w:tcW w:w="617" w:type="pct"/>
            <w:vAlign w:val="center"/>
          </w:tcPr>
          <w:p w14:paraId="1F6E2F0C">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2984" w:type="pct"/>
            <w:vAlign w:val="center"/>
          </w:tcPr>
          <w:p w14:paraId="35461DAD">
            <w:pPr>
              <w:widowControl/>
              <w:spacing w:line="360" w:lineRule="auto"/>
              <w:jc w:val="left"/>
              <w:rPr>
                <w:rFonts w:hint="eastAsia"/>
                <w:color w:val="auto"/>
                <w:sz w:val="24"/>
                <w:szCs w:val="24"/>
                <w:highlight w:val="none"/>
              </w:rPr>
            </w:pPr>
            <w:r>
              <w:rPr>
                <w:rFonts w:hint="eastAsia"/>
                <w:color w:val="auto"/>
                <w:kern w:val="0"/>
                <w:sz w:val="24"/>
                <w:highlight w:val="none"/>
                <w:lang w:bidi="ar"/>
              </w:rPr>
              <w:t>选择已验收采购合同，创建档案登记表，生成档案目录和档案编号（按规则自动生成），自动获取相关目录的采购电子文件（PDF），并查看卷宗目录文件清单，支持档案卷宗表保存。</w:t>
            </w:r>
          </w:p>
        </w:tc>
      </w:tr>
      <w:tr w14:paraId="6BF5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4572C7AB">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20D2BCDA">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1B985480">
            <w:pPr>
              <w:widowControl/>
              <w:spacing w:line="360" w:lineRule="auto"/>
              <w:jc w:val="center"/>
              <w:rPr>
                <w:rFonts w:hint="eastAsia" w:ascii="宋体" w:hAnsi="宋体" w:eastAsia="宋体" w:cs="宋体"/>
                <w:b/>
                <w:bCs/>
                <w:color w:val="auto"/>
                <w:kern w:val="0"/>
                <w:sz w:val="24"/>
                <w:highlight w:val="none"/>
                <w:lang w:val="en-US" w:eastAsia="zh-CN"/>
              </w:rPr>
            </w:pPr>
            <w:r>
              <w:rPr>
                <w:rFonts w:hint="eastAsia"/>
                <w:color w:val="auto"/>
                <w:kern w:val="0"/>
                <w:sz w:val="24"/>
                <w:highlight w:val="none"/>
                <w:lang w:bidi="ar"/>
              </w:rPr>
              <w:t>档案管理</w:t>
            </w:r>
          </w:p>
        </w:tc>
        <w:tc>
          <w:tcPr>
            <w:tcW w:w="617" w:type="pct"/>
            <w:vAlign w:val="center"/>
          </w:tcPr>
          <w:p w14:paraId="198B00E5">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2984" w:type="pct"/>
            <w:vAlign w:val="center"/>
          </w:tcPr>
          <w:p w14:paraId="0F9DADB9">
            <w:pPr>
              <w:widowControl/>
              <w:spacing w:line="360" w:lineRule="auto"/>
              <w:jc w:val="left"/>
              <w:rPr>
                <w:rFonts w:hint="eastAsia" w:eastAsiaTheme="minorEastAsia"/>
                <w:color w:val="auto"/>
                <w:sz w:val="24"/>
                <w:szCs w:val="24"/>
                <w:highlight w:val="none"/>
                <w:lang w:eastAsia="zh-CN"/>
              </w:rPr>
            </w:pPr>
            <w:r>
              <w:rPr>
                <w:rFonts w:hint="eastAsia"/>
                <w:color w:val="auto"/>
                <w:kern w:val="0"/>
                <w:sz w:val="24"/>
                <w:highlight w:val="none"/>
                <w:lang w:bidi="ar"/>
              </w:rPr>
              <w:t>选择保存档案卷宗登记表，支持对登记表的编辑、删除、查询和打印档案卷宗目录等功能。支持多维条件查询和数据导出</w:t>
            </w:r>
            <w:r>
              <w:rPr>
                <w:rFonts w:hint="eastAsia"/>
                <w:color w:val="auto"/>
                <w:kern w:val="0"/>
                <w:sz w:val="24"/>
                <w:highlight w:val="none"/>
                <w:lang w:eastAsia="zh-CN" w:bidi="ar"/>
              </w:rPr>
              <w:t>。</w:t>
            </w:r>
          </w:p>
        </w:tc>
      </w:tr>
      <w:tr w14:paraId="4A2B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44AE829E">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4FBA8D51">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47EC6A02">
            <w:pPr>
              <w:widowControl/>
              <w:spacing w:line="360" w:lineRule="auto"/>
              <w:jc w:val="center"/>
              <w:rPr>
                <w:rFonts w:hint="eastAsia" w:ascii="宋体" w:hAnsi="宋体" w:eastAsia="宋体" w:cs="宋体"/>
                <w:b/>
                <w:bCs/>
                <w:color w:val="auto"/>
                <w:kern w:val="0"/>
                <w:sz w:val="24"/>
                <w:highlight w:val="none"/>
                <w:lang w:val="en-US" w:eastAsia="zh-CN"/>
              </w:rPr>
            </w:pPr>
            <w:r>
              <w:rPr>
                <w:rFonts w:hint="eastAsia"/>
                <w:color w:val="auto"/>
                <w:kern w:val="0"/>
                <w:sz w:val="24"/>
                <w:highlight w:val="none"/>
                <w:lang w:bidi="ar"/>
              </w:rPr>
              <w:t>档案移交</w:t>
            </w:r>
          </w:p>
        </w:tc>
        <w:tc>
          <w:tcPr>
            <w:tcW w:w="617" w:type="pct"/>
            <w:vAlign w:val="center"/>
          </w:tcPr>
          <w:p w14:paraId="32BB9432">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2984" w:type="pct"/>
            <w:vAlign w:val="center"/>
          </w:tcPr>
          <w:p w14:paraId="26769F5C">
            <w:pPr>
              <w:widowControl/>
              <w:spacing w:line="360" w:lineRule="auto"/>
              <w:jc w:val="left"/>
              <w:rPr>
                <w:rFonts w:hint="eastAsia"/>
                <w:color w:val="auto"/>
                <w:kern w:val="0"/>
                <w:sz w:val="24"/>
                <w:szCs w:val="24"/>
                <w:highlight w:val="none"/>
                <w:lang w:bidi="ar"/>
              </w:rPr>
            </w:pPr>
            <w:r>
              <w:rPr>
                <w:rFonts w:hint="eastAsia"/>
                <w:color w:val="auto"/>
                <w:kern w:val="0"/>
                <w:sz w:val="24"/>
                <w:highlight w:val="none"/>
                <w:lang w:bidi="ar"/>
              </w:rPr>
              <w:t>选择档案卷宗，新增档案移交登记表。支持登记表的保存、编辑、删除、打印，以及档案移交登记表的签字扫描（拍照）上载。支持多维条件查询。</w:t>
            </w:r>
          </w:p>
        </w:tc>
      </w:tr>
      <w:tr w14:paraId="2435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Align w:val="center"/>
          </w:tcPr>
          <w:p w14:paraId="4A28BF9A">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497" w:type="pct"/>
            <w:vAlign w:val="center"/>
          </w:tcPr>
          <w:p w14:paraId="40DE2AD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采购监督预警</w:t>
            </w:r>
          </w:p>
        </w:tc>
        <w:tc>
          <w:tcPr>
            <w:tcW w:w="610" w:type="pct"/>
            <w:vAlign w:val="center"/>
          </w:tcPr>
          <w:p w14:paraId="424200B6">
            <w:pPr>
              <w:widowControl/>
              <w:spacing w:line="360" w:lineRule="auto"/>
              <w:jc w:val="center"/>
              <w:rPr>
                <w:rFonts w:hint="eastAsia"/>
                <w:color w:val="auto"/>
                <w:kern w:val="0"/>
                <w:sz w:val="24"/>
                <w:highlight w:val="none"/>
                <w:lang w:bidi="ar"/>
              </w:rPr>
            </w:pPr>
            <w:r>
              <w:rPr>
                <w:rFonts w:hint="eastAsia" w:ascii="宋体" w:hAnsi="宋体" w:eastAsia="宋体" w:cs="宋体"/>
                <w:color w:val="auto"/>
                <w:kern w:val="0"/>
                <w:sz w:val="24"/>
                <w:highlight w:val="none"/>
                <w:lang w:val="en-US" w:eastAsia="zh-CN"/>
              </w:rPr>
              <w:t>-</w:t>
            </w:r>
          </w:p>
        </w:tc>
        <w:tc>
          <w:tcPr>
            <w:tcW w:w="617" w:type="pct"/>
            <w:vAlign w:val="center"/>
          </w:tcPr>
          <w:p w14:paraId="67D0767F">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2984" w:type="pct"/>
            <w:vAlign w:val="center"/>
          </w:tcPr>
          <w:p w14:paraId="789CEB8A">
            <w:pPr>
              <w:widowControl/>
              <w:spacing w:line="360" w:lineRule="auto"/>
              <w:jc w:val="left"/>
              <w:rPr>
                <w:rFonts w:hint="eastAsia" w:ascii="Times New Roman" w:hAnsi="Times New Roman" w:eastAsia="宋体" w:cs="Times New Roman"/>
                <w:color w:val="auto"/>
                <w:kern w:val="0"/>
                <w:sz w:val="24"/>
                <w:highlight w:val="none"/>
                <w:lang w:bidi="ar"/>
              </w:rPr>
            </w:pPr>
            <w:r>
              <w:rPr>
                <w:rFonts w:hint="eastAsia" w:ascii="Times New Roman" w:hAnsi="Times New Roman" w:eastAsia="宋体" w:cs="Times New Roman"/>
                <w:color w:val="auto"/>
                <w:kern w:val="0"/>
                <w:sz w:val="24"/>
                <w:highlight w:val="none"/>
                <w:lang w:bidi="ar"/>
              </w:rPr>
              <w:t>1.根据学校采购监督要求，配置采购过程相关预警点，建立监督模型和预警规则；</w:t>
            </w:r>
          </w:p>
          <w:p w14:paraId="207A3D99">
            <w:pPr>
              <w:widowControl/>
              <w:spacing w:line="360" w:lineRule="auto"/>
              <w:jc w:val="left"/>
              <w:rPr>
                <w:rFonts w:hint="eastAsia" w:ascii="Times New Roman" w:hAnsi="Times New Roman" w:eastAsia="宋体" w:cs="Times New Roman"/>
                <w:color w:val="auto"/>
                <w:kern w:val="0"/>
                <w:sz w:val="24"/>
                <w:highlight w:val="none"/>
                <w:lang w:bidi="ar"/>
              </w:rPr>
            </w:pPr>
            <w:r>
              <w:rPr>
                <w:rFonts w:hint="eastAsia" w:ascii="Times New Roman" w:hAnsi="Times New Roman" w:eastAsia="宋体" w:cs="Times New Roman"/>
                <w:color w:val="auto"/>
                <w:kern w:val="0"/>
                <w:sz w:val="24"/>
                <w:highlight w:val="none"/>
                <w:lang w:bidi="ar"/>
              </w:rPr>
              <w:t>2.支持</w:t>
            </w:r>
            <w:r>
              <w:rPr>
                <w:rFonts w:hint="eastAsia" w:cs="Times New Roman"/>
                <w:color w:val="auto"/>
                <w:kern w:val="0"/>
                <w:sz w:val="24"/>
                <w:highlight w:val="none"/>
                <w:lang w:val="en-US" w:eastAsia="zh-CN" w:bidi="ar"/>
              </w:rPr>
              <w:t>多个点位</w:t>
            </w:r>
            <w:r>
              <w:rPr>
                <w:rFonts w:hint="eastAsia" w:ascii="Times New Roman" w:hAnsi="Times New Roman" w:eastAsia="宋体" w:cs="Times New Roman"/>
                <w:color w:val="auto"/>
                <w:kern w:val="0"/>
                <w:sz w:val="24"/>
                <w:highlight w:val="none"/>
                <w:lang w:bidi="ar"/>
              </w:rPr>
              <w:t>采购监督预警，项目采购预警包括合同待起草至合同签订完成效能预警、项目多次抽取预警、合同附件异常未公开预警。  电子卖场预警包括竞价报价结束时供应商信用异常（行政处罚情况）异常、供应商发货效能异常预警、采购计划变更采购方式预警。</w:t>
            </w:r>
          </w:p>
          <w:p w14:paraId="4D178F1F">
            <w:pPr>
              <w:widowControl/>
              <w:spacing w:line="360" w:lineRule="auto"/>
              <w:jc w:val="left"/>
              <w:rPr>
                <w:rFonts w:hint="eastAsia"/>
                <w:color w:val="auto"/>
                <w:kern w:val="0"/>
                <w:sz w:val="24"/>
                <w:highlight w:val="none"/>
                <w:lang w:bidi="ar"/>
              </w:rPr>
            </w:pPr>
            <w:r>
              <w:rPr>
                <w:rFonts w:hint="eastAsia" w:ascii="Times New Roman" w:hAnsi="Times New Roman" w:eastAsia="宋体" w:cs="Times New Roman"/>
                <w:color w:val="auto"/>
                <w:kern w:val="0"/>
                <w:sz w:val="24"/>
                <w:highlight w:val="none"/>
                <w:lang w:bidi="ar"/>
              </w:rPr>
              <w:t>3.查询采购监督预警记录，并导出数据</w:t>
            </w:r>
          </w:p>
        </w:tc>
      </w:tr>
      <w:tr w14:paraId="7CCB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noWrap/>
            <w:vAlign w:val="center"/>
          </w:tcPr>
          <w:p w14:paraId="3FD0D447">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497" w:type="pct"/>
            <w:noWrap/>
            <w:vAlign w:val="center"/>
          </w:tcPr>
          <w:p w14:paraId="639EF99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财务</w:t>
            </w:r>
          </w:p>
          <w:p w14:paraId="19C2EAF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系统对接</w:t>
            </w:r>
          </w:p>
        </w:tc>
        <w:tc>
          <w:tcPr>
            <w:tcW w:w="610" w:type="pct"/>
            <w:vAlign w:val="center"/>
          </w:tcPr>
          <w:p w14:paraId="0757106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关联预算经费和预约报销</w:t>
            </w:r>
          </w:p>
        </w:tc>
        <w:tc>
          <w:tcPr>
            <w:tcW w:w="617" w:type="pct"/>
            <w:vAlign w:val="center"/>
          </w:tcPr>
          <w:p w14:paraId="531EFE5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6DF87D2E">
            <w:pPr>
              <w:pStyle w:val="969"/>
              <w:widowControl/>
              <w:numPr>
                <w:ilvl w:val="0"/>
                <w:numId w:val="0"/>
              </w:numPr>
              <w:spacing w:line="360" w:lineRule="auto"/>
              <w:ind w:left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关联经费：根据采购人需求实现采购与财务系统对接；通过下拉框选择经费项目代码读取经费名称、经费负责人、管理部门以及可用余额；支持关联多个经费项目代码及多个经费项目负责人。</w:t>
            </w:r>
          </w:p>
          <w:p w14:paraId="2466A9B8">
            <w:pPr>
              <w:pStyle w:val="969"/>
              <w:widowControl/>
              <w:numPr>
                <w:ilvl w:val="-1"/>
                <w:numId w:val="0"/>
              </w:numPr>
              <w:spacing w:line="360" w:lineRule="auto"/>
              <w:ind w:left="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冻结经费：经办人在发起采购审批时，输入经费项目代码并填写所需预算金额后，在提交采购申请时，实现自动冻结对应申请额度的经费。</w:t>
            </w:r>
          </w:p>
          <w:p w14:paraId="4948B6D8">
            <w:pPr>
              <w:pStyle w:val="969"/>
              <w:widowControl/>
              <w:numPr>
                <w:ilvl w:val="-1"/>
                <w:numId w:val="0"/>
              </w:numPr>
              <w:spacing w:line="360" w:lineRule="auto"/>
              <w:ind w:left="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解冻经费：可通过几种形式解冻经费：a.提交采购审批后，审批未通过时直接退回、撤销、作废的均可解冻经费；b.已审批完成的，在撤销申请审批后，可在取消该申请单的采购任务，“作废”该需求申请单，自动解冻经费。</w:t>
            </w:r>
            <w:r>
              <w:rPr>
                <w:rFonts w:hint="default" w:ascii="宋体" w:hAnsi="宋体" w:eastAsia="宋体" w:cs="宋体"/>
                <w:color w:val="auto"/>
                <w:kern w:val="0"/>
                <w:sz w:val="24"/>
                <w:highlight w:val="none"/>
                <w:woUserID w:val="1"/>
              </w:rPr>
              <w:t>c</w:t>
            </w:r>
            <w:r>
              <w:rPr>
                <w:rFonts w:hint="eastAsia" w:ascii="宋体" w:hAnsi="宋体" w:eastAsia="宋体" w:cs="宋体"/>
                <w:color w:val="auto"/>
                <w:kern w:val="0"/>
                <w:sz w:val="24"/>
                <w:highlight w:val="none"/>
              </w:rPr>
              <w:t>.采购完成后，可对经费进行分批解冻，合同公告后，先解冻预算金额与成交金额的差额经费；财务报销时，可根据预约报销金额分批解冻经费。</w:t>
            </w:r>
          </w:p>
          <w:p w14:paraId="6B8268E9">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预约报销。系统根据是否需登记资产条件选择，自动推送采购信息以备报销，支持网超订单、项目合同预约报销流程，支持合同或网超订单多个标的物分期、分批支付报账的流程；根据实际需求，可选择线上和线下预约报销两种形式。</w:t>
            </w:r>
          </w:p>
        </w:tc>
      </w:tr>
      <w:tr w14:paraId="7F0C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8" w:type="pct"/>
            <w:noWrap/>
            <w:vAlign w:val="center"/>
          </w:tcPr>
          <w:p w14:paraId="61DBB08D">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497" w:type="pct"/>
            <w:noWrap/>
            <w:vAlign w:val="center"/>
          </w:tcPr>
          <w:p w14:paraId="04DAC45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资产</w:t>
            </w:r>
          </w:p>
          <w:p w14:paraId="622AC58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入库</w:t>
            </w:r>
          </w:p>
          <w:p w14:paraId="2811E3AF">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w:t>
            </w:r>
          </w:p>
        </w:tc>
        <w:tc>
          <w:tcPr>
            <w:tcW w:w="610" w:type="pct"/>
            <w:vAlign w:val="center"/>
          </w:tcPr>
          <w:p w14:paraId="5656482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标准化接口</w:t>
            </w:r>
          </w:p>
        </w:tc>
        <w:tc>
          <w:tcPr>
            <w:tcW w:w="617" w:type="pct"/>
            <w:vAlign w:val="center"/>
          </w:tcPr>
          <w:p w14:paraId="70F7364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390C6DFC">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预留与学校数据中台的标准化接口（提供接口），以便数据中台将采购管理系统中相关采购信息提供给资产系统，可实现将已验收的采购信息同步至资产系统，生成入库登记草稿，提高资产入库登记填写效率。</w:t>
            </w:r>
          </w:p>
        </w:tc>
      </w:tr>
      <w:tr w14:paraId="22A9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Merge w:val="restart"/>
            <w:noWrap/>
            <w:vAlign w:val="center"/>
          </w:tcPr>
          <w:p w14:paraId="03CF95B4">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497" w:type="pct"/>
            <w:vMerge w:val="restart"/>
            <w:noWrap/>
            <w:vAlign w:val="center"/>
          </w:tcPr>
          <w:p w14:paraId="6CDBBC1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决策</w:t>
            </w:r>
          </w:p>
          <w:p w14:paraId="6F799D2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w:t>
            </w:r>
          </w:p>
        </w:tc>
        <w:tc>
          <w:tcPr>
            <w:tcW w:w="610" w:type="pct"/>
            <w:vAlign w:val="center"/>
          </w:tcPr>
          <w:p w14:paraId="2738701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w:t>
            </w:r>
          </w:p>
          <w:p w14:paraId="1D5BB4D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报表</w:t>
            </w:r>
          </w:p>
        </w:tc>
        <w:tc>
          <w:tcPr>
            <w:tcW w:w="617" w:type="pct"/>
            <w:vAlign w:val="center"/>
          </w:tcPr>
          <w:p w14:paraId="42ABB1C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0C5FAF83">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实现可自定义采购数据报表格式，满足审计数据上报要求，采购业务数据统计分析等。包含但不限于</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rPr>
              <w:t>采购管理系统产生的内控数据、政府采购云平台（网上超市等财政厅监管模块）或浙江政府采购网的公开数据。</w:t>
            </w:r>
          </w:p>
        </w:tc>
      </w:tr>
      <w:tr w14:paraId="4308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8" w:type="pct"/>
            <w:vMerge w:val="continue"/>
            <w:vAlign w:val="center"/>
          </w:tcPr>
          <w:p w14:paraId="136B6146">
            <w:pPr>
              <w:widowControl/>
              <w:spacing w:line="360" w:lineRule="auto"/>
              <w:jc w:val="left"/>
              <w:rPr>
                <w:rFonts w:hint="eastAsia" w:ascii="宋体" w:hAnsi="宋体" w:eastAsia="宋体" w:cs="宋体"/>
                <w:color w:val="auto"/>
                <w:kern w:val="0"/>
                <w:sz w:val="24"/>
                <w:highlight w:val="none"/>
              </w:rPr>
            </w:pPr>
          </w:p>
        </w:tc>
        <w:tc>
          <w:tcPr>
            <w:tcW w:w="497" w:type="pct"/>
            <w:vMerge w:val="continue"/>
            <w:vAlign w:val="center"/>
          </w:tcPr>
          <w:p w14:paraId="722717FA">
            <w:pPr>
              <w:widowControl/>
              <w:spacing w:line="360" w:lineRule="auto"/>
              <w:jc w:val="left"/>
              <w:rPr>
                <w:rFonts w:hint="eastAsia" w:ascii="宋体" w:hAnsi="宋体" w:eastAsia="宋体" w:cs="宋体"/>
                <w:color w:val="auto"/>
                <w:kern w:val="0"/>
                <w:sz w:val="24"/>
                <w:highlight w:val="none"/>
              </w:rPr>
            </w:pPr>
          </w:p>
        </w:tc>
        <w:tc>
          <w:tcPr>
            <w:tcW w:w="610" w:type="pct"/>
            <w:vAlign w:val="center"/>
          </w:tcPr>
          <w:p w14:paraId="6FA2D08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统计</w:t>
            </w:r>
          </w:p>
          <w:p w14:paraId="2A42287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分析</w:t>
            </w:r>
          </w:p>
        </w:tc>
        <w:tc>
          <w:tcPr>
            <w:tcW w:w="617" w:type="pct"/>
            <w:vAlign w:val="center"/>
          </w:tcPr>
          <w:p w14:paraId="37E47864">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3AF343CF">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rPr>
              <w:t>需求实现图文形式的个性化数据看板，展现各类采购预算、执行、合同、验收、资产和支付等动态信息；支持多维度展示</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rPr>
              <w:t xml:space="preserve">各类采购数据，为决策提供参考。 </w:t>
            </w:r>
          </w:p>
        </w:tc>
      </w:tr>
      <w:tr w14:paraId="11AB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6E8BDFBB">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497" w:type="pct"/>
            <w:vAlign w:val="center"/>
          </w:tcPr>
          <w:p w14:paraId="7EE09B0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单点登录</w:t>
            </w:r>
          </w:p>
        </w:tc>
        <w:tc>
          <w:tcPr>
            <w:tcW w:w="610" w:type="pct"/>
            <w:vAlign w:val="center"/>
          </w:tcPr>
          <w:p w14:paraId="468C789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单点登录</w:t>
            </w:r>
          </w:p>
        </w:tc>
        <w:tc>
          <w:tcPr>
            <w:tcW w:w="617" w:type="pct"/>
            <w:vAlign w:val="center"/>
          </w:tcPr>
          <w:p w14:paraId="061E518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0AD0D2E7">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实现采购管理系统用户体系与学校统一身份认证对接，支持工号登录采购管理系统。</w:t>
            </w:r>
          </w:p>
        </w:tc>
      </w:tr>
      <w:tr w14:paraId="5EDD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02C3EE47">
            <w:pPr>
              <w:widowControl/>
              <w:spacing w:line="360" w:lineRule="auto"/>
              <w:ind w:left="0" w:leftChars="0" w:firstLine="0" w:firstLineChars="0"/>
              <w:jc w:val="center"/>
              <w:rPr>
                <w:rFonts w:hint="eastAsia"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woUserID w:val="1"/>
              </w:rPr>
              <w:t>1</w:t>
            </w:r>
            <w:r>
              <w:rPr>
                <w:rFonts w:hint="eastAsia" w:ascii="宋体" w:hAnsi="宋体" w:cs="宋体"/>
                <w:color w:val="auto"/>
                <w:kern w:val="0"/>
                <w:sz w:val="24"/>
                <w:highlight w:val="none"/>
                <w:lang w:val="en-US" w:eastAsia="zh-CN"/>
                <w:woUserID w:val="1"/>
              </w:rPr>
              <w:t>4</w:t>
            </w:r>
          </w:p>
        </w:tc>
        <w:tc>
          <w:tcPr>
            <w:tcW w:w="497" w:type="pct"/>
            <w:vAlign w:val="center"/>
          </w:tcPr>
          <w:p w14:paraId="316E5379">
            <w:pPr>
              <w:widowControl/>
              <w:spacing w:line="360" w:lineRule="auto"/>
              <w:ind w:left="0" w:leftChars="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学校数据中台对接，配合提供学校项目管理系统内所需要的项目信息</w:t>
            </w:r>
          </w:p>
        </w:tc>
        <w:tc>
          <w:tcPr>
            <w:tcW w:w="610" w:type="pct"/>
            <w:vAlign w:val="center"/>
          </w:tcPr>
          <w:p w14:paraId="487AC87B">
            <w:pPr>
              <w:widowControl/>
              <w:spacing w:line="360" w:lineRule="auto"/>
              <w:ind w:left="0" w:leftChars="0"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woUserID w:val="1"/>
              </w:rPr>
              <w:t>标准化接口</w:t>
            </w:r>
          </w:p>
        </w:tc>
        <w:tc>
          <w:tcPr>
            <w:tcW w:w="617" w:type="pct"/>
            <w:vAlign w:val="center"/>
          </w:tcPr>
          <w:p w14:paraId="7E147E35">
            <w:pPr>
              <w:widowControl/>
              <w:spacing w:line="360" w:lineRule="auto"/>
              <w:ind w:left="0" w:leftChars="0" w:firstLine="0" w:firstLineChars="0"/>
              <w:jc w:val="center"/>
              <w:rPr>
                <w:rFonts w:hint="eastAsia" w:ascii="宋体" w:hAnsi="宋体" w:eastAsia="宋体" w:cs="宋体"/>
                <w:color w:val="auto"/>
                <w:kern w:val="0"/>
                <w:sz w:val="24"/>
                <w:highlight w:val="none"/>
              </w:rPr>
            </w:pPr>
            <w:r>
              <w:rPr>
                <w:rFonts w:hint="default" w:ascii="宋体" w:hAnsi="宋体" w:eastAsia="宋体" w:cs="宋体"/>
                <w:color w:val="auto"/>
                <w:kern w:val="0"/>
                <w:sz w:val="24"/>
                <w:highlight w:val="none"/>
                <w:woUserID w:val="1"/>
              </w:rPr>
              <w:t>-</w:t>
            </w:r>
          </w:p>
        </w:tc>
        <w:tc>
          <w:tcPr>
            <w:tcW w:w="2984" w:type="pct"/>
            <w:vAlign w:val="center"/>
          </w:tcPr>
          <w:p w14:paraId="17AC6660">
            <w:pPr>
              <w:widowControl/>
              <w:spacing w:line="360" w:lineRule="auto"/>
              <w:ind w:left="0" w:leftChars="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预留与学校数据中台的标准化接口，包括但不限于提供项目的意向公示信息、招投标项目项目信息、政采云电子卖场订单信息、相关合同信息、采购执行进度信息等采购管理系统中的数据，以实现项目信息共享。</w:t>
            </w:r>
          </w:p>
        </w:tc>
      </w:tr>
      <w:tr w14:paraId="58A2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vAlign w:val="center"/>
          </w:tcPr>
          <w:p w14:paraId="44A4853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手机应用终端</w:t>
            </w:r>
          </w:p>
        </w:tc>
      </w:tr>
      <w:tr w14:paraId="71F2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132AC294">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497" w:type="pct"/>
            <w:shd w:val="clear" w:color="auto" w:fill="FFFFFF"/>
            <w:vAlign w:val="center"/>
          </w:tcPr>
          <w:p w14:paraId="1DF13039">
            <w:pPr>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手机首页</w:t>
            </w:r>
          </w:p>
        </w:tc>
        <w:tc>
          <w:tcPr>
            <w:tcW w:w="610" w:type="pct"/>
            <w:vAlign w:val="center"/>
          </w:tcPr>
          <w:p w14:paraId="10F454B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617" w:type="pct"/>
            <w:vAlign w:val="center"/>
          </w:tcPr>
          <w:p w14:paraId="3F5A902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2B550698">
            <w:pPr>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显示采购系统手机应用功能模块，包括待办消息、业务审批和业务查询等功能。手机统一用户身份认证和单点登录、消息互动提醒。</w:t>
            </w:r>
          </w:p>
        </w:tc>
      </w:tr>
      <w:tr w14:paraId="17EB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26DB1EEB">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497" w:type="pct"/>
            <w:shd w:val="clear" w:color="auto" w:fill="FFFFFF"/>
            <w:vAlign w:val="center"/>
          </w:tcPr>
          <w:p w14:paraId="15292997">
            <w:pPr>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待办事项</w:t>
            </w:r>
          </w:p>
        </w:tc>
        <w:tc>
          <w:tcPr>
            <w:tcW w:w="610" w:type="pct"/>
            <w:vAlign w:val="center"/>
          </w:tcPr>
          <w:p w14:paraId="49985A1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617" w:type="pct"/>
            <w:vAlign w:val="center"/>
          </w:tcPr>
          <w:p w14:paraId="6A48D29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4E47AC6D">
            <w:pPr>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各类采购业务流程待办审批事项提醒，点击可以直接进入业务审批页面，查询业务流程，并在线审批和提交。</w:t>
            </w:r>
          </w:p>
        </w:tc>
      </w:tr>
      <w:tr w14:paraId="6E87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3E70E8C7">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497" w:type="pct"/>
            <w:shd w:val="clear" w:color="auto" w:fill="FFFFFF"/>
            <w:vAlign w:val="center"/>
          </w:tcPr>
          <w:p w14:paraId="29AC9DF2">
            <w:pPr>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互动消息</w:t>
            </w:r>
          </w:p>
        </w:tc>
        <w:tc>
          <w:tcPr>
            <w:tcW w:w="610" w:type="pct"/>
            <w:vAlign w:val="center"/>
          </w:tcPr>
          <w:p w14:paraId="4109E20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617" w:type="pct"/>
            <w:vAlign w:val="center"/>
          </w:tcPr>
          <w:p w14:paraId="79BB44B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0A4B7F8F">
            <w:pPr>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在业务办理过程中，系统自动发布业务告知、招投标、成交信息、业务超时、催办等消息。</w:t>
            </w:r>
          </w:p>
        </w:tc>
      </w:tr>
      <w:tr w14:paraId="2704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3EF8A98F">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497" w:type="pct"/>
            <w:shd w:val="clear" w:color="auto" w:fill="FFFFFF"/>
            <w:vAlign w:val="center"/>
          </w:tcPr>
          <w:p w14:paraId="2A182B60">
            <w:pPr>
              <w:spacing w:line="30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业务查询</w:t>
            </w:r>
          </w:p>
        </w:tc>
        <w:tc>
          <w:tcPr>
            <w:tcW w:w="610" w:type="pct"/>
            <w:vAlign w:val="center"/>
          </w:tcPr>
          <w:p w14:paraId="499D6F2E">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617" w:type="pct"/>
            <w:vAlign w:val="center"/>
          </w:tcPr>
          <w:p w14:paraId="5A1872E6">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3CF9017C">
            <w:pPr>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查询业务流程的各类审批信息。</w:t>
            </w:r>
          </w:p>
        </w:tc>
      </w:tr>
      <w:tr w14:paraId="497B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7A515B70">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497" w:type="pct"/>
            <w:shd w:val="clear" w:color="auto" w:fill="FFFFFF"/>
            <w:vAlign w:val="center"/>
          </w:tcPr>
          <w:p w14:paraId="3AD2DD0B">
            <w:pPr>
              <w:spacing w:line="30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全周期查询</w:t>
            </w:r>
          </w:p>
        </w:tc>
        <w:tc>
          <w:tcPr>
            <w:tcW w:w="610" w:type="pct"/>
            <w:vAlign w:val="center"/>
          </w:tcPr>
          <w:p w14:paraId="6CB91067">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617" w:type="pct"/>
            <w:vAlign w:val="center"/>
          </w:tcPr>
          <w:p w14:paraId="4902C9C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483B04DE">
            <w:pPr>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选择采购项目，查询项目采购的全周期过程。</w:t>
            </w:r>
          </w:p>
        </w:tc>
      </w:tr>
      <w:tr w14:paraId="44E4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8" w:type="pct"/>
            <w:vAlign w:val="center"/>
          </w:tcPr>
          <w:p w14:paraId="7EDA052A">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497" w:type="pct"/>
            <w:shd w:val="clear" w:color="auto" w:fill="FFFFFF"/>
            <w:vAlign w:val="center"/>
          </w:tcPr>
          <w:p w14:paraId="26DB409A">
            <w:pPr>
              <w:spacing w:line="30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通知公告</w:t>
            </w:r>
          </w:p>
        </w:tc>
        <w:tc>
          <w:tcPr>
            <w:tcW w:w="610" w:type="pct"/>
            <w:vAlign w:val="center"/>
          </w:tcPr>
          <w:p w14:paraId="512B329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617" w:type="pct"/>
            <w:vAlign w:val="center"/>
          </w:tcPr>
          <w:p w14:paraId="24D4D01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984" w:type="pct"/>
            <w:vAlign w:val="center"/>
          </w:tcPr>
          <w:p w14:paraId="505EC990">
            <w:pPr>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查询采购的通知公告信息。</w:t>
            </w:r>
          </w:p>
        </w:tc>
      </w:tr>
    </w:tbl>
    <w:p w14:paraId="44AE509F">
      <w:pPr>
        <w:bidi w:val="0"/>
        <w:rPr>
          <w:rFonts w:hint="eastAsia"/>
          <w:color w:val="auto"/>
          <w:highlight w:val="none"/>
        </w:rPr>
      </w:pPr>
    </w:p>
    <w:p w14:paraId="484BFC8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lang w:eastAsia="zh-CN"/>
        </w:rPr>
        <w:t>）其他要求</w:t>
      </w:r>
    </w:p>
    <w:tbl>
      <w:tblPr>
        <w:tblStyle w:val="6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155"/>
        <w:gridCol w:w="8020"/>
      </w:tblGrid>
      <w:tr w14:paraId="0494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91" w:type="pct"/>
            <w:vAlign w:val="center"/>
          </w:tcPr>
          <w:p w14:paraId="10CA2730">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b/>
                <w:bCs/>
                <w:color w:val="auto"/>
                <w:sz w:val="24"/>
                <w:highlight w:val="none"/>
                <w:lang w:val="en-US" w:eastAsia="zh-CN"/>
              </w:rPr>
            </w:pPr>
            <w:r>
              <w:rPr>
                <w:rFonts w:hint="eastAsia" w:ascii="Times New Roman" w:hAnsi="Times New Roman"/>
                <w:b/>
                <w:bCs/>
                <w:color w:val="auto"/>
                <w:sz w:val="24"/>
                <w:highlight w:val="none"/>
                <w:lang w:val="en-US" w:eastAsia="zh-CN"/>
              </w:rPr>
              <w:t>序号</w:t>
            </w:r>
          </w:p>
        </w:tc>
        <w:tc>
          <w:tcPr>
            <w:tcW w:w="580" w:type="pct"/>
            <w:vAlign w:val="center"/>
          </w:tcPr>
          <w:p w14:paraId="2F976246">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Times New Roman" w:eastAsia="宋体"/>
                <w:b/>
                <w:bCs/>
                <w:color w:val="auto"/>
                <w:sz w:val="24"/>
                <w:highlight w:val="none"/>
                <w:lang w:val="en-US" w:eastAsia="zh-CN"/>
              </w:rPr>
            </w:pPr>
            <w:r>
              <w:rPr>
                <w:rFonts w:hint="eastAsia" w:ascii="Times New Roman" w:hAnsi="Times New Roman"/>
                <w:b/>
                <w:bCs/>
                <w:color w:val="auto"/>
                <w:sz w:val="24"/>
                <w:highlight w:val="none"/>
                <w:lang w:val="en-US" w:eastAsia="zh-CN"/>
              </w:rPr>
              <w:t>要求</w:t>
            </w:r>
          </w:p>
        </w:tc>
        <w:tc>
          <w:tcPr>
            <w:tcW w:w="4027" w:type="pct"/>
            <w:vAlign w:val="center"/>
          </w:tcPr>
          <w:p w14:paraId="5B9F78C4">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Times New Roman" w:eastAsia="宋体"/>
                <w:b/>
                <w:bCs/>
                <w:color w:val="auto"/>
                <w:sz w:val="24"/>
                <w:highlight w:val="none"/>
                <w:lang w:val="en-US" w:eastAsia="zh-CN"/>
              </w:rPr>
            </w:pPr>
            <w:r>
              <w:rPr>
                <w:rFonts w:hint="eastAsia" w:ascii="Times New Roman" w:hAnsi="Times New Roman"/>
                <w:b/>
                <w:bCs/>
                <w:color w:val="auto"/>
                <w:sz w:val="24"/>
                <w:highlight w:val="none"/>
                <w:lang w:val="en-US" w:eastAsia="zh-CN"/>
              </w:rPr>
              <w:t>具体内容</w:t>
            </w:r>
          </w:p>
        </w:tc>
      </w:tr>
      <w:tr w14:paraId="748B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91" w:type="pct"/>
            <w:vAlign w:val="center"/>
          </w:tcPr>
          <w:p w14:paraId="2D289C84">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1</w:t>
            </w:r>
          </w:p>
        </w:tc>
        <w:tc>
          <w:tcPr>
            <w:tcW w:w="580" w:type="pct"/>
            <w:vAlign w:val="center"/>
          </w:tcPr>
          <w:p w14:paraId="1FB3C2DE">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ascii="Times New Roman" w:hAnsi="Times New Roman"/>
                <w:color w:val="auto"/>
                <w:sz w:val="24"/>
                <w:highlight w:val="none"/>
              </w:rPr>
            </w:pPr>
            <w:r>
              <w:rPr>
                <w:rFonts w:hint="eastAsia" w:ascii="Times New Roman" w:hAnsi="Times New Roman"/>
                <w:color w:val="auto"/>
                <w:sz w:val="24"/>
                <w:highlight w:val="none"/>
              </w:rPr>
              <w:t>系统</w:t>
            </w:r>
            <w:r>
              <w:rPr>
                <w:rFonts w:ascii="Times New Roman" w:hAnsi="Times New Roman"/>
                <w:color w:val="auto"/>
                <w:sz w:val="24"/>
                <w:highlight w:val="none"/>
              </w:rPr>
              <w:t>基本要求</w:t>
            </w:r>
          </w:p>
        </w:tc>
        <w:tc>
          <w:tcPr>
            <w:tcW w:w="4027" w:type="pct"/>
            <w:vAlign w:val="center"/>
          </w:tcPr>
          <w:p w14:paraId="3D522D95">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w:t>
            </w:r>
            <w:r>
              <w:rPr>
                <w:rFonts w:hint="eastAsia" w:ascii="Times New Roman" w:hAnsi="Times New Roman"/>
                <w:color w:val="auto"/>
                <w:sz w:val="24"/>
                <w:highlight w:val="none"/>
              </w:rPr>
              <w:t>不得设置系统数量、终端数量、用户数量、功能数量或其它等可能制约后续学校应用的限制。</w:t>
            </w:r>
          </w:p>
          <w:p w14:paraId="3AE4DCC9">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ascii="Times New Roman" w:hAnsi="Times New Roman"/>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w:t>
            </w:r>
            <w:r>
              <w:rPr>
                <w:rFonts w:hint="eastAsia" w:ascii="Times New Roman" w:hAnsi="Times New Roman"/>
                <w:color w:val="auto"/>
                <w:sz w:val="24"/>
                <w:highlight w:val="none"/>
              </w:rPr>
              <w:t>有完善的网络安全和数据安全设计，保证系统的安全稳定运行和数据的安全使用，能达到等保测评二级及以上安全要求。</w:t>
            </w:r>
          </w:p>
          <w:p w14:paraId="5E60E48E">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w:t>
            </w:r>
            <w:r>
              <w:rPr>
                <w:rFonts w:hint="eastAsia" w:ascii="Times New Roman" w:hAnsi="Times New Roman"/>
                <w:color w:val="auto"/>
                <w:sz w:val="24"/>
                <w:highlight w:val="none"/>
              </w:rPr>
              <w:t>系统需兼容微软IE、谷歌Chrome、360浏览器、搜狗浏览器、苹果Safari、UC浏览器、QQ浏览器、火狐Firefox等多种浏览器。</w:t>
            </w:r>
          </w:p>
          <w:p w14:paraId="36B40F8C">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ascii="Times New Roman" w:hAnsi="Times New Roman"/>
                <w:color w:val="auto"/>
                <w:sz w:val="24"/>
                <w:highlight w:val="none"/>
              </w:rPr>
            </w:pPr>
            <w:r>
              <w:rPr>
                <w:rFonts w:hint="eastAsia" w:ascii="Times New Roman" w:hAnsi="Times New Roman"/>
                <w:color w:val="auto"/>
                <w:sz w:val="24"/>
                <w:highlight w:val="none"/>
              </w:rPr>
              <w:t>4</w:t>
            </w:r>
            <w:r>
              <w:rPr>
                <w:rFonts w:ascii="Times New Roman" w:hAnsi="Times New Roman"/>
                <w:color w:val="auto"/>
                <w:sz w:val="24"/>
                <w:highlight w:val="none"/>
              </w:rPr>
              <w:t>.</w:t>
            </w:r>
            <w:r>
              <w:rPr>
                <w:rFonts w:hint="eastAsia" w:ascii="Times New Roman" w:hAnsi="Times New Roman"/>
                <w:color w:val="auto"/>
                <w:sz w:val="24"/>
                <w:highlight w:val="none"/>
              </w:rPr>
              <w:t>兼容全部主流PC端和有移动端应用的需兼容主流智能手机的操作系统和不同设备的分辨率。</w:t>
            </w:r>
          </w:p>
        </w:tc>
      </w:tr>
      <w:tr w14:paraId="681B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91" w:type="pct"/>
            <w:vAlign w:val="center"/>
          </w:tcPr>
          <w:p w14:paraId="3AEA922A">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2</w:t>
            </w:r>
          </w:p>
        </w:tc>
        <w:tc>
          <w:tcPr>
            <w:tcW w:w="580" w:type="pct"/>
            <w:vAlign w:val="center"/>
          </w:tcPr>
          <w:p w14:paraId="29BFFB23">
            <w:pPr>
              <w:spacing w:line="360" w:lineRule="auto"/>
              <w:jc w:val="center"/>
              <w:rPr>
                <w:rFonts w:hint="eastAsia" w:ascii="Times New Roman" w:hAnsi="Times New Roman"/>
                <w:color w:val="auto"/>
                <w:sz w:val="24"/>
                <w:highlight w:val="none"/>
              </w:rPr>
            </w:pPr>
            <w:r>
              <w:rPr>
                <w:rFonts w:hint="eastAsia" w:ascii="Times New Roman" w:hAnsi="Times New Roman"/>
                <w:color w:val="auto"/>
                <w:sz w:val="24"/>
                <w:highlight w:val="none"/>
              </w:rPr>
              <w:t>系统与数智同科应用支撑平台对接需求</w:t>
            </w:r>
          </w:p>
        </w:tc>
        <w:tc>
          <w:tcPr>
            <w:tcW w:w="4027" w:type="pct"/>
            <w:vAlign w:val="center"/>
          </w:tcPr>
          <w:p w14:paraId="3AA7F282">
            <w:pPr>
              <w:numPr>
                <w:ilvl w:val="0"/>
                <w:numId w:val="0"/>
              </w:numPr>
              <w:spacing w:line="360" w:lineRule="auto"/>
              <w:jc w:val="left"/>
              <w:rPr>
                <w:b/>
                <w:bCs/>
                <w:color w:val="auto"/>
                <w:sz w:val="24"/>
                <w:highlight w:val="none"/>
              </w:rPr>
            </w:pPr>
            <w:r>
              <w:rPr>
                <w:rFonts w:hint="eastAsia"/>
                <w:b/>
                <w:bCs/>
                <w:color w:val="auto"/>
                <w:sz w:val="24"/>
                <w:highlight w:val="none"/>
                <w:lang w:val="en-US" w:eastAsia="zh-CN"/>
              </w:rPr>
              <w:t>1.</w:t>
            </w:r>
            <w:r>
              <w:rPr>
                <w:rFonts w:hint="eastAsia"/>
                <w:b/>
                <w:bCs/>
                <w:color w:val="auto"/>
                <w:sz w:val="24"/>
                <w:highlight w:val="none"/>
              </w:rPr>
              <w:t>与学校业务中枢对接</w:t>
            </w:r>
          </w:p>
          <w:p w14:paraId="481A01F7">
            <w:pPr>
              <w:spacing w:line="360" w:lineRule="auto"/>
              <w:ind w:firstLine="482" w:firstLineChars="200"/>
              <w:rPr>
                <w:color w:val="auto"/>
                <w:sz w:val="24"/>
                <w:highlight w:val="none"/>
              </w:rPr>
            </w:pPr>
            <w:r>
              <w:rPr>
                <w:rFonts w:hint="eastAsia"/>
                <w:b/>
                <w:bCs/>
                <w:color w:val="auto"/>
                <w:sz w:val="24"/>
                <w:highlight w:val="none"/>
              </w:rPr>
              <w:t>（1）身份认证对接：</w:t>
            </w:r>
            <w:r>
              <w:rPr>
                <w:rFonts w:hint="eastAsia"/>
                <w:color w:val="auto"/>
                <w:sz w:val="24"/>
                <w:highlight w:val="none"/>
              </w:rPr>
              <w:t>系统需</w:t>
            </w:r>
            <w:r>
              <w:rPr>
                <w:rFonts w:hint="eastAsia" w:ascii="宋体" w:hAnsi="宋体" w:eastAsia="宋体" w:cs="宋体"/>
                <w:color w:val="auto"/>
                <w:sz w:val="24"/>
                <w:highlight w:val="none"/>
                <w:lang w:bidi="ar"/>
              </w:rPr>
              <w:t>按照CAS或OAUTH2技术规范</w:t>
            </w:r>
            <w:r>
              <w:rPr>
                <w:rFonts w:hint="eastAsia" w:ascii="宋体" w:hAnsi="宋体" w:eastAsia="宋体" w:cs="宋体"/>
                <w:color w:val="auto"/>
                <w:sz w:val="24"/>
                <w:highlight w:val="none"/>
              </w:rPr>
              <w:t>入</w:t>
            </w:r>
            <w:r>
              <w:rPr>
                <w:rFonts w:hint="eastAsia"/>
                <w:color w:val="auto"/>
                <w:sz w:val="24"/>
                <w:highlight w:val="none"/>
              </w:rPr>
              <w:t>学校统一身份认证体系，无特殊情况原则上不开通系统本地登录地址和管理账号。</w:t>
            </w:r>
          </w:p>
          <w:p w14:paraId="480F02F3">
            <w:pPr>
              <w:spacing w:line="360" w:lineRule="auto"/>
              <w:ind w:firstLine="482" w:firstLineChars="200"/>
              <w:jc w:val="left"/>
              <w:rPr>
                <w:color w:val="auto"/>
                <w:sz w:val="24"/>
                <w:highlight w:val="none"/>
              </w:rPr>
            </w:pPr>
            <w:r>
              <w:rPr>
                <w:rFonts w:hint="eastAsia"/>
                <w:b/>
                <w:bCs/>
                <w:color w:val="auto"/>
                <w:sz w:val="24"/>
                <w:highlight w:val="none"/>
              </w:rPr>
              <w:t>（2）组织架构对接：</w:t>
            </w:r>
            <w:r>
              <w:rPr>
                <w:rFonts w:hint="eastAsia"/>
                <w:color w:val="auto"/>
                <w:sz w:val="24"/>
                <w:highlight w:val="none"/>
              </w:rPr>
              <w:t>学校提供部门、人员等组织架构API接口，业务系统需经申请授权后获取数据，自行开发数据自动更新程序，满足业务部门使用需求。</w:t>
            </w:r>
          </w:p>
          <w:p w14:paraId="4632EF44">
            <w:pPr>
              <w:spacing w:line="360" w:lineRule="auto"/>
              <w:ind w:firstLine="482" w:firstLineChars="200"/>
              <w:jc w:val="left"/>
              <w:rPr>
                <w:color w:val="auto"/>
                <w:sz w:val="24"/>
                <w:highlight w:val="none"/>
              </w:rPr>
            </w:pPr>
            <w:r>
              <w:rPr>
                <w:rFonts w:hint="eastAsia"/>
                <w:b/>
                <w:bCs/>
                <w:color w:val="auto"/>
                <w:sz w:val="24"/>
                <w:highlight w:val="none"/>
              </w:rPr>
              <w:t>（3）任务中心、消息中心对接：</w:t>
            </w:r>
            <w:r>
              <w:rPr>
                <w:rFonts w:hint="eastAsia"/>
                <w:color w:val="auto"/>
                <w:sz w:val="24"/>
                <w:highlight w:val="none"/>
              </w:rPr>
              <w:t>业务系统审批、任务模块需向学校提供API接口，统一接入学校任务中心。业务系统</w:t>
            </w:r>
            <w:r>
              <w:rPr>
                <w:rFonts w:hint="eastAsia" w:asciiTheme="minorEastAsia" w:hAnsiTheme="minorEastAsia"/>
                <w:color w:val="auto"/>
                <w:sz w:val="24"/>
                <w:szCs w:val="22"/>
                <w:highlight w:val="none"/>
              </w:rPr>
              <w:t>各类消息服务(如流程待办提醒、通知、日程提醒等)对接</w:t>
            </w:r>
            <w:r>
              <w:rPr>
                <w:rFonts w:hint="eastAsia"/>
                <w:color w:val="auto"/>
                <w:sz w:val="24"/>
                <w:highlight w:val="none"/>
              </w:rPr>
              <w:t>学校提供的消息中心API接口，</w:t>
            </w:r>
            <w:r>
              <w:rPr>
                <w:rFonts w:hint="eastAsia" w:asciiTheme="minorEastAsia" w:hAnsiTheme="minorEastAsia"/>
                <w:color w:val="auto"/>
                <w:sz w:val="24"/>
                <w:szCs w:val="22"/>
                <w:highlight w:val="none"/>
              </w:rPr>
              <w:t>提供统一的消息提醒服务</w:t>
            </w:r>
            <w:r>
              <w:rPr>
                <w:rFonts w:hint="eastAsia"/>
                <w:color w:val="auto"/>
                <w:sz w:val="24"/>
                <w:highlight w:val="none"/>
              </w:rPr>
              <w:t>。</w:t>
            </w:r>
          </w:p>
          <w:p w14:paraId="2BB42F0D">
            <w:pPr>
              <w:spacing w:line="360" w:lineRule="auto"/>
              <w:ind w:firstLine="482" w:firstLineChars="200"/>
              <w:rPr>
                <w:color w:val="auto"/>
                <w:sz w:val="24"/>
                <w:highlight w:val="none"/>
              </w:rPr>
            </w:pPr>
            <w:r>
              <w:rPr>
                <w:rFonts w:hint="eastAsia"/>
                <w:b/>
                <w:bCs/>
                <w:color w:val="auto"/>
                <w:sz w:val="24"/>
                <w:highlight w:val="none"/>
              </w:rPr>
              <w:t>（4）门户对接：</w:t>
            </w:r>
            <w:r>
              <w:rPr>
                <w:rFonts w:hint="eastAsia"/>
                <w:color w:val="auto"/>
                <w:sz w:val="24"/>
                <w:highlight w:val="none"/>
              </w:rPr>
              <w:t>系统支持H5协议，支持以微应用和微服务形式接入学校PC端和移动端（企业微信、钉钉）融合门户，供用户订阅，实现单点登录。其他由信息中心和业务部门确认需接入融合门户展现的数据、业务服务，需提供API接口。</w:t>
            </w:r>
          </w:p>
          <w:p w14:paraId="363D94DD">
            <w:pPr>
              <w:spacing w:line="360" w:lineRule="auto"/>
              <w:ind w:firstLine="210"/>
              <w:rPr>
                <w:rFonts w:ascii="宋体" w:hAnsi="宋体" w:eastAsia="宋体" w:cs="宋体"/>
                <w:color w:val="auto"/>
                <w:sz w:val="24"/>
                <w:highlight w:val="none"/>
                <w:lang w:bidi="ar"/>
              </w:rPr>
            </w:pPr>
            <w:r>
              <w:rPr>
                <w:rFonts w:ascii="仿宋_GB2312" w:hAnsi="宋体" w:eastAsia="仿宋_GB2312" w:cs="仿宋_GB2312"/>
                <w:color w:val="auto"/>
                <w:sz w:val="30"/>
                <w:szCs w:val="30"/>
                <w:highlight w:val="none"/>
                <w:lang w:bidi="ar"/>
              </w:rPr>
              <w:t xml:space="preserve">   </w:t>
            </w:r>
            <w:r>
              <w:rPr>
                <w:rFonts w:hint="eastAsia" w:ascii="宋体" w:hAnsi="宋体" w:eastAsia="宋体" w:cs="宋体"/>
                <w:b/>
                <w:bCs/>
                <w:color w:val="auto"/>
                <w:sz w:val="24"/>
                <w:highlight w:val="none"/>
                <w:lang w:bidi="ar"/>
              </w:rPr>
              <w:t>（5）应用集成：</w:t>
            </w:r>
            <w:r>
              <w:rPr>
                <w:rFonts w:hint="eastAsia" w:ascii="宋体" w:hAnsi="宋体" w:eastAsia="宋体" w:cs="宋体"/>
                <w:color w:val="auto"/>
                <w:sz w:val="24"/>
                <w:highlight w:val="none"/>
                <w:lang w:bidi="ar"/>
              </w:rPr>
              <w:t>遵循学校应用中心的应用注册规范要求，遵循服务组件的多种展示形式，包括应用图标、嵌入页面、单点登录链接、RSS链接等。应用注册需要按照应用基本信息描述、应用图标素材、应用地址信息注册等接入要求进行应用接入。</w:t>
            </w:r>
          </w:p>
          <w:p w14:paraId="32614737">
            <w:pPr>
              <w:numPr>
                <w:ilvl w:val="0"/>
                <w:numId w:val="0"/>
              </w:numPr>
              <w:spacing w:line="360" w:lineRule="auto"/>
              <w:jc w:val="left"/>
              <w:rPr>
                <w:b/>
                <w:bCs/>
                <w:color w:val="auto"/>
                <w:sz w:val="24"/>
                <w:highlight w:val="none"/>
              </w:rPr>
            </w:pPr>
            <w:r>
              <w:rPr>
                <w:rFonts w:hint="eastAsia"/>
                <w:b/>
                <w:bCs/>
                <w:color w:val="auto"/>
                <w:sz w:val="24"/>
                <w:highlight w:val="none"/>
                <w:lang w:val="en-US" w:eastAsia="zh-CN"/>
              </w:rPr>
              <w:t>2.</w:t>
            </w:r>
            <w:r>
              <w:rPr>
                <w:rFonts w:hint="eastAsia"/>
                <w:b/>
                <w:bCs/>
                <w:color w:val="auto"/>
                <w:sz w:val="24"/>
                <w:highlight w:val="none"/>
              </w:rPr>
              <w:t>与学校数据中枢对接</w:t>
            </w:r>
          </w:p>
          <w:p w14:paraId="13698BB2">
            <w:pPr>
              <w:spacing w:line="360" w:lineRule="auto"/>
              <w:ind w:firstLine="482" w:firstLineChars="200"/>
              <w:jc w:val="left"/>
              <w:rPr>
                <w:color w:val="auto"/>
                <w:sz w:val="24"/>
                <w:highlight w:val="none"/>
              </w:rPr>
            </w:pPr>
            <w:r>
              <w:rPr>
                <w:rFonts w:hint="eastAsia"/>
                <w:b/>
                <w:bCs/>
                <w:color w:val="auto"/>
                <w:sz w:val="24"/>
                <w:highlight w:val="none"/>
              </w:rPr>
              <w:t>（1）业务系统源头数据抽取：</w:t>
            </w:r>
            <w:r>
              <w:rPr>
                <w:rFonts w:hint="eastAsia"/>
                <w:color w:val="auto"/>
                <w:sz w:val="24"/>
                <w:highlight w:val="none"/>
              </w:rPr>
              <w:t>业务系统生产的源头数据，需经信息中心、业务部门与乙方充分沟通数据需求后，由乙方遵循学校数据标准，开发本业务系统数据接口，供学校数据交换平台抽取，并实时更新接口数据，确保与源头数据的一致性。</w:t>
            </w:r>
          </w:p>
          <w:p w14:paraId="00F45CA0">
            <w:pPr>
              <w:spacing w:line="360" w:lineRule="auto"/>
              <w:ind w:firstLine="482" w:firstLineChars="200"/>
              <w:jc w:val="left"/>
              <w:rPr>
                <w:color w:val="auto"/>
                <w:sz w:val="24"/>
                <w:highlight w:val="none"/>
              </w:rPr>
            </w:pPr>
            <w:r>
              <w:rPr>
                <w:rFonts w:hint="eastAsia"/>
                <w:b/>
                <w:bCs/>
                <w:color w:val="auto"/>
                <w:sz w:val="24"/>
                <w:highlight w:val="none"/>
              </w:rPr>
              <w:t>（2）数据中心数据共享：</w:t>
            </w:r>
            <w:r>
              <w:rPr>
                <w:rFonts w:ascii="宋体" w:hAnsi="宋体" w:eastAsia="宋体" w:cs="宋体"/>
                <w:color w:val="auto"/>
                <w:sz w:val="24"/>
                <w:szCs w:val="24"/>
                <w:highlight w:val="none"/>
                <w:woUserID w:val="1"/>
              </w:rPr>
              <w:t>业务系统所需的、学校数据中心已有的基础数据及相关业务数据，需经信息中心、业务部门与乙方充分沟通数据需求后，由乙方通过数据开放平台申请授权后获取数据，自行开发数据自动更新程序，确保数据实时性。系统建设初期，乙方需与信息中心进行数据字典一数一源分析，明确各源头数据的来源，并按照要求与数据中心对接，定期同步统一代码。</w:t>
            </w:r>
          </w:p>
          <w:p w14:paraId="5729E301">
            <w:pPr>
              <w:spacing w:line="360" w:lineRule="auto"/>
              <w:ind w:firstLine="482" w:firstLineChars="200"/>
              <w:jc w:val="left"/>
              <w:rPr>
                <w:color w:val="auto"/>
                <w:sz w:val="24"/>
                <w:highlight w:val="none"/>
              </w:rPr>
            </w:pPr>
            <w:r>
              <w:rPr>
                <w:rFonts w:hint="eastAsia"/>
                <w:b/>
                <w:bCs/>
                <w:color w:val="auto"/>
                <w:sz w:val="24"/>
                <w:highlight w:val="none"/>
              </w:rPr>
              <w:t>（3）上级部门数据汇聚：</w:t>
            </w:r>
            <w:r>
              <w:rPr>
                <w:rFonts w:hint="eastAsia"/>
                <w:color w:val="auto"/>
                <w:sz w:val="24"/>
                <w:highlight w:val="none"/>
              </w:rPr>
              <w:t>满足教育厅大数据仓数据汇聚需求，如审计数据、思政数据、后勤数据等，按照数据标准规范以中间库表、视图等方式提供本系统数据接口。</w:t>
            </w:r>
          </w:p>
          <w:p w14:paraId="03A88A12">
            <w:pPr>
              <w:spacing w:line="360" w:lineRule="auto"/>
              <w:ind w:firstLine="482" w:firstLineChars="200"/>
              <w:jc w:val="left"/>
              <w:rPr>
                <w:rFonts w:hint="eastAsia"/>
                <w:color w:val="auto"/>
                <w:sz w:val="24"/>
                <w:highlight w:val="none"/>
              </w:rPr>
            </w:pPr>
            <w:r>
              <w:rPr>
                <w:b/>
                <w:bCs/>
                <w:color w:val="auto"/>
                <w:sz w:val="24"/>
                <w:highlight w:val="none"/>
              </w:rPr>
              <w:t>（4）数据分类分级：</w:t>
            </w:r>
            <w:r>
              <w:rPr>
                <w:color w:val="auto"/>
                <w:sz w:val="24"/>
                <w:highlight w:val="none"/>
              </w:rPr>
              <w:t>参照学校数据分类分级规范和数据分类分级策略进行数据资产梳理，完成数据资产分类分级和数据资产登记。</w:t>
            </w:r>
          </w:p>
          <w:p w14:paraId="7F7CCBC5">
            <w:pPr>
              <w:numPr>
                <w:ilvl w:val="0"/>
                <w:numId w:val="0"/>
              </w:numPr>
              <w:spacing w:line="360" w:lineRule="auto"/>
              <w:jc w:val="left"/>
              <w:rPr>
                <w:b/>
                <w:bCs/>
                <w:color w:val="auto"/>
                <w:sz w:val="24"/>
                <w:highlight w:val="none"/>
              </w:rPr>
            </w:pPr>
            <w:r>
              <w:rPr>
                <w:rFonts w:hint="eastAsia"/>
                <w:b/>
                <w:bCs/>
                <w:color w:val="auto"/>
                <w:sz w:val="24"/>
                <w:highlight w:val="none"/>
                <w:lang w:val="en-US" w:eastAsia="zh-CN"/>
              </w:rPr>
              <w:t>3.</w:t>
            </w:r>
            <w:r>
              <w:rPr>
                <w:rFonts w:hint="eastAsia"/>
                <w:b/>
                <w:bCs/>
                <w:color w:val="auto"/>
                <w:sz w:val="24"/>
                <w:highlight w:val="none"/>
              </w:rPr>
              <w:t>符合学校网络资源部署及网络安全要求</w:t>
            </w:r>
          </w:p>
          <w:p w14:paraId="0C28B4E3">
            <w:pPr>
              <w:spacing w:line="360" w:lineRule="auto"/>
              <w:ind w:firstLine="480" w:firstLineChars="200"/>
              <w:jc w:val="left"/>
              <w:rPr>
                <w:color w:val="auto"/>
                <w:sz w:val="24"/>
                <w:highlight w:val="none"/>
              </w:rPr>
            </w:pPr>
            <w:r>
              <w:rPr>
                <w:rFonts w:hint="eastAsia"/>
                <w:color w:val="auto"/>
                <w:sz w:val="24"/>
                <w:highlight w:val="none"/>
              </w:rPr>
              <w:t>（1）需与学校签订</w:t>
            </w:r>
            <w:r>
              <w:rPr>
                <w:color w:val="auto"/>
                <w:sz w:val="24"/>
                <w:highlight w:val="none"/>
              </w:rPr>
              <w:t>网络安全协议</w:t>
            </w:r>
            <w:r>
              <w:rPr>
                <w:rFonts w:hint="eastAsia"/>
                <w:color w:val="auto"/>
                <w:sz w:val="24"/>
                <w:highlight w:val="none"/>
              </w:rPr>
              <w:t>。</w:t>
            </w:r>
          </w:p>
          <w:p w14:paraId="0E5378DC">
            <w:pPr>
              <w:spacing w:line="360" w:lineRule="auto"/>
              <w:ind w:firstLine="480" w:firstLineChars="200"/>
              <w:jc w:val="left"/>
              <w:rPr>
                <w:color w:val="auto"/>
                <w:sz w:val="24"/>
                <w:highlight w:val="none"/>
              </w:rPr>
            </w:pPr>
            <w:r>
              <w:rPr>
                <w:rFonts w:hint="eastAsia"/>
                <w:color w:val="auto"/>
                <w:sz w:val="24"/>
                <w:highlight w:val="none"/>
              </w:rPr>
              <w:t>（2）根据学校组织的</w:t>
            </w:r>
            <w:r>
              <w:rPr>
                <w:color w:val="auto"/>
                <w:sz w:val="24"/>
                <w:highlight w:val="none"/>
              </w:rPr>
              <w:t>等保测评</w:t>
            </w:r>
            <w:r>
              <w:rPr>
                <w:rFonts w:hint="eastAsia"/>
                <w:color w:val="auto"/>
                <w:sz w:val="24"/>
                <w:highlight w:val="none"/>
              </w:rPr>
              <w:t>和</w:t>
            </w:r>
            <w:r>
              <w:rPr>
                <w:color w:val="auto"/>
                <w:sz w:val="24"/>
                <w:highlight w:val="none"/>
              </w:rPr>
              <w:t>渗透测试</w:t>
            </w:r>
            <w:r>
              <w:rPr>
                <w:rFonts w:hint="eastAsia"/>
                <w:color w:val="auto"/>
                <w:sz w:val="24"/>
                <w:highlight w:val="none"/>
              </w:rPr>
              <w:t>结果，以及日常安全监测中发现的安全漏洞，积极配合</w:t>
            </w:r>
            <w:r>
              <w:rPr>
                <w:color w:val="auto"/>
                <w:sz w:val="24"/>
                <w:highlight w:val="none"/>
              </w:rPr>
              <w:t>系统安全</w:t>
            </w:r>
            <w:r>
              <w:rPr>
                <w:rFonts w:hint="eastAsia"/>
                <w:color w:val="auto"/>
                <w:sz w:val="24"/>
                <w:highlight w:val="none"/>
              </w:rPr>
              <w:t>整改。</w:t>
            </w:r>
          </w:p>
          <w:p w14:paraId="4AB1BE70">
            <w:pPr>
              <w:spacing w:line="360" w:lineRule="auto"/>
              <w:ind w:firstLine="480" w:firstLineChars="200"/>
              <w:jc w:val="left"/>
              <w:rPr>
                <w:color w:val="auto"/>
                <w:sz w:val="24"/>
                <w:highlight w:val="none"/>
              </w:rPr>
            </w:pPr>
            <w:r>
              <w:rPr>
                <w:rFonts w:hint="eastAsia"/>
                <w:color w:val="auto"/>
                <w:sz w:val="24"/>
                <w:highlight w:val="none"/>
              </w:rPr>
              <w:t>（3）系统符合等保2.0二级及以上要求，包括</w:t>
            </w:r>
            <w:r>
              <w:rPr>
                <w:color w:val="auto"/>
                <w:sz w:val="24"/>
                <w:highlight w:val="none"/>
              </w:rPr>
              <w:t>密码校验</w:t>
            </w:r>
            <w:r>
              <w:rPr>
                <w:rFonts w:hint="eastAsia"/>
                <w:color w:val="auto"/>
                <w:sz w:val="24"/>
                <w:highlight w:val="none"/>
              </w:rPr>
              <w:t>要求</w:t>
            </w:r>
            <w:r>
              <w:rPr>
                <w:color w:val="auto"/>
                <w:sz w:val="24"/>
                <w:highlight w:val="none"/>
              </w:rPr>
              <w:t>，限制明文密码</w:t>
            </w:r>
            <w:r>
              <w:rPr>
                <w:rFonts w:hint="eastAsia"/>
                <w:color w:val="auto"/>
                <w:sz w:val="24"/>
                <w:highlight w:val="none"/>
              </w:rPr>
              <w:t>和</w:t>
            </w:r>
            <w:r>
              <w:rPr>
                <w:color w:val="auto"/>
                <w:sz w:val="24"/>
                <w:highlight w:val="none"/>
              </w:rPr>
              <w:t>弱密码</w:t>
            </w:r>
            <w:r>
              <w:rPr>
                <w:rFonts w:hint="eastAsia"/>
                <w:color w:val="auto"/>
                <w:sz w:val="24"/>
                <w:highlight w:val="none"/>
              </w:rPr>
              <w:t>，</w:t>
            </w:r>
            <w:r>
              <w:rPr>
                <w:color w:val="auto"/>
                <w:sz w:val="24"/>
                <w:highlight w:val="none"/>
              </w:rPr>
              <w:t>数据库配置文件加密</w:t>
            </w:r>
            <w:r>
              <w:rPr>
                <w:rFonts w:hint="eastAsia"/>
                <w:color w:val="auto"/>
                <w:sz w:val="24"/>
                <w:highlight w:val="none"/>
              </w:rPr>
              <w:t>，</w:t>
            </w:r>
            <w:r>
              <w:rPr>
                <w:color w:val="auto"/>
                <w:sz w:val="24"/>
                <w:highlight w:val="none"/>
              </w:rPr>
              <w:t>限制用户枚举</w:t>
            </w:r>
            <w:r>
              <w:rPr>
                <w:rFonts w:hint="eastAsia"/>
                <w:color w:val="auto"/>
                <w:sz w:val="24"/>
                <w:highlight w:val="none"/>
              </w:rPr>
              <w:t>、</w:t>
            </w:r>
            <w:r>
              <w:rPr>
                <w:color w:val="auto"/>
                <w:sz w:val="24"/>
                <w:highlight w:val="none"/>
              </w:rPr>
              <w:t>个人信息泄露</w:t>
            </w:r>
            <w:r>
              <w:rPr>
                <w:rFonts w:hint="eastAsia"/>
                <w:color w:val="auto"/>
                <w:sz w:val="24"/>
                <w:highlight w:val="none"/>
              </w:rPr>
              <w:t>，防SQL注入、网页防篡改等，确保</w:t>
            </w:r>
            <w:r>
              <w:rPr>
                <w:color w:val="auto"/>
                <w:sz w:val="24"/>
                <w:highlight w:val="none"/>
              </w:rPr>
              <w:t>数据资产安全</w:t>
            </w:r>
            <w:r>
              <w:rPr>
                <w:rFonts w:hint="eastAsia"/>
                <w:color w:val="auto"/>
                <w:sz w:val="24"/>
                <w:highlight w:val="none"/>
              </w:rPr>
              <w:t>和</w:t>
            </w:r>
            <w:r>
              <w:rPr>
                <w:color w:val="auto"/>
                <w:sz w:val="24"/>
                <w:highlight w:val="none"/>
              </w:rPr>
              <w:t>供应链安全</w:t>
            </w:r>
            <w:r>
              <w:rPr>
                <w:rFonts w:hint="eastAsia"/>
                <w:color w:val="auto"/>
                <w:sz w:val="24"/>
                <w:highlight w:val="none"/>
              </w:rPr>
              <w:t>。</w:t>
            </w:r>
          </w:p>
          <w:p w14:paraId="71AF0A9D">
            <w:pPr>
              <w:spacing w:line="360" w:lineRule="auto"/>
              <w:ind w:firstLine="480" w:firstLineChars="200"/>
              <w:jc w:val="left"/>
              <w:rPr>
                <w:color w:val="auto"/>
                <w:sz w:val="24"/>
                <w:highlight w:val="none"/>
              </w:rPr>
            </w:pPr>
            <w:r>
              <w:rPr>
                <w:rFonts w:hint="eastAsia"/>
                <w:color w:val="auto"/>
                <w:sz w:val="24"/>
                <w:highlight w:val="none"/>
              </w:rPr>
              <w:t>（4）系统应实现高可靠性的数据备份策略，无需人工干预的前提下实现数据不少于每日自动异机备份，系统瘫痪（如数据库瘫痪、硬盘故障等）恢复时间应小于1小时。系统日志功能完备，有完整的登录日志、操作日志、数据库日志、系统异常日志等</w:t>
            </w:r>
            <w:r>
              <w:rPr>
                <w:rFonts w:hint="eastAsia" w:ascii="Arial" w:hAnsi="Arial" w:eastAsia="宋体" w:cs="Arial"/>
                <w:color w:val="auto"/>
                <w:sz w:val="19"/>
                <w:szCs w:val="19"/>
                <w:highlight w:val="none"/>
                <w:shd w:val="clear" w:color="auto" w:fill="FFFFFF"/>
              </w:rPr>
              <w:t>。</w:t>
            </w:r>
          </w:p>
          <w:p w14:paraId="0D7A558D">
            <w:pPr>
              <w:spacing w:line="360" w:lineRule="auto"/>
              <w:ind w:firstLine="480" w:firstLineChars="200"/>
              <w:jc w:val="left"/>
              <w:rPr>
                <w:color w:val="auto"/>
                <w:sz w:val="24"/>
                <w:highlight w:val="none"/>
              </w:rPr>
            </w:pPr>
            <w:r>
              <w:rPr>
                <w:rFonts w:hint="eastAsia"/>
                <w:color w:val="auto"/>
                <w:sz w:val="24"/>
                <w:highlight w:val="none"/>
              </w:rPr>
              <w:t>（5）系统需安装部署学校提供的SSL安全证书，并定期配合完成证书更新。</w:t>
            </w:r>
          </w:p>
          <w:p w14:paraId="1731C664">
            <w:pPr>
              <w:spacing w:line="360" w:lineRule="auto"/>
              <w:ind w:firstLine="480" w:firstLineChars="200"/>
              <w:jc w:val="left"/>
              <w:rPr>
                <w:color w:val="auto"/>
                <w:sz w:val="24"/>
                <w:highlight w:val="none"/>
              </w:rPr>
            </w:pPr>
            <w:r>
              <w:rPr>
                <w:rFonts w:hint="eastAsia"/>
                <w:color w:val="auto"/>
                <w:sz w:val="24"/>
                <w:highlight w:val="none"/>
              </w:rPr>
              <w:t>（6）业务系统全部功能的开发部署均需支持IPv6访问，满足学校IPv6全面部署需求。</w:t>
            </w:r>
          </w:p>
          <w:p w14:paraId="1C81D97A">
            <w:pPr>
              <w:spacing w:line="360" w:lineRule="auto"/>
              <w:ind w:firstLine="480" w:firstLineChars="200"/>
              <w:jc w:val="left"/>
              <w:rPr>
                <w:rFonts w:hint="eastAsia" w:ascii="宋体" w:hAnsi="宋体" w:eastAsia="宋体" w:cs="宋体"/>
                <w:color w:val="auto"/>
                <w:sz w:val="24"/>
                <w:highlight w:val="none"/>
              </w:rPr>
            </w:pPr>
            <w:r>
              <w:rPr>
                <w:rFonts w:hint="eastAsia"/>
                <w:color w:val="auto"/>
                <w:sz w:val="24"/>
                <w:highlight w:val="none"/>
              </w:rPr>
              <w:t>（7）</w:t>
            </w:r>
            <w:r>
              <w:rPr>
                <w:rFonts w:hint="eastAsia" w:ascii="宋体" w:hAnsi="宋体" w:eastAsia="宋体" w:cs="宋体"/>
                <w:color w:val="auto"/>
                <w:sz w:val="24"/>
                <w:highlight w:val="none"/>
                <w:lang w:bidi="ar"/>
              </w:rPr>
              <w:t>系统</w:t>
            </w:r>
            <w:r>
              <w:rPr>
                <w:rFonts w:ascii="宋体" w:hAnsi="宋体" w:eastAsia="宋体" w:cs="宋体"/>
                <w:color w:val="auto"/>
                <w:sz w:val="24"/>
                <w:highlight w:val="none"/>
              </w:rPr>
              <w:t>至少满足信创3条主流技术路线，确保符合信创要求的通用终端能够正常访问使用系统各业务模块，并满足国家、省对信创工作的要求。</w:t>
            </w:r>
            <w:r>
              <w:rPr>
                <w:rFonts w:hint="eastAsia" w:cs="宋体"/>
                <w:color w:val="auto"/>
                <w:sz w:val="24"/>
                <w:highlight w:val="none"/>
                <w:lang w:eastAsia="zh-CN"/>
              </w:rPr>
              <w:t>成交人</w:t>
            </w:r>
            <w:r>
              <w:rPr>
                <w:rFonts w:ascii="宋体" w:hAnsi="宋体" w:eastAsia="宋体" w:cs="宋体"/>
                <w:color w:val="auto"/>
                <w:sz w:val="24"/>
                <w:highlight w:val="none"/>
              </w:rPr>
              <w:t>应出具自测报告或由具备资质的信创实验室出具第三方检测报告；若暂时无法部署到信创环境的系统，应委托具备资质的信创实验室出具适配报告，并且</w:t>
            </w:r>
            <w:r>
              <w:rPr>
                <w:rFonts w:hint="eastAsia" w:cs="宋体"/>
                <w:color w:val="auto"/>
                <w:sz w:val="24"/>
                <w:highlight w:val="none"/>
                <w:lang w:eastAsia="zh-CN"/>
              </w:rPr>
              <w:t>成交人</w:t>
            </w:r>
            <w:r>
              <w:rPr>
                <w:rFonts w:ascii="宋体" w:hAnsi="宋体" w:eastAsia="宋体" w:cs="宋体"/>
                <w:color w:val="auto"/>
                <w:sz w:val="24"/>
                <w:highlight w:val="none"/>
              </w:rPr>
              <w:t>还必须需提供服务承诺函，承诺在具备条件后免费将系统迁移至信创环境。</w:t>
            </w:r>
          </w:p>
          <w:p w14:paraId="2F4AAAEB">
            <w:pPr>
              <w:spacing w:line="360" w:lineRule="auto"/>
              <w:jc w:val="left"/>
              <w:rPr>
                <w:b/>
                <w:bCs/>
                <w:color w:val="auto"/>
                <w:sz w:val="24"/>
                <w:highlight w:val="none"/>
              </w:rPr>
            </w:pPr>
            <w:r>
              <w:rPr>
                <w:b/>
                <w:bCs/>
                <w:color w:val="auto"/>
                <w:sz w:val="24"/>
                <w:highlight w:val="none"/>
              </w:rPr>
              <w:t>4. 总体技术要求中包含：</w:t>
            </w:r>
          </w:p>
          <w:p w14:paraId="7AEF2B24">
            <w:pPr>
              <w:spacing w:line="360" w:lineRule="auto"/>
              <w:ind w:firstLine="480" w:firstLineChars="200"/>
              <w:jc w:val="left"/>
              <w:rPr>
                <w:rFonts w:hint="eastAsia" w:ascii="Times New Roman" w:hAnsi="Times New Roman"/>
                <w:color w:val="auto"/>
                <w:sz w:val="24"/>
                <w:highlight w:val="none"/>
              </w:rPr>
            </w:pPr>
            <w:r>
              <w:rPr>
                <w:color w:val="auto"/>
                <w:sz w:val="24"/>
                <w:highlight w:val="none"/>
              </w:rPr>
              <w:t xml:space="preserve">（1）性能时间要求。满足5000用户同时在线，1000以上并发访问，并保证系统访问流畅。 </w:t>
            </w:r>
            <w:r>
              <w:rPr>
                <w:rFonts w:hint="eastAsia"/>
                <w:color w:val="auto"/>
                <w:sz w:val="24"/>
                <w:highlight w:val="none"/>
                <w:lang w:eastAsia="zh-CN"/>
              </w:rPr>
              <w:t>响应文件</w:t>
            </w:r>
            <w:r>
              <w:rPr>
                <w:color w:val="auto"/>
                <w:sz w:val="24"/>
                <w:highlight w:val="none"/>
              </w:rPr>
              <w:t>中需提出合理的系统硬件资源需求。</w:t>
            </w:r>
          </w:p>
        </w:tc>
      </w:tr>
    </w:tbl>
    <w:p w14:paraId="501ABDD7">
      <w:pPr>
        <w:pStyle w:val="3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p>
    <w:p w14:paraId="369E5691">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二、履约时间、方式及地点：</w:t>
      </w:r>
    </w:p>
    <w:p w14:paraId="3E698925">
      <w:pPr>
        <w:pStyle w:val="27"/>
        <w:keepNext w:val="0"/>
        <w:keepLines w:val="0"/>
        <w:pageBreakBefore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rPr>
        <w:t>1.履约时间：</w:t>
      </w:r>
      <w:r>
        <w:rPr>
          <w:rFonts w:hint="eastAsia" w:asciiTheme="minorEastAsia" w:hAnsiTheme="minorEastAsia" w:eastAsiaTheme="minorEastAsia" w:cstheme="minorEastAsia"/>
          <w:color w:val="auto"/>
          <w:highlight w:val="none"/>
          <w:lang w:eastAsia="zh-CN"/>
        </w:rPr>
        <w:t>合同签订后6个月内完成安装、调试</w:t>
      </w:r>
      <w:r>
        <w:rPr>
          <w:rFonts w:hint="eastAsia" w:ascii="宋体" w:hAnsi="宋体" w:eastAsia="宋体" w:cs="宋体"/>
          <w:color w:val="auto"/>
          <w:kern w:val="0"/>
          <w:sz w:val="24"/>
          <w:szCs w:val="24"/>
          <w:highlight w:val="none"/>
        </w:rPr>
        <w:t>。</w:t>
      </w:r>
    </w:p>
    <w:p w14:paraId="65EC6B7D">
      <w:pPr>
        <w:pStyle w:val="27"/>
        <w:keepNext w:val="0"/>
        <w:keepLines w:val="0"/>
        <w:pageBreakBefore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2.履约方式：按照采购合同约定及甲方要求执行。</w:t>
      </w:r>
    </w:p>
    <w:p w14:paraId="14C5B43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3.履约地点：</w:t>
      </w:r>
      <w:r>
        <w:rPr>
          <w:rFonts w:hint="eastAsia" w:ascii="宋体" w:hAnsi="宋体" w:eastAsia="宋体" w:cs="宋体"/>
          <w:color w:val="auto"/>
          <w:kern w:val="0"/>
          <w:sz w:val="24"/>
          <w:szCs w:val="24"/>
          <w:highlight w:val="none"/>
          <w:lang w:eastAsia="zh-CN"/>
        </w:rPr>
        <w:t>浙江同济科技职业学院</w:t>
      </w:r>
      <w:r>
        <w:rPr>
          <w:rFonts w:hint="eastAsia" w:ascii="宋体" w:hAnsi="宋体" w:eastAsia="宋体" w:cs="宋体"/>
          <w:color w:val="auto"/>
          <w:kern w:val="0"/>
          <w:sz w:val="24"/>
          <w:szCs w:val="24"/>
          <w:highlight w:val="none"/>
        </w:rPr>
        <w:t>，甲方指定地点。</w:t>
      </w:r>
    </w:p>
    <w:p w14:paraId="26B8C9BC">
      <w:pPr>
        <w:keepNext w:val="0"/>
        <w:keepLines w:val="0"/>
        <w:pageBreakBefore w:val="0"/>
        <w:kinsoku/>
        <w:wordWrap/>
        <w:overflowPunct/>
        <w:topLinePunct w:val="0"/>
        <w:autoSpaceDE/>
        <w:autoSpaceDN/>
        <w:bidi w:val="0"/>
        <w:adjustRightInd w:val="0"/>
        <w:snapToGrid w:val="0"/>
        <w:spacing w:line="360" w:lineRule="auto"/>
        <w:ind w:firstLine="48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三、质量要求</w:t>
      </w:r>
    </w:p>
    <w:p w14:paraId="0BAA2C47">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须保证所提供服务符合国家有关规定。乙方须保证所提供产品/服务具有合法的版权或使用权，本项目采购的产品/服务，如在本项目范围内使用过程中出现版权或使用权纠纷，应由乙方负责，甲方不承担责任。</w:t>
      </w:r>
    </w:p>
    <w:p w14:paraId="1900ACB5">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2.乙方必须保证解决项目所涉及的技术问题，如因技术原因无法满足用户需求，由此产生的风险由乙方承担。</w:t>
      </w:r>
    </w:p>
    <w:p w14:paraId="40F85CBE">
      <w:pPr>
        <w:keepNext w:val="0"/>
        <w:keepLines w:val="0"/>
        <w:pageBreakBefore w:val="0"/>
        <w:kinsoku/>
        <w:wordWrap/>
        <w:overflowPunct/>
        <w:topLinePunct w:val="0"/>
        <w:autoSpaceDE/>
        <w:autoSpaceDN/>
        <w:bidi w:val="0"/>
        <w:adjustRightInd w:val="0"/>
        <w:snapToGrid w:val="0"/>
        <w:spacing w:line="360" w:lineRule="auto"/>
        <w:ind w:firstLine="482"/>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rPr>
        <w:t>、验收要求</w:t>
      </w:r>
    </w:p>
    <w:p w14:paraId="4913ECD6">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1.系统交付后15天内组织验收，按照</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验收的权限，相关部门及人员形成验收小组。</w:t>
      </w:r>
    </w:p>
    <w:p w14:paraId="396212B2">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2.验收标准：</w:t>
      </w:r>
    </w:p>
    <w:p w14:paraId="4DF38C51">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（1）验收依据：合同、采购文件、响应文件；</w:t>
      </w:r>
    </w:p>
    <w:p w14:paraId="15C141CD">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（2）验收合格的条件：</w:t>
      </w:r>
    </w:p>
    <w:p w14:paraId="4F93BC58">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①符合产品标准及合同的要求；</w:t>
      </w:r>
    </w:p>
    <w:p w14:paraId="707E0013">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②在进行测试和验收过程中发现的问题已被解决并得到</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的认可；</w:t>
      </w:r>
    </w:p>
    <w:p w14:paraId="1BB9B4BF">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③所有相关的技术文件及资料均已提交并得到接受。</w:t>
      </w:r>
    </w:p>
    <w:p w14:paraId="0F9D73A8">
      <w:pPr>
        <w:keepNext w:val="0"/>
        <w:keepLines w:val="0"/>
        <w:pageBreakBefore w:val="0"/>
        <w:kinsoku/>
        <w:wordWrap/>
        <w:overflowPunct/>
        <w:topLinePunct w:val="0"/>
        <w:autoSpaceDE/>
        <w:autoSpaceDN/>
        <w:bidi w:val="0"/>
        <w:adjustRightInd w:val="0"/>
        <w:snapToGrid w:val="0"/>
        <w:spacing w:line="360" w:lineRule="auto"/>
        <w:ind w:firstLine="482"/>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履约保证金</w:t>
      </w:r>
    </w:p>
    <w:p w14:paraId="07264E78">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无。</w:t>
      </w:r>
    </w:p>
    <w:p w14:paraId="37B241EC">
      <w:pPr>
        <w:keepNext w:val="0"/>
        <w:keepLines w:val="0"/>
        <w:pageBreakBefore w:val="0"/>
        <w:kinsoku/>
        <w:wordWrap/>
        <w:overflowPunct/>
        <w:topLinePunct w:val="0"/>
        <w:autoSpaceDE/>
        <w:autoSpaceDN/>
        <w:bidi w:val="0"/>
        <w:adjustRightInd w:val="0"/>
        <w:snapToGrid w:val="0"/>
        <w:spacing w:line="360" w:lineRule="auto"/>
        <w:ind w:firstLine="482"/>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结算方式：</w:t>
      </w:r>
    </w:p>
    <w:p w14:paraId="4994BEAB">
      <w:pPr>
        <w:pageBreakBefore w:val="0"/>
        <w:widowControl w:val="0"/>
        <w:shd w:val="clear" w:color="auto" w:fill="FFFFFF" w:themeFill="background1"/>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合同生效且收到供应商正式发票后7个工作日内支付合同金额的40%作为预付款；开发完成、系统上线试运行支付（凭借试运行报告）合同金额的30%，试运行，最终验收通过后支付系统交付并通过验收且收到供应商正式发票后7个工作日内支付合同金额的30%。</w:t>
      </w:r>
    </w:p>
    <w:p w14:paraId="052B22A9">
      <w:pPr>
        <w:pageBreakBefore w:val="0"/>
        <w:widowControl w:val="0"/>
        <w:shd w:val="clear" w:color="auto" w:fill="FFFFFF" w:themeFill="background1"/>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2.合同价款均为含税价。</w:t>
      </w:r>
      <w:r>
        <w:rPr>
          <w:rFonts w:hint="eastAsia" w:cs="宋体"/>
          <w:color w:val="auto"/>
          <w:sz w:val="24"/>
          <w:highlight w:val="none"/>
          <w:lang w:val="en-US" w:eastAsia="zh-CN"/>
        </w:rPr>
        <w:t>乙方</w:t>
      </w:r>
      <w:r>
        <w:rPr>
          <w:rFonts w:hint="eastAsia" w:ascii="宋体" w:hAnsi="宋体" w:eastAsia="宋体" w:cs="宋体"/>
          <w:color w:val="auto"/>
          <w:sz w:val="24"/>
          <w:highlight w:val="none"/>
          <w:lang w:val="zh-CN"/>
        </w:rPr>
        <w:t>在收款之前，应向</w:t>
      </w:r>
      <w:r>
        <w:rPr>
          <w:rFonts w:hint="eastAsia" w:cs="宋体"/>
          <w:color w:val="auto"/>
          <w:sz w:val="24"/>
          <w:highlight w:val="none"/>
          <w:lang w:val="en-US" w:eastAsia="zh-CN"/>
        </w:rPr>
        <w:t>甲方</w:t>
      </w:r>
      <w:r>
        <w:rPr>
          <w:rFonts w:hint="eastAsia" w:ascii="宋体" w:hAnsi="宋体" w:eastAsia="宋体" w:cs="宋体"/>
          <w:color w:val="auto"/>
          <w:sz w:val="24"/>
          <w:highlight w:val="none"/>
          <w:lang w:val="zh-CN"/>
        </w:rPr>
        <w:t>提供等额、合法、有效的税务发票，</w:t>
      </w:r>
      <w:r>
        <w:rPr>
          <w:rFonts w:hint="eastAsia" w:cs="宋体"/>
          <w:color w:val="auto"/>
          <w:sz w:val="24"/>
          <w:highlight w:val="none"/>
          <w:lang w:val="en-US" w:eastAsia="zh-CN"/>
        </w:rPr>
        <w:t>甲方</w:t>
      </w:r>
      <w:r>
        <w:rPr>
          <w:rFonts w:hint="eastAsia" w:ascii="宋体" w:hAnsi="宋体" w:eastAsia="宋体" w:cs="宋体"/>
          <w:color w:val="auto"/>
          <w:sz w:val="24"/>
          <w:highlight w:val="none"/>
          <w:lang w:val="zh-CN"/>
        </w:rPr>
        <w:t>凭发票付款。如</w:t>
      </w:r>
      <w:r>
        <w:rPr>
          <w:rFonts w:hint="eastAsia" w:cs="宋体"/>
          <w:color w:val="auto"/>
          <w:sz w:val="24"/>
          <w:highlight w:val="none"/>
          <w:lang w:val="en-US" w:eastAsia="zh-CN"/>
        </w:rPr>
        <w:t>乙方</w:t>
      </w:r>
      <w:r>
        <w:rPr>
          <w:rFonts w:hint="eastAsia" w:ascii="宋体" w:hAnsi="宋体" w:eastAsia="宋体" w:cs="宋体"/>
          <w:color w:val="auto"/>
          <w:sz w:val="24"/>
          <w:highlight w:val="none"/>
          <w:lang w:val="zh-CN"/>
        </w:rPr>
        <w:t>未按约定提供发票的，</w:t>
      </w:r>
      <w:r>
        <w:rPr>
          <w:rFonts w:hint="eastAsia" w:cs="宋体"/>
          <w:color w:val="auto"/>
          <w:sz w:val="24"/>
          <w:highlight w:val="none"/>
          <w:lang w:val="en-US" w:eastAsia="zh-CN"/>
        </w:rPr>
        <w:t>甲方</w:t>
      </w:r>
      <w:r>
        <w:rPr>
          <w:rFonts w:hint="eastAsia" w:ascii="宋体" w:hAnsi="宋体" w:eastAsia="宋体" w:cs="宋体"/>
          <w:color w:val="auto"/>
          <w:sz w:val="24"/>
          <w:highlight w:val="none"/>
          <w:lang w:val="zh-CN"/>
        </w:rPr>
        <w:t>有权拒绝付款，直至收到</w:t>
      </w:r>
      <w:r>
        <w:rPr>
          <w:rFonts w:hint="eastAsia" w:cs="宋体"/>
          <w:color w:val="auto"/>
          <w:sz w:val="24"/>
          <w:highlight w:val="none"/>
          <w:lang w:val="en-US" w:eastAsia="zh-CN"/>
        </w:rPr>
        <w:t>乙方</w:t>
      </w:r>
      <w:r>
        <w:rPr>
          <w:rFonts w:hint="eastAsia" w:ascii="宋体" w:hAnsi="宋体" w:eastAsia="宋体" w:cs="宋体"/>
          <w:color w:val="auto"/>
          <w:sz w:val="24"/>
          <w:highlight w:val="none"/>
          <w:lang w:val="zh-CN"/>
        </w:rPr>
        <w:t>提交的相应发票为止，在此情况下，</w:t>
      </w:r>
      <w:r>
        <w:rPr>
          <w:rFonts w:hint="eastAsia" w:cs="宋体"/>
          <w:color w:val="auto"/>
          <w:sz w:val="24"/>
          <w:highlight w:val="none"/>
          <w:lang w:val="en-US" w:eastAsia="zh-CN"/>
        </w:rPr>
        <w:t>甲方</w:t>
      </w:r>
      <w:r>
        <w:rPr>
          <w:rFonts w:hint="eastAsia" w:ascii="宋体" w:hAnsi="宋体" w:eastAsia="宋体" w:cs="宋体"/>
          <w:color w:val="auto"/>
          <w:sz w:val="24"/>
          <w:highlight w:val="none"/>
          <w:lang w:val="zh-CN"/>
        </w:rPr>
        <w:t>不承担逾期付款违约责任。</w:t>
      </w:r>
    </w:p>
    <w:p w14:paraId="19F63F1A">
      <w:pPr>
        <w:keepNext w:val="0"/>
        <w:keepLines w:val="0"/>
        <w:pageBreakBefore w:val="0"/>
        <w:kinsoku/>
        <w:wordWrap/>
        <w:overflowPunct/>
        <w:topLinePunct w:val="0"/>
        <w:autoSpaceDE/>
        <w:autoSpaceDN/>
        <w:bidi w:val="0"/>
        <w:adjustRightInd w:val="0"/>
        <w:snapToGrid w:val="0"/>
        <w:spacing w:line="360" w:lineRule="auto"/>
        <w:ind w:firstLine="482"/>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rPr>
        <w:t>、违约责任：</w:t>
      </w:r>
    </w:p>
    <w:p w14:paraId="33FAC8EA">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.不能按合同提供所需服务，由此造成的一切相关损失全部由乙方承担。</w:t>
      </w:r>
    </w:p>
    <w:p w14:paraId="511187E1">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.将</w:t>
      </w:r>
      <w:r>
        <w:rPr>
          <w:rFonts w:hint="eastAsia" w:ascii="宋体" w:hAnsi="宋体" w:cs="宋体"/>
          <w:color w:val="auto"/>
          <w:sz w:val="24"/>
          <w:szCs w:val="24"/>
          <w:highlight w:val="none"/>
          <w:lang w:eastAsia="zh-CN"/>
        </w:rPr>
        <w:t>成交资格</w:t>
      </w:r>
      <w:r>
        <w:rPr>
          <w:rFonts w:hint="eastAsia" w:ascii="宋体" w:hAnsi="宋体" w:eastAsia="宋体" w:cs="宋体"/>
          <w:color w:val="auto"/>
          <w:sz w:val="24"/>
          <w:szCs w:val="24"/>
          <w:highlight w:val="none"/>
        </w:rPr>
        <w:t>转让他人的，一经查实，取消</w:t>
      </w:r>
      <w:r>
        <w:rPr>
          <w:rFonts w:hint="eastAsia" w:ascii="宋体" w:hAnsi="宋体" w:cs="宋体"/>
          <w:color w:val="auto"/>
          <w:sz w:val="24"/>
          <w:szCs w:val="24"/>
          <w:highlight w:val="none"/>
          <w:lang w:eastAsia="zh-CN"/>
        </w:rPr>
        <w:t>成交资格</w:t>
      </w:r>
      <w:r>
        <w:rPr>
          <w:rFonts w:hint="eastAsia" w:ascii="宋体" w:hAnsi="宋体" w:eastAsia="宋体" w:cs="宋体"/>
          <w:color w:val="auto"/>
          <w:sz w:val="24"/>
          <w:szCs w:val="24"/>
          <w:highlight w:val="none"/>
        </w:rPr>
        <w:t>。</w:t>
      </w:r>
    </w:p>
    <w:p w14:paraId="7ECEF1C5">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.乙方与甲方签订合同后未能履行合同而影响甲方正常工作的，取消乙方资格。</w:t>
      </w:r>
    </w:p>
    <w:p w14:paraId="5CA32B89">
      <w:pPr>
        <w:keepNext w:val="0"/>
        <w:keepLines w:val="0"/>
        <w:pageBreakBefore w:val="0"/>
        <w:kinsoku/>
        <w:wordWrap/>
        <w:overflowPunct/>
        <w:topLinePunct w:val="0"/>
        <w:autoSpaceDE/>
        <w:autoSpaceDN/>
        <w:bidi w:val="0"/>
        <w:adjustRightInd w:val="0"/>
        <w:snapToGrid w:val="0"/>
        <w:spacing w:line="360" w:lineRule="auto"/>
        <w:ind w:firstLine="482"/>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八</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售后</w:t>
      </w:r>
      <w:r>
        <w:rPr>
          <w:rFonts w:hint="eastAsia" w:ascii="宋体" w:hAnsi="宋体" w:eastAsia="宋体" w:cs="宋体"/>
          <w:b/>
          <w:bCs/>
          <w:color w:val="auto"/>
          <w:kern w:val="0"/>
          <w:sz w:val="24"/>
          <w:szCs w:val="24"/>
          <w:highlight w:val="none"/>
        </w:rPr>
        <w:t>服务承诺：</w:t>
      </w:r>
    </w:p>
    <w:p w14:paraId="0BB9563E">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验收合格交付使用后，所有产品质保期（免费维护期）不少于3年（技术需求中有特殊要求的除外），质保期内提供上门维修服务、质保期内确保软件升级到最新版本（产品质保期在技术参数中有特殊要求的除外）。质保期（免费维护期）满后，运维服务（含系统和接口功能升级）费可按不高于合同金额的10%收取。</w:t>
      </w:r>
    </w:p>
    <w:p w14:paraId="351838FA">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负责平台重新部署与恢复、系统启停维护、操作系统打补丁、操作系统安全策略配置、操作系统清理空间、安全漏洞响应与修复、数据备份与恢复、数据迁移与处理、系统升级包处理等。</w:t>
      </w:r>
    </w:p>
    <w:p w14:paraId="7C067EB4">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运维服务期间需安排专人加入</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相关工作联系群，负责向</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提供网络、电话及EMAIL支持服务，以保证平台产品的正常使用；若远程支持无法解决问题的，</w:t>
      </w:r>
      <w:r>
        <w:rPr>
          <w:rFonts w:hint="eastAsia"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须承诺24小时内上门服务协调解决。产品交付后，</w:t>
      </w:r>
      <w:r>
        <w:rPr>
          <w:rFonts w:hint="eastAsia"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应提供安装调试、培训服务，帮助</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尽快熟悉使用。</w:t>
      </w:r>
    </w:p>
    <w:p w14:paraId="11702367">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须配合</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各类安全整改，快速响应并及时处置安全问题与漏洞。</w:t>
      </w:r>
    </w:p>
    <w:p w14:paraId="68DFF5BA">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5.质保期满后，在使用过程中因系统本身原因导致的异常和错误，</w:t>
      </w:r>
      <w:r>
        <w:rPr>
          <w:rFonts w:hint="eastAsia"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将提供免费修正和维护。因非系统原因造成的异常与错误，</w:t>
      </w:r>
      <w:r>
        <w:rPr>
          <w:rFonts w:hint="eastAsia"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须根据情况尽可能地为</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提供帮助。</w:t>
      </w:r>
    </w:p>
    <w:p w14:paraId="2D764381">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6.其他要求：</w:t>
      </w:r>
    </w:p>
    <w:p w14:paraId="39BDBBB3">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须遵守</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的保密要求，签订保密协议，保证对项目技术文件以及由</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提供的所有数据、内部资料、技术文档和信息予以保密，不得擅自转存、获取、利用、泄露</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所有信息和资料。未经</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书面许可，</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不得将</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提供的本项目数据、资料以及项目成果以任何形式向第三方透露或使用。本条款在项目完成或无论何种原因导致合同终止后依然有效。</w:t>
      </w:r>
    </w:p>
    <w:p w14:paraId="19E3D8C5">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系统产生的业务数据是</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的重要资产，无论平台部署在何处，使用期限为多久，业务数据的知识产权始终属于</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w:t>
      </w:r>
    </w:p>
    <w:p w14:paraId="4D24D6B3">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应对系统内容及其版权负责，由此产生的一切后果由</w:t>
      </w:r>
      <w:r>
        <w:rPr>
          <w:rFonts w:hint="eastAsia"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承担。</w:t>
      </w:r>
    </w:p>
    <w:p w14:paraId="01E2BFCA">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应保障</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所购平台产品在使用期内的完整性。</w:t>
      </w:r>
      <w:r>
        <w:rPr>
          <w:rFonts w:hint="eastAsia"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未经</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许可，不得擅自改变</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所购产品的服务模式。</w:t>
      </w:r>
    </w:p>
    <w:p w14:paraId="7D8C309D">
      <w:pPr>
        <w:keepNext w:val="0"/>
        <w:keepLines w:val="0"/>
        <w:pageBreakBefore w:val="0"/>
        <w:kinsoku/>
        <w:wordWrap/>
        <w:overflowPunct/>
        <w:topLinePunct w:val="0"/>
        <w:autoSpaceDE/>
        <w:autoSpaceDN/>
        <w:bidi w:val="0"/>
        <w:adjustRightInd w:val="0"/>
        <w:snapToGrid w:val="0"/>
        <w:spacing w:line="360" w:lineRule="auto"/>
        <w:ind w:firstLine="48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针对实际操作过程中出现的问题和分歧，或其他未尽事宜，按</w:t>
      </w:r>
      <w:r>
        <w:rPr>
          <w:rFonts w:hint="eastAsia"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要求协商解决。</w:t>
      </w:r>
    </w:p>
    <w:p w14:paraId="66AA3EBE">
      <w:pPr>
        <w:keepNext w:val="0"/>
        <w:keepLines w:val="0"/>
        <w:pageBreakBefore w:val="0"/>
        <w:kinsoku/>
        <w:wordWrap/>
        <w:overflowPunct/>
        <w:topLinePunct w:val="0"/>
        <w:autoSpaceDE/>
        <w:autoSpaceDN/>
        <w:bidi w:val="0"/>
        <w:adjustRightInd w:val="0"/>
        <w:snapToGrid w:val="0"/>
        <w:spacing w:line="360" w:lineRule="auto"/>
        <w:ind w:firstLine="482"/>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rPr>
        <w:t>、甲乙双方约定：</w:t>
      </w:r>
    </w:p>
    <w:p w14:paraId="1730179D">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p w14:paraId="363F47DC">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p w14:paraId="2E3E29D1">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DE77351">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本合同未提及内容及不详之处，以招标文件、询标纪要及与本合同有关的其他内容为准，都具有同等法律效力。</w:t>
      </w:r>
    </w:p>
    <w:p w14:paraId="6B4E18B8">
      <w:pPr>
        <w:keepNext w:val="0"/>
        <w:keepLines w:val="0"/>
        <w:pageBreakBefore w:val="0"/>
        <w:kinsoku/>
        <w:wordWrap/>
        <w:overflowPunct/>
        <w:topLinePunct w:val="0"/>
        <w:autoSpaceDE/>
        <w:autoSpaceDN/>
        <w:bidi w:val="0"/>
        <w:adjustRightInd w:val="0"/>
        <w:snapToGrid w:val="0"/>
        <w:spacing w:line="360" w:lineRule="auto"/>
        <w:ind w:firstLine="48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十、其它：</w:t>
      </w:r>
    </w:p>
    <w:p w14:paraId="563DDA43">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1.本合同依法签订，即具有法律效力，未尽事宜由甲、乙双方协商解决，如协商不成，双方同意将本合同引起的争议提交杭州仲裁委员会仲裁解决，仲裁为终局。</w:t>
      </w:r>
    </w:p>
    <w:p w14:paraId="4D8E0335">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2.本合同一式陆份，经甲、乙双方签字并盖章后生效。甲方执肆份，乙方、招标代理机构各执壹份。</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838"/>
      </w:tblGrid>
      <w:tr w14:paraId="4E96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09" w:type="dxa"/>
            <w:vMerge w:val="restart"/>
            <w:tcBorders>
              <w:top w:val="single" w:color="auto" w:sz="4" w:space="0"/>
              <w:left w:val="single" w:color="auto" w:sz="4" w:space="0"/>
              <w:bottom w:val="single" w:color="auto" w:sz="4" w:space="0"/>
              <w:right w:val="single" w:color="auto" w:sz="4" w:space="0"/>
            </w:tcBorders>
            <w:vAlign w:val="top"/>
          </w:tcPr>
          <w:p w14:paraId="70D2DDEF">
            <w:pPr>
              <w:pStyle w:val="3"/>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甲方：（章）</w:t>
            </w:r>
          </w:p>
          <w:p w14:paraId="4E8FAC86">
            <w:pPr>
              <w:pStyle w:val="3"/>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C737A59">
            <w:pPr>
              <w:pStyle w:val="3"/>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p>
          <w:p w14:paraId="12F254BD">
            <w:pPr>
              <w:pStyle w:val="3"/>
              <w:spacing w:line="240" w:lineRule="auto"/>
              <w:rPr>
                <w:rFonts w:hint="eastAsia" w:ascii="宋体" w:hAnsi="宋体" w:eastAsia="宋体" w:cs="宋体"/>
                <w:color w:val="auto"/>
                <w:sz w:val="24"/>
                <w:szCs w:val="24"/>
                <w:highlight w:val="none"/>
              </w:rPr>
            </w:pPr>
          </w:p>
          <w:p w14:paraId="5EF877CD">
            <w:pPr>
              <w:pStyle w:val="3"/>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2352C7DE">
            <w:pPr>
              <w:pStyle w:val="3"/>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p w14:paraId="4245040B">
            <w:pPr>
              <w:pStyle w:val="3"/>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开户行： </w:t>
            </w:r>
          </w:p>
          <w:p w14:paraId="0E892D12">
            <w:pPr>
              <w:pStyle w:val="3"/>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帐户：</w:t>
            </w:r>
          </w:p>
          <w:p w14:paraId="648764A0">
            <w:pPr>
              <w:pStyle w:val="3"/>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p>
          <w:p w14:paraId="31B2A16F">
            <w:pPr>
              <w:pStyle w:val="3"/>
              <w:spacing w:line="240" w:lineRule="auto"/>
              <w:rPr>
                <w:rFonts w:hint="eastAsia" w:hAnsi="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hAnsi="宋体" w:cs="宋体"/>
                <w:color w:val="auto"/>
                <w:sz w:val="24"/>
                <w:szCs w:val="24"/>
                <w:highlight w:val="none"/>
                <w:lang w:eastAsia="zh-CN"/>
              </w:rPr>
              <w:t>：</w:t>
            </w:r>
          </w:p>
          <w:p w14:paraId="3897BDAC">
            <w:pPr>
              <w:pStyle w:val="3"/>
              <w:spacing w:line="240" w:lineRule="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联系方式</w:t>
            </w:r>
            <w:r>
              <w:rPr>
                <w:rFonts w:hint="eastAsia" w:ascii="宋体" w:hAnsi="宋体" w:eastAsia="宋体" w:cs="宋体"/>
                <w:color w:val="auto"/>
                <w:sz w:val="24"/>
                <w:szCs w:val="24"/>
                <w:highlight w:val="none"/>
              </w:rPr>
              <w:t>：</w:t>
            </w:r>
          </w:p>
          <w:p w14:paraId="251077E0">
            <w:pPr>
              <w:pStyle w:val="3"/>
              <w:snapToGrid w:val="0"/>
              <w:spacing w:line="240" w:lineRule="auto"/>
              <w:rPr>
                <w:rFonts w:hint="eastAsia"/>
                <w:color w:val="auto"/>
                <w:highlight w:val="none"/>
              </w:rPr>
            </w:pPr>
            <w:r>
              <w:rPr>
                <w:rFonts w:hint="eastAsia" w:ascii="宋体" w:hAnsi="宋体" w:eastAsia="宋体" w:cs="宋体"/>
                <w:color w:val="auto"/>
                <w:sz w:val="24"/>
                <w:szCs w:val="24"/>
                <w:highlight w:val="none"/>
              </w:rPr>
              <w:t>时间：</w:t>
            </w:r>
          </w:p>
        </w:tc>
        <w:tc>
          <w:tcPr>
            <w:tcW w:w="4838" w:type="dxa"/>
            <w:vMerge w:val="restart"/>
            <w:tcBorders>
              <w:top w:val="single" w:color="auto" w:sz="4" w:space="0"/>
              <w:left w:val="single" w:color="auto" w:sz="4" w:space="0"/>
              <w:bottom w:val="single" w:color="auto" w:sz="4" w:space="0"/>
              <w:right w:val="single" w:color="auto" w:sz="4" w:space="0"/>
            </w:tcBorders>
            <w:vAlign w:val="top"/>
          </w:tcPr>
          <w:p w14:paraId="12C48A6E">
            <w:pPr>
              <w:keepNext w:val="0"/>
              <w:keepLines w:val="0"/>
              <w:pageBreakBefore w:val="0"/>
              <w:kinsoku/>
              <w:wordWrap/>
              <w:overflowPunct/>
              <w:topLinePunct w:val="0"/>
              <w:autoSpaceDE/>
              <w:autoSpaceDN/>
              <w:bidi w:val="0"/>
              <w:adjustRightInd w:val="0"/>
              <w:snapToGrid w:val="0"/>
              <w:spacing w:line="240" w:lineRule="auto"/>
              <w:ind w:right="-107" w:rightChars="-51"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乙方(章)：</w:t>
            </w:r>
          </w:p>
          <w:p w14:paraId="394A067D">
            <w:pPr>
              <w:keepNext w:val="0"/>
              <w:keepLines w:val="0"/>
              <w:pageBreakBefore w:val="0"/>
              <w:kinsoku/>
              <w:wordWrap/>
              <w:overflowPunct/>
              <w:topLinePunct w:val="0"/>
              <w:autoSpaceDE/>
              <w:autoSpaceDN/>
              <w:bidi w:val="0"/>
              <w:adjustRightInd w:val="0"/>
              <w:snapToGrid w:val="0"/>
              <w:spacing w:line="240" w:lineRule="auto"/>
              <w:ind w:right="-107" w:rightChars="-51"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738C1ED0">
            <w:pPr>
              <w:spacing w:line="240" w:lineRule="auto"/>
              <w:ind w:right="-107" w:rightChars="-51"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p>
          <w:p w14:paraId="6C927095">
            <w:pPr>
              <w:keepNext w:val="0"/>
              <w:keepLines w:val="0"/>
              <w:pageBreakBefore w:val="0"/>
              <w:kinsoku/>
              <w:wordWrap/>
              <w:overflowPunct/>
              <w:topLinePunct w:val="0"/>
              <w:autoSpaceDE/>
              <w:autoSpaceDN/>
              <w:bidi w:val="0"/>
              <w:adjustRightInd w:val="0"/>
              <w:snapToGrid w:val="0"/>
              <w:spacing w:line="240" w:lineRule="auto"/>
              <w:ind w:right="-107" w:rightChars="-51" w:firstLine="0" w:firstLineChars="0"/>
              <w:textAlignment w:val="auto"/>
              <w:rPr>
                <w:rFonts w:hint="eastAsia" w:ascii="宋体" w:hAnsi="宋体" w:eastAsia="宋体" w:cs="宋体"/>
                <w:color w:val="auto"/>
                <w:sz w:val="24"/>
                <w:szCs w:val="24"/>
                <w:highlight w:val="none"/>
              </w:rPr>
            </w:pPr>
          </w:p>
          <w:p w14:paraId="7D8556D7">
            <w:pPr>
              <w:keepNext w:val="0"/>
              <w:keepLines w:val="0"/>
              <w:pageBreakBefore w:val="0"/>
              <w:kinsoku/>
              <w:wordWrap/>
              <w:overflowPunct/>
              <w:topLinePunct w:val="0"/>
              <w:autoSpaceDE/>
              <w:autoSpaceDN/>
              <w:bidi w:val="0"/>
              <w:adjustRightInd w:val="0"/>
              <w:snapToGrid w:val="0"/>
              <w:spacing w:line="240" w:lineRule="auto"/>
              <w:ind w:right="-107" w:rightChars="-51"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3BA81F3E">
            <w:pPr>
              <w:keepNext w:val="0"/>
              <w:keepLines w:val="0"/>
              <w:pageBreakBefore w:val="0"/>
              <w:kinsoku/>
              <w:wordWrap/>
              <w:overflowPunct/>
              <w:topLinePunct w:val="0"/>
              <w:autoSpaceDE/>
              <w:autoSpaceDN/>
              <w:bidi w:val="0"/>
              <w:adjustRightInd w:val="0"/>
              <w:snapToGrid w:val="0"/>
              <w:spacing w:line="240" w:lineRule="auto"/>
              <w:ind w:right="-107" w:rightChars="-51"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p w14:paraId="07953FC7">
            <w:pPr>
              <w:keepNext w:val="0"/>
              <w:keepLines w:val="0"/>
              <w:pageBreakBefore w:val="0"/>
              <w:kinsoku/>
              <w:wordWrap/>
              <w:overflowPunct/>
              <w:topLinePunct w:val="0"/>
              <w:autoSpaceDE/>
              <w:autoSpaceDN/>
              <w:bidi w:val="0"/>
              <w:adjustRightInd w:val="0"/>
              <w:snapToGrid w:val="0"/>
              <w:spacing w:line="240" w:lineRule="auto"/>
              <w:ind w:right="-107" w:rightChars="-51"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开户行： </w:t>
            </w:r>
          </w:p>
          <w:p w14:paraId="24836182">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帐户：</w:t>
            </w:r>
          </w:p>
          <w:p w14:paraId="342CAFE4">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p>
          <w:p w14:paraId="7702685E">
            <w:pPr>
              <w:pStyle w:val="3"/>
              <w:keepNext w:val="0"/>
              <w:keepLines w:val="0"/>
              <w:pageBreakBefore w:val="0"/>
              <w:kinsoku/>
              <w:wordWrap/>
              <w:overflowPunct/>
              <w:topLinePunct w:val="0"/>
              <w:autoSpaceDE/>
              <w:autoSpaceDN/>
              <w:bidi w:val="0"/>
              <w:adjustRightInd w:val="0"/>
              <w:snapToGrid w:val="0"/>
              <w:spacing w:line="240" w:lineRule="auto"/>
              <w:ind w:firstLineChars="0"/>
              <w:textAlignment w:val="auto"/>
              <w:rPr>
                <w:rFonts w:hint="eastAsia" w:hAnsi="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hAnsi="宋体" w:cs="宋体"/>
                <w:color w:val="auto"/>
                <w:sz w:val="24"/>
                <w:szCs w:val="24"/>
                <w:highlight w:val="none"/>
                <w:lang w:eastAsia="zh-CN"/>
              </w:rPr>
              <w:t>：</w:t>
            </w:r>
          </w:p>
          <w:p w14:paraId="47D76B37">
            <w:pPr>
              <w:pStyle w:val="3"/>
              <w:keepNext w:val="0"/>
              <w:keepLines w:val="0"/>
              <w:pageBreakBefore w:val="0"/>
              <w:kinsoku/>
              <w:wordWrap/>
              <w:overflowPunct/>
              <w:topLinePunct w:val="0"/>
              <w:autoSpaceDE/>
              <w:autoSpaceDN/>
              <w:bidi w:val="0"/>
              <w:adjustRightInd w:val="0"/>
              <w:snapToGrid w:val="0"/>
              <w:spacing w:line="240" w:lineRule="auto"/>
              <w:ind w:firstLineChars="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联系方式</w:t>
            </w:r>
            <w:r>
              <w:rPr>
                <w:rFonts w:hint="eastAsia" w:ascii="宋体" w:hAnsi="宋体" w:eastAsia="宋体" w:cs="宋体"/>
                <w:color w:val="auto"/>
                <w:sz w:val="24"/>
                <w:szCs w:val="24"/>
                <w:highlight w:val="none"/>
              </w:rPr>
              <w:t>：</w:t>
            </w:r>
          </w:p>
          <w:p w14:paraId="761F93E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r>
      <w:tr w14:paraId="67F3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1" w:hRule="atLeast"/>
          <w:jc w:val="center"/>
        </w:trPr>
        <w:tc>
          <w:tcPr>
            <w:tcW w:w="4809" w:type="dxa"/>
            <w:vMerge w:val="continue"/>
            <w:tcBorders>
              <w:top w:val="single" w:color="auto" w:sz="4" w:space="0"/>
              <w:left w:val="single" w:color="auto" w:sz="4" w:space="0"/>
              <w:bottom w:val="single" w:color="auto" w:sz="4" w:space="0"/>
              <w:right w:val="single" w:color="auto" w:sz="4" w:space="0"/>
            </w:tcBorders>
            <w:vAlign w:val="top"/>
          </w:tcPr>
          <w:p w14:paraId="4BFEEC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rPr>
            </w:pPr>
          </w:p>
        </w:tc>
        <w:tc>
          <w:tcPr>
            <w:tcW w:w="4838" w:type="dxa"/>
            <w:vMerge w:val="continue"/>
            <w:tcBorders>
              <w:top w:val="single" w:color="auto" w:sz="4" w:space="0"/>
              <w:left w:val="single" w:color="auto" w:sz="4" w:space="0"/>
              <w:bottom w:val="single" w:color="auto" w:sz="4" w:space="0"/>
              <w:right w:val="single" w:color="auto" w:sz="4" w:space="0"/>
            </w:tcBorders>
            <w:vAlign w:val="top"/>
          </w:tcPr>
          <w:p w14:paraId="30E2C0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rPr>
            </w:pPr>
          </w:p>
        </w:tc>
      </w:tr>
    </w:tbl>
    <w:p w14:paraId="61C58CCD">
      <w:pPr>
        <w:spacing w:line="288" w:lineRule="auto"/>
        <w:ind w:firstLine="439" w:firstLineChars="198"/>
        <w:rPr>
          <w:rFonts w:ascii="Calibri" w:hAnsi="Calibri" w:cs="Calibri"/>
          <w:color w:val="auto"/>
          <w:spacing w:val="6"/>
          <w:szCs w:val="21"/>
          <w:highlight w:val="none"/>
        </w:rPr>
      </w:pPr>
    </w:p>
    <w:p w14:paraId="33FDB389">
      <w:pPr>
        <w:spacing w:line="288" w:lineRule="auto"/>
        <w:ind w:firstLine="439" w:firstLineChars="198"/>
        <w:rPr>
          <w:rFonts w:ascii="Calibri" w:hAnsi="Calibri" w:cs="Calibri"/>
          <w:color w:val="auto"/>
          <w:spacing w:val="6"/>
          <w:szCs w:val="21"/>
          <w:highlight w:val="none"/>
        </w:rPr>
      </w:pPr>
    </w:p>
    <w:p w14:paraId="7FEB1C13">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cs="宋体"/>
          <w:color w:val="auto"/>
          <w:highlight w:val="none"/>
        </w:rPr>
      </w:pPr>
    </w:p>
    <w:p w14:paraId="635CC31F">
      <w:pPr>
        <w:spacing w:line="360" w:lineRule="auto"/>
        <w:ind w:left="-420" w:leftChars="-200" w:right="-420" w:rightChars="-200" w:firstLine="480" w:firstLineChars="200"/>
        <w:jc w:val="center"/>
        <w:outlineLvl w:val="9"/>
        <w:rPr>
          <w:rFonts w:ascii="宋体" w:hAnsi="宋体" w:cs="宋体"/>
          <w:color w:val="auto"/>
          <w:sz w:val="24"/>
          <w:highlight w:val="none"/>
        </w:rPr>
        <w:sectPr>
          <w:headerReference r:id="rId9" w:type="first"/>
          <w:footerReference r:id="rId11" w:type="firs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0EE2BF86">
      <w:pPr>
        <w:snapToGrid w:val="0"/>
        <w:spacing w:line="360" w:lineRule="auto"/>
        <w:jc w:val="center"/>
        <w:outlineLvl w:val="0"/>
        <w:rPr>
          <w:rFonts w:ascii="宋体" w:hAnsi="宋体" w:cs="宋体"/>
          <w:b/>
          <w:color w:val="auto"/>
          <w:sz w:val="36"/>
          <w:szCs w:val="20"/>
          <w:highlight w:val="none"/>
        </w:rPr>
      </w:pPr>
      <w:bookmarkStart w:id="409" w:name="_Toc5140"/>
      <w:r>
        <w:rPr>
          <w:rFonts w:hint="eastAsia" w:ascii="宋体" w:hAnsi="宋体" w:cs="宋体"/>
          <w:b/>
          <w:color w:val="auto"/>
          <w:sz w:val="36"/>
          <w:szCs w:val="20"/>
          <w:highlight w:val="none"/>
        </w:rPr>
        <w:t>第六部分</w:t>
      </w:r>
      <w:bookmarkEnd w:id="407"/>
      <w:bookmarkEnd w:id="408"/>
      <w:r>
        <w:rPr>
          <w:rFonts w:hint="eastAsia" w:ascii="宋体" w:hAnsi="宋体" w:cs="宋体"/>
          <w:b/>
          <w:color w:val="auto"/>
          <w:sz w:val="36"/>
          <w:szCs w:val="20"/>
          <w:highlight w:val="none"/>
          <w:lang w:val="en-US" w:eastAsia="zh-CN"/>
        </w:rPr>
        <w:t xml:space="preserve"> </w:t>
      </w:r>
      <w:r>
        <w:rPr>
          <w:rFonts w:hint="eastAsia" w:ascii="宋体" w:hAnsi="宋体" w:cs="宋体"/>
          <w:b/>
          <w:color w:val="auto"/>
          <w:sz w:val="36"/>
          <w:szCs w:val="20"/>
          <w:highlight w:val="none"/>
        </w:rPr>
        <w:t>应提交的有关格式范例</w:t>
      </w:r>
      <w:bookmarkEnd w:id="409"/>
    </w:p>
    <w:p w14:paraId="2C611178">
      <w:pPr>
        <w:rPr>
          <w:rFonts w:ascii="宋体" w:hAnsi="宋体" w:cs="宋体"/>
          <w:color w:val="auto"/>
          <w:highlight w:val="none"/>
        </w:rPr>
      </w:pPr>
    </w:p>
    <w:p w14:paraId="6ECF6F49">
      <w:pPr>
        <w:spacing w:line="360" w:lineRule="auto"/>
        <w:jc w:val="center"/>
        <w:outlineLvl w:val="0"/>
        <w:rPr>
          <w:rFonts w:ascii="宋体" w:hAnsi="宋体" w:cs="宋体"/>
          <w:b/>
          <w:color w:val="auto"/>
          <w:kern w:val="0"/>
          <w:sz w:val="36"/>
          <w:szCs w:val="36"/>
          <w:highlight w:val="none"/>
        </w:rPr>
      </w:pPr>
      <w:bookmarkStart w:id="410" w:name="_Toc13799"/>
      <w:r>
        <w:rPr>
          <w:rFonts w:hint="eastAsia" w:ascii="宋体" w:hAnsi="宋体" w:cs="宋体"/>
          <w:b/>
          <w:color w:val="auto"/>
          <w:kern w:val="0"/>
          <w:sz w:val="36"/>
          <w:szCs w:val="36"/>
          <w:highlight w:val="none"/>
        </w:rPr>
        <w:t>资格文件部分</w:t>
      </w:r>
      <w:bookmarkEnd w:id="410"/>
    </w:p>
    <w:p w14:paraId="3DAC42FB">
      <w:pPr>
        <w:spacing w:line="360" w:lineRule="auto"/>
        <w:jc w:val="center"/>
        <w:outlineLvl w:val="0"/>
        <w:rPr>
          <w:rFonts w:ascii="宋体" w:hAnsi="宋体" w:cs="宋体"/>
          <w:b/>
          <w:color w:val="auto"/>
          <w:kern w:val="0"/>
          <w:sz w:val="36"/>
          <w:szCs w:val="36"/>
          <w:highlight w:val="none"/>
        </w:rPr>
      </w:pPr>
      <w:bookmarkStart w:id="411" w:name="_Toc19973"/>
      <w:r>
        <w:rPr>
          <w:rFonts w:hint="eastAsia" w:ascii="宋体" w:hAnsi="宋体" w:cs="宋体"/>
          <w:b/>
          <w:color w:val="auto"/>
          <w:kern w:val="0"/>
          <w:sz w:val="36"/>
          <w:szCs w:val="36"/>
          <w:highlight w:val="none"/>
        </w:rPr>
        <w:t>目录</w:t>
      </w:r>
      <w:bookmarkEnd w:id="411"/>
    </w:p>
    <w:p w14:paraId="04EB5908">
      <w:pPr>
        <w:rPr>
          <w:rFonts w:ascii="宋体" w:hAnsi="宋体" w:cs="宋体"/>
          <w:color w:val="auto"/>
          <w:highlight w:val="none"/>
        </w:rPr>
      </w:pPr>
    </w:p>
    <w:p w14:paraId="20B98E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68651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）落实政府采购政策需满足的资格要求………………………………（页码）</w:t>
      </w:r>
    </w:p>
    <w:p w14:paraId="26709FE2">
      <w:pPr>
        <w:tabs>
          <w:tab w:val="left" w:pos="30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14:paraId="37FA44E3">
      <w:pPr>
        <w:tabs>
          <w:tab w:val="left" w:pos="305"/>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27A9615F">
      <w:pPr>
        <w:tabs>
          <w:tab w:val="left" w:pos="305"/>
        </w:tabs>
        <w:snapToGrid w:val="0"/>
        <w:spacing w:line="360" w:lineRule="auto"/>
        <w:rPr>
          <w:rFonts w:hint="default" w:ascii="宋体" w:hAnsi="宋体" w:eastAsia="宋体" w:cs="宋体"/>
          <w:color w:val="auto"/>
          <w:sz w:val="24"/>
          <w:highlight w:val="none"/>
          <w:lang w:val="en-US" w:eastAsia="zh-CN"/>
        </w:rPr>
      </w:pPr>
    </w:p>
    <w:p w14:paraId="610FDBD3">
      <w:pPr>
        <w:snapToGrid w:val="0"/>
        <w:spacing w:line="360" w:lineRule="auto"/>
        <w:ind w:firstLine="480" w:firstLineChars="200"/>
        <w:rPr>
          <w:rFonts w:ascii="宋体" w:hAnsi="宋体" w:cs="宋体"/>
          <w:color w:val="auto"/>
          <w:sz w:val="24"/>
          <w:highlight w:val="none"/>
        </w:rPr>
      </w:pPr>
    </w:p>
    <w:p w14:paraId="7FAFA2C0">
      <w:pPr>
        <w:spacing w:line="360" w:lineRule="auto"/>
        <w:ind w:firstLine="480" w:firstLineChars="200"/>
        <w:rPr>
          <w:rFonts w:ascii="宋体" w:hAnsi="宋体" w:cs="宋体"/>
          <w:color w:val="auto"/>
          <w:sz w:val="24"/>
          <w:highlight w:val="none"/>
        </w:rPr>
      </w:pPr>
    </w:p>
    <w:p w14:paraId="75C2E12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70DB3A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浙江同济科技职业学院</w:t>
      </w:r>
      <w:r>
        <w:rPr>
          <w:rFonts w:hint="eastAsia" w:ascii="宋体" w:hAnsi="宋体" w:cs="宋体"/>
          <w:color w:val="auto"/>
          <w:sz w:val="24"/>
          <w:highlight w:val="none"/>
        </w:rPr>
        <w:t>、浙江致信招标代理有限公司：</w:t>
      </w:r>
    </w:p>
    <w:p w14:paraId="255E02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浙江同济科技职业学院采购管理系统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ZXZB-TJ-2025008C</w:t>
      </w:r>
      <w:r>
        <w:rPr>
          <w:rFonts w:hint="eastAsia" w:ascii="宋体" w:hAnsi="宋体" w:cs="宋体"/>
          <w:color w:val="auto"/>
          <w:sz w:val="24"/>
          <w:highlight w:val="none"/>
        </w:rPr>
        <w:t>】政府采购活动，郑重承诺：</w:t>
      </w:r>
    </w:p>
    <w:p w14:paraId="5E667EF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83413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C7629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BAAB6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C7AED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29923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3E43F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C79A0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C0452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D034E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00385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42E5F6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CDF2B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6B1B0D65">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43AE12B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、落实政府采购政策需满足的资格要求</w:t>
      </w:r>
    </w:p>
    <w:p w14:paraId="13193B3E">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4C9DE64F">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专门面向中小企业，服务全部由符合政策要求的中小企业（或小微企业）实施的，提供相应的中小企业声明函（</w:t>
      </w:r>
      <w:r>
        <w:rPr>
          <w:rFonts w:hint="eastAsia" w:ascii="宋体" w:hAnsi="宋体" w:cs="宋体"/>
          <w:color w:val="auto"/>
          <w:sz w:val="24"/>
          <w:highlight w:val="none"/>
          <w:lang w:eastAsia="zh-CN"/>
        </w:rPr>
        <w:t>附件5</w:t>
      </w:r>
      <w:r>
        <w:rPr>
          <w:rFonts w:hint="eastAsia" w:ascii="宋体" w:hAnsi="宋体" w:cs="宋体"/>
          <w:color w:val="auto"/>
          <w:sz w:val="24"/>
          <w:highlight w:val="none"/>
        </w:rPr>
        <w:t xml:space="preserve">）。 </w:t>
      </w:r>
    </w:p>
    <w:p w14:paraId="62184434">
      <w:pPr>
        <w:widowControl/>
        <w:spacing w:line="360" w:lineRule="auto"/>
        <w:ind w:firstLine="480"/>
        <w:jc w:val="left"/>
        <w:rPr>
          <w:rFonts w:ascii="宋体" w:hAnsi="宋体" w:cs="宋体"/>
          <w:color w:val="auto"/>
          <w:sz w:val="24"/>
          <w:highlight w:val="none"/>
        </w:rPr>
      </w:pPr>
    </w:p>
    <w:p w14:paraId="2D586FAA">
      <w:pPr>
        <w:widowControl/>
        <w:spacing w:line="360" w:lineRule="auto"/>
        <w:ind w:left="150"/>
        <w:jc w:val="center"/>
        <w:rPr>
          <w:rFonts w:ascii="宋体" w:hAnsi="宋体" w:cs="宋体"/>
          <w:b/>
          <w:color w:val="auto"/>
          <w:kern w:val="0"/>
          <w:sz w:val="32"/>
          <w:szCs w:val="32"/>
          <w:highlight w:val="none"/>
        </w:rPr>
      </w:pPr>
    </w:p>
    <w:p w14:paraId="5660CDA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581A3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0BA138B4">
      <w:pPr>
        <w:rPr>
          <w:rFonts w:ascii="宋体" w:hAnsi="宋体" w:cs="宋体"/>
          <w:color w:val="auto"/>
          <w:highlight w:val="none"/>
        </w:rPr>
      </w:pPr>
    </w:p>
    <w:p w14:paraId="66A37315">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75D2C964">
      <w:pPr>
        <w:rPr>
          <w:rFonts w:ascii="宋体" w:hAnsi="宋体" w:cs="宋体"/>
          <w:color w:val="auto"/>
          <w:highlight w:val="none"/>
        </w:rPr>
      </w:pPr>
    </w:p>
    <w:p w14:paraId="4DC48135">
      <w:pPr>
        <w:spacing w:line="360" w:lineRule="auto"/>
        <w:jc w:val="center"/>
        <w:outlineLvl w:val="0"/>
        <w:rPr>
          <w:rFonts w:ascii="宋体" w:hAnsi="宋体" w:cs="宋体"/>
          <w:b/>
          <w:color w:val="auto"/>
          <w:kern w:val="0"/>
          <w:sz w:val="36"/>
          <w:szCs w:val="36"/>
          <w:highlight w:val="none"/>
        </w:rPr>
      </w:pPr>
      <w:bookmarkStart w:id="412" w:name="_Toc23189"/>
      <w:r>
        <w:rPr>
          <w:rFonts w:hint="eastAsia" w:ascii="宋体" w:hAnsi="宋体" w:cs="宋体"/>
          <w:b/>
          <w:color w:val="auto"/>
          <w:kern w:val="0"/>
          <w:sz w:val="36"/>
          <w:szCs w:val="36"/>
          <w:highlight w:val="none"/>
          <w:lang w:eastAsia="zh-CN"/>
        </w:rPr>
        <w:t>资信技术</w:t>
      </w:r>
      <w:r>
        <w:rPr>
          <w:rFonts w:hint="eastAsia" w:ascii="宋体" w:hAnsi="宋体" w:cs="宋体"/>
          <w:b/>
          <w:color w:val="auto"/>
          <w:kern w:val="0"/>
          <w:sz w:val="36"/>
          <w:szCs w:val="36"/>
          <w:highlight w:val="none"/>
        </w:rPr>
        <w:t>文件部分</w:t>
      </w:r>
      <w:bookmarkEnd w:id="412"/>
    </w:p>
    <w:p w14:paraId="111C27CD">
      <w:pPr>
        <w:spacing w:line="360" w:lineRule="auto"/>
        <w:jc w:val="center"/>
        <w:outlineLvl w:val="0"/>
        <w:rPr>
          <w:rFonts w:ascii="宋体" w:hAnsi="宋体" w:cs="宋体"/>
          <w:b/>
          <w:color w:val="auto"/>
          <w:kern w:val="0"/>
          <w:sz w:val="28"/>
          <w:szCs w:val="28"/>
          <w:highlight w:val="none"/>
        </w:rPr>
      </w:pPr>
      <w:bookmarkStart w:id="413" w:name="_Toc3355"/>
      <w:r>
        <w:rPr>
          <w:rFonts w:hint="eastAsia" w:ascii="宋体" w:hAnsi="宋体" w:cs="宋体"/>
          <w:b/>
          <w:color w:val="auto"/>
          <w:kern w:val="0"/>
          <w:sz w:val="28"/>
          <w:szCs w:val="28"/>
          <w:highlight w:val="none"/>
        </w:rPr>
        <w:t>目录</w:t>
      </w:r>
      <w:bookmarkEnd w:id="413"/>
    </w:p>
    <w:p w14:paraId="7DAD1BCA">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（1）响应函………………………………………………………………………………（页码）</w:t>
      </w:r>
    </w:p>
    <w:p w14:paraId="156EE970">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（2）授权委托书或法定代表人（单位负责人、自然人本人）身份证明……………（页码）</w:t>
      </w:r>
    </w:p>
    <w:p w14:paraId="49A4F28C">
      <w:pPr>
        <w:tabs>
          <w:tab w:val="left" w:pos="768"/>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）符合性审查资料……………………………………………………………………（页码）</w:t>
      </w:r>
    </w:p>
    <w:p w14:paraId="586211C1">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）评审标准相应的</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资料……………………………………………………（页码）（</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偏离表……………………………………………………………………（页码）</w:t>
      </w:r>
    </w:p>
    <w:p w14:paraId="6F5E3C18">
      <w:pPr>
        <w:snapToGrid w:val="0"/>
        <w:spacing w:line="360" w:lineRule="auto"/>
        <w:ind w:left="479" w:leftChars="228"/>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r>
        <w:rPr>
          <w:rFonts w:hint="eastAsia" w:ascii="宋体" w:hAnsi="宋体" w:cs="宋体"/>
          <w:color w:val="auto"/>
          <w:sz w:val="24"/>
          <w:highlight w:val="none"/>
          <w:lang w:eastAsia="zh-CN"/>
        </w:rPr>
        <w:t>）</w:t>
      </w:r>
    </w:p>
    <w:p w14:paraId="60A02737">
      <w:pPr>
        <w:snapToGrid w:val="0"/>
        <w:spacing w:line="360" w:lineRule="auto"/>
        <w:ind w:left="479" w:leftChars="228"/>
        <w:rPr>
          <w:rFonts w:hint="eastAsia" w:ascii="宋体" w:hAnsi="宋体" w:cs="宋体"/>
          <w:b w:val="0"/>
          <w:bCs/>
          <w:color w:val="auto"/>
          <w:kern w:val="0"/>
          <w:sz w:val="24"/>
          <w:szCs w:val="32"/>
          <w:highlight w:val="none"/>
          <w:lang w:val="zh-CN"/>
        </w:rPr>
      </w:pPr>
      <w:r>
        <w:rPr>
          <w:rFonts w:hint="eastAsia" w:ascii="宋体" w:hAnsi="宋体" w:cs="宋体"/>
          <w:b w:val="0"/>
          <w:bCs/>
          <w:color w:val="auto"/>
          <w:kern w:val="0"/>
          <w:sz w:val="24"/>
          <w:szCs w:val="32"/>
          <w:highlight w:val="none"/>
          <w:lang w:val="zh-CN"/>
        </w:rPr>
        <w:t>（</w:t>
      </w:r>
      <w:r>
        <w:rPr>
          <w:rFonts w:hint="eastAsia" w:ascii="宋体" w:hAnsi="宋体" w:cs="宋体"/>
          <w:b w:val="0"/>
          <w:bCs/>
          <w:color w:val="auto"/>
          <w:kern w:val="0"/>
          <w:sz w:val="24"/>
          <w:szCs w:val="32"/>
          <w:highlight w:val="none"/>
          <w:lang w:val="en-US" w:eastAsia="zh-CN"/>
        </w:rPr>
        <w:t>7</w:t>
      </w:r>
      <w:r>
        <w:rPr>
          <w:rFonts w:hint="eastAsia" w:ascii="宋体" w:hAnsi="宋体" w:cs="宋体"/>
          <w:b w:val="0"/>
          <w:bCs/>
          <w:color w:val="auto"/>
          <w:kern w:val="0"/>
          <w:sz w:val="24"/>
          <w:szCs w:val="32"/>
          <w:highlight w:val="none"/>
          <w:lang w:val="zh-CN"/>
        </w:rPr>
        <w:t>）</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股权信息表…………………………………………………………………（页码）</w:t>
      </w:r>
    </w:p>
    <w:p w14:paraId="4CC54A69">
      <w:pPr>
        <w:snapToGrid w:val="0"/>
        <w:spacing w:line="360" w:lineRule="auto"/>
        <w:ind w:left="479" w:leftChars="228"/>
        <w:rPr>
          <w:rFonts w:hint="eastAsia" w:ascii="宋体" w:hAnsi="宋体" w:eastAsia="宋体" w:cs="宋体"/>
          <w:color w:val="auto"/>
          <w:sz w:val="24"/>
          <w:highlight w:val="none"/>
          <w:lang w:eastAsia="zh-CN"/>
        </w:rPr>
      </w:pPr>
      <w:r>
        <w:rPr>
          <w:rFonts w:hint="eastAsia" w:ascii="宋体" w:hAnsi="宋体" w:cs="宋体"/>
          <w:b w:val="0"/>
          <w:bCs/>
          <w:color w:val="auto"/>
          <w:kern w:val="0"/>
          <w:sz w:val="24"/>
          <w:szCs w:val="32"/>
          <w:highlight w:val="none"/>
          <w:lang w:val="zh-CN"/>
        </w:rPr>
        <w:t>（</w:t>
      </w:r>
      <w:r>
        <w:rPr>
          <w:rFonts w:hint="eastAsia" w:ascii="宋体" w:hAnsi="宋体" w:cs="宋体"/>
          <w:b w:val="0"/>
          <w:bCs/>
          <w:color w:val="auto"/>
          <w:kern w:val="0"/>
          <w:sz w:val="24"/>
          <w:szCs w:val="32"/>
          <w:highlight w:val="none"/>
          <w:lang w:val="en-US" w:eastAsia="zh-CN"/>
        </w:rPr>
        <w:t>8</w:t>
      </w:r>
      <w:r>
        <w:rPr>
          <w:rFonts w:hint="eastAsia" w:ascii="宋体" w:hAnsi="宋体" w:cs="宋体"/>
          <w:b w:val="0"/>
          <w:bCs/>
          <w:color w:val="auto"/>
          <w:kern w:val="0"/>
          <w:sz w:val="24"/>
          <w:szCs w:val="32"/>
          <w:highlight w:val="none"/>
          <w:lang w:val="zh-CN"/>
        </w:rPr>
        <w:t>）缴纳采购代理服务费承诺书</w:t>
      </w:r>
      <w:r>
        <w:rPr>
          <w:rFonts w:hint="eastAsia" w:ascii="宋体" w:hAnsi="宋体" w:cs="宋体"/>
          <w:color w:val="auto"/>
          <w:sz w:val="24"/>
          <w:highlight w:val="none"/>
        </w:rPr>
        <w:t>………………………………………………………（页码</w:t>
      </w:r>
      <w:r>
        <w:rPr>
          <w:rFonts w:hint="eastAsia" w:ascii="宋体" w:hAnsi="宋体" w:cs="宋体"/>
          <w:color w:val="auto"/>
          <w:sz w:val="24"/>
          <w:highlight w:val="none"/>
          <w:lang w:eastAsia="zh-CN"/>
        </w:rPr>
        <w:t>）</w:t>
      </w:r>
    </w:p>
    <w:p w14:paraId="160A7046">
      <w:pPr>
        <w:snapToGrid w:val="0"/>
        <w:spacing w:line="360" w:lineRule="auto"/>
        <w:ind w:left="479" w:leftChars="228"/>
        <w:rPr>
          <w:rFonts w:ascii="宋体" w:hAnsi="宋体" w:cs="宋体"/>
          <w:b w:val="0"/>
          <w:bCs/>
          <w:color w:val="auto"/>
          <w:kern w:val="0"/>
          <w:sz w:val="24"/>
          <w:szCs w:val="32"/>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7E4B600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0E3711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浙江同济科技职业学院</w:t>
      </w:r>
      <w:r>
        <w:rPr>
          <w:rFonts w:hint="eastAsia" w:ascii="宋体" w:hAnsi="宋体" w:cs="宋体"/>
          <w:color w:val="auto"/>
          <w:sz w:val="24"/>
          <w:highlight w:val="none"/>
        </w:rPr>
        <w:t>、浙江致信招标代理有限公司：</w:t>
      </w:r>
    </w:p>
    <w:p w14:paraId="0E4230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浙江同济科技职业学院采购管理系统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ZXZB-TJ-2025008C</w:t>
      </w:r>
      <w:r>
        <w:rPr>
          <w:rFonts w:hint="eastAsia" w:ascii="宋体" w:hAnsi="宋体" w:cs="宋体"/>
          <w:color w:val="auto"/>
          <w:sz w:val="24"/>
          <w:highlight w:val="none"/>
        </w:rPr>
        <w:t>】采购的有关活动，并对此项目提交响应文件及报价。为此：</w:t>
      </w:r>
    </w:p>
    <w:p w14:paraId="63BD61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3CC6E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4FC95E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FF978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5D887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3892F0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4980850E">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2.1.4本项目的特定资格要求（如果有）</w:t>
      </w:r>
      <w:r>
        <w:rPr>
          <w:rFonts w:hint="eastAsia" w:ascii="宋体" w:hAnsi="宋体" w:cs="宋体"/>
          <w:color w:val="auto"/>
          <w:sz w:val="24"/>
          <w:highlight w:val="none"/>
          <w:lang w:eastAsia="zh-CN"/>
        </w:rPr>
        <w:t>；</w:t>
      </w:r>
    </w:p>
    <w:p w14:paraId="02F8E3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2.1.5营业执照</w:t>
      </w:r>
      <w:r>
        <w:rPr>
          <w:rFonts w:hint="eastAsia" w:ascii="宋体" w:hAnsi="宋体" w:cs="宋体"/>
          <w:color w:val="auto"/>
          <w:sz w:val="24"/>
          <w:highlight w:val="none"/>
        </w:rPr>
        <w:t>。</w:t>
      </w:r>
    </w:p>
    <w:p w14:paraId="7D133DD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eastAsia="zh-CN"/>
        </w:rPr>
        <w:t>资信技术</w:t>
      </w:r>
      <w:r>
        <w:rPr>
          <w:rFonts w:hint="eastAsia" w:ascii="宋体" w:hAnsi="宋体" w:cs="宋体"/>
          <w:color w:val="auto"/>
          <w:sz w:val="24"/>
          <w:highlight w:val="none"/>
          <w:lang w:val="zh-CN"/>
        </w:rPr>
        <w:t>文件：</w:t>
      </w:r>
    </w:p>
    <w:p w14:paraId="23C8DC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p>
    <w:p w14:paraId="437457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58F22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792A10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1EBD8B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2.2.5评审标准相应的</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资料；</w:t>
      </w:r>
    </w:p>
    <w:p w14:paraId="468496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偏离表；</w:t>
      </w:r>
    </w:p>
    <w:p w14:paraId="07DAA39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99F63CC">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2.2.8供应商</w:t>
      </w:r>
      <w:r>
        <w:rPr>
          <w:rFonts w:hint="eastAsia" w:ascii="宋体" w:hAnsi="宋体" w:cs="宋体"/>
          <w:color w:val="auto"/>
          <w:sz w:val="24"/>
          <w:highlight w:val="none"/>
        </w:rPr>
        <w:t>股权信息表</w:t>
      </w:r>
      <w:r>
        <w:rPr>
          <w:rFonts w:hint="eastAsia" w:ascii="宋体" w:hAnsi="宋体" w:cs="宋体"/>
          <w:color w:val="auto"/>
          <w:sz w:val="24"/>
          <w:highlight w:val="none"/>
          <w:lang w:eastAsia="zh-CN"/>
        </w:rPr>
        <w:t>；</w:t>
      </w:r>
    </w:p>
    <w:p w14:paraId="5DD1DEC2">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2.2.9</w:t>
      </w:r>
      <w:r>
        <w:rPr>
          <w:rFonts w:hint="eastAsia" w:ascii="宋体" w:hAnsi="宋体" w:cs="宋体"/>
          <w:b w:val="0"/>
          <w:bCs/>
          <w:color w:val="auto"/>
          <w:kern w:val="0"/>
          <w:sz w:val="24"/>
          <w:szCs w:val="32"/>
          <w:highlight w:val="none"/>
          <w:lang w:val="zh-CN"/>
        </w:rPr>
        <w:t>缴纳采购代理服务费承诺书。</w:t>
      </w:r>
    </w:p>
    <w:p w14:paraId="505AB94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8F8C1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157A45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2.3.2报价明细表；</w:t>
      </w:r>
    </w:p>
    <w:p w14:paraId="30787A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34C375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w:t>
      </w:r>
      <w:r>
        <w:rPr>
          <w:rFonts w:hint="eastAsia" w:ascii="宋体" w:hAnsi="宋体" w:cs="宋体"/>
          <w:color w:val="auto"/>
          <w:sz w:val="24"/>
          <w:highlight w:val="none"/>
          <w:lang w:eastAsia="zh-CN"/>
        </w:rPr>
        <w:t>资信技术</w:t>
      </w:r>
      <w:r>
        <w:rPr>
          <w:rFonts w:hint="eastAsia" w:ascii="宋体" w:hAnsi="宋体" w:cs="宋体"/>
          <w:color w:val="auto"/>
          <w:sz w:val="24"/>
          <w:highlight w:val="none"/>
        </w:rPr>
        <w:t>偏离表列出的偏离外，我方响应采购文件的全部要求。</w:t>
      </w:r>
    </w:p>
    <w:p w14:paraId="7FCC16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112A81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49BE11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B57F7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9A7B70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EABF1E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14:paraId="29AC4A5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09BFA7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535FD4E">
      <w:pPr>
        <w:snapToGrid w:val="0"/>
        <w:spacing w:line="360" w:lineRule="auto"/>
        <w:ind w:left="420" w:leftChars="200" w:firstLine="4200" w:firstLineChars="1750"/>
        <w:rPr>
          <w:rFonts w:ascii="宋体" w:hAnsi="宋体" w:cs="宋体"/>
          <w:color w:val="auto"/>
          <w:kern w:val="0"/>
          <w:sz w:val="24"/>
          <w:highlight w:val="none"/>
          <w:u w:val="single"/>
        </w:rPr>
      </w:pPr>
    </w:p>
    <w:p w14:paraId="1B89AC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B8E569">
      <w:pPr>
        <w:snapToGrid w:val="0"/>
        <w:spacing w:line="360" w:lineRule="auto"/>
        <w:jc w:val="center"/>
        <w:rPr>
          <w:rFonts w:ascii="宋体" w:hAnsi="宋体" w:cs="宋体"/>
          <w:b/>
          <w:color w:val="auto"/>
          <w:kern w:val="0"/>
          <w:sz w:val="32"/>
          <w:szCs w:val="32"/>
          <w:highlight w:val="none"/>
        </w:rPr>
      </w:pPr>
    </w:p>
    <w:p w14:paraId="10AA7336">
      <w:pPr>
        <w:snapToGrid w:val="0"/>
        <w:spacing w:line="360" w:lineRule="auto"/>
        <w:rPr>
          <w:rFonts w:ascii="宋体" w:hAnsi="宋体" w:cs="宋体"/>
          <w:color w:val="auto"/>
          <w:sz w:val="24"/>
          <w:highlight w:val="none"/>
        </w:rPr>
      </w:pPr>
    </w:p>
    <w:p w14:paraId="77FD766E">
      <w:pPr>
        <w:jc w:val="center"/>
        <w:rPr>
          <w:rFonts w:ascii="宋体" w:hAnsi="宋体" w:cs="宋体"/>
          <w:b/>
          <w:color w:val="auto"/>
          <w:kern w:val="0"/>
          <w:sz w:val="32"/>
          <w:szCs w:val="32"/>
          <w:highlight w:val="none"/>
        </w:rPr>
      </w:pPr>
    </w:p>
    <w:p w14:paraId="59E26834">
      <w:pPr>
        <w:jc w:val="center"/>
        <w:rPr>
          <w:rFonts w:ascii="宋体" w:hAnsi="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02C2918A">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1904AF23">
      <w:pPr>
        <w:snapToGrid w:val="0"/>
        <w:spacing w:line="360" w:lineRule="auto"/>
        <w:rPr>
          <w:rFonts w:ascii="宋体" w:hAnsi="宋体" w:cs="宋体"/>
          <w:color w:val="auto"/>
          <w:sz w:val="24"/>
          <w:highlight w:val="none"/>
        </w:rPr>
      </w:pPr>
    </w:p>
    <w:p w14:paraId="51B0FF3C">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w:t>
      </w:r>
    </w:p>
    <w:p w14:paraId="4108957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浙江同济科技职业学院</w:t>
      </w:r>
      <w:r>
        <w:rPr>
          <w:rFonts w:hint="eastAsia" w:ascii="宋体" w:hAnsi="宋体" w:cs="宋体"/>
          <w:color w:val="auto"/>
          <w:sz w:val="24"/>
          <w:highlight w:val="none"/>
        </w:rPr>
        <w:t>、浙江致信招标代理有限公司</w:t>
      </w:r>
      <w:r>
        <w:rPr>
          <w:rFonts w:hint="eastAsia" w:ascii="宋体" w:hAnsi="宋体" w:cs="宋体"/>
          <w:color w:val="auto"/>
          <w:kern w:val="0"/>
          <w:sz w:val="24"/>
          <w:highlight w:val="none"/>
          <w:lang w:val="zh-CN"/>
        </w:rPr>
        <w:t>：</w:t>
      </w:r>
    </w:p>
    <w:p w14:paraId="101F6FA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lang w:eastAsia="zh-CN"/>
        </w:rPr>
        <w:t>浙江同济科技职业学院采购管理系统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ZXZB-TJ-2025008C</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4C560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7B947E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4702F66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5A91643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21A4F7C">
      <w:pPr>
        <w:snapToGrid w:val="0"/>
        <w:spacing w:line="360" w:lineRule="auto"/>
        <w:rPr>
          <w:rFonts w:ascii="宋体" w:hAnsi="宋体" w:cs="宋体"/>
          <w:color w:val="auto"/>
          <w:sz w:val="24"/>
          <w:highlight w:val="none"/>
        </w:rPr>
      </w:pPr>
    </w:p>
    <w:p w14:paraId="716166E9">
      <w:pPr>
        <w:snapToGrid w:val="0"/>
        <w:spacing w:line="360" w:lineRule="auto"/>
        <w:rPr>
          <w:rFonts w:ascii="宋体" w:hAnsi="宋体" w:cs="宋体"/>
          <w:color w:val="auto"/>
          <w:sz w:val="24"/>
          <w:highlight w:val="none"/>
        </w:rPr>
      </w:pPr>
    </w:p>
    <w:p w14:paraId="029BEB8E">
      <w:pPr>
        <w:snapToGrid w:val="0"/>
        <w:spacing w:line="360" w:lineRule="auto"/>
        <w:rPr>
          <w:rFonts w:ascii="宋体" w:hAnsi="宋体" w:cs="宋体"/>
          <w:color w:val="auto"/>
          <w:sz w:val="24"/>
          <w:highlight w:val="none"/>
        </w:rPr>
      </w:pPr>
    </w:p>
    <w:p w14:paraId="3559CE15">
      <w:pPr>
        <w:snapToGrid w:val="0"/>
        <w:jc w:val="center"/>
        <w:rPr>
          <w:rFonts w:hint="eastAsia" w:ascii="宋体" w:hAnsi="宋体" w:cs="宋体"/>
          <w:b/>
          <w:bCs/>
          <w:color w:val="auto"/>
          <w:sz w:val="32"/>
          <w:szCs w:val="32"/>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2164046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74EE71CE">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E2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F92483D">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BF05C2C">
            <w:pPr>
              <w:pStyle w:val="148"/>
              <w:adjustRightInd w:val="0"/>
              <w:spacing w:line="360" w:lineRule="auto"/>
              <w:rPr>
                <w:rFonts w:hAnsi="宋体" w:cs="宋体"/>
                <w:bCs/>
                <w:color w:val="auto"/>
                <w:sz w:val="24"/>
                <w:highlight w:val="none"/>
              </w:rPr>
            </w:pPr>
          </w:p>
        </w:tc>
      </w:tr>
    </w:tbl>
    <w:p w14:paraId="30A69EA5">
      <w:pPr>
        <w:snapToGrid w:val="0"/>
        <w:spacing w:line="360" w:lineRule="auto"/>
        <w:ind w:firstLine="576"/>
        <w:jc w:val="center"/>
        <w:rPr>
          <w:rFonts w:ascii="宋体" w:hAnsi="宋体" w:cs="宋体"/>
          <w:color w:val="auto"/>
          <w:kern w:val="0"/>
          <w:sz w:val="24"/>
          <w:highlight w:val="none"/>
          <w:lang w:val="zh-CN"/>
        </w:rPr>
      </w:pPr>
    </w:p>
    <w:p w14:paraId="7F78C52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3AE1908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7FA99E">
      <w:pPr>
        <w:jc w:val="center"/>
        <w:rPr>
          <w:rFonts w:ascii="宋体" w:hAnsi="宋体" w:cs="宋体"/>
          <w:b/>
          <w:color w:val="auto"/>
          <w:kern w:val="0"/>
          <w:sz w:val="32"/>
          <w:szCs w:val="32"/>
          <w:highlight w:val="none"/>
        </w:rPr>
      </w:pPr>
    </w:p>
    <w:p w14:paraId="6C7BD411">
      <w:pPr>
        <w:jc w:val="center"/>
        <w:rPr>
          <w:rFonts w:ascii="宋体" w:hAnsi="宋体" w:cs="宋体"/>
          <w:b/>
          <w:color w:val="auto"/>
          <w:kern w:val="0"/>
          <w:sz w:val="32"/>
          <w:szCs w:val="32"/>
          <w:highlight w:val="none"/>
        </w:rPr>
      </w:pPr>
    </w:p>
    <w:p w14:paraId="7892F658">
      <w:pPr>
        <w:jc w:val="center"/>
        <w:rPr>
          <w:rFonts w:ascii="宋体" w:hAnsi="宋体" w:cs="宋体"/>
          <w:b/>
          <w:color w:val="auto"/>
          <w:kern w:val="0"/>
          <w:sz w:val="32"/>
          <w:szCs w:val="32"/>
          <w:highlight w:val="none"/>
        </w:rPr>
      </w:pPr>
    </w:p>
    <w:p w14:paraId="0D2387A4">
      <w:pPr>
        <w:jc w:val="center"/>
        <w:rPr>
          <w:rFonts w:ascii="宋体" w:hAnsi="宋体" w:cs="宋体"/>
          <w:b/>
          <w:color w:val="auto"/>
          <w:kern w:val="0"/>
          <w:sz w:val="32"/>
          <w:szCs w:val="32"/>
          <w:highlight w:val="none"/>
        </w:rPr>
      </w:pPr>
    </w:p>
    <w:p w14:paraId="09EF9B66">
      <w:pPr>
        <w:jc w:val="center"/>
        <w:rPr>
          <w:rFonts w:ascii="宋体" w:hAnsi="宋体" w:cs="宋体"/>
          <w:b/>
          <w:color w:val="auto"/>
          <w:kern w:val="0"/>
          <w:sz w:val="32"/>
          <w:szCs w:val="32"/>
          <w:highlight w:val="none"/>
        </w:rPr>
      </w:pPr>
    </w:p>
    <w:p w14:paraId="06F8345A">
      <w:pPr>
        <w:jc w:val="center"/>
        <w:rPr>
          <w:rFonts w:ascii="宋体" w:hAnsi="宋体" w:cs="宋体"/>
          <w:b/>
          <w:color w:val="auto"/>
          <w:kern w:val="0"/>
          <w:sz w:val="32"/>
          <w:szCs w:val="32"/>
          <w:highlight w:val="none"/>
        </w:rPr>
      </w:pPr>
    </w:p>
    <w:p w14:paraId="1FBB87B2">
      <w:pPr>
        <w:jc w:val="center"/>
        <w:rPr>
          <w:rFonts w:ascii="宋体" w:hAnsi="宋体" w:cs="宋体"/>
          <w:b/>
          <w:color w:val="auto"/>
          <w:kern w:val="0"/>
          <w:sz w:val="32"/>
          <w:szCs w:val="32"/>
          <w:highlight w:val="none"/>
        </w:rPr>
      </w:pPr>
    </w:p>
    <w:p w14:paraId="1053B2AF">
      <w:pPr>
        <w:jc w:val="center"/>
        <w:rPr>
          <w:rFonts w:ascii="宋体" w:hAnsi="宋体" w:cs="宋体"/>
          <w:b/>
          <w:color w:val="auto"/>
          <w:kern w:val="0"/>
          <w:sz w:val="32"/>
          <w:szCs w:val="32"/>
          <w:highlight w:val="none"/>
        </w:rPr>
      </w:pPr>
    </w:p>
    <w:p w14:paraId="43C26691">
      <w:pPr>
        <w:jc w:val="center"/>
        <w:rPr>
          <w:rFonts w:ascii="宋体" w:hAnsi="宋体" w:cs="宋体"/>
          <w:b/>
          <w:color w:val="auto"/>
          <w:kern w:val="0"/>
          <w:sz w:val="32"/>
          <w:szCs w:val="32"/>
          <w:highlight w:val="none"/>
        </w:rPr>
      </w:pPr>
    </w:p>
    <w:p w14:paraId="02816AD4">
      <w:pPr>
        <w:jc w:val="center"/>
        <w:rPr>
          <w:rFonts w:ascii="宋体" w:hAnsi="宋体" w:cs="宋体"/>
          <w:b/>
          <w:color w:val="auto"/>
          <w:kern w:val="0"/>
          <w:sz w:val="32"/>
          <w:szCs w:val="32"/>
          <w:highlight w:val="none"/>
        </w:rPr>
      </w:pPr>
    </w:p>
    <w:p w14:paraId="29DE38A9">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7B999D1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、符合性审查资料</w:t>
      </w:r>
    </w:p>
    <w:p w14:paraId="58AA67F1">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1D1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1CC59A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032B57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B0BA9B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364450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6C0396C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0E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8513D1">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091344EA">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50C3BC0">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1CC8DB1E">
            <w:pPr>
              <w:rPr>
                <w:rFonts w:ascii="宋体" w:hAnsi="宋体" w:cs="宋体"/>
                <w:color w:val="auto"/>
                <w:sz w:val="24"/>
                <w:highlight w:val="none"/>
              </w:rPr>
            </w:pPr>
            <w:r>
              <w:rPr>
                <w:rFonts w:hint="eastAsia" w:ascii="宋体" w:hAnsi="宋体" w:cs="宋体"/>
                <w:color w:val="auto"/>
                <w:sz w:val="24"/>
                <w:highlight w:val="none"/>
              </w:rPr>
              <w:t>见响应文件</w:t>
            </w:r>
          </w:p>
          <w:p w14:paraId="65C5D871">
            <w:pPr>
              <w:rPr>
                <w:rFonts w:ascii="宋体" w:hAnsi="宋体" w:cs="宋体"/>
                <w:color w:val="auto"/>
                <w:highlight w:val="none"/>
              </w:rPr>
            </w:pPr>
            <w:r>
              <w:rPr>
                <w:rFonts w:hint="eastAsia" w:ascii="宋体" w:hAnsi="宋体" w:cs="宋体"/>
                <w:color w:val="auto"/>
                <w:sz w:val="24"/>
                <w:highlight w:val="none"/>
              </w:rPr>
              <w:t>第页</w:t>
            </w:r>
          </w:p>
        </w:tc>
      </w:tr>
      <w:tr w14:paraId="55CD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DE7E2D">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8E98527">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FDA5B6B">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6F74FED0">
            <w:pPr>
              <w:rPr>
                <w:rFonts w:ascii="宋体" w:hAnsi="宋体" w:cs="宋体"/>
                <w:color w:val="auto"/>
                <w:highlight w:val="none"/>
              </w:rPr>
            </w:pPr>
            <w:r>
              <w:rPr>
                <w:rFonts w:hint="eastAsia" w:ascii="宋体" w:hAnsi="宋体" w:cs="宋体"/>
                <w:color w:val="auto"/>
                <w:sz w:val="24"/>
                <w:highlight w:val="none"/>
              </w:rPr>
              <w:t>见响应文件第页</w:t>
            </w:r>
          </w:p>
        </w:tc>
      </w:tr>
      <w:tr w14:paraId="09BB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D03A8">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5D6D9D00">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16833926">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0DE66BBF">
            <w:pPr>
              <w:rPr>
                <w:rFonts w:ascii="宋体" w:hAnsi="宋体" w:cs="宋体"/>
                <w:color w:val="auto"/>
                <w:highlight w:val="none"/>
              </w:rPr>
            </w:pPr>
            <w:r>
              <w:rPr>
                <w:rFonts w:hint="eastAsia" w:ascii="宋体" w:hAnsi="宋体" w:cs="宋体"/>
                <w:color w:val="auto"/>
                <w:sz w:val="24"/>
                <w:highlight w:val="none"/>
              </w:rPr>
              <w:t>见响应文件第页</w:t>
            </w:r>
          </w:p>
        </w:tc>
      </w:tr>
    </w:tbl>
    <w:p w14:paraId="2785C84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97CD5D9">
      <w:pPr>
        <w:jc w:val="center"/>
        <w:rPr>
          <w:rFonts w:ascii="宋体" w:hAnsi="宋体" w:cs="宋体"/>
          <w:b/>
          <w:color w:val="auto"/>
          <w:kern w:val="0"/>
          <w:sz w:val="32"/>
          <w:szCs w:val="32"/>
          <w:highlight w:val="none"/>
        </w:rPr>
      </w:pPr>
    </w:p>
    <w:p w14:paraId="52458F53">
      <w:pPr>
        <w:jc w:val="center"/>
        <w:rPr>
          <w:rFonts w:ascii="宋体" w:hAnsi="宋体" w:cs="宋体"/>
          <w:b/>
          <w:color w:val="auto"/>
          <w:kern w:val="0"/>
          <w:sz w:val="32"/>
          <w:szCs w:val="32"/>
          <w:highlight w:val="none"/>
        </w:rPr>
      </w:pPr>
    </w:p>
    <w:p w14:paraId="7AF5591F">
      <w:pPr>
        <w:jc w:val="center"/>
        <w:rPr>
          <w:rFonts w:ascii="宋体" w:hAnsi="宋体" w:cs="宋体"/>
          <w:b/>
          <w:color w:val="auto"/>
          <w:kern w:val="0"/>
          <w:sz w:val="32"/>
          <w:szCs w:val="32"/>
          <w:highlight w:val="none"/>
        </w:rPr>
      </w:pPr>
    </w:p>
    <w:p w14:paraId="4A35A67E">
      <w:pPr>
        <w:jc w:val="center"/>
        <w:rPr>
          <w:rFonts w:ascii="宋体" w:hAnsi="宋体" w:cs="宋体"/>
          <w:b/>
          <w:color w:val="auto"/>
          <w:kern w:val="0"/>
          <w:sz w:val="32"/>
          <w:szCs w:val="32"/>
          <w:highlight w:val="none"/>
        </w:rPr>
      </w:pPr>
    </w:p>
    <w:p w14:paraId="7E74C879">
      <w:pPr>
        <w:jc w:val="center"/>
        <w:rPr>
          <w:rFonts w:ascii="宋体" w:hAnsi="宋体" w:cs="宋体"/>
          <w:b/>
          <w:color w:val="auto"/>
          <w:kern w:val="0"/>
          <w:sz w:val="32"/>
          <w:szCs w:val="32"/>
          <w:highlight w:val="none"/>
        </w:rPr>
      </w:pPr>
    </w:p>
    <w:p w14:paraId="65F16803">
      <w:pPr>
        <w:jc w:val="center"/>
        <w:rPr>
          <w:rFonts w:ascii="宋体" w:hAnsi="宋体" w:cs="宋体"/>
          <w:b/>
          <w:color w:val="auto"/>
          <w:kern w:val="0"/>
          <w:sz w:val="32"/>
          <w:szCs w:val="32"/>
          <w:highlight w:val="none"/>
        </w:rPr>
      </w:pPr>
    </w:p>
    <w:p w14:paraId="5A5F76DB">
      <w:pPr>
        <w:jc w:val="center"/>
        <w:rPr>
          <w:rFonts w:ascii="宋体" w:hAnsi="宋体" w:cs="宋体"/>
          <w:b/>
          <w:color w:val="auto"/>
          <w:kern w:val="0"/>
          <w:sz w:val="32"/>
          <w:szCs w:val="32"/>
          <w:highlight w:val="none"/>
        </w:rPr>
      </w:pPr>
    </w:p>
    <w:p w14:paraId="7F67D63E">
      <w:pPr>
        <w:jc w:val="center"/>
        <w:rPr>
          <w:rFonts w:ascii="宋体" w:hAnsi="宋体" w:cs="宋体"/>
          <w:b/>
          <w:color w:val="auto"/>
          <w:kern w:val="0"/>
          <w:sz w:val="32"/>
          <w:szCs w:val="32"/>
          <w:highlight w:val="none"/>
        </w:rPr>
      </w:pPr>
    </w:p>
    <w:p w14:paraId="169C1376">
      <w:pPr>
        <w:jc w:val="center"/>
        <w:rPr>
          <w:rFonts w:ascii="宋体" w:hAnsi="宋体" w:cs="宋体"/>
          <w:b/>
          <w:color w:val="auto"/>
          <w:kern w:val="0"/>
          <w:sz w:val="32"/>
          <w:szCs w:val="32"/>
          <w:highlight w:val="none"/>
        </w:rPr>
      </w:pPr>
    </w:p>
    <w:p w14:paraId="23BECE56">
      <w:pPr>
        <w:jc w:val="center"/>
        <w:rPr>
          <w:rFonts w:ascii="宋体" w:hAnsi="宋体" w:cs="宋体"/>
          <w:b/>
          <w:color w:val="auto"/>
          <w:kern w:val="0"/>
          <w:sz w:val="32"/>
          <w:szCs w:val="32"/>
          <w:highlight w:val="none"/>
        </w:rPr>
      </w:pPr>
    </w:p>
    <w:p w14:paraId="6A28E4DB">
      <w:pPr>
        <w:snapToGrid w:val="0"/>
        <w:jc w:val="center"/>
        <w:rPr>
          <w:rFonts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2C30E15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、评审标准相应的</w:t>
      </w:r>
      <w:r>
        <w:rPr>
          <w:rFonts w:hint="eastAsia" w:ascii="宋体" w:hAnsi="宋体" w:cs="宋体"/>
          <w:b/>
          <w:bCs/>
          <w:color w:val="auto"/>
          <w:sz w:val="32"/>
          <w:szCs w:val="32"/>
          <w:highlight w:val="none"/>
          <w:lang w:eastAsia="zh-CN"/>
        </w:rPr>
        <w:t>资信技术</w:t>
      </w:r>
      <w:r>
        <w:rPr>
          <w:rFonts w:hint="eastAsia" w:ascii="宋体" w:hAnsi="宋体" w:cs="宋体"/>
          <w:b/>
          <w:bCs/>
          <w:color w:val="auto"/>
          <w:sz w:val="32"/>
          <w:szCs w:val="32"/>
          <w:highlight w:val="none"/>
        </w:rPr>
        <w:t>资料</w:t>
      </w:r>
    </w:p>
    <w:p w14:paraId="4265CF1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w:t>
      </w:r>
      <w:r>
        <w:rPr>
          <w:rFonts w:hint="eastAsia" w:ascii="宋体" w:hAnsi="宋体" w:cs="宋体"/>
          <w:b/>
          <w:color w:val="auto"/>
          <w:sz w:val="24"/>
          <w:highlight w:val="none"/>
          <w:lang w:eastAsia="zh-CN"/>
        </w:rPr>
        <w:t>资信技术</w:t>
      </w:r>
      <w:r>
        <w:rPr>
          <w:rFonts w:hint="eastAsia" w:ascii="宋体" w:hAnsi="宋体" w:cs="宋体"/>
          <w:b/>
          <w:color w:val="auto"/>
          <w:sz w:val="24"/>
          <w:highlight w:val="none"/>
        </w:rPr>
        <w:t>资料目录”提供资料。）</w:t>
      </w:r>
    </w:p>
    <w:p w14:paraId="72019599">
      <w:pPr>
        <w:jc w:val="center"/>
        <w:rPr>
          <w:rFonts w:ascii="宋体" w:hAnsi="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2A721B19">
      <w:pPr>
        <w:numPr>
          <w:ilvl w:val="0"/>
          <w:numId w:val="2"/>
        </w:num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供应商股权信息表</w:t>
      </w:r>
    </w:p>
    <w:p w14:paraId="13D81032">
      <w:pPr>
        <w:pStyle w:val="2"/>
        <w:numPr>
          <w:ilvl w:val="0"/>
          <w:numId w:val="0"/>
        </w:numPr>
        <w:rPr>
          <w:rFonts w:hint="eastAsia"/>
          <w:color w:val="auto"/>
          <w:highlight w:val="none"/>
          <w:lang w:val="en-US" w:eastAsia="zh-CN"/>
        </w:rPr>
      </w:pPr>
    </w:p>
    <w:tbl>
      <w:tblPr>
        <w:tblStyle w:val="64"/>
        <w:tblW w:w="9515" w:type="dxa"/>
        <w:tblInd w:w="0" w:type="dxa"/>
        <w:tblLayout w:type="fixed"/>
        <w:tblCellMar>
          <w:top w:w="0" w:type="dxa"/>
          <w:left w:w="108" w:type="dxa"/>
          <w:bottom w:w="0" w:type="dxa"/>
          <w:right w:w="108" w:type="dxa"/>
        </w:tblCellMar>
      </w:tblPr>
      <w:tblGrid>
        <w:gridCol w:w="1060"/>
        <w:gridCol w:w="1551"/>
        <w:gridCol w:w="1404"/>
        <w:gridCol w:w="1905"/>
        <w:gridCol w:w="1155"/>
        <w:gridCol w:w="1085"/>
        <w:gridCol w:w="1355"/>
      </w:tblGrid>
      <w:tr w14:paraId="168708ED">
        <w:tblPrEx>
          <w:tblCellMar>
            <w:top w:w="0" w:type="dxa"/>
            <w:left w:w="108" w:type="dxa"/>
            <w:bottom w:w="0" w:type="dxa"/>
            <w:right w:w="108" w:type="dxa"/>
          </w:tblCellMar>
        </w:tblPrEx>
        <w:trPr>
          <w:trHeight w:val="495"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8BF9">
            <w:pPr>
              <w:widowControl/>
              <w:shd w:val="clear"/>
              <w:jc w:val="center"/>
              <w:rPr>
                <w:rFonts w:ascii="宋体" w:hAnsi="宋体" w:cs="宋体"/>
                <w:b/>
                <w:bCs/>
                <w:color w:val="auto"/>
                <w:sz w:val="24"/>
                <w:highlight w:val="none"/>
              </w:rPr>
            </w:pPr>
            <w:r>
              <w:rPr>
                <w:rFonts w:hint="eastAsia" w:cs="宋体"/>
                <w:b/>
                <w:bCs/>
                <w:color w:val="auto"/>
                <w:kern w:val="0"/>
                <w:sz w:val="24"/>
                <w:highlight w:val="none"/>
                <w:lang w:eastAsia="zh-CN" w:bidi="ar"/>
              </w:rPr>
              <w:t>供应商</w:t>
            </w:r>
            <w:r>
              <w:rPr>
                <w:rFonts w:hint="eastAsia" w:ascii="宋体" w:hAnsi="宋体" w:cs="宋体"/>
                <w:b/>
                <w:bCs/>
                <w:color w:val="auto"/>
                <w:kern w:val="0"/>
                <w:sz w:val="24"/>
                <w:highlight w:val="none"/>
                <w:lang w:bidi="ar"/>
              </w:rPr>
              <w:t>股权信息表</w:t>
            </w:r>
          </w:p>
        </w:tc>
      </w:tr>
      <w:tr w14:paraId="0D01678F">
        <w:tblPrEx>
          <w:tblCellMar>
            <w:top w:w="0" w:type="dxa"/>
            <w:left w:w="108" w:type="dxa"/>
            <w:bottom w:w="0" w:type="dxa"/>
            <w:right w:w="108" w:type="dxa"/>
          </w:tblCellMar>
        </w:tblPrEx>
        <w:trPr>
          <w:trHeight w:val="48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E72D">
            <w:pPr>
              <w:widowControl/>
              <w:shd w:val="clear"/>
              <w:jc w:val="left"/>
              <w:rPr>
                <w:rFonts w:ascii="宋体" w:hAnsi="宋体" w:cs="宋体"/>
                <w:color w:val="auto"/>
                <w:sz w:val="24"/>
                <w:highlight w:val="none"/>
              </w:rPr>
            </w:pPr>
            <w:r>
              <w:rPr>
                <w:rFonts w:hint="eastAsia" w:ascii="宋体" w:hAnsi="宋体" w:cs="宋体"/>
                <w:color w:val="auto"/>
                <w:kern w:val="0"/>
                <w:sz w:val="24"/>
                <w:highlight w:val="none"/>
                <w:lang w:bidi="ar"/>
              </w:rPr>
              <w:t>项目编号：</w:t>
            </w:r>
          </w:p>
        </w:tc>
      </w:tr>
      <w:tr w14:paraId="6B9DA643">
        <w:tblPrEx>
          <w:tblCellMar>
            <w:top w:w="0" w:type="dxa"/>
            <w:left w:w="108" w:type="dxa"/>
            <w:bottom w:w="0" w:type="dxa"/>
            <w:right w:w="108" w:type="dxa"/>
          </w:tblCellMar>
        </w:tblPrEx>
        <w:trPr>
          <w:trHeight w:val="52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41E3">
            <w:pPr>
              <w:shd w:val="clear"/>
              <w:jc w:val="left"/>
              <w:rPr>
                <w:rFonts w:ascii="宋体" w:hAnsi="宋体" w:cs="宋体"/>
                <w:color w:val="auto"/>
                <w:sz w:val="24"/>
                <w:highlight w:val="none"/>
              </w:rPr>
            </w:pPr>
            <w:r>
              <w:rPr>
                <w:rFonts w:hint="eastAsia" w:ascii="宋体" w:hAnsi="宋体" w:cs="宋体"/>
                <w:color w:val="auto"/>
                <w:kern w:val="0"/>
                <w:sz w:val="24"/>
                <w:highlight w:val="none"/>
                <w:lang w:bidi="ar"/>
              </w:rPr>
              <w:t>项目名称：</w:t>
            </w:r>
          </w:p>
        </w:tc>
      </w:tr>
      <w:tr w14:paraId="1E462832">
        <w:tblPrEx>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A2F7">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F127">
            <w:pPr>
              <w:widowControl/>
              <w:shd w:val="clear"/>
              <w:jc w:val="center"/>
              <w:rPr>
                <w:rFonts w:ascii="宋体" w:hAnsi="宋体" w:cs="宋体"/>
                <w:color w:val="auto"/>
                <w:sz w:val="24"/>
                <w:highlight w:val="none"/>
              </w:rPr>
            </w:pPr>
            <w:r>
              <w:rPr>
                <w:rFonts w:hint="eastAsia" w:cs="宋体"/>
                <w:color w:val="auto"/>
                <w:kern w:val="0"/>
                <w:sz w:val="24"/>
                <w:highlight w:val="none"/>
                <w:lang w:eastAsia="zh-CN" w:bidi="ar"/>
              </w:rPr>
              <w:t>供应商</w:t>
            </w:r>
            <w:r>
              <w:rPr>
                <w:rFonts w:hint="eastAsia" w:ascii="宋体" w:hAnsi="宋体" w:cs="宋体"/>
                <w:color w:val="auto"/>
                <w:kern w:val="0"/>
                <w:sz w:val="24"/>
                <w:highlight w:val="none"/>
                <w:lang w:bidi="ar"/>
              </w:rPr>
              <w:t>名称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AB60">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lang w:bidi="ar"/>
              </w:rPr>
              <w:t>法定代表人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CF38">
            <w:pPr>
              <w:widowControl/>
              <w:shd w:val="clear"/>
              <w:rPr>
                <w:rFonts w:ascii="宋体" w:hAnsi="宋体" w:cs="宋体"/>
                <w:color w:val="auto"/>
                <w:sz w:val="24"/>
                <w:highlight w:val="none"/>
              </w:rPr>
            </w:pPr>
            <w:r>
              <w:rPr>
                <w:rFonts w:hint="eastAsia" w:ascii="宋体" w:hAnsi="宋体" w:cs="宋体"/>
                <w:color w:val="auto"/>
                <w:kern w:val="0"/>
                <w:sz w:val="24"/>
                <w:highlight w:val="none"/>
                <w:lang w:bidi="ar"/>
              </w:rPr>
              <w:t>股东（股权比例）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41D3">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lang w:bidi="ar"/>
              </w:rPr>
              <w:t>董事</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4702">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lang w:bidi="ar"/>
              </w:rPr>
              <w:t>监事</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B4C3">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lang w:bidi="ar"/>
              </w:rPr>
              <w:t>授权代表</w:t>
            </w:r>
          </w:p>
        </w:tc>
      </w:tr>
      <w:tr w14:paraId="22F3F5E9">
        <w:tblPrEx>
          <w:tblCellMar>
            <w:top w:w="0" w:type="dxa"/>
            <w:left w:w="108" w:type="dxa"/>
            <w:bottom w:w="0" w:type="dxa"/>
            <w:right w:w="108" w:type="dxa"/>
          </w:tblCellMar>
        </w:tblPrEx>
        <w:trPr>
          <w:trHeight w:val="531"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7463">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5ED8">
            <w:pPr>
              <w:shd w:val="clear"/>
              <w:jc w:val="center"/>
              <w:rPr>
                <w:rFonts w:ascii="宋体" w:hAnsi="宋体" w:cs="宋体"/>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F588">
            <w:pPr>
              <w:shd w:val="clear"/>
              <w:jc w:val="center"/>
              <w:rPr>
                <w:rFonts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9691">
            <w:pPr>
              <w:shd w:val="clear"/>
              <w:jc w:val="center"/>
              <w:rPr>
                <w:rFonts w:ascii="宋体" w:hAnsi="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0EBB">
            <w:pPr>
              <w:shd w:val="clear"/>
              <w:jc w:val="center"/>
              <w:rPr>
                <w:rFonts w:ascii="宋体" w:hAnsi="宋体" w:cs="宋体"/>
                <w:color w:val="auto"/>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E22B">
            <w:pPr>
              <w:shd w:val="clear"/>
              <w:jc w:val="center"/>
              <w:rPr>
                <w:rFonts w:ascii="宋体" w:hAnsi="宋体" w:cs="宋体"/>
                <w:color w:val="auto"/>
                <w:sz w:val="24"/>
                <w:highlight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2F21">
            <w:pPr>
              <w:shd w:val="clear"/>
              <w:jc w:val="center"/>
              <w:rPr>
                <w:rFonts w:ascii="宋体" w:hAnsi="宋体" w:cs="宋体"/>
                <w:color w:val="auto"/>
                <w:sz w:val="24"/>
                <w:highlight w:val="none"/>
              </w:rPr>
            </w:pPr>
          </w:p>
        </w:tc>
      </w:tr>
      <w:tr w14:paraId="4A4B5660">
        <w:tblPrEx>
          <w:tblCellMar>
            <w:top w:w="0" w:type="dxa"/>
            <w:left w:w="108" w:type="dxa"/>
            <w:bottom w:w="0" w:type="dxa"/>
            <w:right w:w="108" w:type="dxa"/>
          </w:tblCellMar>
        </w:tblPrEx>
        <w:trPr>
          <w:trHeight w:val="705"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6424">
            <w:pPr>
              <w:widowControl/>
              <w:shd w:val="clear"/>
              <w:jc w:val="left"/>
              <w:rPr>
                <w:rFonts w:ascii="宋体" w:hAnsi="宋体" w:cs="宋体"/>
                <w:color w:val="auto"/>
                <w:sz w:val="24"/>
                <w:highlight w:val="none"/>
              </w:rPr>
            </w:pPr>
            <w:r>
              <w:rPr>
                <w:rFonts w:hint="eastAsia" w:cs="宋体"/>
                <w:color w:val="auto"/>
                <w:sz w:val="24"/>
                <w:highlight w:val="none"/>
                <w:lang w:eastAsia="zh-CN"/>
              </w:rPr>
              <w:t>供应商</w:t>
            </w:r>
            <w:r>
              <w:rPr>
                <w:rFonts w:hint="eastAsia" w:ascii="宋体" w:hAnsi="宋体" w:cs="宋体"/>
                <w:color w:val="auto"/>
                <w:sz w:val="24"/>
                <w:highlight w:val="none"/>
              </w:rPr>
              <w:t>名称(电子签名):</w:t>
            </w:r>
          </w:p>
        </w:tc>
      </w:tr>
    </w:tbl>
    <w:p w14:paraId="4F8E7D3C">
      <w:pPr>
        <w:rPr>
          <w:rFonts w:hint="eastAsia"/>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7B9B6473">
      <w:pPr>
        <w:rPr>
          <w:rFonts w:hint="eastAsia"/>
          <w:color w:val="auto"/>
          <w:highlight w:val="none"/>
          <w:lang w:val="en-US" w:eastAsia="zh-CN"/>
        </w:rPr>
      </w:pPr>
    </w:p>
    <w:p w14:paraId="29CC0110">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cs="宋体"/>
          <w:b/>
          <w:bCs/>
          <w:color w:val="auto"/>
          <w:sz w:val="32"/>
          <w:szCs w:val="32"/>
          <w:highlight w:val="none"/>
        </w:rPr>
        <w:t>缴纳采购代理服务费承诺书</w:t>
      </w:r>
    </w:p>
    <w:p w14:paraId="02B8680A">
      <w:pPr>
        <w:snapToGrid w:val="0"/>
        <w:spacing w:line="360" w:lineRule="auto"/>
        <w:rPr>
          <w:rFonts w:ascii="宋体" w:hAnsi="宋体" w:cs="宋体"/>
          <w:color w:val="auto"/>
          <w:sz w:val="24"/>
          <w:highlight w:val="none"/>
        </w:rPr>
      </w:pPr>
    </w:p>
    <w:p w14:paraId="3A9016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浙江致信招标代理有限公司：</w:t>
      </w:r>
    </w:p>
    <w:p w14:paraId="0605113E">
      <w:pPr>
        <w:snapToGrid w:val="0"/>
        <w:spacing w:line="360" w:lineRule="auto"/>
        <w:ind w:firstLine="600"/>
        <w:rPr>
          <w:rFonts w:ascii="宋体" w:hAnsi="宋体" w:cs="宋体"/>
          <w:color w:val="auto"/>
          <w:sz w:val="24"/>
          <w:highlight w:val="none"/>
        </w:rPr>
      </w:pPr>
    </w:p>
    <w:p w14:paraId="65BFAB77">
      <w:pPr>
        <w:snapToGrid w:val="0"/>
        <w:spacing w:line="360" w:lineRule="auto"/>
        <w:ind w:firstLine="600"/>
        <w:rPr>
          <w:rFonts w:ascii="宋体" w:hAnsi="宋体" w:cs="宋体"/>
          <w:color w:val="auto"/>
          <w:sz w:val="24"/>
          <w:highlight w:val="none"/>
        </w:rPr>
      </w:pPr>
      <w:r>
        <w:rPr>
          <w:rFonts w:hint="eastAsia" w:ascii="宋体" w:hAnsi="宋体" w:cs="宋体"/>
          <w:color w:val="auto"/>
          <w:sz w:val="24"/>
          <w:highlight w:val="none"/>
        </w:rPr>
        <w:t>我方在你公司组织的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的采购活动中若获中标/成交，我方保证于中标/成交公告发布后</w:t>
      </w:r>
      <w:r>
        <w:rPr>
          <w:rFonts w:hint="eastAsia" w:ascii="宋体" w:hAnsi="宋体" w:cs="宋体"/>
          <w:color w:val="auto"/>
          <w:sz w:val="24"/>
          <w:highlight w:val="none"/>
          <w:u w:val="single"/>
        </w:rPr>
        <w:t>[具体时间]（不得超过15天）</w:t>
      </w:r>
      <w:r>
        <w:rPr>
          <w:rFonts w:hint="eastAsia" w:ascii="宋体" w:hAnsi="宋体" w:cs="宋体"/>
          <w:color w:val="auto"/>
          <w:sz w:val="24"/>
          <w:highlight w:val="none"/>
        </w:rPr>
        <w:t>，内按采购文件</w:t>
      </w:r>
      <w:r>
        <w:rPr>
          <w:rFonts w:hint="eastAsia" w:ascii="宋体" w:hAnsi="宋体" w:cs="宋体"/>
          <w:b/>
          <w:color w:val="auto"/>
          <w:sz w:val="24"/>
          <w:highlight w:val="none"/>
        </w:rPr>
        <w:t xml:space="preserve">“第二部分 </w:t>
      </w:r>
      <w:r>
        <w:rPr>
          <w:rFonts w:hint="eastAsia" w:ascii="宋体" w:hAnsi="宋体" w:cs="宋体"/>
          <w:b/>
          <w:color w:val="auto"/>
          <w:sz w:val="24"/>
          <w:highlight w:val="none"/>
          <w:lang w:val="en-US" w:eastAsia="zh-CN"/>
        </w:rPr>
        <w:t>供应商</w:t>
      </w:r>
      <w:r>
        <w:rPr>
          <w:rFonts w:hint="eastAsia" w:ascii="宋体" w:hAnsi="宋体" w:cs="宋体"/>
          <w:b/>
          <w:color w:val="auto"/>
          <w:sz w:val="24"/>
          <w:highlight w:val="none"/>
        </w:rPr>
        <w:t>须知 前附表”</w:t>
      </w:r>
      <w:r>
        <w:rPr>
          <w:rFonts w:hint="eastAsia" w:ascii="宋体" w:hAnsi="宋体" w:cs="宋体"/>
          <w:color w:val="auto"/>
          <w:sz w:val="24"/>
          <w:highlight w:val="none"/>
        </w:rPr>
        <w:t>规定的采购代理服务费缴纳标准及方式，向你公司支付采购代理服务费。</w:t>
      </w:r>
    </w:p>
    <w:p w14:paraId="086F651C">
      <w:pPr>
        <w:snapToGrid w:val="0"/>
        <w:spacing w:line="360" w:lineRule="auto"/>
        <w:ind w:firstLine="600"/>
        <w:rPr>
          <w:rFonts w:ascii="宋体" w:hAnsi="宋体" w:cs="宋体"/>
          <w:color w:val="auto"/>
          <w:sz w:val="24"/>
          <w:highlight w:val="none"/>
        </w:rPr>
      </w:pPr>
      <w:r>
        <w:rPr>
          <w:rFonts w:hint="eastAsia" w:ascii="宋体" w:hAnsi="宋体" w:cs="宋体"/>
          <w:color w:val="auto"/>
          <w:sz w:val="24"/>
          <w:highlight w:val="none"/>
        </w:rPr>
        <w:t>我方理解并承诺，若未能按时缴纳采购代理服务费，由此产生的法律责任我方自行承担。我方承诺，本承诺书一旦盖章（电子签名），即具有法律效力。</w:t>
      </w:r>
    </w:p>
    <w:p w14:paraId="26A55F20">
      <w:pPr>
        <w:pStyle w:val="319"/>
        <w:adjustRightInd w:val="0"/>
        <w:snapToGrid w:val="0"/>
        <w:spacing w:line="360" w:lineRule="auto"/>
        <w:ind w:firstLine="600"/>
        <w:rPr>
          <w:rFonts w:hAnsi="宋体" w:cs="宋体"/>
          <w:color w:val="auto"/>
          <w:sz w:val="24"/>
          <w:szCs w:val="24"/>
          <w:highlight w:val="none"/>
        </w:rPr>
      </w:pPr>
      <w:r>
        <w:rPr>
          <w:rFonts w:hint="eastAsia" w:hAnsi="宋体" w:cs="宋体"/>
          <w:color w:val="auto"/>
          <w:sz w:val="24"/>
          <w:szCs w:val="24"/>
          <w:highlight w:val="none"/>
        </w:rPr>
        <w:t>特此承诺。</w:t>
      </w:r>
    </w:p>
    <w:p w14:paraId="32DDE58F">
      <w:pPr>
        <w:pStyle w:val="319"/>
        <w:adjustRightInd w:val="0"/>
        <w:snapToGrid w:val="0"/>
        <w:spacing w:line="360" w:lineRule="auto"/>
        <w:ind w:firstLine="600"/>
        <w:rPr>
          <w:rFonts w:hAnsi="宋体" w:cs="宋体"/>
          <w:color w:val="auto"/>
          <w:sz w:val="24"/>
          <w:szCs w:val="24"/>
          <w:highlight w:val="none"/>
        </w:rPr>
      </w:pPr>
    </w:p>
    <w:p w14:paraId="2146C158">
      <w:pPr>
        <w:pStyle w:val="319"/>
        <w:adjustRightInd w:val="0"/>
        <w:snapToGrid w:val="0"/>
        <w:spacing w:line="360" w:lineRule="auto"/>
        <w:ind w:firstLine="600"/>
        <w:jc w:val="left"/>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w:t>
      </w:r>
    </w:p>
    <w:p w14:paraId="2944598D">
      <w:pPr>
        <w:pStyle w:val="319"/>
        <w:adjustRightInd w:val="0"/>
        <w:snapToGrid w:val="0"/>
        <w:spacing w:line="360" w:lineRule="auto"/>
        <w:ind w:firstLine="600"/>
        <w:jc w:val="left"/>
        <w:rPr>
          <w:color w:val="auto"/>
          <w:sz w:val="24"/>
          <w:szCs w:val="24"/>
          <w:highlight w:val="none"/>
        </w:rPr>
      </w:pPr>
      <w:r>
        <w:rPr>
          <w:rFonts w:hint="eastAsia" w:cs="仿宋_GB2312" w:asciiTheme="minorEastAsia" w:hAnsiTheme="minorEastAsia" w:eastAsiaTheme="minorEastAsia"/>
          <w:color w:val="auto"/>
          <w:kern w:val="0"/>
          <w:sz w:val="24"/>
          <w:highlight w:val="none"/>
        </w:rPr>
        <w:t>日期：  年  月   日</w:t>
      </w:r>
    </w:p>
    <w:p w14:paraId="2982BD1D">
      <w:pPr>
        <w:jc w:val="center"/>
        <w:rPr>
          <w:rFonts w:ascii="宋体" w:hAnsi="宋体" w:cs="宋体"/>
          <w:b/>
          <w:color w:val="auto"/>
          <w:kern w:val="0"/>
          <w:sz w:val="32"/>
          <w:szCs w:val="32"/>
          <w:highlight w:val="none"/>
        </w:rPr>
      </w:pPr>
    </w:p>
    <w:p w14:paraId="01815DB7">
      <w:pPr>
        <w:pStyle w:val="7"/>
        <w:outlineLvl w:val="9"/>
        <w:rPr>
          <w:rFonts w:ascii="宋体" w:hAnsi="宋体" w:cs="宋体"/>
          <w:color w:val="auto"/>
          <w:szCs w:val="24"/>
          <w:highlight w:val="none"/>
          <w:lang w:val="en-US"/>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5912112F">
      <w:pPr>
        <w:spacing w:line="360" w:lineRule="auto"/>
        <w:jc w:val="center"/>
        <w:outlineLvl w:val="0"/>
        <w:rPr>
          <w:rFonts w:ascii="宋体" w:hAnsi="宋体" w:cs="宋体"/>
          <w:b/>
          <w:color w:val="auto"/>
          <w:kern w:val="0"/>
          <w:sz w:val="36"/>
          <w:szCs w:val="36"/>
          <w:highlight w:val="none"/>
        </w:rPr>
      </w:pPr>
      <w:bookmarkStart w:id="414" w:name="_Toc10265"/>
      <w:r>
        <w:rPr>
          <w:rFonts w:hint="eastAsia" w:ascii="宋体" w:hAnsi="宋体" w:cs="宋体"/>
          <w:b/>
          <w:color w:val="auto"/>
          <w:kern w:val="0"/>
          <w:sz w:val="36"/>
          <w:szCs w:val="36"/>
          <w:highlight w:val="none"/>
        </w:rPr>
        <w:t>报价文件部分</w:t>
      </w:r>
      <w:bookmarkEnd w:id="414"/>
    </w:p>
    <w:p w14:paraId="24EF785C">
      <w:pPr>
        <w:spacing w:line="360" w:lineRule="auto"/>
        <w:jc w:val="center"/>
        <w:outlineLvl w:val="0"/>
        <w:rPr>
          <w:rFonts w:ascii="宋体" w:hAnsi="宋体" w:cs="宋体"/>
          <w:b/>
          <w:color w:val="auto"/>
          <w:kern w:val="0"/>
          <w:sz w:val="36"/>
          <w:szCs w:val="36"/>
          <w:highlight w:val="none"/>
        </w:rPr>
      </w:pPr>
      <w:bookmarkStart w:id="415" w:name="_Toc19933"/>
      <w:r>
        <w:rPr>
          <w:rFonts w:hint="eastAsia" w:ascii="宋体" w:hAnsi="宋体" w:cs="宋体"/>
          <w:b/>
          <w:color w:val="auto"/>
          <w:kern w:val="0"/>
          <w:sz w:val="36"/>
          <w:szCs w:val="36"/>
          <w:highlight w:val="none"/>
        </w:rPr>
        <w:t>目录</w:t>
      </w:r>
      <w:bookmarkEnd w:id="415"/>
    </w:p>
    <w:p w14:paraId="6D66733B">
      <w:pPr>
        <w:rPr>
          <w:rFonts w:ascii="宋体" w:hAnsi="宋体" w:cs="宋体"/>
          <w:color w:val="auto"/>
          <w:highlight w:val="none"/>
        </w:rPr>
      </w:pPr>
    </w:p>
    <w:p w14:paraId="73729B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267DA9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（2）报价明细表……………………………………………………………………（页码）</w:t>
      </w:r>
    </w:p>
    <w:p w14:paraId="6E6181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7835B71D">
      <w:pPr>
        <w:snapToGrid w:val="0"/>
        <w:spacing w:line="360" w:lineRule="auto"/>
        <w:ind w:right="480"/>
        <w:jc w:val="center"/>
        <w:rPr>
          <w:rFonts w:ascii="宋体" w:hAnsi="宋体" w:cs="宋体"/>
          <w:b/>
          <w:color w:val="auto"/>
          <w:kern w:val="0"/>
          <w:sz w:val="32"/>
          <w:szCs w:val="32"/>
          <w:highlight w:val="none"/>
        </w:rPr>
      </w:pPr>
    </w:p>
    <w:p w14:paraId="4632DB34">
      <w:pPr>
        <w:snapToGrid w:val="0"/>
        <w:spacing w:line="360" w:lineRule="auto"/>
        <w:ind w:right="480"/>
        <w:jc w:val="center"/>
        <w:rPr>
          <w:rFonts w:ascii="宋体" w:hAnsi="宋体" w:cs="宋体"/>
          <w:b/>
          <w:color w:val="auto"/>
          <w:kern w:val="0"/>
          <w:sz w:val="32"/>
          <w:szCs w:val="32"/>
          <w:highlight w:val="none"/>
        </w:rPr>
      </w:pPr>
    </w:p>
    <w:p w14:paraId="28A899BF">
      <w:pPr>
        <w:snapToGrid w:val="0"/>
        <w:spacing w:line="360" w:lineRule="auto"/>
        <w:ind w:right="480"/>
        <w:jc w:val="center"/>
        <w:rPr>
          <w:rFonts w:ascii="宋体" w:hAnsi="宋体" w:cs="宋体"/>
          <w:b/>
          <w:color w:val="auto"/>
          <w:kern w:val="0"/>
          <w:sz w:val="32"/>
          <w:szCs w:val="32"/>
          <w:highlight w:val="none"/>
        </w:rPr>
      </w:pPr>
    </w:p>
    <w:p w14:paraId="3EA56BD0">
      <w:pPr>
        <w:snapToGrid w:val="0"/>
        <w:spacing w:line="360" w:lineRule="auto"/>
        <w:ind w:right="480"/>
        <w:jc w:val="center"/>
        <w:rPr>
          <w:rFonts w:ascii="宋体" w:hAnsi="宋体" w:cs="宋体"/>
          <w:b/>
          <w:color w:val="auto"/>
          <w:kern w:val="0"/>
          <w:sz w:val="32"/>
          <w:szCs w:val="32"/>
          <w:highlight w:val="none"/>
        </w:rPr>
      </w:pPr>
    </w:p>
    <w:p w14:paraId="2E0D3767">
      <w:pPr>
        <w:snapToGrid w:val="0"/>
        <w:spacing w:line="360" w:lineRule="auto"/>
        <w:ind w:right="480"/>
        <w:jc w:val="center"/>
        <w:rPr>
          <w:rFonts w:ascii="宋体" w:hAnsi="宋体" w:cs="宋体"/>
          <w:b/>
          <w:color w:val="auto"/>
          <w:kern w:val="0"/>
          <w:sz w:val="32"/>
          <w:szCs w:val="32"/>
          <w:highlight w:val="none"/>
        </w:rPr>
      </w:pPr>
    </w:p>
    <w:p w14:paraId="4BE21775">
      <w:pPr>
        <w:snapToGrid w:val="0"/>
        <w:spacing w:line="360" w:lineRule="auto"/>
        <w:ind w:right="480"/>
        <w:jc w:val="center"/>
        <w:rPr>
          <w:rFonts w:ascii="宋体" w:hAnsi="宋体" w:cs="宋体"/>
          <w:b/>
          <w:color w:val="auto"/>
          <w:kern w:val="0"/>
          <w:sz w:val="32"/>
          <w:szCs w:val="32"/>
          <w:highlight w:val="none"/>
        </w:rPr>
      </w:pPr>
    </w:p>
    <w:p w14:paraId="4F4C77BD">
      <w:pPr>
        <w:snapToGrid w:val="0"/>
        <w:spacing w:line="360" w:lineRule="auto"/>
        <w:ind w:right="480"/>
        <w:jc w:val="center"/>
        <w:rPr>
          <w:rFonts w:ascii="宋体" w:hAnsi="宋体" w:cs="宋体"/>
          <w:b/>
          <w:color w:val="auto"/>
          <w:kern w:val="0"/>
          <w:sz w:val="32"/>
          <w:szCs w:val="32"/>
          <w:highlight w:val="none"/>
        </w:rPr>
      </w:pPr>
    </w:p>
    <w:p w14:paraId="1BE95D5A">
      <w:pPr>
        <w:snapToGrid w:val="0"/>
        <w:spacing w:line="360" w:lineRule="auto"/>
        <w:ind w:right="480"/>
        <w:jc w:val="center"/>
        <w:rPr>
          <w:rFonts w:ascii="宋体" w:hAnsi="宋体" w:cs="宋体"/>
          <w:b/>
          <w:color w:val="auto"/>
          <w:kern w:val="0"/>
          <w:sz w:val="32"/>
          <w:szCs w:val="32"/>
          <w:highlight w:val="none"/>
        </w:rPr>
      </w:pPr>
    </w:p>
    <w:p w14:paraId="35FD6780">
      <w:pPr>
        <w:snapToGrid w:val="0"/>
        <w:spacing w:line="360" w:lineRule="auto"/>
        <w:ind w:right="480"/>
        <w:jc w:val="center"/>
        <w:rPr>
          <w:rFonts w:ascii="宋体" w:hAnsi="宋体" w:cs="宋体"/>
          <w:b/>
          <w:color w:val="auto"/>
          <w:kern w:val="0"/>
          <w:sz w:val="32"/>
          <w:szCs w:val="32"/>
          <w:highlight w:val="none"/>
        </w:rPr>
      </w:pPr>
    </w:p>
    <w:p w14:paraId="1322ACCC">
      <w:pPr>
        <w:snapToGrid w:val="0"/>
        <w:spacing w:line="360" w:lineRule="auto"/>
        <w:ind w:right="480"/>
        <w:jc w:val="center"/>
        <w:rPr>
          <w:rFonts w:ascii="宋体" w:hAnsi="宋体" w:cs="宋体"/>
          <w:b/>
          <w:color w:val="auto"/>
          <w:kern w:val="0"/>
          <w:sz w:val="32"/>
          <w:szCs w:val="32"/>
          <w:highlight w:val="none"/>
        </w:rPr>
      </w:pPr>
    </w:p>
    <w:p w14:paraId="41C5194A">
      <w:pPr>
        <w:snapToGrid w:val="0"/>
        <w:spacing w:line="360" w:lineRule="auto"/>
        <w:ind w:right="480"/>
        <w:jc w:val="center"/>
        <w:rPr>
          <w:rFonts w:ascii="宋体" w:hAnsi="宋体" w:cs="宋体"/>
          <w:b/>
          <w:color w:val="auto"/>
          <w:kern w:val="0"/>
          <w:sz w:val="32"/>
          <w:szCs w:val="32"/>
          <w:highlight w:val="none"/>
        </w:rPr>
      </w:pPr>
    </w:p>
    <w:p w14:paraId="33FF122B">
      <w:pPr>
        <w:snapToGrid w:val="0"/>
        <w:spacing w:line="360" w:lineRule="auto"/>
        <w:ind w:right="480"/>
        <w:jc w:val="center"/>
        <w:rPr>
          <w:rFonts w:ascii="宋体" w:hAnsi="宋体" w:cs="宋体"/>
          <w:b/>
          <w:color w:val="auto"/>
          <w:kern w:val="0"/>
          <w:sz w:val="32"/>
          <w:szCs w:val="32"/>
          <w:highlight w:val="none"/>
        </w:rPr>
      </w:pPr>
    </w:p>
    <w:p w14:paraId="56F09B96">
      <w:pPr>
        <w:snapToGrid w:val="0"/>
        <w:spacing w:line="360" w:lineRule="auto"/>
        <w:ind w:right="480"/>
        <w:jc w:val="center"/>
        <w:rPr>
          <w:rFonts w:ascii="宋体" w:hAnsi="宋体" w:cs="宋体"/>
          <w:b/>
          <w:color w:val="auto"/>
          <w:kern w:val="0"/>
          <w:sz w:val="32"/>
          <w:szCs w:val="32"/>
          <w:highlight w:val="none"/>
        </w:rPr>
      </w:pPr>
    </w:p>
    <w:p w14:paraId="75CA3214">
      <w:pPr>
        <w:snapToGrid w:val="0"/>
        <w:spacing w:line="360" w:lineRule="auto"/>
        <w:ind w:right="480"/>
        <w:jc w:val="center"/>
        <w:rPr>
          <w:rFonts w:ascii="宋体" w:hAnsi="宋体" w:cs="宋体"/>
          <w:b/>
          <w:color w:val="auto"/>
          <w:kern w:val="0"/>
          <w:sz w:val="32"/>
          <w:szCs w:val="32"/>
          <w:highlight w:val="none"/>
        </w:rPr>
      </w:pPr>
    </w:p>
    <w:p w14:paraId="25E81FAC">
      <w:pPr>
        <w:snapToGrid w:val="0"/>
        <w:spacing w:line="360" w:lineRule="auto"/>
        <w:ind w:right="480"/>
        <w:jc w:val="center"/>
        <w:rPr>
          <w:rFonts w:ascii="宋体" w:hAnsi="宋体" w:cs="宋体"/>
          <w:b/>
          <w:color w:val="auto"/>
          <w:kern w:val="0"/>
          <w:sz w:val="32"/>
          <w:szCs w:val="32"/>
          <w:highlight w:val="none"/>
        </w:rPr>
      </w:pPr>
    </w:p>
    <w:p w14:paraId="7252DFE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2D57BDC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416" w:name="_Toc3337"/>
      <w:r>
        <w:rPr>
          <w:rFonts w:hint="eastAsia" w:ascii="宋体" w:hAnsi="宋体" w:eastAsia="宋体" w:cs="宋体"/>
          <w:color w:val="auto"/>
          <w:kern w:val="2"/>
          <w:sz w:val="32"/>
          <w:szCs w:val="32"/>
          <w:highlight w:val="none"/>
        </w:rPr>
        <w:t>一、报价单</w:t>
      </w:r>
      <w:bookmarkEnd w:id="416"/>
    </w:p>
    <w:p w14:paraId="6EE556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浙江同济科技职业学院</w:t>
      </w:r>
      <w:r>
        <w:rPr>
          <w:rFonts w:hint="eastAsia" w:ascii="宋体" w:hAnsi="宋体" w:cs="宋体"/>
          <w:color w:val="auto"/>
          <w:sz w:val="24"/>
          <w:highlight w:val="none"/>
        </w:rPr>
        <w:t>、浙江致信招标代理有限公司</w:t>
      </w:r>
      <w:r>
        <w:rPr>
          <w:rFonts w:hint="eastAsia" w:ascii="宋体" w:hAnsi="宋体" w:cs="宋体"/>
          <w:color w:val="auto"/>
          <w:kern w:val="0"/>
          <w:sz w:val="24"/>
          <w:highlight w:val="none"/>
          <w:lang w:val="zh-CN"/>
        </w:rPr>
        <w:t>：</w:t>
      </w:r>
    </w:p>
    <w:p w14:paraId="5F0FA31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我方承诺按照如下报价单的价格完成</w:t>
      </w:r>
      <w:r>
        <w:rPr>
          <w:rFonts w:hint="eastAsia" w:ascii="宋体" w:hAnsi="宋体" w:cs="宋体"/>
          <w:color w:val="auto"/>
          <w:sz w:val="24"/>
          <w:highlight w:val="none"/>
          <w:lang w:eastAsia="zh-CN"/>
        </w:rPr>
        <w:t>浙江同济科技职业学院采购管理系统</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ZXZB-TJ-2025008C，</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 一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13DF6B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w:t>
      </w:r>
    </w:p>
    <w:tbl>
      <w:tblPr>
        <w:tblStyle w:val="64"/>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478C1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9242" w:type="dxa"/>
            <w:tcBorders>
              <w:top w:val="single" w:color="auto" w:sz="4" w:space="0"/>
              <w:left w:val="single" w:color="auto" w:sz="4" w:space="0"/>
              <w:bottom w:val="single" w:color="auto" w:sz="4" w:space="0"/>
              <w:right w:val="single" w:color="auto" w:sz="4" w:space="0"/>
            </w:tcBorders>
            <w:vAlign w:val="center"/>
          </w:tcPr>
          <w:p w14:paraId="2A7EFAAB">
            <w:pPr>
              <w:shd w:val="clear" w:color="auto" w:fill="FFFFFF" w:themeFill="background1"/>
              <w:jc w:val="center"/>
              <w:rPr>
                <w:color w:val="auto"/>
                <w:spacing w:val="-6"/>
                <w:sz w:val="24"/>
                <w:szCs w:val="24"/>
                <w:highlight w:val="none"/>
                <w:u w:val="single"/>
                <w:shd w:val="clear" w:color="auto" w:fill="FFFFFF" w:themeFill="background1"/>
              </w:rPr>
            </w:pPr>
            <w:r>
              <w:rPr>
                <w:rFonts w:hint="eastAsia"/>
                <w:b/>
                <w:color w:val="auto"/>
                <w:spacing w:val="-6"/>
                <w:sz w:val="24"/>
                <w:szCs w:val="24"/>
                <w:highlight w:val="none"/>
                <w:shd w:val="clear" w:color="auto" w:fill="FFFFFF" w:themeFill="background1"/>
                <w:lang w:val="en-US" w:eastAsia="zh-CN"/>
              </w:rPr>
              <w:t>响应</w:t>
            </w:r>
            <w:r>
              <w:rPr>
                <w:rFonts w:hint="eastAsia"/>
                <w:b/>
                <w:color w:val="auto"/>
                <w:spacing w:val="-6"/>
                <w:sz w:val="24"/>
                <w:szCs w:val="24"/>
                <w:highlight w:val="none"/>
                <w:shd w:val="clear" w:color="auto" w:fill="FFFFFF" w:themeFill="background1"/>
              </w:rPr>
              <w:t>报价</w:t>
            </w:r>
          </w:p>
        </w:tc>
      </w:tr>
      <w:tr w14:paraId="17715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9242" w:type="dxa"/>
            <w:tcBorders>
              <w:top w:val="single" w:color="auto" w:sz="4" w:space="0"/>
              <w:left w:val="single" w:color="auto" w:sz="4" w:space="0"/>
              <w:bottom w:val="single" w:color="auto" w:sz="4" w:space="0"/>
              <w:right w:val="single" w:color="auto" w:sz="4" w:space="0"/>
            </w:tcBorders>
            <w:vAlign w:val="center"/>
          </w:tcPr>
          <w:p w14:paraId="2BE8AB02">
            <w:pPr>
              <w:pStyle w:val="4"/>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color w:val="auto"/>
                <w:spacing w:val="-6"/>
                <w:sz w:val="24"/>
                <w:szCs w:val="24"/>
                <w:highlight w:val="none"/>
                <w:shd w:val="clear" w:color="auto" w:fill="FFFFFF" w:themeFill="background1"/>
              </w:rPr>
            </w:pPr>
            <w:r>
              <w:rPr>
                <w:rFonts w:hint="eastAsia" w:ascii="宋体" w:hAnsi="宋体" w:eastAsia="宋体" w:cs="宋体"/>
                <w:b w:val="0"/>
                <w:bCs/>
                <w:color w:val="auto"/>
                <w:spacing w:val="-6"/>
                <w:sz w:val="24"/>
                <w:szCs w:val="24"/>
                <w:highlight w:val="none"/>
                <w:shd w:val="clear" w:color="auto" w:fill="FFFFFF" w:themeFill="background1"/>
              </w:rPr>
              <w:t xml:space="preserve">金额（大写）：          </w:t>
            </w:r>
          </w:p>
          <w:p w14:paraId="728128A8">
            <w:pPr>
              <w:pStyle w:val="4"/>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line="360" w:lineRule="auto"/>
              <w:jc w:val="both"/>
              <w:textAlignment w:val="auto"/>
              <w:rPr>
                <w:rFonts w:cs="宋体"/>
                <w:b/>
                <w:color w:val="auto"/>
                <w:spacing w:val="-6"/>
                <w:sz w:val="24"/>
                <w:szCs w:val="24"/>
                <w:highlight w:val="none"/>
                <w:shd w:val="clear" w:color="auto" w:fill="FFFFFF" w:themeFill="background1"/>
              </w:rPr>
            </w:pPr>
            <w:r>
              <w:rPr>
                <w:rFonts w:hint="eastAsia" w:ascii="宋体" w:hAnsi="宋体" w:eastAsia="宋体" w:cs="宋体"/>
                <w:b w:val="0"/>
                <w:bCs/>
                <w:color w:val="auto"/>
                <w:spacing w:val="-6"/>
                <w:sz w:val="24"/>
                <w:szCs w:val="24"/>
                <w:highlight w:val="none"/>
                <w:shd w:val="clear" w:color="auto" w:fill="FFFFFF" w:themeFill="background1"/>
              </w:rPr>
              <w:t>金额（小写）：</w:t>
            </w:r>
            <w:r>
              <w:rPr>
                <w:rFonts w:hint="eastAsia" w:cs="宋体"/>
                <w:b w:val="0"/>
                <w:bCs/>
                <w:color w:val="auto"/>
                <w:spacing w:val="-6"/>
                <w:sz w:val="24"/>
                <w:szCs w:val="24"/>
                <w:highlight w:val="none"/>
                <w:shd w:val="clear" w:color="auto" w:fill="FFFFFF" w:themeFill="background1"/>
              </w:rPr>
              <w:t xml:space="preserve"> </w:t>
            </w:r>
            <w:r>
              <w:rPr>
                <w:rFonts w:hint="eastAsia" w:cs="宋体"/>
                <w:b/>
                <w:color w:val="auto"/>
                <w:spacing w:val="-6"/>
                <w:sz w:val="24"/>
                <w:szCs w:val="24"/>
                <w:highlight w:val="none"/>
                <w:shd w:val="clear" w:color="auto" w:fill="FFFFFF" w:themeFill="background1"/>
              </w:rPr>
              <w:t xml:space="preserve"> </w:t>
            </w:r>
          </w:p>
        </w:tc>
      </w:tr>
      <w:tr w14:paraId="3B5DD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9242" w:type="dxa"/>
            <w:tcBorders>
              <w:top w:val="single" w:color="auto" w:sz="4" w:space="0"/>
              <w:left w:val="single" w:color="auto" w:sz="4" w:space="0"/>
              <w:bottom w:val="single" w:color="auto" w:sz="4" w:space="0"/>
              <w:right w:val="single" w:color="auto" w:sz="4" w:space="0"/>
            </w:tcBorders>
            <w:vAlign w:val="center"/>
          </w:tcPr>
          <w:p w14:paraId="106FAC65">
            <w:pPr>
              <w:shd w:val="clear" w:color="auto" w:fill="FFFFFF" w:themeFill="background1"/>
              <w:rPr>
                <w:color w:val="auto"/>
                <w:spacing w:val="-6"/>
                <w:sz w:val="24"/>
                <w:szCs w:val="24"/>
                <w:highlight w:val="none"/>
                <w:shd w:val="clear" w:color="auto" w:fill="FFFFFF" w:themeFill="background1"/>
              </w:rPr>
            </w:pPr>
            <w:r>
              <w:rPr>
                <w:rFonts w:hint="eastAsia"/>
                <w:color w:val="auto"/>
                <w:spacing w:val="-6"/>
                <w:sz w:val="24"/>
                <w:szCs w:val="24"/>
                <w:highlight w:val="none"/>
                <w:shd w:val="clear" w:color="auto" w:fill="FFFFFF" w:themeFill="background1"/>
              </w:rPr>
              <w:t>备注：</w:t>
            </w:r>
          </w:p>
        </w:tc>
      </w:tr>
    </w:tbl>
    <w:p w14:paraId="586E9E8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F690A0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F2AAD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7393340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78B237C">
      <w:pPr>
        <w:spacing w:line="360" w:lineRule="auto"/>
        <w:ind w:firstLine="482" w:firstLineChars="200"/>
        <w:rPr>
          <w:rFonts w:ascii="宋体" w:hAnsi="宋体" w:cs="宋体"/>
          <w:b/>
          <w:color w:val="auto"/>
          <w:kern w:val="0"/>
          <w:sz w:val="24"/>
          <w:highlight w:val="none"/>
        </w:rPr>
      </w:pPr>
    </w:p>
    <w:p w14:paraId="32C0D57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464082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080" w:right="1440" w:bottom="1080" w:left="1440" w:header="851" w:footer="992" w:gutter="0"/>
          <w:pgBorders>
            <w:top w:val="none" w:sz="0" w:space="0"/>
            <w:left w:val="none" w:sz="0" w:space="0"/>
            <w:bottom w:val="none" w:sz="0" w:space="0"/>
            <w:right w:val="none" w:sz="0" w:space="0"/>
          </w:pgBorders>
          <w:cols w:space="720" w:num="1"/>
          <w:titlePg/>
          <w:docGrid w:linePitch="312" w:charSpace="0"/>
        </w:sectPr>
      </w:pPr>
    </w:p>
    <w:p w14:paraId="1160E6CA">
      <w:pPr>
        <w:pStyle w:val="692"/>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bookmarkStart w:id="417" w:name="_Toc16398"/>
      <w:r>
        <w:rPr>
          <w:rFonts w:hint="eastAsia" w:ascii="宋体" w:hAnsi="宋体" w:eastAsia="宋体" w:cs="宋体"/>
          <w:color w:val="auto"/>
          <w:kern w:val="2"/>
          <w:sz w:val="32"/>
          <w:szCs w:val="32"/>
          <w:highlight w:val="none"/>
        </w:rPr>
        <w:t>二、报价明细表</w:t>
      </w:r>
      <w:bookmarkEnd w:id="417"/>
    </w:p>
    <w:p w14:paraId="057BF283">
      <w:pPr>
        <w:ind w:right="420"/>
        <w:rPr>
          <w:rFonts w:ascii="宋体" w:hAnsi="宋体" w:cs="宋体"/>
          <w:color w:val="auto"/>
          <w:sz w:val="24"/>
          <w:highlight w:val="none"/>
        </w:rPr>
      </w:pPr>
      <w:r>
        <w:rPr>
          <w:rFonts w:hint="eastAsia" w:ascii="宋体" w:hAnsi="宋体" w:cs="宋体"/>
          <w:color w:val="auto"/>
          <w:sz w:val="24"/>
          <w:highlight w:val="none"/>
        </w:rPr>
        <w:t>注：如需要，自行编制。</w:t>
      </w:r>
    </w:p>
    <w:p w14:paraId="621C2AC7">
      <w:pPr>
        <w:pStyle w:val="63"/>
        <w:ind w:firstLine="480"/>
        <w:rPr>
          <w:rFonts w:cs="宋体"/>
          <w:color w:val="auto"/>
          <w:sz w:val="24"/>
          <w:highlight w:val="none"/>
        </w:rPr>
      </w:pPr>
    </w:p>
    <w:p w14:paraId="4436C4D1">
      <w:pPr>
        <w:pStyle w:val="63"/>
        <w:ind w:firstLine="480"/>
        <w:rPr>
          <w:rFonts w:cs="宋体"/>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085CFB1E">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418" w:name="_Toc3989"/>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419" w:name="_Hlk101259491"/>
      <w:r>
        <w:rPr>
          <w:rFonts w:hint="eastAsia" w:ascii="宋体" w:hAnsi="宋体" w:eastAsia="宋体" w:cs="宋体"/>
          <w:color w:val="auto"/>
          <w:sz w:val="32"/>
          <w:szCs w:val="32"/>
          <w:highlight w:val="none"/>
        </w:rPr>
        <w:t>（如果有）</w:t>
      </w:r>
      <w:bookmarkEnd w:id="418"/>
      <w:bookmarkEnd w:id="419"/>
    </w:p>
    <w:p w14:paraId="26D2137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宋体" w:hAnsi="宋体" w:cs="宋体"/>
          <w:b/>
          <w:color w:val="auto"/>
          <w:sz w:val="24"/>
          <w:highlight w:val="none"/>
          <w:lang w:eastAsia="zh-CN"/>
        </w:rPr>
        <w:t>附件5</w:t>
      </w:r>
      <w:r>
        <w:rPr>
          <w:rFonts w:hint="eastAsia" w:ascii="宋体" w:hAnsi="宋体" w:cs="宋体"/>
          <w:b/>
          <w:color w:val="auto"/>
          <w:sz w:val="24"/>
          <w:highlight w:val="none"/>
        </w:rPr>
        <w:t>）。]</w:t>
      </w:r>
    </w:p>
    <w:p w14:paraId="6D2531F6">
      <w:pPr>
        <w:pStyle w:val="6"/>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20" w:name="_Toc30893"/>
      <w:bookmarkStart w:id="421" w:name="_Toc465665161"/>
      <w:r>
        <w:rPr>
          <w:rFonts w:hint="eastAsia" w:ascii="宋体" w:hAnsi="宋体" w:cs="宋体"/>
          <w:color w:val="auto"/>
          <w:highlight w:val="none"/>
        </w:rPr>
        <w:t>附件</w:t>
      </w:r>
      <w:bookmarkEnd w:id="420"/>
      <w:bookmarkEnd w:id="421"/>
    </w:p>
    <w:p w14:paraId="1242D19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D2BC962">
      <w:pPr>
        <w:spacing w:line="360" w:lineRule="auto"/>
        <w:jc w:val="center"/>
        <w:rPr>
          <w:rFonts w:ascii="宋体" w:hAnsi="宋体" w:cs="宋体"/>
          <w:b/>
          <w:color w:val="auto"/>
          <w:spacing w:val="6"/>
          <w:sz w:val="32"/>
          <w:szCs w:val="32"/>
          <w:highlight w:val="none"/>
        </w:rPr>
      </w:pPr>
      <w:bookmarkStart w:id="422" w:name="OLE_LINK14"/>
      <w:bookmarkStart w:id="423" w:name="OLE_LINK13"/>
      <w:r>
        <w:rPr>
          <w:rFonts w:hint="eastAsia" w:ascii="宋体" w:hAnsi="宋体" w:cs="宋体"/>
          <w:b/>
          <w:color w:val="auto"/>
          <w:spacing w:val="6"/>
          <w:sz w:val="32"/>
          <w:szCs w:val="32"/>
          <w:highlight w:val="none"/>
        </w:rPr>
        <w:t>残疾人福利性单位声明函</w:t>
      </w:r>
    </w:p>
    <w:bookmarkEnd w:id="422"/>
    <w:bookmarkEnd w:id="423"/>
    <w:p w14:paraId="229F9D0A">
      <w:pPr>
        <w:spacing w:line="360" w:lineRule="auto"/>
        <w:rPr>
          <w:rFonts w:ascii="宋体" w:hAnsi="宋体" w:cs="宋体"/>
          <w:b/>
          <w:color w:val="auto"/>
          <w:spacing w:val="6"/>
          <w:sz w:val="30"/>
          <w:szCs w:val="30"/>
          <w:highlight w:val="none"/>
        </w:rPr>
      </w:pPr>
    </w:p>
    <w:p w14:paraId="21DA1C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7BF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CB06E6A">
      <w:pPr>
        <w:spacing w:line="360" w:lineRule="auto"/>
        <w:ind w:firstLine="480" w:firstLineChars="200"/>
        <w:rPr>
          <w:rFonts w:ascii="宋体" w:hAnsi="宋体" w:cs="宋体"/>
          <w:color w:val="auto"/>
          <w:sz w:val="24"/>
          <w:highlight w:val="none"/>
        </w:rPr>
      </w:pPr>
    </w:p>
    <w:p w14:paraId="04342C59">
      <w:pPr>
        <w:spacing w:line="360" w:lineRule="auto"/>
        <w:ind w:firstLine="480" w:firstLineChars="200"/>
        <w:rPr>
          <w:rFonts w:ascii="宋体" w:hAnsi="宋体" w:cs="宋体"/>
          <w:color w:val="auto"/>
          <w:sz w:val="24"/>
          <w:highlight w:val="none"/>
        </w:rPr>
      </w:pPr>
    </w:p>
    <w:p w14:paraId="4E0C4CC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08DF339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7B7D59F">
      <w:pPr>
        <w:spacing w:line="360" w:lineRule="auto"/>
        <w:ind w:firstLine="480" w:firstLineChars="200"/>
        <w:rPr>
          <w:rFonts w:ascii="宋体" w:hAnsi="宋体" w:cs="宋体"/>
          <w:color w:val="auto"/>
          <w:sz w:val="24"/>
          <w:highlight w:val="none"/>
        </w:rPr>
      </w:pPr>
    </w:p>
    <w:p w14:paraId="1DAF261A">
      <w:pPr>
        <w:spacing w:line="360" w:lineRule="auto"/>
        <w:ind w:firstLine="420" w:firstLineChars="200"/>
        <w:rPr>
          <w:rFonts w:ascii="宋体" w:hAnsi="宋体" w:cs="宋体"/>
          <w:color w:val="auto"/>
          <w:highlight w:val="none"/>
        </w:rPr>
      </w:pPr>
    </w:p>
    <w:p w14:paraId="236965ED">
      <w:pPr>
        <w:spacing w:line="360" w:lineRule="auto"/>
        <w:ind w:firstLine="420" w:firstLineChars="200"/>
        <w:rPr>
          <w:rFonts w:ascii="宋体" w:hAnsi="宋体" w:cs="宋体"/>
          <w:color w:val="auto"/>
          <w:highlight w:val="none"/>
        </w:rPr>
      </w:pPr>
    </w:p>
    <w:p w14:paraId="23587A8D">
      <w:pPr>
        <w:spacing w:line="360" w:lineRule="auto"/>
        <w:ind w:firstLine="420" w:firstLineChars="200"/>
        <w:rPr>
          <w:rFonts w:ascii="宋体" w:hAnsi="宋体" w:cs="宋体"/>
          <w:color w:val="auto"/>
          <w:highlight w:val="none"/>
        </w:rPr>
      </w:pPr>
    </w:p>
    <w:p w14:paraId="42758499">
      <w:pPr>
        <w:spacing w:line="360" w:lineRule="auto"/>
        <w:ind w:firstLine="420" w:firstLineChars="200"/>
        <w:rPr>
          <w:rFonts w:ascii="宋体" w:hAnsi="宋体" w:cs="宋体"/>
          <w:color w:val="auto"/>
          <w:highlight w:val="none"/>
        </w:rPr>
      </w:pPr>
    </w:p>
    <w:p w14:paraId="67871F42">
      <w:pPr>
        <w:spacing w:line="360" w:lineRule="auto"/>
        <w:rPr>
          <w:rFonts w:ascii="宋体" w:hAnsi="宋体" w:cs="宋体"/>
          <w:b/>
          <w:color w:val="auto"/>
          <w:sz w:val="24"/>
          <w:highlight w:val="none"/>
        </w:rPr>
      </w:pPr>
    </w:p>
    <w:p w14:paraId="7FCA17B0">
      <w:pPr>
        <w:spacing w:line="360" w:lineRule="auto"/>
        <w:rPr>
          <w:rFonts w:ascii="宋体" w:hAnsi="宋体" w:cs="宋体"/>
          <w:b/>
          <w:color w:val="auto"/>
          <w:sz w:val="24"/>
          <w:highlight w:val="none"/>
        </w:rPr>
      </w:pPr>
    </w:p>
    <w:p w14:paraId="1A1ED2B7">
      <w:pPr>
        <w:spacing w:line="360" w:lineRule="auto"/>
        <w:rPr>
          <w:rFonts w:ascii="宋体" w:hAnsi="宋体" w:cs="宋体"/>
          <w:b/>
          <w:color w:val="auto"/>
          <w:sz w:val="24"/>
          <w:highlight w:val="none"/>
        </w:rPr>
      </w:pPr>
    </w:p>
    <w:p w14:paraId="60EF3B03">
      <w:pPr>
        <w:spacing w:line="360" w:lineRule="auto"/>
        <w:rPr>
          <w:rFonts w:ascii="宋体" w:hAnsi="宋体" w:cs="宋体"/>
          <w:b/>
          <w:color w:val="auto"/>
          <w:sz w:val="24"/>
          <w:highlight w:val="none"/>
        </w:rPr>
      </w:pPr>
    </w:p>
    <w:p w14:paraId="5CF18496">
      <w:pPr>
        <w:spacing w:line="360" w:lineRule="auto"/>
        <w:rPr>
          <w:rFonts w:ascii="宋体" w:hAnsi="宋体" w:cs="宋体"/>
          <w:b/>
          <w:color w:val="auto"/>
          <w:sz w:val="24"/>
          <w:highlight w:val="none"/>
        </w:rPr>
      </w:pPr>
    </w:p>
    <w:p w14:paraId="441B3E0F">
      <w:pPr>
        <w:spacing w:line="360" w:lineRule="auto"/>
        <w:rPr>
          <w:rFonts w:ascii="宋体" w:hAnsi="宋体" w:cs="宋体"/>
          <w:b/>
          <w:color w:val="auto"/>
          <w:sz w:val="24"/>
          <w:highlight w:val="none"/>
        </w:rPr>
      </w:pPr>
    </w:p>
    <w:p w14:paraId="202B72DB">
      <w:pPr>
        <w:spacing w:line="360" w:lineRule="auto"/>
        <w:rPr>
          <w:rFonts w:ascii="宋体" w:hAnsi="宋体" w:cs="宋体"/>
          <w:b/>
          <w:color w:val="auto"/>
          <w:sz w:val="24"/>
          <w:highlight w:val="none"/>
        </w:rPr>
      </w:pPr>
    </w:p>
    <w:p w14:paraId="5AD0D140">
      <w:pPr>
        <w:spacing w:line="360" w:lineRule="auto"/>
        <w:rPr>
          <w:rFonts w:ascii="宋体" w:hAnsi="宋体" w:cs="宋体"/>
          <w:b/>
          <w:color w:val="auto"/>
          <w:sz w:val="24"/>
          <w:highlight w:val="none"/>
        </w:rPr>
      </w:pPr>
    </w:p>
    <w:p w14:paraId="5EB1008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B13743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FE06A9C">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6823E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05F228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732E15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5FE444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32E3D8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41579D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74507A1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D3811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661203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279027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5589D8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03D7B3D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405A5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4BAD5B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3819608E">
      <w:pPr>
        <w:snapToGrid w:val="0"/>
        <w:spacing w:line="360" w:lineRule="auto"/>
        <w:rPr>
          <w:rFonts w:ascii="宋体" w:hAnsi="宋体" w:cs="宋体"/>
          <w:color w:val="auto"/>
          <w:sz w:val="24"/>
          <w:highlight w:val="none"/>
        </w:rPr>
      </w:pPr>
    </w:p>
    <w:p w14:paraId="15B19C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487B2420">
      <w:pPr>
        <w:snapToGrid w:val="0"/>
        <w:spacing w:line="360" w:lineRule="auto"/>
        <w:rPr>
          <w:rFonts w:ascii="宋体" w:hAnsi="宋体" w:cs="宋体"/>
          <w:color w:val="auto"/>
          <w:sz w:val="24"/>
          <w:highlight w:val="none"/>
          <w:u w:val="dotted"/>
        </w:rPr>
      </w:pPr>
    </w:p>
    <w:p w14:paraId="1D8452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E87AC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27799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F2201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60DC8F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C4832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6A0B23E">
      <w:pPr>
        <w:spacing w:line="360" w:lineRule="auto"/>
        <w:jc w:val="center"/>
        <w:rPr>
          <w:rFonts w:ascii="宋体" w:hAnsi="宋体" w:cs="宋体"/>
          <w:b/>
          <w:bCs/>
          <w:color w:val="auto"/>
          <w:sz w:val="24"/>
          <w:highlight w:val="none"/>
        </w:rPr>
      </w:pPr>
    </w:p>
    <w:p w14:paraId="6BD43008">
      <w:pPr>
        <w:spacing w:line="360" w:lineRule="auto"/>
        <w:rPr>
          <w:rFonts w:ascii="宋体" w:hAnsi="宋体" w:cs="宋体"/>
          <w:b/>
          <w:color w:val="auto"/>
          <w:sz w:val="24"/>
          <w:highlight w:val="none"/>
        </w:rPr>
      </w:pPr>
    </w:p>
    <w:p w14:paraId="42C5ED5B">
      <w:pPr>
        <w:spacing w:line="360" w:lineRule="auto"/>
        <w:rPr>
          <w:rFonts w:ascii="宋体" w:hAnsi="宋体" w:cs="宋体"/>
          <w:b/>
          <w:color w:val="auto"/>
          <w:sz w:val="24"/>
          <w:highlight w:val="none"/>
        </w:rPr>
      </w:pPr>
    </w:p>
    <w:p w14:paraId="2F2F17D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4BC68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8E353D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F4417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4B7D9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8B91B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4A218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95A4F57">
      <w:pPr>
        <w:widowControl/>
        <w:spacing w:line="360" w:lineRule="auto"/>
        <w:ind w:firstLine="600" w:firstLineChars="200"/>
        <w:jc w:val="left"/>
        <w:rPr>
          <w:rFonts w:ascii="宋体" w:hAnsi="宋体" w:cs="宋体"/>
          <w:color w:val="auto"/>
          <w:sz w:val="30"/>
          <w:szCs w:val="30"/>
          <w:highlight w:val="none"/>
        </w:rPr>
      </w:pPr>
    </w:p>
    <w:p w14:paraId="631F47CA">
      <w:pPr>
        <w:spacing w:line="360" w:lineRule="auto"/>
        <w:jc w:val="center"/>
        <w:rPr>
          <w:rFonts w:ascii="宋体" w:hAnsi="宋体" w:cs="宋体"/>
          <w:b/>
          <w:color w:val="auto"/>
          <w:spacing w:val="6"/>
          <w:sz w:val="32"/>
          <w:szCs w:val="32"/>
          <w:highlight w:val="none"/>
        </w:rPr>
      </w:pPr>
    </w:p>
    <w:p w14:paraId="3A1A9BCF">
      <w:pPr>
        <w:spacing w:line="360" w:lineRule="auto"/>
        <w:jc w:val="center"/>
        <w:rPr>
          <w:rFonts w:ascii="宋体" w:hAnsi="宋体" w:cs="宋体"/>
          <w:b/>
          <w:color w:val="auto"/>
          <w:spacing w:val="6"/>
          <w:sz w:val="32"/>
          <w:szCs w:val="32"/>
          <w:highlight w:val="none"/>
        </w:rPr>
      </w:pPr>
    </w:p>
    <w:p w14:paraId="6A88EBF3">
      <w:pPr>
        <w:spacing w:line="360" w:lineRule="auto"/>
        <w:jc w:val="center"/>
        <w:rPr>
          <w:rFonts w:ascii="宋体" w:hAnsi="宋体" w:cs="宋体"/>
          <w:b/>
          <w:color w:val="auto"/>
          <w:spacing w:val="6"/>
          <w:sz w:val="32"/>
          <w:szCs w:val="32"/>
          <w:highlight w:val="none"/>
        </w:rPr>
      </w:pPr>
    </w:p>
    <w:p w14:paraId="63DC039D">
      <w:pPr>
        <w:spacing w:line="360" w:lineRule="auto"/>
        <w:jc w:val="center"/>
        <w:rPr>
          <w:rFonts w:ascii="宋体" w:hAnsi="宋体" w:cs="宋体"/>
          <w:b/>
          <w:color w:val="auto"/>
          <w:spacing w:val="6"/>
          <w:sz w:val="32"/>
          <w:szCs w:val="32"/>
          <w:highlight w:val="none"/>
        </w:rPr>
      </w:pPr>
    </w:p>
    <w:p w14:paraId="76E05EB1">
      <w:pPr>
        <w:spacing w:line="360" w:lineRule="auto"/>
        <w:jc w:val="center"/>
        <w:rPr>
          <w:rFonts w:ascii="宋体" w:hAnsi="宋体" w:cs="宋体"/>
          <w:b/>
          <w:color w:val="auto"/>
          <w:spacing w:val="6"/>
          <w:sz w:val="32"/>
          <w:szCs w:val="32"/>
          <w:highlight w:val="none"/>
        </w:rPr>
      </w:pPr>
    </w:p>
    <w:p w14:paraId="7AEC67D4">
      <w:pPr>
        <w:spacing w:line="360" w:lineRule="auto"/>
        <w:jc w:val="center"/>
        <w:rPr>
          <w:rFonts w:ascii="宋体" w:hAnsi="宋体" w:cs="宋体"/>
          <w:b/>
          <w:color w:val="auto"/>
          <w:spacing w:val="6"/>
          <w:sz w:val="32"/>
          <w:szCs w:val="32"/>
          <w:highlight w:val="none"/>
        </w:rPr>
      </w:pPr>
    </w:p>
    <w:p w14:paraId="40724270">
      <w:pPr>
        <w:spacing w:line="360" w:lineRule="auto"/>
        <w:jc w:val="center"/>
        <w:rPr>
          <w:rFonts w:ascii="宋体" w:hAnsi="宋体" w:cs="宋体"/>
          <w:b/>
          <w:color w:val="auto"/>
          <w:spacing w:val="6"/>
          <w:sz w:val="32"/>
          <w:szCs w:val="32"/>
          <w:highlight w:val="none"/>
        </w:rPr>
      </w:pPr>
    </w:p>
    <w:p w14:paraId="1B156F37">
      <w:pPr>
        <w:spacing w:line="360" w:lineRule="auto"/>
        <w:jc w:val="center"/>
        <w:rPr>
          <w:rFonts w:ascii="宋体" w:hAnsi="宋体" w:cs="宋体"/>
          <w:b/>
          <w:color w:val="auto"/>
          <w:spacing w:val="6"/>
          <w:sz w:val="32"/>
          <w:szCs w:val="32"/>
          <w:highlight w:val="none"/>
        </w:rPr>
      </w:pPr>
    </w:p>
    <w:p w14:paraId="096C0503">
      <w:pPr>
        <w:spacing w:line="360" w:lineRule="auto"/>
        <w:jc w:val="center"/>
        <w:rPr>
          <w:rFonts w:ascii="宋体" w:hAnsi="宋体" w:cs="宋体"/>
          <w:b/>
          <w:color w:val="auto"/>
          <w:spacing w:val="6"/>
          <w:sz w:val="32"/>
          <w:szCs w:val="32"/>
          <w:highlight w:val="none"/>
        </w:rPr>
      </w:pPr>
    </w:p>
    <w:p w14:paraId="7880941A">
      <w:pPr>
        <w:spacing w:line="360" w:lineRule="auto"/>
        <w:jc w:val="center"/>
        <w:rPr>
          <w:rFonts w:ascii="宋体" w:hAnsi="宋体" w:cs="宋体"/>
          <w:b/>
          <w:color w:val="auto"/>
          <w:spacing w:val="6"/>
          <w:sz w:val="32"/>
          <w:szCs w:val="32"/>
          <w:highlight w:val="none"/>
        </w:rPr>
      </w:pPr>
    </w:p>
    <w:p w14:paraId="213BEE6C">
      <w:pPr>
        <w:spacing w:line="360" w:lineRule="auto"/>
        <w:jc w:val="center"/>
        <w:rPr>
          <w:rFonts w:ascii="宋体" w:hAnsi="宋体" w:cs="宋体"/>
          <w:b/>
          <w:color w:val="auto"/>
          <w:spacing w:val="6"/>
          <w:sz w:val="32"/>
          <w:szCs w:val="32"/>
          <w:highlight w:val="none"/>
        </w:rPr>
      </w:pPr>
    </w:p>
    <w:p w14:paraId="391B8EDD">
      <w:pPr>
        <w:spacing w:line="360" w:lineRule="auto"/>
        <w:jc w:val="center"/>
        <w:rPr>
          <w:rFonts w:ascii="宋体" w:hAnsi="宋体" w:cs="宋体"/>
          <w:b/>
          <w:color w:val="auto"/>
          <w:spacing w:val="6"/>
          <w:sz w:val="32"/>
          <w:szCs w:val="32"/>
          <w:highlight w:val="none"/>
        </w:rPr>
      </w:pPr>
    </w:p>
    <w:p w14:paraId="1333A565">
      <w:pPr>
        <w:spacing w:line="360" w:lineRule="auto"/>
        <w:jc w:val="left"/>
        <w:rPr>
          <w:rFonts w:ascii="宋体" w:hAnsi="宋体" w:cs="宋体"/>
          <w:b/>
          <w:color w:val="auto"/>
          <w:spacing w:val="6"/>
          <w:sz w:val="32"/>
          <w:szCs w:val="32"/>
          <w:highlight w:val="none"/>
        </w:rPr>
      </w:pPr>
    </w:p>
    <w:p w14:paraId="77C4DE79">
      <w:pPr>
        <w:spacing w:line="360" w:lineRule="auto"/>
        <w:jc w:val="left"/>
        <w:rPr>
          <w:rFonts w:ascii="宋体" w:hAnsi="宋体" w:cs="宋体"/>
          <w:b/>
          <w:color w:val="auto"/>
          <w:spacing w:val="6"/>
          <w:sz w:val="32"/>
          <w:szCs w:val="32"/>
          <w:highlight w:val="none"/>
        </w:rPr>
      </w:pPr>
    </w:p>
    <w:p w14:paraId="572D0F6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E67152E">
      <w:pPr>
        <w:spacing w:line="360" w:lineRule="auto"/>
        <w:jc w:val="center"/>
        <w:rPr>
          <w:rFonts w:ascii="宋体" w:hAnsi="宋体" w:cs="宋体"/>
          <w:b/>
          <w:color w:val="auto"/>
          <w:sz w:val="24"/>
          <w:highlight w:val="none"/>
        </w:rPr>
      </w:pPr>
    </w:p>
    <w:p w14:paraId="0634CF7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FD68E0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EE921F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5F24C1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0946F0C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4AE6AC7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241885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750F78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7C1729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4F4C5A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2379C68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6E26794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3747E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95EC3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337BAD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59F08D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0AF08A6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46E51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3A1F3B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38196CD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78CD2F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40423B9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5B5C8E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5159B9F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2D792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4289852C">
      <w:pPr>
        <w:spacing w:line="360" w:lineRule="auto"/>
        <w:rPr>
          <w:rFonts w:ascii="宋体" w:hAnsi="宋体" w:cs="宋体"/>
          <w:color w:val="auto"/>
          <w:sz w:val="24"/>
          <w:highlight w:val="none"/>
          <w:u w:val="dotted"/>
        </w:rPr>
      </w:pPr>
    </w:p>
    <w:p w14:paraId="53251FA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692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1F7FC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72931FA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4F7D9F89">
      <w:pPr>
        <w:spacing w:line="360" w:lineRule="auto"/>
        <w:rPr>
          <w:rFonts w:ascii="宋体" w:hAnsi="宋体" w:cs="宋体"/>
          <w:color w:val="auto"/>
          <w:sz w:val="24"/>
          <w:highlight w:val="none"/>
          <w:u w:val="dotted"/>
        </w:rPr>
      </w:pPr>
    </w:p>
    <w:p w14:paraId="0FBE93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11B7FE84">
      <w:pPr>
        <w:spacing w:line="360" w:lineRule="auto"/>
        <w:rPr>
          <w:rFonts w:ascii="宋体" w:hAnsi="宋体" w:cs="宋体"/>
          <w:color w:val="auto"/>
          <w:sz w:val="24"/>
          <w:highlight w:val="none"/>
          <w:u w:val="dotted"/>
        </w:rPr>
      </w:pPr>
    </w:p>
    <w:p w14:paraId="1A1B258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6AD63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934981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7EB325D">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308C7D3F">
      <w:pPr>
        <w:spacing w:line="360" w:lineRule="auto"/>
        <w:rPr>
          <w:rFonts w:ascii="宋体" w:hAnsi="宋体" w:cs="宋体"/>
          <w:color w:val="auto"/>
          <w:sz w:val="24"/>
          <w:highlight w:val="none"/>
          <w:u w:val="single"/>
        </w:rPr>
      </w:pPr>
    </w:p>
    <w:p w14:paraId="0309C6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9E41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20B228D">
      <w:pPr>
        <w:spacing w:line="360" w:lineRule="auto"/>
        <w:rPr>
          <w:rFonts w:ascii="宋体" w:hAnsi="宋体" w:cs="宋体"/>
          <w:b/>
          <w:color w:val="auto"/>
          <w:sz w:val="24"/>
          <w:highlight w:val="none"/>
        </w:rPr>
      </w:pPr>
    </w:p>
    <w:p w14:paraId="632C5CA8">
      <w:pPr>
        <w:spacing w:line="360" w:lineRule="auto"/>
        <w:rPr>
          <w:rFonts w:ascii="宋体" w:hAnsi="宋体" w:cs="宋体"/>
          <w:b/>
          <w:color w:val="auto"/>
          <w:sz w:val="24"/>
          <w:highlight w:val="none"/>
        </w:rPr>
      </w:pPr>
    </w:p>
    <w:p w14:paraId="3A2F5C0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D7E62C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C94A09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20D679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AF418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E4F80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587C7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BB24F3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AB7AA1D">
      <w:pPr>
        <w:spacing w:line="360" w:lineRule="auto"/>
        <w:rPr>
          <w:rFonts w:ascii="宋体" w:hAnsi="宋体" w:cs="宋体"/>
          <w:b/>
          <w:color w:val="auto"/>
          <w:sz w:val="24"/>
          <w:highlight w:val="none"/>
        </w:rPr>
      </w:pPr>
    </w:p>
    <w:p w14:paraId="785B5279">
      <w:pPr>
        <w:autoSpaceDE w:val="0"/>
        <w:autoSpaceDN w:val="0"/>
        <w:jc w:val="center"/>
        <w:rPr>
          <w:rFonts w:ascii="宋体" w:hAnsi="宋体" w:cs="宋体"/>
          <w:b/>
          <w:color w:val="auto"/>
          <w:spacing w:val="6"/>
          <w:sz w:val="32"/>
          <w:szCs w:val="32"/>
          <w:highlight w:val="none"/>
        </w:rPr>
      </w:pPr>
    </w:p>
    <w:p w14:paraId="51684E0C">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76A44D73">
      <w:pPr>
        <w:autoSpaceDE w:val="0"/>
        <w:autoSpaceDN w:val="0"/>
        <w:jc w:val="center"/>
        <w:outlineLvl w:val="0"/>
        <w:rPr>
          <w:rFonts w:ascii="宋体" w:hAnsi="宋体" w:cs="宋体"/>
          <w:b/>
          <w:bCs/>
          <w:color w:val="auto"/>
          <w:sz w:val="32"/>
          <w:szCs w:val="32"/>
          <w:highlight w:val="none"/>
        </w:rPr>
      </w:pPr>
      <w:bookmarkStart w:id="424" w:name="_Toc16905"/>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bookmarkEnd w:id="424"/>
    </w:p>
    <w:p w14:paraId="5F46D303">
      <w:pPr>
        <w:spacing w:line="360" w:lineRule="auto"/>
        <w:rPr>
          <w:rFonts w:ascii="宋体" w:hAnsi="宋体" w:cs="宋体"/>
          <w:color w:val="auto"/>
          <w:sz w:val="24"/>
          <w:highlight w:val="none"/>
          <w:u w:val="single"/>
        </w:rPr>
      </w:pPr>
    </w:p>
    <w:p w14:paraId="5FB195A6">
      <w:pPr>
        <w:spacing w:line="360" w:lineRule="auto"/>
        <w:outlineLvl w:val="0"/>
        <w:rPr>
          <w:rFonts w:ascii="宋体" w:hAnsi="宋体" w:cs="宋体"/>
          <w:color w:val="auto"/>
          <w:sz w:val="24"/>
          <w:highlight w:val="none"/>
        </w:rPr>
      </w:pPr>
      <w:bookmarkStart w:id="425" w:name="_Toc29949"/>
      <w:r>
        <w:rPr>
          <w:rFonts w:hint="eastAsia" w:ascii="宋体" w:hAnsi="宋体" w:cs="宋体"/>
          <w:color w:val="auto"/>
          <w:sz w:val="24"/>
          <w:highlight w:val="none"/>
          <w:u w:val="single"/>
          <w:lang w:eastAsia="zh-CN"/>
        </w:rPr>
        <w:t>浙江同济科技职业学院</w:t>
      </w:r>
      <w:r>
        <w:rPr>
          <w:rFonts w:hint="eastAsia" w:ascii="宋体" w:hAnsi="宋体" w:cs="宋体"/>
          <w:color w:val="auto"/>
          <w:sz w:val="24"/>
          <w:highlight w:val="none"/>
          <w:u w:val="single"/>
        </w:rPr>
        <w:t>、浙江致信招标代理有限公司</w:t>
      </w:r>
      <w:bookmarkEnd w:id="425"/>
    </w:p>
    <w:p w14:paraId="0DF9424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浙江同济科技职业学院采购管理系统</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ZXZB-TJ-2025008C</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64D42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19ADE24">
      <w:pPr>
        <w:spacing w:line="360" w:lineRule="auto"/>
        <w:ind w:firstLine="494"/>
        <w:rPr>
          <w:rFonts w:ascii="宋体" w:hAnsi="宋体" w:cs="宋体"/>
          <w:color w:val="auto"/>
          <w:sz w:val="24"/>
          <w:highlight w:val="none"/>
        </w:rPr>
      </w:pPr>
    </w:p>
    <w:p w14:paraId="0DBFB38B">
      <w:pPr>
        <w:spacing w:line="360" w:lineRule="auto"/>
        <w:ind w:firstLine="494"/>
        <w:rPr>
          <w:rFonts w:ascii="宋体" w:hAnsi="宋体" w:cs="宋体"/>
          <w:color w:val="auto"/>
          <w:sz w:val="24"/>
          <w:highlight w:val="none"/>
        </w:rPr>
      </w:pPr>
    </w:p>
    <w:p w14:paraId="113D5CA0">
      <w:pPr>
        <w:spacing w:line="360" w:lineRule="auto"/>
        <w:ind w:firstLine="494"/>
        <w:rPr>
          <w:rFonts w:ascii="宋体" w:hAnsi="宋体" w:cs="宋体"/>
          <w:color w:val="auto"/>
          <w:sz w:val="24"/>
          <w:highlight w:val="none"/>
        </w:rPr>
      </w:pPr>
    </w:p>
    <w:p w14:paraId="1AEC9A9E">
      <w:pPr>
        <w:spacing w:line="360" w:lineRule="auto"/>
        <w:ind w:firstLine="494"/>
        <w:rPr>
          <w:rFonts w:ascii="宋体" w:hAnsi="宋体" w:cs="宋体"/>
          <w:color w:val="auto"/>
          <w:sz w:val="24"/>
          <w:highlight w:val="none"/>
        </w:rPr>
      </w:pPr>
    </w:p>
    <w:p w14:paraId="62C9728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6144F81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3C64A1">
      <w:pPr>
        <w:rPr>
          <w:rFonts w:ascii="宋体" w:hAnsi="宋体" w:cs="宋体"/>
          <w:color w:val="auto"/>
          <w:sz w:val="24"/>
          <w:highlight w:val="none"/>
        </w:rPr>
      </w:pPr>
      <w:r>
        <w:rPr>
          <w:rFonts w:hint="eastAsia" w:ascii="宋体" w:hAnsi="宋体" w:cs="宋体"/>
          <w:b/>
          <w:bCs/>
          <w:color w:val="auto"/>
          <w:sz w:val="24"/>
          <w:highlight w:val="none"/>
        </w:rPr>
        <w:t>附：</w:t>
      </w:r>
    </w:p>
    <w:p w14:paraId="5C71518F">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6DDA80FE">
      <w:pPr>
        <w:autoSpaceDE w:val="0"/>
        <w:autoSpaceDN w:val="0"/>
        <w:jc w:val="center"/>
        <w:rPr>
          <w:rFonts w:ascii="宋体" w:hAnsi="宋体" w:cs="宋体"/>
          <w:b/>
          <w:color w:val="auto"/>
          <w:spacing w:val="6"/>
          <w:sz w:val="32"/>
          <w:szCs w:val="32"/>
          <w:highlight w:val="none"/>
        </w:rPr>
      </w:pPr>
    </w:p>
    <w:p w14:paraId="06FC0C2B">
      <w:pPr>
        <w:autoSpaceDE w:val="0"/>
        <w:autoSpaceDN w:val="0"/>
        <w:jc w:val="center"/>
        <w:rPr>
          <w:rFonts w:ascii="宋体" w:hAnsi="宋体" w:cs="宋体"/>
          <w:b/>
          <w:color w:val="auto"/>
          <w:spacing w:val="6"/>
          <w:sz w:val="32"/>
          <w:szCs w:val="32"/>
          <w:highlight w:val="none"/>
        </w:rPr>
      </w:pPr>
    </w:p>
    <w:p w14:paraId="4C156AB5">
      <w:pPr>
        <w:autoSpaceDE w:val="0"/>
        <w:autoSpaceDN w:val="0"/>
        <w:jc w:val="center"/>
        <w:rPr>
          <w:rFonts w:ascii="宋体" w:hAnsi="宋体" w:cs="宋体"/>
          <w:b/>
          <w:color w:val="auto"/>
          <w:spacing w:val="6"/>
          <w:sz w:val="32"/>
          <w:szCs w:val="32"/>
          <w:highlight w:val="none"/>
        </w:rPr>
      </w:pPr>
    </w:p>
    <w:p w14:paraId="5A3E1DCF">
      <w:pPr>
        <w:autoSpaceDE w:val="0"/>
        <w:autoSpaceDN w:val="0"/>
        <w:jc w:val="center"/>
        <w:rPr>
          <w:rFonts w:ascii="宋体" w:hAnsi="宋体" w:cs="宋体"/>
          <w:b/>
          <w:color w:val="auto"/>
          <w:spacing w:val="6"/>
          <w:sz w:val="32"/>
          <w:szCs w:val="32"/>
          <w:highlight w:val="none"/>
        </w:rPr>
      </w:pPr>
    </w:p>
    <w:p w14:paraId="0412BCCE">
      <w:pPr>
        <w:autoSpaceDE w:val="0"/>
        <w:autoSpaceDN w:val="0"/>
        <w:jc w:val="center"/>
        <w:rPr>
          <w:rFonts w:ascii="宋体" w:hAnsi="宋体" w:cs="宋体"/>
          <w:b/>
          <w:color w:val="auto"/>
          <w:spacing w:val="6"/>
          <w:sz w:val="32"/>
          <w:szCs w:val="32"/>
          <w:highlight w:val="none"/>
        </w:rPr>
      </w:pPr>
    </w:p>
    <w:p w14:paraId="5206A54D">
      <w:pPr>
        <w:autoSpaceDE w:val="0"/>
        <w:autoSpaceDN w:val="0"/>
        <w:jc w:val="center"/>
        <w:rPr>
          <w:rFonts w:ascii="宋体" w:hAnsi="宋体" w:cs="宋体"/>
          <w:b/>
          <w:color w:val="auto"/>
          <w:spacing w:val="6"/>
          <w:sz w:val="32"/>
          <w:szCs w:val="32"/>
          <w:highlight w:val="none"/>
        </w:rPr>
      </w:pPr>
    </w:p>
    <w:p w14:paraId="379BB033">
      <w:pPr>
        <w:autoSpaceDE w:val="0"/>
        <w:autoSpaceDN w:val="0"/>
        <w:jc w:val="center"/>
        <w:rPr>
          <w:rFonts w:ascii="宋体" w:hAnsi="宋体" w:cs="宋体"/>
          <w:b/>
          <w:color w:val="auto"/>
          <w:spacing w:val="6"/>
          <w:sz w:val="32"/>
          <w:szCs w:val="32"/>
          <w:highlight w:val="none"/>
        </w:rPr>
      </w:pPr>
    </w:p>
    <w:p w14:paraId="6AD0E747">
      <w:pPr>
        <w:autoSpaceDE w:val="0"/>
        <w:autoSpaceDN w:val="0"/>
        <w:jc w:val="center"/>
        <w:rPr>
          <w:rFonts w:ascii="宋体" w:hAnsi="宋体" w:cs="宋体"/>
          <w:b/>
          <w:color w:val="auto"/>
          <w:spacing w:val="6"/>
          <w:sz w:val="32"/>
          <w:szCs w:val="32"/>
          <w:highlight w:val="none"/>
        </w:rPr>
      </w:pPr>
    </w:p>
    <w:p w14:paraId="562AA2D1">
      <w:pPr>
        <w:autoSpaceDE w:val="0"/>
        <w:autoSpaceDN w:val="0"/>
        <w:jc w:val="center"/>
        <w:rPr>
          <w:rFonts w:ascii="宋体" w:hAnsi="宋体" w:cs="宋体"/>
          <w:b/>
          <w:color w:val="auto"/>
          <w:spacing w:val="6"/>
          <w:sz w:val="32"/>
          <w:szCs w:val="32"/>
          <w:highlight w:val="none"/>
        </w:rPr>
      </w:pPr>
    </w:p>
    <w:p w14:paraId="1F27794B">
      <w:pPr>
        <w:autoSpaceDE w:val="0"/>
        <w:autoSpaceDN w:val="0"/>
        <w:jc w:val="center"/>
        <w:rPr>
          <w:rFonts w:ascii="宋体" w:hAnsi="宋体" w:cs="宋体"/>
          <w:b/>
          <w:color w:val="auto"/>
          <w:spacing w:val="6"/>
          <w:sz w:val="32"/>
          <w:szCs w:val="32"/>
          <w:highlight w:val="none"/>
        </w:rPr>
      </w:pPr>
    </w:p>
    <w:p w14:paraId="3929407B">
      <w:pPr>
        <w:autoSpaceDE w:val="0"/>
        <w:autoSpaceDN w:val="0"/>
        <w:jc w:val="center"/>
        <w:rPr>
          <w:rFonts w:ascii="宋体" w:hAnsi="宋体" w:cs="宋体"/>
          <w:b/>
          <w:color w:val="auto"/>
          <w:spacing w:val="6"/>
          <w:sz w:val="32"/>
          <w:szCs w:val="32"/>
          <w:highlight w:val="none"/>
        </w:rPr>
      </w:pPr>
    </w:p>
    <w:p w14:paraId="5452EC4B">
      <w:pPr>
        <w:autoSpaceDE w:val="0"/>
        <w:autoSpaceDN w:val="0"/>
        <w:jc w:val="center"/>
        <w:rPr>
          <w:rFonts w:ascii="宋体" w:hAnsi="宋体" w:cs="宋体"/>
          <w:b/>
          <w:color w:val="auto"/>
          <w:spacing w:val="6"/>
          <w:sz w:val="32"/>
          <w:szCs w:val="32"/>
          <w:highlight w:val="none"/>
        </w:rPr>
      </w:pPr>
    </w:p>
    <w:p w14:paraId="2AC017BD">
      <w:pPr>
        <w:autoSpaceDE w:val="0"/>
        <w:autoSpaceDN w:val="0"/>
        <w:jc w:val="center"/>
        <w:rPr>
          <w:rFonts w:ascii="宋体" w:hAnsi="宋体" w:cs="宋体"/>
          <w:b/>
          <w:color w:val="auto"/>
          <w:spacing w:val="6"/>
          <w:sz w:val="32"/>
          <w:szCs w:val="32"/>
          <w:highlight w:val="none"/>
        </w:rPr>
      </w:pPr>
    </w:p>
    <w:p w14:paraId="5FDFEF8A">
      <w:pPr>
        <w:autoSpaceDE w:val="0"/>
        <w:autoSpaceDN w:val="0"/>
        <w:jc w:val="center"/>
        <w:rPr>
          <w:rFonts w:ascii="宋体" w:hAnsi="宋体" w:cs="宋体"/>
          <w:b/>
          <w:color w:val="auto"/>
          <w:spacing w:val="6"/>
          <w:sz w:val="32"/>
          <w:szCs w:val="32"/>
          <w:highlight w:val="none"/>
        </w:rPr>
      </w:pPr>
    </w:p>
    <w:p w14:paraId="07056008">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317C1307">
      <w:pPr>
        <w:autoSpaceDE w:val="0"/>
        <w:autoSpaceDN w:val="0"/>
        <w:jc w:val="center"/>
        <w:outlineLvl w:val="0"/>
        <w:rPr>
          <w:rFonts w:ascii="宋体" w:hAnsi="宋体" w:cs="宋体"/>
          <w:b/>
          <w:bCs/>
          <w:color w:val="auto"/>
          <w:sz w:val="32"/>
          <w:szCs w:val="32"/>
          <w:highlight w:val="none"/>
        </w:rPr>
      </w:pPr>
      <w:bookmarkStart w:id="426" w:name="_Toc6199"/>
      <w:r>
        <w:rPr>
          <w:rFonts w:hint="eastAsia" w:ascii="宋体" w:hAnsi="宋体" w:cs="宋体"/>
          <w:b/>
          <w:color w:val="auto"/>
          <w:spacing w:val="6"/>
          <w:sz w:val="32"/>
          <w:szCs w:val="32"/>
          <w:highlight w:val="none"/>
          <w:lang w:eastAsia="zh-CN"/>
        </w:rPr>
        <w:t>附件5</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bookmarkEnd w:id="426"/>
    </w:p>
    <w:p w14:paraId="20E1CDA9">
      <w:pPr>
        <w:spacing w:line="360" w:lineRule="auto"/>
        <w:jc w:val="center"/>
        <w:rPr>
          <w:rFonts w:ascii="宋体" w:hAnsi="宋体" w:cs="宋体"/>
          <w:color w:val="auto"/>
          <w:sz w:val="24"/>
          <w:highlight w:val="none"/>
          <w:u w:val="single"/>
        </w:rPr>
      </w:pPr>
    </w:p>
    <w:p w14:paraId="0ABF8B65">
      <w:pPr>
        <w:spacing w:line="360" w:lineRule="auto"/>
        <w:jc w:val="center"/>
        <w:outlineLvl w:val="0"/>
        <w:rPr>
          <w:rFonts w:ascii="宋体" w:hAnsi="宋体" w:cs="宋体"/>
          <w:b/>
          <w:color w:val="auto"/>
          <w:sz w:val="32"/>
          <w:szCs w:val="32"/>
          <w:highlight w:val="none"/>
        </w:rPr>
      </w:pPr>
      <w:bookmarkStart w:id="427" w:name="_Toc32437"/>
      <w:r>
        <w:rPr>
          <w:rFonts w:hint="eastAsia" w:ascii="宋体" w:hAnsi="宋体" w:cs="宋体"/>
          <w:b/>
          <w:color w:val="auto"/>
          <w:sz w:val="32"/>
          <w:szCs w:val="32"/>
          <w:highlight w:val="none"/>
        </w:rPr>
        <w:t>中小企业声明函（服务）</w:t>
      </w:r>
      <w:bookmarkEnd w:id="427"/>
    </w:p>
    <w:p w14:paraId="0354246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（招标人）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DA1D4D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（竞争性磋商文件中明确的所属行业）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1C924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（竞争性磋商文件中明确的所属行业）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48E84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460735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AC1AE9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89F7E6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磋商响应供应商名称（电子签名）：</w:t>
      </w:r>
    </w:p>
    <w:p w14:paraId="76CF5A6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73F271E">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0EAF5708">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04F48B2">
      <w:pPr>
        <w:shd w:val="clear"/>
        <w:spacing w:line="360" w:lineRule="auto"/>
        <w:ind w:right="420" w:firstLine="480" w:firstLineChars="200"/>
        <w:rPr>
          <w:rFonts w:hint="eastAsia" w:ascii="宋体" w:hAnsi="宋体" w:cs="宋体"/>
          <w:b/>
          <w:bCs/>
          <w:color w:val="auto"/>
          <w:sz w:val="24"/>
          <w:highlight w:val="none"/>
          <w:lang w:eastAsia="zh-CN"/>
        </w:rPr>
      </w:pPr>
      <w:r>
        <w:rPr>
          <w:rFonts w:hint="eastAsia" w:ascii="宋体" w:hAnsi="宋体" w:cs="宋体"/>
          <w:color w:val="auto"/>
          <w:sz w:val="24"/>
          <w:highlight w:val="none"/>
        </w:rPr>
        <w:t>1、填写要求：①“标的名称”、“采购文件中明确的所属行业”依据招标文件第二部分</w:t>
      </w:r>
      <w:r>
        <w:rPr>
          <w:rFonts w:hint="eastAsia" w:ascii="宋体" w:hAnsi="宋体" w:cs="宋体"/>
          <w:color w:val="auto"/>
          <w:sz w:val="24"/>
          <w:highlight w:val="none"/>
          <w:lang w:eastAsia="zh-CN"/>
        </w:rPr>
        <w:t>磋商响应供应商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b/>
          <w:bCs/>
          <w:color w:val="auto"/>
          <w:sz w:val="24"/>
          <w:highlight w:val="none"/>
        </w:rPr>
        <w:t>④</w:t>
      </w:r>
      <w:r>
        <w:rPr>
          <w:rFonts w:hint="eastAsia" w:ascii="宋体" w:hAnsi="宋体" w:cs="宋体"/>
          <w:b/>
          <w:bCs/>
          <w:color w:val="auto"/>
          <w:sz w:val="24"/>
          <w:highlight w:val="none"/>
          <w:lang w:eastAsia="zh-CN"/>
        </w:rPr>
        <w:t>磋商响应供应商</w:t>
      </w:r>
      <w:r>
        <w:rPr>
          <w:rFonts w:hint="eastAsia" w:ascii="宋体" w:hAnsi="宋体" w:cs="宋体"/>
          <w:b/>
          <w:bCs/>
          <w:color w:val="auto"/>
          <w:sz w:val="24"/>
          <w:highlight w:val="none"/>
        </w:rPr>
        <w:t>提供的《中小企业声明函》</w:t>
      </w:r>
      <w:r>
        <w:rPr>
          <w:rFonts w:hint="eastAsia" w:ascii="宋体" w:hAnsi="宋体" w:cs="宋体"/>
          <w:b/>
          <w:bCs/>
          <w:color w:val="auto"/>
          <w:sz w:val="24"/>
          <w:highlight w:val="none"/>
          <w:lang w:val="en-US" w:eastAsia="zh-CN"/>
        </w:rPr>
        <w:t>中企业类型错误的</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《中小企业声明函》</w:t>
      </w:r>
      <w:r>
        <w:rPr>
          <w:rFonts w:hint="eastAsia" w:ascii="宋体" w:hAnsi="宋体" w:cs="宋体"/>
          <w:b/>
          <w:bCs/>
          <w:color w:val="auto"/>
          <w:sz w:val="24"/>
          <w:highlight w:val="none"/>
        </w:rPr>
        <w:t>无效，不享受中小企业扶持政策。</w:t>
      </w:r>
    </w:p>
    <w:p w14:paraId="56D96E4F">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磋商响应供应商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14:paraId="23EB9DC3">
      <w:pPr>
        <w:shd w:val="clear"/>
        <w:spacing w:line="360" w:lineRule="auto"/>
        <w:ind w:right="420"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3、供应商填写的《中小企业声明函》中如存在数据错误，但企业类型正确的，其《中小企业声明函》有效。如存在疑义可由供应商澄清说明，供应商对填报的数据来源作出合理解释。</w:t>
      </w:r>
    </w:p>
    <w:p w14:paraId="1B0BE522">
      <w:pPr>
        <w:shd w:val="clear"/>
        <w:spacing w:line="360" w:lineRule="auto"/>
        <w:ind w:right="420"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4、《中小企业声明函》中填写行业错误或者未填写行业的，《中小企业声明函》无效。但错填为“采购文件中明确的所属行业”等类似瑕疵的，《中小企业声明函》有效。</w:t>
      </w:r>
    </w:p>
    <w:p w14:paraId="371A61A2">
      <w:pPr>
        <w:spacing w:line="360" w:lineRule="auto"/>
        <w:ind w:right="420" w:firstLine="482" w:firstLineChars="200"/>
        <w:rPr>
          <w:rFonts w:ascii="宋体" w:hAnsi="宋体" w:cs="宋体"/>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如果供应商声明的类型获得了本不应获得的利益（价格扣除或者资格审查通过），则属于虚假材料；反之，没有获得非法利益，则不属于虚假材料。</w:t>
      </w:r>
    </w:p>
    <w:p w14:paraId="16BD0A47">
      <w:pPr>
        <w:spacing w:line="360" w:lineRule="auto"/>
        <w:jc w:val="center"/>
        <w:rPr>
          <w:rFonts w:ascii="宋体" w:hAnsi="宋体" w:cs="宋体"/>
          <w:b/>
          <w:color w:val="auto"/>
          <w:sz w:val="32"/>
          <w:szCs w:val="32"/>
          <w:highlight w:val="none"/>
        </w:rPr>
      </w:pPr>
    </w:p>
    <w:p w14:paraId="424D04F9">
      <w:pPr>
        <w:spacing w:line="360" w:lineRule="auto"/>
        <w:rPr>
          <w:rFonts w:ascii="宋体" w:hAnsi="宋体" w:cs="宋体"/>
          <w:bCs/>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0FDA3F97">
      <w:pPr>
        <w:snapToGrid w:val="0"/>
        <w:spacing w:line="44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各行业划型标准</w:t>
      </w:r>
    </w:p>
    <w:p w14:paraId="5891E388">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7E90DC09">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33E7FD1">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693ED88">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CE2C87">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3AFDE8">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2FE8E6">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5BC5A0D">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4708D38">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A41289">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81B6DE">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5BB504D">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2C1B93">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40AA57">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3AEF96">
      <w:pP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3CD3D8">
      <w:pPr>
        <w:snapToGrid w:val="0"/>
        <w:spacing w:line="430" w:lineRule="exact"/>
        <w:ind w:firstLine="480" w:firstLineChars="200"/>
        <w:rPr>
          <w:rFonts w:ascii="宋体" w:hAnsi="宋体" w:cs="宋体"/>
          <w:color w:val="auto"/>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sectPr>
      <w:headerReference r:id="rId22" w:type="first"/>
      <w:footerReference r:id="rId25" w:type="first"/>
      <w:headerReference r:id="rId21" w:type="default"/>
      <w:footerReference r:id="rId23" w:type="default"/>
      <w:footerReference r:id="rId24"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undefined">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C09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A16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7391C0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213E">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469E8">
    <w:pPr>
      <w:pStyle w:val="42"/>
      <w:framePr w:wrap="around" w:vAnchor="text" w:hAnchor="margin" w:xAlign="right" w:y="1"/>
      <w:rPr>
        <w:rStyle w:val="74"/>
      </w:rPr>
    </w:pPr>
    <w:r>
      <w:fldChar w:fldCharType="begin"/>
    </w:r>
    <w:r>
      <w:rPr>
        <w:rStyle w:val="74"/>
      </w:rPr>
      <w:instrText xml:space="preserve">PAGE  </w:instrText>
    </w:r>
    <w:r>
      <w:fldChar w:fldCharType="end"/>
    </w:r>
  </w:p>
  <w:p w14:paraId="0C9327F6">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38D06">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28" w:name="_Toc164085800"/>
    <w:bookmarkStart w:id="429" w:name="_Toc36110187"/>
    <w:bookmarkStart w:id="430" w:name="_Toc91899912"/>
    <w:bookmarkStart w:id="431" w:name="_Toc131845147"/>
    <w:r>
      <w:rPr>
        <w:rFonts w:hint="eastAsia" w:ascii="仿宋_GB2312" w:eastAsia="仿宋_GB2312"/>
        <w:kern w:val="0"/>
        <w:szCs w:val="21"/>
      </w:rPr>
      <w:t xml:space="preserve"> 页</w:t>
    </w:r>
    <w:bookmarkEnd w:id="428"/>
    <w:bookmarkEnd w:id="429"/>
    <w:bookmarkEnd w:id="430"/>
    <w:bookmarkEnd w:id="431"/>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B7D8">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2B575">
    <w:pPr>
      <w:pStyle w:val="42"/>
      <w:framePr w:wrap="around" w:vAnchor="text" w:hAnchor="margin" w:xAlign="right" w:y="1"/>
      <w:rPr>
        <w:rStyle w:val="74"/>
      </w:rPr>
    </w:pPr>
    <w:r>
      <w:fldChar w:fldCharType="begin"/>
    </w:r>
    <w:r>
      <w:rPr>
        <w:rStyle w:val="74"/>
      </w:rPr>
      <w:instrText xml:space="preserve">PAGE  </w:instrText>
    </w:r>
    <w:r>
      <w:fldChar w:fldCharType="end"/>
    </w:r>
  </w:p>
  <w:p w14:paraId="36959995">
    <w:pPr>
      <w:pStyle w:val="42"/>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D4322">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AC0B5">
    <w:pPr>
      <w:pStyle w:val="42"/>
      <w:framePr w:wrap="around" w:vAnchor="text" w:hAnchor="margin" w:xAlign="right" w:y="1"/>
      <w:rPr>
        <w:rStyle w:val="74"/>
      </w:rPr>
    </w:pPr>
    <w:r>
      <w:fldChar w:fldCharType="begin"/>
    </w:r>
    <w:r>
      <w:rPr>
        <w:rStyle w:val="74"/>
      </w:rPr>
      <w:instrText xml:space="preserve">PAGE  </w:instrText>
    </w:r>
    <w:r>
      <w:fldChar w:fldCharType="end"/>
    </w:r>
  </w:p>
  <w:p w14:paraId="249047E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8DC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4DA11">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FF4EA">
                          <w:pPr>
                            <w:pStyle w:val="4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ABFF4EA">
                    <w:pPr>
                      <w:pStyle w:val="4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675A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CB2DA5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02BD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5F91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45D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84F85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37C8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09614D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02C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807FB5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442A">
    <w:pPr>
      <w:pStyle w:val="43"/>
      <w:pBdr>
        <w:bottom w:val="single" w:color="auto" w:sz="6" w:space="0"/>
      </w:pBdr>
      <w:jc w:val="right"/>
      <w:rPr>
        <w:rFonts w:ascii="仿宋_GB2312" w:eastAsia="仿宋_GB2312"/>
        <w:i/>
        <w:u w:val="single"/>
      </w:rPr>
    </w:pPr>
    <w:r>
      <w:rPr>
        <w:rFonts w:hint="eastAsia"/>
        <w:lang w:val="zh-CN"/>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B889">
    <w:pPr>
      <w:pStyle w:val="43"/>
      <w:pBdr>
        <w:bottom w:val="single" w:color="auto" w:sz="6" w:space="0"/>
      </w:pBdr>
      <w:tabs>
        <w:tab w:val="center" w:pos="4535"/>
        <w:tab w:val="right" w:pos="9070"/>
        <w:tab w:val="clear" w:pos="4153"/>
        <w:tab w:val="clear" w:pos="8306"/>
      </w:tabs>
      <w:jc w:val="right"/>
    </w:pPr>
    <w:r>
      <w:rPr>
        <w:rFonts w:hint="eastAsia"/>
        <w:lang w:val="zh-CN"/>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9F86D">
    <w:pPr>
      <w:pStyle w:val="43"/>
      <w:pBdr>
        <w:bottom w:val="single" w:color="auto" w:sz="6" w:space="0"/>
      </w:pBdr>
      <w:tabs>
        <w:tab w:val="center" w:pos="4535"/>
        <w:tab w:val="right" w:pos="9070"/>
        <w:tab w:val="clear" w:pos="4153"/>
        <w:tab w:val="clear" w:pos="8306"/>
      </w:tabs>
      <w:jc w:val="right"/>
    </w:pPr>
    <w:r>
      <w:rPr>
        <w:rFonts w:hint="eastAsia"/>
        <w:lang w:val="zh-CN"/>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3721">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lang w:val="zh-CN"/>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C09C8">
    <w:pPr>
      <w:pStyle w:val="43"/>
      <w:pBdr>
        <w:bottom w:val="single" w:color="auto" w:sz="6" w:space="0"/>
      </w:pBdr>
      <w:tabs>
        <w:tab w:val="center" w:pos="4535"/>
        <w:tab w:val="right" w:pos="9070"/>
        <w:tab w:val="clear" w:pos="4153"/>
        <w:tab w:val="clear" w:pos="8306"/>
      </w:tabs>
      <w:jc w:val="right"/>
      <w:rPr>
        <w:rFonts w:ascii="仿宋_GB2312"/>
        <w:b/>
        <w:i/>
        <w:iCs/>
        <w:u w:val="single"/>
      </w:rPr>
    </w:pPr>
    <w:r>
      <w:rPr>
        <w:rFonts w:hint="eastAsia"/>
        <w:lang w:val="zh-CN"/>
      </w:rPr>
      <w:t>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C460">
    <w:pPr>
      <w:pStyle w:val="43"/>
      <w:jc w:val="right"/>
      <w:rPr>
        <w:rFonts w:ascii="仿宋_GB2312"/>
        <w:b/>
        <w:i/>
        <w:iCs/>
        <w:u w:val="single"/>
      </w:rPr>
    </w:pPr>
    <w:r>
      <w:t>杭州市政府采购公开</w:t>
    </w:r>
    <w:r>
      <w:rPr>
        <w:rFonts w:hint="eastAsia"/>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B2D9">
    <w:pPr>
      <w:pStyle w:val="43"/>
    </w:pPr>
    <w:r>
      <w:t>杭州市政府采购公开</w:t>
    </w: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743E7"/>
    <w:multiLevelType w:val="singleLevel"/>
    <w:tmpl w:val="D3E743E7"/>
    <w:lvl w:ilvl="0" w:tentative="0">
      <w:start w:val="5"/>
      <w:numFmt w:val="chineseCounting"/>
      <w:suff w:val="nothing"/>
      <w:lvlText w:val="%1、"/>
      <w:lvlJc w:val="left"/>
      <w:rPr>
        <w:rFonts w:hint="eastAsia"/>
      </w:rPr>
    </w:lvl>
  </w:abstractNum>
  <w:abstractNum w:abstractNumId="1">
    <w:nsid w:val="F965EAA6"/>
    <w:multiLevelType w:val="singleLevel"/>
    <w:tmpl w:val="F965EAA6"/>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YTdkZDk0NTY3YjRjZTUwY2Q1YTAxODM5MTcz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52C"/>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32B"/>
    <w:rsid w:val="003025FE"/>
    <w:rsid w:val="00302A27"/>
    <w:rsid w:val="00303AB6"/>
    <w:rsid w:val="00304640"/>
    <w:rsid w:val="00304AC1"/>
    <w:rsid w:val="00305090"/>
    <w:rsid w:val="00305454"/>
    <w:rsid w:val="00305B9F"/>
    <w:rsid w:val="00305E21"/>
    <w:rsid w:val="003066C6"/>
    <w:rsid w:val="003066FA"/>
    <w:rsid w:val="00306AD6"/>
    <w:rsid w:val="003077F4"/>
    <w:rsid w:val="00307ABB"/>
    <w:rsid w:val="00307DC7"/>
    <w:rsid w:val="00307FF2"/>
    <w:rsid w:val="00310EDB"/>
    <w:rsid w:val="00311C51"/>
    <w:rsid w:val="00311D56"/>
    <w:rsid w:val="00312016"/>
    <w:rsid w:val="00312340"/>
    <w:rsid w:val="00312C23"/>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988"/>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08C"/>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AA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4BA2"/>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5EF"/>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C07"/>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3BA"/>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CD0"/>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982"/>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800"/>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4F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1DDB"/>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EB9"/>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0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311"/>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9D0"/>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B83"/>
    <w:rsid w:val="00BC2DBD"/>
    <w:rsid w:val="00BC3BCB"/>
    <w:rsid w:val="00BC3CF1"/>
    <w:rsid w:val="00BC428A"/>
    <w:rsid w:val="00BC45D9"/>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919"/>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448"/>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239"/>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8E"/>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8A4"/>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EFD"/>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C99"/>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931"/>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3E4"/>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2E67"/>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30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066D5"/>
    <w:rsid w:val="01D55165"/>
    <w:rsid w:val="01DF6BF8"/>
    <w:rsid w:val="01EC2C57"/>
    <w:rsid w:val="025F0711"/>
    <w:rsid w:val="026B2E25"/>
    <w:rsid w:val="02824D4D"/>
    <w:rsid w:val="02DC4B10"/>
    <w:rsid w:val="02DD76CE"/>
    <w:rsid w:val="02F36323"/>
    <w:rsid w:val="02F5619C"/>
    <w:rsid w:val="031F5047"/>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253BA2"/>
    <w:rsid w:val="06493CA7"/>
    <w:rsid w:val="065A6178"/>
    <w:rsid w:val="066F1CF3"/>
    <w:rsid w:val="06930BB8"/>
    <w:rsid w:val="07245D42"/>
    <w:rsid w:val="07264C62"/>
    <w:rsid w:val="0779354C"/>
    <w:rsid w:val="077F5547"/>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D3AC0"/>
    <w:rsid w:val="0A1C0718"/>
    <w:rsid w:val="0A3E7710"/>
    <w:rsid w:val="0A5B7E63"/>
    <w:rsid w:val="0A703465"/>
    <w:rsid w:val="0A8C4537"/>
    <w:rsid w:val="0AA374A5"/>
    <w:rsid w:val="0AAB7649"/>
    <w:rsid w:val="0AB738E4"/>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323DB"/>
    <w:rsid w:val="0D4A7419"/>
    <w:rsid w:val="0D827401"/>
    <w:rsid w:val="0D84094E"/>
    <w:rsid w:val="0D8A00E9"/>
    <w:rsid w:val="0D8D589E"/>
    <w:rsid w:val="0DA01C73"/>
    <w:rsid w:val="0DB717F6"/>
    <w:rsid w:val="0DD63300"/>
    <w:rsid w:val="0DF50604"/>
    <w:rsid w:val="0DF702FE"/>
    <w:rsid w:val="0DFF2406"/>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76D18"/>
    <w:rsid w:val="10646583"/>
    <w:rsid w:val="107D4B15"/>
    <w:rsid w:val="108A3C80"/>
    <w:rsid w:val="10C26171"/>
    <w:rsid w:val="10F33360"/>
    <w:rsid w:val="10FC16EA"/>
    <w:rsid w:val="110F1D40"/>
    <w:rsid w:val="11266F33"/>
    <w:rsid w:val="118963A1"/>
    <w:rsid w:val="11B82FDC"/>
    <w:rsid w:val="11C6522A"/>
    <w:rsid w:val="11E104CC"/>
    <w:rsid w:val="11E20309"/>
    <w:rsid w:val="122333D3"/>
    <w:rsid w:val="12255233"/>
    <w:rsid w:val="122B237F"/>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58D7294"/>
    <w:rsid w:val="16A8729C"/>
    <w:rsid w:val="16B33777"/>
    <w:rsid w:val="16BC70A7"/>
    <w:rsid w:val="16C6339E"/>
    <w:rsid w:val="172F2D79"/>
    <w:rsid w:val="17557BEF"/>
    <w:rsid w:val="17D349C1"/>
    <w:rsid w:val="18015DF3"/>
    <w:rsid w:val="1830729E"/>
    <w:rsid w:val="1870062C"/>
    <w:rsid w:val="187338BC"/>
    <w:rsid w:val="18817102"/>
    <w:rsid w:val="18830A15"/>
    <w:rsid w:val="18852B28"/>
    <w:rsid w:val="188B5321"/>
    <w:rsid w:val="190653E0"/>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DF4451"/>
    <w:rsid w:val="1DF51A98"/>
    <w:rsid w:val="1E3D060F"/>
    <w:rsid w:val="1E3F7D2E"/>
    <w:rsid w:val="1E4134E4"/>
    <w:rsid w:val="1E5062B3"/>
    <w:rsid w:val="1E523514"/>
    <w:rsid w:val="1E714A66"/>
    <w:rsid w:val="1E802593"/>
    <w:rsid w:val="1E8B6156"/>
    <w:rsid w:val="1EA703CC"/>
    <w:rsid w:val="1EB7330C"/>
    <w:rsid w:val="1F0A0FF3"/>
    <w:rsid w:val="1F5771FF"/>
    <w:rsid w:val="1F7B7037"/>
    <w:rsid w:val="1F904124"/>
    <w:rsid w:val="1FCD4EA9"/>
    <w:rsid w:val="1FE868A9"/>
    <w:rsid w:val="20034907"/>
    <w:rsid w:val="20173E4B"/>
    <w:rsid w:val="204E48BC"/>
    <w:rsid w:val="206C2CE8"/>
    <w:rsid w:val="208921B3"/>
    <w:rsid w:val="20973DEB"/>
    <w:rsid w:val="20A20C2A"/>
    <w:rsid w:val="20B26522"/>
    <w:rsid w:val="20B44310"/>
    <w:rsid w:val="211116EB"/>
    <w:rsid w:val="216133FC"/>
    <w:rsid w:val="21D56769"/>
    <w:rsid w:val="21E52EF3"/>
    <w:rsid w:val="21FB5D7B"/>
    <w:rsid w:val="22015E94"/>
    <w:rsid w:val="220B1C3D"/>
    <w:rsid w:val="220F17A9"/>
    <w:rsid w:val="221D1D20"/>
    <w:rsid w:val="22334A87"/>
    <w:rsid w:val="22BE6801"/>
    <w:rsid w:val="22C81146"/>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EB6089"/>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00487"/>
    <w:rsid w:val="2A15033F"/>
    <w:rsid w:val="2A1662C1"/>
    <w:rsid w:val="2A1C7367"/>
    <w:rsid w:val="2A2815FA"/>
    <w:rsid w:val="2A6D6092"/>
    <w:rsid w:val="2A7D76B4"/>
    <w:rsid w:val="2B437463"/>
    <w:rsid w:val="2B7807EE"/>
    <w:rsid w:val="2B873341"/>
    <w:rsid w:val="2BA50BF7"/>
    <w:rsid w:val="2BBF00EC"/>
    <w:rsid w:val="2BC37CFD"/>
    <w:rsid w:val="2BD5237F"/>
    <w:rsid w:val="2BE536CE"/>
    <w:rsid w:val="2BE758D9"/>
    <w:rsid w:val="2C09049E"/>
    <w:rsid w:val="2C091017"/>
    <w:rsid w:val="2C0A653C"/>
    <w:rsid w:val="2C191F85"/>
    <w:rsid w:val="2C41044A"/>
    <w:rsid w:val="2C5956EF"/>
    <w:rsid w:val="2CE82D6F"/>
    <w:rsid w:val="2D343236"/>
    <w:rsid w:val="2DAD5E68"/>
    <w:rsid w:val="2DD15014"/>
    <w:rsid w:val="2DF61A6F"/>
    <w:rsid w:val="2DF72DE4"/>
    <w:rsid w:val="2E0220AF"/>
    <w:rsid w:val="2E4B082A"/>
    <w:rsid w:val="2E5D4E86"/>
    <w:rsid w:val="2E5D790B"/>
    <w:rsid w:val="2E9A3C18"/>
    <w:rsid w:val="2EBB0FEE"/>
    <w:rsid w:val="2EC63002"/>
    <w:rsid w:val="2F0A6B38"/>
    <w:rsid w:val="2F946CCB"/>
    <w:rsid w:val="2FB9384C"/>
    <w:rsid w:val="2FD25781"/>
    <w:rsid w:val="2FDC745C"/>
    <w:rsid w:val="2FFD7934"/>
    <w:rsid w:val="305D217F"/>
    <w:rsid w:val="30733ACD"/>
    <w:rsid w:val="308C3862"/>
    <w:rsid w:val="309379D8"/>
    <w:rsid w:val="30A270F7"/>
    <w:rsid w:val="30DF1478"/>
    <w:rsid w:val="30EC586F"/>
    <w:rsid w:val="312F2B4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7F92887"/>
    <w:rsid w:val="38296C89"/>
    <w:rsid w:val="383002EB"/>
    <w:rsid w:val="38586797"/>
    <w:rsid w:val="38BC0149"/>
    <w:rsid w:val="38D87D1C"/>
    <w:rsid w:val="39636459"/>
    <w:rsid w:val="396B7F6C"/>
    <w:rsid w:val="39B417A9"/>
    <w:rsid w:val="39FC5695"/>
    <w:rsid w:val="3A006D8E"/>
    <w:rsid w:val="3A204F94"/>
    <w:rsid w:val="3A3651E5"/>
    <w:rsid w:val="3A4F49E1"/>
    <w:rsid w:val="3A744481"/>
    <w:rsid w:val="3A8C7328"/>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02C0F"/>
    <w:rsid w:val="3D8734BB"/>
    <w:rsid w:val="3D9A11D4"/>
    <w:rsid w:val="3DA16D89"/>
    <w:rsid w:val="3DA364BE"/>
    <w:rsid w:val="3DE041CB"/>
    <w:rsid w:val="3E0D48F6"/>
    <w:rsid w:val="3E1868B4"/>
    <w:rsid w:val="3E377251"/>
    <w:rsid w:val="3E42664B"/>
    <w:rsid w:val="3E491747"/>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342D4"/>
    <w:rsid w:val="4019356B"/>
    <w:rsid w:val="40592157"/>
    <w:rsid w:val="406E1CAE"/>
    <w:rsid w:val="40A0133A"/>
    <w:rsid w:val="40C31A53"/>
    <w:rsid w:val="40FF545D"/>
    <w:rsid w:val="410067C8"/>
    <w:rsid w:val="415C3964"/>
    <w:rsid w:val="416176D3"/>
    <w:rsid w:val="418F0D2A"/>
    <w:rsid w:val="41D01505"/>
    <w:rsid w:val="42474939"/>
    <w:rsid w:val="424C3C57"/>
    <w:rsid w:val="42613FF3"/>
    <w:rsid w:val="42660D96"/>
    <w:rsid w:val="428667D2"/>
    <w:rsid w:val="429A6DBA"/>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14BB6"/>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6CC73B9"/>
    <w:rsid w:val="46E45F16"/>
    <w:rsid w:val="472B0583"/>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192DFD"/>
    <w:rsid w:val="495F5B3E"/>
    <w:rsid w:val="496F77D7"/>
    <w:rsid w:val="497654FD"/>
    <w:rsid w:val="499641C1"/>
    <w:rsid w:val="49B64211"/>
    <w:rsid w:val="49D41AAC"/>
    <w:rsid w:val="49F6167F"/>
    <w:rsid w:val="4A064FA0"/>
    <w:rsid w:val="4A16615C"/>
    <w:rsid w:val="4A4424D7"/>
    <w:rsid w:val="4AB82D0F"/>
    <w:rsid w:val="4AEB7664"/>
    <w:rsid w:val="4AFD7C19"/>
    <w:rsid w:val="4B0567D1"/>
    <w:rsid w:val="4B236AAE"/>
    <w:rsid w:val="4B2F799D"/>
    <w:rsid w:val="4B707271"/>
    <w:rsid w:val="4B9739F7"/>
    <w:rsid w:val="4BBA0128"/>
    <w:rsid w:val="4BC0573E"/>
    <w:rsid w:val="4BEE2503"/>
    <w:rsid w:val="4BF727EA"/>
    <w:rsid w:val="4C245A30"/>
    <w:rsid w:val="4CB6685F"/>
    <w:rsid w:val="4CC367FE"/>
    <w:rsid w:val="4CDD3589"/>
    <w:rsid w:val="4D077F3C"/>
    <w:rsid w:val="4D123355"/>
    <w:rsid w:val="4D2A3B31"/>
    <w:rsid w:val="4D312C52"/>
    <w:rsid w:val="4D8A0054"/>
    <w:rsid w:val="4D905305"/>
    <w:rsid w:val="4D964A72"/>
    <w:rsid w:val="4D9C1254"/>
    <w:rsid w:val="4D9E5B15"/>
    <w:rsid w:val="4E793892"/>
    <w:rsid w:val="4E800872"/>
    <w:rsid w:val="4EC569ED"/>
    <w:rsid w:val="4ED50EA1"/>
    <w:rsid w:val="4EEC050C"/>
    <w:rsid w:val="4F104EC3"/>
    <w:rsid w:val="4F47354A"/>
    <w:rsid w:val="4F6F068B"/>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1254B"/>
    <w:rsid w:val="51B7396D"/>
    <w:rsid w:val="522864EA"/>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8094F"/>
    <w:rsid w:val="558931E1"/>
    <w:rsid w:val="55923347"/>
    <w:rsid w:val="55925180"/>
    <w:rsid w:val="55983B1B"/>
    <w:rsid w:val="55A1785E"/>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87CDE"/>
    <w:rsid w:val="591E264C"/>
    <w:rsid w:val="595E1678"/>
    <w:rsid w:val="596D5BD4"/>
    <w:rsid w:val="597E3DD8"/>
    <w:rsid w:val="59F80043"/>
    <w:rsid w:val="5A09252F"/>
    <w:rsid w:val="5A0B2778"/>
    <w:rsid w:val="5A1826D9"/>
    <w:rsid w:val="5A2A7C7B"/>
    <w:rsid w:val="5A3E2560"/>
    <w:rsid w:val="5A5D3B6E"/>
    <w:rsid w:val="5A637A76"/>
    <w:rsid w:val="5A6D33BA"/>
    <w:rsid w:val="5A792B1F"/>
    <w:rsid w:val="5A874767"/>
    <w:rsid w:val="5A8E2EAB"/>
    <w:rsid w:val="5AA85BE2"/>
    <w:rsid w:val="5AAD6F28"/>
    <w:rsid w:val="5ABE2749"/>
    <w:rsid w:val="5AD63A24"/>
    <w:rsid w:val="5AE51A4D"/>
    <w:rsid w:val="5B2E1A1D"/>
    <w:rsid w:val="5B414B86"/>
    <w:rsid w:val="5B55095A"/>
    <w:rsid w:val="5B843A1C"/>
    <w:rsid w:val="5B873E3F"/>
    <w:rsid w:val="5C02690E"/>
    <w:rsid w:val="5C196DA7"/>
    <w:rsid w:val="5C2A048C"/>
    <w:rsid w:val="5C4D2220"/>
    <w:rsid w:val="5C80234E"/>
    <w:rsid w:val="5C8A680C"/>
    <w:rsid w:val="5CBE2338"/>
    <w:rsid w:val="5CD51922"/>
    <w:rsid w:val="5D0C4701"/>
    <w:rsid w:val="5D0F0395"/>
    <w:rsid w:val="5D122753"/>
    <w:rsid w:val="5D221076"/>
    <w:rsid w:val="5D301704"/>
    <w:rsid w:val="5D397964"/>
    <w:rsid w:val="5D5A391C"/>
    <w:rsid w:val="5D5F10C0"/>
    <w:rsid w:val="5D790E2F"/>
    <w:rsid w:val="5D891B7B"/>
    <w:rsid w:val="5DAD38EE"/>
    <w:rsid w:val="5E006862"/>
    <w:rsid w:val="5E0207B9"/>
    <w:rsid w:val="5E1834A1"/>
    <w:rsid w:val="5E261785"/>
    <w:rsid w:val="5E4A7017"/>
    <w:rsid w:val="5E552BBA"/>
    <w:rsid w:val="5E611C10"/>
    <w:rsid w:val="5E7A0F3F"/>
    <w:rsid w:val="5EB50353"/>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04AC"/>
    <w:rsid w:val="61F94C26"/>
    <w:rsid w:val="62000E56"/>
    <w:rsid w:val="624F3E49"/>
    <w:rsid w:val="62632286"/>
    <w:rsid w:val="62885958"/>
    <w:rsid w:val="62F40B65"/>
    <w:rsid w:val="62FC2CFE"/>
    <w:rsid w:val="63024505"/>
    <w:rsid w:val="63416D0D"/>
    <w:rsid w:val="635600A5"/>
    <w:rsid w:val="635B1DB5"/>
    <w:rsid w:val="63711FED"/>
    <w:rsid w:val="63880DDC"/>
    <w:rsid w:val="638D750D"/>
    <w:rsid w:val="63AC6CC0"/>
    <w:rsid w:val="63BD105C"/>
    <w:rsid w:val="63F23480"/>
    <w:rsid w:val="64055776"/>
    <w:rsid w:val="641F5B67"/>
    <w:rsid w:val="64240056"/>
    <w:rsid w:val="643E143A"/>
    <w:rsid w:val="644213CF"/>
    <w:rsid w:val="64491666"/>
    <w:rsid w:val="64854F4C"/>
    <w:rsid w:val="648B6EEF"/>
    <w:rsid w:val="64C158BF"/>
    <w:rsid w:val="64CE2EAA"/>
    <w:rsid w:val="653C3090"/>
    <w:rsid w:val="65854376"/>
    <w:rsid w:val="658767BE"/>
    <w:rsid w:val="65892531"/>
    <w:rsid w:val="65904188"/>
    <w:rsid w:val="66195831"/>
    <w:rsid w:val="662E75B1"/>
    <w:rsid w:val="66342C2E"/>
    <w:rsid w:val="663E784C"/>
    <w:rsid w:val="665335DB"/>
    <w:rsid w:val="668B6A45"/>
    <w:rsid w:val="66A92084"/>
    <w:rsid w:val="66EF5C79"/>
    <w:rsid w:val="67112C4A"/>
    <w:rsid w:val="672F3F24"/>
    <w:rsid w:val="673E055F"/>
    <w:rsid w:val="67551CE3"/>
    <w:rsid w:val="67A22552"/>
    <w:rsid w:val="67A5353F"/>
    <w:rsid w:val="67B22DCC"/>
    <w:rsid w:val="67BE71AA"/>
    <w:rsid w:val="67CF7323"/>
    <w:rsid w:val="67D90273"/>
    <w:rsid w:val="67DE5875"/>
    <w:rsid w:val="67E4012B"/>
    <w:rsid w:val="67E55852"/>
    <w:rsid w:val="67EB1AB4"/>
    <w:rsid w:val="67FA1285"/>
    <w:rsid w:val="681C544B"/>
    <w:rsid w:val="6832131A"/>
    <w:rsid w:val="68551F4F"/>
    <w:rsid w:val="687C10C9"/>
    <w:rsid w:val="68840C16"/>
    <w:rsid w:val="68876EFB"/>
    <w:rsid w:val="68884654"/>
    <w:rsid w:val="689F444F"/>
    <w:rsid w:val="68B96DBB"/>
    <w:rsid w:val="68CA2805"/>
    <w:rsid w:val="68E5638C"/>
    <w:rsid w:val="68E937A3"/>
    <w:rsid w:val="68FB149A"/>
    <w:rsid w:val="69321A7A"/>
    <w:rsid w:val="693E15D3"/>
    <w:rsid w:val="69627681"/>
    <w:rsid w:val="696604FE"/>
    <w:rsid w:val="6977531D"/>
    <w:rsid w:val="69CC2BFF"/>
    <w:rsid w:val="69FD55B8"/>
    <w:rsid w:val="6A0B1C62"/>
    <w:rsid w:val="6A2406C8"/>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CFC7FBF"/>
    <w:rsid w:val="6D167928"/>
    <w:rsid w:val="6D26299B"/>
    <w:rsid w:val="6D4772EC"/>
    <w:rsid w:val="6D9078AF"/>
    <w:rsid w:val="6DAA3FEF"/>
    <w:rsid w:val="6DC0172B"/>
    <w:rsid w:val="6DCB690C"/>
    <w:rsid w:val="6DD41A5B"/>
    <w:rsid w:val="6DF43C2E"/>
    <w:rsid w:val="6DF51CA3"/>
    <w:rsid w:val="6E0B0643"/>
    <w:rsid w:val="6E8335BD"/>
    <w:rsid w:val="6E8E12EF"/>
    <w:rsid w:val="6E972936"/>
    <w:rsid w:val="6ED446C5"/>
    <w:rsid w:val="6F2A7D94"/>
    <w:rsid w:val="6F4A3C95"/>
    <w:rsid w:val="6F8331F1"/>
    <w:rsid w:val="6FAE1A09"/>
    <w:rsid w:val="6FD75BF8"/>
    <w:rsid w:val="7036127C"/>
    <w:rsid w:val="707723D0"/>
    <w:rsid w:val="70F5661B"/>
    <w:rsid w:val="71360107"/>
    <w:rsid w:val="713B688E"/>
    <w:rsid w:val="7148279F"/>
    <w:rsid w:val="71D43752"/>
    <w:rsid w:val="71F1796A"/>
    <w:rsid w:val="71FB63D5"/>
    <w:rsid w:val="72154626"/>
    <w:rsid w:val="72262B5D"/>
    <w:rsid w:val="72283FF7"/>
    <w:rsid w:val="722E7212"/>
    <w:rsid w:val="723A0474"/>
    <w:rsid w:val="725923E4"/>
    <w:rsid w:val="725F1977"/>
    <w:rsid w:val="72864BF7"/>
    <w:rsid w:val="729023FC"/>
    <w:rsid w:val="72AE7FBF"/>
    <w:rsid w:val="72F61B01"/>
    <w:rsid w:val="737B231D"/>
    <w:rsid w:val="738D1267"/>
    <w:rsid w:val="73C0646E"/>
    <w:rsid w:val="742222F5"/>
    <w:rsid w:val="74476126"/>
    <w:rsid w:val="74630D9E"/>
    <w:rsid w:val="74706664"/>
    <w:rsid w:val="747F3682"/>
    <w:rsid w:val="749C4185"/>
    <w:rsid w:val="75067759"/>
    <w:rsid w:val="7529591A"/>
    <w:rsid w:val="752E6DCD"/>
    <w:rsid w:val="7551380D"/>
    <w:rsid w:val="755D394A"/>
    <w:rsid w:val="75600BE5"/>
    <w:rsid w:val="7564475C"/>
    <w:rsid w:val="7583797F"/>
    <w:rsid w:val="75D20F1D"/>
    <w:rsid w:val="75DA2C18"/>
    <w:rsid w:val="75F54412"/>
    <w:rsid w:val="760E18BF"/>
    <w:rsid w:val="761D08E0"/>
    <w:rsid w:val="762C55B7"/>
    <w:rsid w:val="765D347C"/>
    <w:rsid w:val="76826699"/>
    <w:rsid w:val="76A428D2"/>
    <w:rsid w:val="76C87133"/>
    <w:rsid w:val="76CD08D5"/>
    <w:rsid w:val="76D161A2"/>
    <w:rsid w:val="76DB4B92"/>
    <w:rsid w:val="77052AA4"/>
    <w:rsid w:val="77136511"/>
    <w:rsid w:val="77340A39"/>
    <w:rsid w:val="77351FD0"/>
    <w:rsid w:val="77472422"/>
    <w:rsid w:val="777F31F2"/>
    <w:rsid w:val="77C611B1"/>
    <w:rsid w:val="77D1700D"/>
    <w:rsid w:val="77EC04CC"/>
    <w:rsid w:val="77F71C38"/>
    <w:rsid w:val="77FF22CF"/>
    <w:rsid w:val="78775729"/>
    <w:rsid w:val="78A42DB0"/>
    <w:rsid w:val="78A656AB"/>
    <w:rsid w:val="78B2245C"/>
    <w:rsid w:val="78E172CC"/>
    <w:rsid w:val="78EA1D1F"/>
    <w:rsid w:val="79036DC3"/>
    <w:rsid w:val="7904172F"/>
    <w:rsid w:val="790F7E27"/>
    <w:rsid w:val="792A231A"/>
    <w:rsid w:val="79316829"/>
    <w:rsid w:val="797E66A9"/>
    <w:rsid w:val="798518A4"/>
    <w:rsid w:val="79A97383"/>
    <w:rsid w:val="79CF3C20"/>
    <w:rsid w:val="79E27E8B"/>
    <w:rsid w:val="79F850CE"/>
    <w:rsid w:val="79FD443C"/>
    <w:rsid w:val="7A1D1975"/>
    <w:rsid w:val="7A3E5150"/>
    <w:rsid w:val="7A4670D6"/>
    <w:rsid w:val="7A534B63"/>
    <w:rsid w:val="7A615382"/>
    <w:rsid w:val="7A67303B"/>
    <w:rsid w:val="7AAB1D04"/>
    <w:rsid w:val="7ABA4368"/>
    <w:rsid w:val="7AD05746"/>
    <w:rsid w:val="7ADE52E4"/>
    <w:rsid w:val="7B257FFD"/>
    <w:rsid w:val="7B343476"/>
    <w:rsid w:val="7B4A02D1"/>
    <w:rsid w:val="7B5A2978"/>
    <w:rsid w:val="7B5A7E4C"/>
    <w:rsid w:val="7B667AF9"/>
    <w:rsid w:val="7B7468F8"/>
    <w:rsid w:val="7BAF3731"/>
    <w:rsid w:val="7BEE0103"/>
    <w:rsid w:val="7C07367D"/>
    <w:rsid w:val="7C0A0FE4"/>
    <w:rsid w:val="7C254906"/>
    <w:rsid w:val="7C590818"/>
    <w:rsid w:val="7C7C10F6"/>
    <w:rsid w:val="7C853BEA"/>
    <w:rsid w:val="7C881368"/>
    <w:rsid w:val="7CD564F7"/>
    <w:rsid w:val="7CE27788"/>
    <w:rsid w:val="7D0C32F1"/>
    <w:rsid w:val="7D0F408D"/>
    <w:rsid w:val="7D491C6C"/>
    <w:rsid w:val="7D5429C0"/>
    <w:rsid w:val="7D6E6D43"/>
    <w:rsid w:val="7D7A3FCC"/>
    <w:rsid w:val="7DB57A34"/>
    <w:rsid w:val="7DC16CD6"/>
    <w:rsid w:val="7DE60973"/>
    <w:rsid w:val="7DEF0916"/>
    <w:rsid w:val="7E1E5218"/>
    <w:rsid w:val="7E6C679B"/>
    <w:rsid w:val="7E9A4E1F"/>
    <w:rsid w:val="7EA7723A"/>
    <w:rsid w:val="7EF56FBB"/>
    <w:rsid w:val="7F0768EB"/>
    <w:rsid w:val="7F143BEC"/>
    <w:rsid w:val="7F362021"/>
    <w:rsid w:val="7F715AF2"/>
    <w:rsid w:val="7F7B47F9"/>
    <w:rsid w:val="7F886E69"/>
    <w:rsid w:val="7FBA5A25"/>
    <w:rsid w:val="BB7FA927"/>
    <w:rsid w:val="DEBB0D1F"/>
    <w:rsid w:val="EFF72F48"/>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snapToGrid w:val="0"/>
      <w:spacing w:line="360" w:lineRule="auto"/>
      <w:jc w:val="left"/>
      <w:outlineLvl w:val="1"/>
    </w:pPr>
    <w:rPr>
      <w:rFonts w:ascii="仿宋_GB2312" w:hAnsi="仿宋_GB2312"/>
      <w:b/>
      <w:bCs/>
      <w:sz w:val="24"/>
      <w:szCs w:val="32"/>
      <w:lang w:val="zh-CN"/>
    </w:rPr>
  </w:style>
  <w:style w:type="paragraph" w:styleId="8">
    <w:name w:val="heading 3"/>
    <w:basedOn w:val="1"/>
    <w:next w:val="9"/>
    <w:qFormat/>
    <w:uiPriority w:val="0"/>
    <w:pPr>
      <w:keepNext/>
      <w:keepLines/>
      <w:tabs>
        <w:tab w:val="left" w:pos="900"/>
      </w:tabs>
      <w:snapToGrid w:val="0"/>
      <w:spacing w:line="360" w:lineRule="auto"/>
      <w:jc w:val="left"/>
      <w:outlineLvl w:val="2"/>
    </w:pPr>
    <w:rPr>
      <w:b/>
      <w:bCs/>
      <w:sz w:val="24"/>
      <w:szCs w:val="32"/>
    </w:rPr>
  </w:style>
  <w:style w:type="paragraph" w:styleId="10">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0"/>
    <w:qFormat/>
    <w:uiPriority w:val="0"/>
    <w:pPr>
      <w:ind w:firstLine="420"/>
    </w:pPr>
    <w:rPr>
      <w:rFonts w:hAnsi="Calibri" w:cs="Times New Roman"/>
      <w:snapToGrid/>
      <w:szCs w:val="20"/>
    </w:rPr>
  </w:style>
  <w:style w:type="paragraph" w:styleId="3">
    <w:name w:val="Body Text"/>
    <w:basedOn w:val="1"/>
    <w:next w:val="4"/>
    <w:link w:val="429"/>
    <w:qFormat/>
    <w:uiPriority w:val="0"/>
    <w:pPr>
      <w:autoSpaceDE w:val="0"/>
      <w:autoSpaceDN w:val="0"/>
      <w:spacing w:line="360" w:lineRule="auto"/>
    </w:pPr>
    <w:rPr>
      <w:rFonts w:ascii="宋体" w:hAnsi="Arial" w:cs="Arial"/>
      <w:snapToGrid w:val="0"/>
      <w:sz w:val="24"/>
      <w:szCs w:val="21"/>
      <w:lang w:val="zh-CN"/>
    </w:rPr>
  </w:style>
  <w:style w:type="paragraph" w:customStyle="1" w:styleId="4">
    <w:name w:val="Default"/>
    <w:next w:val="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28"/>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1"/>
    <w:qFormat/>
    <w:uiPriority w:val="0"/>
    <w:pPr>
      <w:shd w:val="clear" w:color="auto" w:fill="000080"/>
    </w:pPr>
  </w:style>
  <w:style w:type="paragraph" w:styleId="23">
    <w:name w:val="annotation text"/>
    <w:basedOn w:val="1"/>
    <w:link w:val="343"/>
    <w:qFormat/>
    <w:uiPriority w:val="99"/>
    <w:pPr>
      <w:jc w:val="left"/>
    </w:pPr>
  </w:style>
  <w:style w:type="paragraph" w:styleId="24">
    <w:name w:val="Salutation"/>
    <w:basedOn w:val="1"/>
    <w:next w:val="1"/>
    <w:link w:val="297"/>
    <w:qFormat/>
    <w:uiPriority w:val="0"/>
    <w:rPr>
      <w:rFonts w:ascii="仿宋_GB2312" w:eastAsia="仿宋_GB2312"/>
      <w:sz w:val="28"/>
      <w:szCs w:val="20"/>
    </w:rPr>
  </w:style>
  <w:style w:type="paragraph" w:styleId="25">
    <w:name w:val="Body Text 3"/>
    <w:basedOn w:val="1"/>
    <w:link w:val="329"/>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9"/>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9"/>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95"/>
    <w:qFormat/>
    <w:uiPriority w:val="0"/>
    <w:rPr>
      <w:b/>
      <w:bCs/>
    </w:rPr>
  </w:style>
  <w:style w:type="paragraph" w:styleId="63">
    <w:name w:val="Body Text First Indent 2"/>
    <w:basedOn w:val="27"/>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2"/>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7"/>
    <w:link w:val="169"/>
    <w:qFormat/>
    <w:uiPriority w:val="0"/>
    <w:pPr>
      <w:spacing w:before="240" w:after="240" w:line="240" w:lineRule="auto"/>
      <w:jc w:val="center"/>
    </w:pPr>
    <w:rPr>
      <w:rFonts w:ascii="Calibri" w:hAnsi="Calibri"/>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8"/>
    <w:qFormat/>
    <w:uiPriority w:val="0"/>
    <w:rPr>
      <w:rFonts w:ascii="宋体"/>
      <w:kern w:val="2"/>
      <w:sz w:val="24"/>
      <w:szCs w:val="21"/>
      <w:lang w:val="zh-CN"/>
    </w:rPr>
  </w:style>
  <w:style w:type="character" w:customStyle="1" w:styleId="181">
    <w:name w:val="标题 9 Char"/>
    <w:link w:val="15"/>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9"/>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8"/>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2"/>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10"/>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20"/>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4"/>
    <w:qFormat/>
    <w:uiPriority w:val="0"/>
    <w:rPr>
      <w:rFonts w:ascii="仿宋_GB2312"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6"/>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11"/>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4"/>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10"/>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3"/>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10"/>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5"/>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3"/>
    <w:qFormat/>
    <w:uiPriority w:val="99"/>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4"/>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9"/>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10"/>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7"/>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7"/>
    <w:qFormat/>
    <w:uiPriority w:val="0"/>
    <w:pPr>
      <w:widowControl/>
      <w:spacing w:before="360" w:after="360" w:line="240" w:lineRule="atLeast"/>
    </w:pPr>
    <w:rPr>
      <w:rFonts w:ascii="宋体" w:hAnsi="Arial"/>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7"/>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8"/>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1"/>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8"/>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10"/>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7"/>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4"/>
    <w:next w:val="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4"/>
    <w:next w:val="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8"/>
    <w:qFormat/>
    <w:uiPriority w:val="0"/>
    <w:pPr>
      <w:adjustRightInd/>
      <w:spacing w:before="200" w:after="200" w:line="560" w:lineRule="exac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8"/>
    <w:qFormat/>
    <w:uiPriority w:val="0"/>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6"/>
    <w:qFormat/>
    <w:uiPriority w:val="0"/>
    <w:pPr>
      <w:tabs>
        <w:tab w:val="left" w:pos="840"/>
      </w:tabs>
      <w:adjustRightInd/>
      <w:ind w:left="840" w:hanging="420"/>
    </w:pPr>
  </w:style>
  <w:style w:type="paragraph" w:customStyle="1" w:styleId="625">
    <w:name w:val="样式 标题 2标题2H2Heading 2 HiddenHeading 2 CCBSheading 22nd lev..."/>
    <w:basedOn w:val="7"/>
    <w:qFormat/>
    <w:uiPriority w:val="0"/>
    <w:pPr>
      <w:widowControl/>
      <w:spacing w:before="260" w:after="260" w:line="416" w:lineRule="auto"/>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7"/>
    <w:next w:val="1"/>
    <w:qFormat/>
    <w:uiPriority w:val="0"/>
    <w:pPr>
      <w:tabs>
        <w:tab w:val="left" w:pos="480"/>
      </w:tabs>
      <w:ind w:left="480" w:hanging="480"/>
    </w:pPr>
    <w:rPr>
      <w:rFonts w:ascii="Times New Roman"/>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10"/>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7"/>
    <w:qFormat/>
    <w:uiPriority w:val="0"/>
    <w:pPr>
      <w:spacing w:before="120" w:after="120"/>
      <w:jc w:val="both"/>
    </w:pPr>
    <w:rPr>
      <w:rFonts w:ascii="宋体" w:hAnsi="Arial"/>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8"/>
    <w:qFormat/>
    <w:uiPriority w:val="0"/>
    <w:pPr>
      <w:keepLines w:val="0"/>
      <w:spacing w:line="240" w:lineRule="auto"/>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8"/>
    <w:next w:val="55"/>
    <w:qFormat/>
    <w:uiPriority w:val="0"/>
    <w:pPr>
      <w:tabs>
        <w:tab w:val="clear" w:pos="900"/>
      </w:tabs>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8"/>
    <w:qFormat/>
    <w:uiPriority w:val="0"/>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8"/>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0">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1"/>
    <w:next w:val="1"/>
    <w:qFormat/>
    <w:uiPriority w:val="0"/>
    <w:pPr>
      <w:tabs>
        <w:tab w:val="left" w:pos="1080"/>
      </w:tabs>
      <w:ind w:left="1080" w:hanging="1080"/>
    </w:pPr>
  </w:style>
  <w:style w:type="paragraph" w:customStyle="1" w:styleId="896">
    <w:name w:val="数字标题1"/>
    <w:basedOn w:val="6"/>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7"/>
    <w:qFormat/>
    <w:uiPriority w:val="0"/>
    <w:pPr>
      <w:tabs>
        <w:tab w:val="clear" w:pos="432"/>
      </w:tabs>
      <w:spacing w:before="160" w:after="160" w:line="720" w:lineRule="exact"/>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7"/>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中文正文、"/>
    <w:basedOn w:val="1"/>
    <w:qFormat/>
    <w:uiPriority w:val="0"/>
    <w:pPr>
      <w:spacing w:line="360" w:lineRule="auto"/>
      <w:ind w:firstLine="420" w:firstLineChars="200"/>
      <w:jc w:val="left"/>
    </w:pPr>
    <w:rPr>
      <w:rFonts w:asciiTheme="minorHAnsi" w:hAnsiTheme="minorHAnsi" w:eastAsiaTheme="minorEastAsia" w:cstheme="minorBidi"/>
      <w:szCs w:val="22"/>
    </w:rPr>
  </w:style>
  <w:style w:type="paragraph" w:customStyle="1" w:styleId="967">
    <w:name w:val="WPSOffice手动目录 1"/>
    <w:qFormat/>
    <w:uiPriority w:val="0"/>
    <w:pPr>
      <w:ind w:leftChars="0"/>
    </w:pPr>
    <w:rPr>
      <w:rFonts w:ascii="Times New Roman" w:hAnsi="Times New Roman" w:eastAsia="宋体" w:cs="Times New Roman"/>
      <w:sz w:val="20"/>
      <w:szCs w:val="20"/>
    </w:rPr>
  </w:style>
  <w:style w:type="paragraph" w:customStyle="1" w:styleId="968">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styleId="969">
    <w:name w:val="List Paragraph"/>
    <w:basedOn w:val="1"/>
    <w:qFormat/>
    <w:uiPriority w:val="34"/>
    <w:pPr>
      <w:ind w:firstLine="200" w:firstLineChars="200"/>
    </w:pPr>
    <w:rPr>
      <w:rFonts w:eastAsia="楷体_GB2312" w:cs="Lucida S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15447</Words>
  <Characters>16596</Characters>
  <Lines>250</Lines>
  <Paragraphs>70</Paragraphs>
  <TotalTime>34</TotalTime>
  <ScaleCrop>false</ScaleCrop>
  <LinksUpToDate>false</LinksUpToDate>
  <CharactersWithSpaces>16762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繁华终易逝</cp:lastModifiedBy>
  <cp:lastPrinted>2025-04-10T07:27:00Z</cp:lastPrinted>
  <dcterms:modified xsi:type="dcterms:W3CDTF">2025-07-02T07:14:13Z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68B800E02F3346CD8AB512605AAE7197_13</vt:lpwstr>
  </property>
  <property fmtid="{D5CDD505-2E9C-101B-9397-08002B2CF9AE}" pid="5" name="commondata">
    <vt:lpwstr>eyJoZGlkIjoiNGNlMmFkMDQ1NDY0ZmRiM2Q0NjY4NTFjN2IwMTllYjMifQ==</vt:lpwstr>
  </property>
  <property fmtid="{D5CDD505-2E9C-101B-9397-08002B2CF9AE}" pid="6" name="KSOTemplateDocerSaveRecord">
    <vt:lpwstr>eyJoZGlkIjoiMWJkNjM2NmU4MmEzYzg1MDY4MjMzNTY1YjQwMzhkMTYiLCJ1c2VySWQiOiIzNTc0MjA0ODEifQ==</vt:lpwstr>
  </property>
</Properties>
</file>