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06539">
      <w:pPr>
        <w:shd w:val="clear"/>
        <w:spacing w:line="360" w:lineRule="auto"/>
        <w:jc w:val="center"/>
        <w:rPr>
          <w:rFonts w:ascii="宋体" w:hAnsi="宋体" w:cs="宋体"/>
          <w:b/>
          <w:color w:val="auto"/>
          <w:sz w:val="24"/>
          <w:highlight w:val="none"/>
        </w:rPr>
      </w:pPr>
    </w:p>
    <w:p w14:paraId="4FE6F865">
      <w:pPr>
        <w:shd w:val="clear"/>
        <w:spacing w:line="360" w:lineRule="auto"/>
        <w:jc w:val="center"/>
        <w:rPr>
          <w:rFonts w:ascii="宋体" w:hAnsi="宋体" w:cs="宋体"/>
          <w:b/>
          <w:color w:val="auto"/>
          <w:sz w:val="24"/>
          <w:highlight w:val="none"/>
        </w:rPr>
      </w:pPr>
    </w:p>
    <w:p w14:paraId="52106D7C">
      <w:pPr>
        <w:shd w:val="clear"/>
        <w:adjustRightInd/>
        <w:spacing w:line="360" w:lineRule="auto"/>
        <w:jc w:val="center"/>
        <w:rPr>
          <w:rFonts w:ascii="宋体" w:hAnsi="宋体" w:cs="宋体"/>
          <w:b/>
          <w:color w:val="auto"/>
          <w:sz w:val="44"/>
          <w:szCs w:val="44"/>
          <w:highlight w:val="none"/>
        </w:rPr>
      </w:pPr>
    </w:p>
    <w:p w14:paraId="3F643429">
      <w:pPr>
        <w:shd w:val="clea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浙江同济科技职业学院</w:t>
      </w:r>
    </w:p>
    <w:p w14:paraId="63327925">
      <w:pPr>
        <w:shd w:val="clear"/>
        <w:adjustRightInd/>
        <w:spacing w:line="360" w:lineRule="auto"/>
        <w:jc w:val="center"/>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lang w:eastAsia="zh-CN"/>
        </w:rPr>
        <w:t>智能节水系统安装与运维综合实训平台</w:t>
      </w:r>
    </w:p>
    <w:p w14:paraId="2B6A6702">
      <w:pPr>
        <w:shd w:val="clea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公开招标</w:t>
      </w:r>
      <w:r>
        <w:rPr>
          <w:rFonts w:hint="eastAsia" w:ascii="宋体" w:hAnsi="宋体" w:cs="宋体"/>
          <w:color w:val="auto"/>
          <w:sz w:val="48"/>
          <w:szCs w:val="48"/>
          <w:highlight w:val="none"/>
        </w:rPr>
        <w:t>招标文件</w:t>
      </w:r>
    </w:p>
    <w:p w14:paraId="581C5205">
      <w:pPr>
        <w:shd w:val="clea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7294FEA4">
      <w:pPr>
        <w:shd w:val="clea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ZXZB-TJ-2025004G</w:t>
      </w:r>
    </w:p>
    <w:p w14:paraId="190C15FE">
      <w:pPr>
        <w:shd w:val="clear"/>
        <w:adjustRightInd/>
        <w:spacing w:line="360" w:lineRule="auto"/>
        <w:rPr>
          <w:rFonts w:ascii="宋体" w:hAnsi="宋体" w:cs="宋体"/>
          <w:color w:val="auto"/>
          <w:sz w:val="28"/>
          <w:szCs w:val="20"/>
          <w:highlight w:val="none"/>
        </w:rPr>
      </w:pPr>
    </w:p>
    <w:p w14:paraId="4F6CB75E">
      <w:pPr>
        <w:shd w:val="clear"/>
        <w:spacing w:line="360" w:lineRule="auto"/>
        <w:jc w:val="center"/>
        <w:rPr>
          <w:rFonts w:ascii="宋体" w:hAnsi="宋体" w:cs="宋体"/>
          <w:b/>
          <w:color w:val="auto"/>
          <w:sz w:val="44"/>
          <w:szCs w:val="44"/>
          <w:highlight w:val="none"/>
        </w:rPr>
      </w:pPr>
    </w:p>
    <w:p w14:paraId="45F1BDE4">
      <w:pPr>
        <w:shd w:val="clear"/>
        <w:spacing w:line="360" w:lineRule="auto"/>
        <w:jc w:val="center"/>
        <w:rPr>
          <w:rFonts w:ascii="宋体" w:hAnsi="宋体" w:cs="宋体"/>
          <w:b/>
          <w:color w:val="auto"/>
          <w:sz w:val="44"/>
          <w:szCs w:val="44"/>
          <w:highlight w:val="none"/>
        </w:rPr>
      </w:pPr>
    </w:p>
    <w:p w14:paraId="41126EC2">
      <w:pPr>
        <w:shd w:val="clear"/>
        <w:spacing w:line="360" w:lineRule="auto"/>
        <w:jc w:val="center"/>
        <w:rPr>
          <w:rFonts w:ascii="宋体" w:hAnsi="宋体" w:cs="宋体"/>
          <w:color w:val="auto"/>
          <w:sz w:val="24"/>
          <w:highlight w:val="none"/>
        </w:rPr>
      </w:pPr>
    </w:p>
    <w:p w14:paraId="2839D820">
      <w:pPr>
        <w:shd w:val="clear"/>
        <w:spacing w:line="360" w:lineRule="auto"/>
        <w:jc w:val="center"/>
        <w:rPr>
          <w:rFonts w:ascii="宋体" w:hAnsi="宋体" w:cs="宋体"/>
          <w:color w:val="auto"/>
          <w:sz w:val="24"/>
          <w:highlight w:val="none"/>
        </w:rPr>
      </w:pPr>
    </w:p>
    <w:p w14:paraId="33780B2E">
      <w:pPr>
        <w:shd w:val="clear"/>
        <w:spacing w:line="360" w:lineRule="auto"/>
        <w:rPr>
          <w:rFonts w:ascii="宋体" w:hAnsi="宋体" w:cs="宋体"/>
          <w:color w:val="auto"/>
          <w:sz w:val="32"/>
          <w:szCs w:val="32"/>
          <w:highlight w:val="none"/>
        </w:rPr>
      </w:pPr>
    </w:p>
    <w:p w14:paraId="06013007">
      <w:pPr>
        <w:shd w:val="clea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浙江同济科技职业学院</w:t>
      </w:r>
    </w:p>
    <w:p w14:paraId="1A2BAD8B">
      <w:pPr>
        <w:shd w:val="clea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浙江致信招标代理有限公司</w:t>
      </w:r>
    </w:p>
    <w:p w14:paraId="12E905A9">
      <w:pPr>
        <w:shd w:val="clea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lang w:eastAsia="zh-CN"/>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p>
    <w:p w14:paraId="4E2F33C8">
      <w:pPr>
        <w:shd w:val="clear"/>
        <w:spacing w:line="360" w:lineRule="auto"/>
        <w:jc w:val="center"/>
        <w:rPr>
          <w:rFonts w:ascii="宋体" w:hAnsi="宋体" w:cs="宋体"/>
          <w:color w:val="auto"/>
          <w:sz w:val="24"/>
          <w:highlight w:val="none"/>
        </w:rPr>
      </w:pPr>
      <w:bookmarkStart w:id="0" w:name="_Hlt67893495"/>
      <w:bookmarkEnd w:id="0"/>
      <w:r>
        <w:rPr>
          <w:rFonts w:hint="eastAsia" w:ascii="宋体" w:hAnsi="宋体" w:cs="宋体"/>
          <w:color w:val="auto"/>
          <w:sz w:val="24"/>
          <w:highlight w:val="none"/>
        </w:rPr>
        <w:br w:type="page"/>
      </w:r>
    </w:p>
    <w:p w14:paraId="50565E21">
      <w:pPr>
        <w:shd w:val="clear"/>
        <w:spacing w:line="360" w:lineRule="auto"/>
        <w:jc w:val="center"/>
        <w:rPr>
          <w:rFonts w:ascii="宋体" w:hAnsi="宋体" w:cs="宋体"/>
          <w:color w:val="auto"/>
          <w:sz w:val="24"/>
          <w:highlight w:val="none"/>
        </w:rPr>
      </w:pPr>
    </w:p>
    <w:p w14:paraId="0F0619B9">
      <w:pPr>
        <w:shd w:val="clea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C1ACD08">
      <w:pPr>
        <w:shd w:val="clear"/>
        <w:spacing w:line="360" w:lineRule="auto"/>
        <w:rPr>
          <w:rFonts w:ascii="宋体" w:hAnsi="宋体" w:cs="宋体"/>
          <w:color w:val="auto"/>
          <w:sz w:val="32"/>
          <w:szCs w:val="32"/>
          <w:highlight w:val="none"/>
        </w:rPr>
      </w:pPr>
    </w:p>
    <w:p w14:paraId="00981EBA">
      <w:pPr>
        <w:shd w:val="clear"/>
        <w:spacing w:line="360" w:lineRule="auto"/>
        <w:rPr>
          <w:rFonts w:ascii="宋体" w:hAnsi="宋体" w:cs="宋体"/>
          <w:color w:val="auto"/>
          <w:sz w:val="32"/>
          <w:szCs w:val="32"/>
          <w:highlight w:val="none"/>
        </w:rPr>
      </w:pPr>
    </w:p>
    <w:p w14:paraId="61618754">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4279730">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3BC60AD">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DC67828">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42C2528">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DEA3A98">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ABF89B2">
      <w:pPr>
        <w:shd w:val="clea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BED34A3">
      <w:pPr>
        <w:shd w:val="clear"/>
        <w:spacing w:line="360" w:lineRule="auto"/>
        <w:ind w:firstLine="549" w:firstLineChars="229"/>
        <w:rPr>
          <w:rFonts w:ascii="宋体" w:hAnsi="宋体" w:cs="宋体"/>
          <w:color w:val="auto"/>
          <w:sz w:val="24"/>
          <w:highlight w:val="none"/>
        </w:rPr>
      </w:pPr>
    </w:p>
    <w:p w14:paraId="7537850B">
      <w:pPr>
        <w:shd w:val="clear"/>
        <w:spacing w:line="360" w:lineRule="auto"/>
        <w:ind w:firstLine="549" w:firstLineChars="229"/>
        <w:rPr>
          <w:rFonts w:ascii="宋体" w:hAnsi="宋体" w:cs="宋体"/>
          <w:color w:val="auto"/>
          <w:sz w:val="24"/>
          <w:highlight w:val="none"/>
        </w:rPr>
      </w:pPr>
    </w:p>
    <w:p w14:paraId="2FB0DF01">
      <w:pPr>
        <w:shd w:val="clear"/>
        <w:spacing w:line="360" w:lineRule="auto"/>
        <w:ind w:firstLine="549" w:firstLineChars="229"/>
        <w:rPr>
          <w:rFonts w:ascii="宋体" w:hAnsi="宋体" w:cs="宋体"/>
          <w:color w:val="auto"/>
          <w:sz w:val="24"/>
          <w:highlight w:val="none"/>
        </w:rPr>
      </w:pPr>
    </w:p>
    <w:p w14:paraId="078BD501">
      <w:pPr>
        <w:shd w:val="clear"/>
        <w:spacing w:line="360" w:lineRule="auto"/>
        <w:ind w:firstLine="549" w:firstLineChars="229"/>
        <w:rPr>
          <w:rFonts w:ascii="宋体" w:hAnsi="宋体" w:cs="宋体"/>
          <w:color w:val="auto"/>
          <w:sz w:val="24"/>
          <w:highlight w:val="none"/>
        </w:rPr>
      </w:pPr>
    </w:p>
    <w:p w14:paraId="7A2E0BBE">
      <w:pPr>
        <w:shd w:val="clear"/>
        <w:spacing w:line="360" w:lineRule="auto"/>
        <w:ind w:firstLine="549" w:firstLineChars="229"/>
        <w:rPr>
          <w:rFonts w:ascii="宋体" w:hAnsi="宋体" w:cs="宋体"/>
          <w:color w:val="auto"/>
          <w:sz w:val="24"/>
          <w:highlight w:val="none"/>
        </w:rPr>
      </w:pPr>
    </w:p>
    <w:p w14:paraId="15F49964">
      <w:pPr>
        <w:shd w:val="clear"/>
        <w:spacing w:line="360" w:lineRule="auto"/>
        <w:ind w:firstLine="549" w:firstLineChars="229"/>
        <w:rPr>
          <w:rFonts w:ascii="宋体" w:hAnsi="宋体" w:cs="宋体"/>
          <w:color w:val="auto"/>
          <w:sz w:val="24"/>
          <w:highlight w:val="none"/>
        </w:rPr>
      </w:pPr>
    </w:p>
    <w:p w14:paraId="3634F09D">
      <w:pPr>
        <w:shd w:val="clear"/>
        <w:spacing w:line="360" w:lineRule="auto"/>
        <w:ind w:firstLine="549" w:firstLineChars="229"/>
        <w:rPr>
          <w:rFonts w:ascii="宋体" w:hAnsi="宋体" w:cs="宋体"/>
          <w:color w:val="auto"/>
          <w:sz w:val="24"/>
          <w:highlight w:val="none"/>
        </w:rPr>
      </w:pPr>
    </w:p>
    <w:p w14:paraId="382ED199">
      <w:pPr>
        <w:shd w:val="clear"/>
        <w:spacing w:line="360" w:lineRule="auto"/>
        <w:ind w:firstLine="549" w:firstLineChars="229"/>
        <w:rPr>
          <w:rFonts w:ascii="宋体" w:hAnsi="宋体" w:cs="宋体"/>
          <w:color w:val="auto"/>
          <w:sz w:val="24"/>
          <w:highlight w:val="none"/>
        </w:rPr>
      </w:pPr>
    </w:p>
    <w:p w14:paraId="26AAA1EB">
      <w:pPr>
        <w:shd w:val="clear"/>
        <w:spacing w:line="360" w:lineRule="auto"/>
        <w:ind w:firstLine="549" w:firstLineChars="229"/>
        <w:rPr>
          <w:rFonts w:ascii="宋体" w:hAnsi="宋体" w:cs="宋体"/>
          <w:color w:val="auto"/>
          <w:sz w:val="24"/>
          <w:highlight w:val="none"/>
        </w:rPr>
      </w:pPr>
    </w:p>
    <w:p w14:paraId="59303DE3">
      <w:pPr>
        <w:shd w:val="clear"/>
        <w:spacing w:line="360" w:lineRule="auto"/>
        <w:ind w:firstLine="549" w:firstLineChars="229"/>
        <w:rPr>
          <w:rFonts w:ascii="宋体" w:hAnsi="宋体" w:cs="宋体"/>
          <w:color w:val="auto"/>
          <w:sz w:val="24"/>
          <w:highlight w:val="none"/>
        </w:rPr>
      </w:pPr>
    </w:p>
    <w:p w14:paraId="3E192A01">
      <w:pPr>
        <w:shd w:val="clear"/>
        <w:spacing w:line="360" w:lineRule="auto"/>
        <w:ind w:firstLine="549" w:firstLineChars="229"/>
        <w:rPr>
          <w:rFonts w:ascii="宋体" w:hAnsi="宋体" w:cs="宋体"/>
          <w:color w:val="auto"/>
          <w:sz w:val="24"/>
          <w:highlight w:val="none"/>
        </w:rPr>
      </w:pPr>
    </w:p>
    <w:p w14:paraId="20624319">
      <w:pPr>
        <w:shd w:val="clear"/>
        <w:spacing w:line="360" w:lineRule="auto"/>
        <w:ind w:firstLine="549" w:firstLineChars="229"/>
        <w:rPr>
          <w:rFonts w:ascii="宋体" w:hAnsi="宋体" w:cs="宋体"/>
          <w:color w:val="auto"/>
          <w:sz w:val="24"/>
          <w:highlight w:val="none"/>
        </w:rPr>
      </w:pPr>
    </w:p>
    <w:p w14:paraId="6F2027E9">
      <w:pPr>
        <w:shd w:val="clear"/>
        <w:spacing w:line="360" w:lineRule="auto"/>
        <w:rPr>
          <w:rFonts w:ascii="宋体" w:hAnsi="宋体" w:cs="宋体"/>
          <w:color w:val="auto"/>
          <w:sz w:val="24"/>
          <w:highlight w:val="none"/>
        </w:rPr>
      </w:pPr>
    </w:p>
    <w:bookmarkEnd w:id="2"/>
    <w:p w14:paraId="2EB2F2A1">
      <w:pPr>
        <w:pStyle w:val="3"/>
        <w:shd w:val="clear"/>
        <w:rPr>
          <w:rFonts w:ascii="宋体" w:hAnsi="宋体" w:cs="宋体"/>
          <w:color w:val="auto"/>
          <w:szCs w:val="20"/>
          <w:highlight w:val="none"/>
        </w:rPr>
      </w:pPr>
      <w:bookmarkStart w:id="3" w:name="_Hlt74707423"/>
      <w:bookmarkEnd w:id="3"/>
      <w:bookmarkStart w:id="4" w:name="_Hlt74729822"/>
      <w:bookmarkEnd w:id="4"/>
      <w:bookmarkStart w:id="5" w:name="第一部分"/>
      <w:bookmarkEnd w:id="5"/>
      <w:bookmarkStart w:id="6" w:name="_Hlt74728647"/>
      <w:bookmarkEnd w:id="6"/>
      <w:bookmarkStart w:id="7" w:name="_Hlt74649545"/>
      <w:bookmarkEnd w:id="7"/>
      <w:bookmarkStart w:id="8" w:name="第二部分"/>
      <w:bookmarkStart w:id="9" w:name="_Toc91899870"/>
      <w:r>
        <w:rPr>
          <w:rFonts w:hint="eastAsia" w:ascii="宋体" w:hAnsi="宋体" w:cs="宋体"/>
          <w:color w:val="auto"/>
          <w:szCs w:val="36"/>
          <w:highlight w:val="none"/>
        </w:rPr>
        <w:br w:type="page"/>
      </w:r>
      <w:r>
        <w:rPr>
          <w:rFonts w:hint="eastAsia" w:ascii="宋体" w:hAnsi="宋体" w:cs="宋体"/>
          <w:color w:val="auto"/>
          <w:szCs w:val="20"/>
          <w:highlight w:val="none"/>
        </w:rPr>
        <w:t>第一部分 招标公告</w:t>
      </w:r>
    </w:p>
    <w:p w14:paraId="5E9D8717">
      <w:pPr>
        <w:pBdr>
          <w:top w:val="single" w:color="auto" w:sz="4" w:space="1"/>
          <w:left w:val="single" w:color="auto" w:sz="4" w:space="4"/>
          <w:bottom w:val="single" w:color="auto" w:sz="4" w:space="2"/>
          <w:right w:val="single" w:color="auto" w:sz="4" w:space="4"/>
        </w:pBdr>
        <w:shd w:val="clear"/>
        <w:spacing w:line="44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791820D">
      <w:pPr>
        <w:pBdr>
          <w:top w:val="single" w:color="auto" w:sz="4" w:space="1"/>
          <w:left w:val="single" w:color="auto" w:sz="4" w:space="4"/>
          <w:bottom w:val="single" w:color="auto" w:sz="4" w:space="2"/>
          <w:right w:val="single" w:color="auto" w:sz="4" w:space="4"/>
        </w:pBdr>
        <w:shd w:val="clear"/>
        <w:spacing w:line="440" w:lineRule="exact"/>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浙江同济科技职业学院智能节水系统安装与运维综合实训平台</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9"/>
          <w:rFonts w:cs="Times New Roman" w:asciiTheme="minorEastAsia" w:hAnsiTheme="minorEastAsia" w:eastAsiaTheme="minorEastAsia"/>
          <w:color w:val="auto"/>
          <w:kern w:val="2"/>
          <w:sz w:val="24"/>
          <w:szCs w:val="24"/>
          <w:highlight w:val="none"/>
        </w:rPr>
        <w:t>https://www.zcygov.cn/）获取（下载）招标文件，并于</w:t>
      </w:r>
      <w:r>
        <w:rPr>
          <w:rStyle w:val="79"/>
          <w:rFonts w:hint="eastAsia" w:cs="Times New Roman" w:asciiTheme="minorEastAsia" w:hAnsiTheme="minorEastAsia" w:eastAsiaTheme="minorEastAsia"/>
          <w:color w:val="auto"/>
          <w:kern w:val="2"/>
          <w:sz w:val="24"/>
          <w:szCs w:val="24"/>
          <w:highlight w:val="none"/>
          <w:lang w:eastAsia="zh-CN"/>
        </w:rPr>
        <w:t>2025年</w:t>
      </w:r>
      <w:r>
        <w:rPr>
          <w:rStyle w:val="79"/>
          <w:rFonts w:hint="eastAsia" w:cs="Times New Roman" w:asciiTheme="minorEastAsia" w:hAnsiTheme="minorEastAsia" w:eastAsiaTheme="minorEastAsia"/>
          <w:color w:val="auto"/>
          <w:kern w:val="2"/>
          <w:sz w:val="24"/>
          <w:szCs w:val="24"/>
          <w:highlight w:val="none"/>
          <w:lang w:eastAsia="zh-CN"/>
        </w:rPr>
        <w:t>06月16日13点30分</w:t>
      </w:r>
      <w:r>
        <w:rPr>
          <w:rStyle w:val="79"/>
          <w:rFonts w:hint="eastAsia" w:cs="Times New Roman" w:asciiTheme="minorEastAsia" w:hAnsiTheme="minorEastAsia" w:eastAsiaTheme="minorEastAsia"/>
          <w:color w:val="auto"/>
          <w:kern w:val="2"/>
          <w:sz w:val="24"/>
          <w:szCs w:val="24"/>
          <w:highlight w:val="none"/>
          <w:lang w:eastAsia="zh-CN"/>
        </w:rPr>
        <w:t>00秒</w:t>
      </w:r>
      <w:r>
        <w:rPr>
          <w:rStyle w:val="79"/>
          <w:rFonts w:hint="eastAsia" w:cs="Times New Roman" w:asciiTheme="minorEastAsia" w:hAnsiTheme="minorEastAsia" w:eastAsiaTheme="minorEastAsia"/>
          <w:bCs/>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7AB5D711">
      <w:pPr>
        <w:keepNext w:val="0"/>
        <w:keepLines w:val="0"/>
        <w:pageBreakBefore w:val="0"/>
        <w:shd w:val="clear"/>
        <w:kinsoku/>
        <w:wordWrap/>
        <w:overflowPunct/>
        <w:topLinePunct w:val="0"/>
        <w:autoSpaceDE/>
        <w:autoSpaceDN/>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14:paraId="1044C530">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ZXZB-TJ-2025004G</w:t>
      </w:r>
    </w:p>
    <w:p w14:paraId="2D2E6818">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智能节水系统安装与运维综合实训平台</w:t>
      </w:r>
    </w:p>
    <w:p w14:paraId="169A10BE">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380000</w:t>
      </w:r>
    </w:p>
    <w:p w14:paraId="14053930">
      <w:pPr>
        <w:keepNext w:val="0"/>
        <w:keepLines w:val="0"/>
        <w:pageBreakBefore w:val="0"/>
        <w:shd w:val="clear"/>
        <w:kinsoku/>
        <w:wordWrap/>
        <w:overflowPunct/>
        <w:topLinePunct w:val="0"/>
        <w:autoSpaceDE/>
        <w:autoSpaceDN/>
        <w:bidi w:val="0"/>
        <w:adjustRightInd w:val="0"/>
        <w:snapToGrid w:val="0"/>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380000</w:t>
      </w:r>
    </w:p>
    <w:p w14:paraId="77BC5A7A">
      <w:pPr>
        <w:pStyle w:val="16"/>
        <w:keepNext w:val="0"/>
        <w:keepLines w:val="0"/>
        <w:pageBreakBefore w:val="0"/>
        <w:shd w:val="clear"/>
        <w:kinsoku/>
        <w:wordWrap/>
        <w:overflowPunct/>
        <w:topLinePunct w:val="0"/>
        <w:autoSpaceDE/>
        <w:autoSpaceDN/>
        <w:bidi w:val="0"/>
        <w:adjustRightInd w:val="0"/>
        <w:snapToGrid w:val="0"/>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4C56C10D">
      <w:pPr>
        <w:pStyle w:val="16"/>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Ansi="宋体" w:cs="宋体"/>
          <w:bCs/>
          <w:color w:val="auto"/>
          <w:sz w:val="24"/>
          <w:highlight w:val="none"/>
        </w:rPr>
      </w:pPr>
      <w:r>
        <w:rPr>
          <w:rFonts w:hint="eastAsia" w:hAnsi="宋体" w:cs="宋体"/>
          <w:bCs/>
          <w:color w:val="auto"/>
          <w:sz w:val="24"/>
          <w:highlight w:val="none"/>
        </w:rPr>
        <w:t>标项一：</w:t>
      </w:r>
    </w:p>
    <w:p w14:paraId="78599317">
      <w:pPr>
        <w:pStyle w:val="16"/>
        <w:keepNext w:val="0"/>
        <w:keepLines w:val="0"/>
        <w:pageBreakBefore w:val="0"/>
        <w:shd w:val="clear"/>
        <w:kinsoku/>
        <w:wordWrap/>
        <w:overflowPunct/>
        <w:topLinePunct w:val="0"/>
        <w:autoSpaceDE/>
        <w:autoSpaceDN/>
        <w:bidi w:val="0"/>
        <w:adjustRightInd w:val="0"/>
        <w:snapToGrid w:val="0"/>
        <w:spacing w:line="360" w:lineRule="auto"/>
        <w:ind w:firstLine="960" w:firstLineChars="400"/>
        <w:rPr>
          <w:rFonts w:hint="eastAsia" w:hAnsi="宋体" w:eastAsia="宋体" w:cs="宋体"/>
          <w:bCs/>
          <w:color w:val="auto"/>
          <w:sz w:val="24"/>
          <w:highlight w:val="none"/>
          <w:lang w:eastAsia="zh-CN"/>
        </w:rPr>
      </w:pPr>
      <w:r>
        <w:rPr>
          <w:rFonts w:hint="eastAsia" w:hAnsi="宋体" w:cs="宋体"/>
          <w:bCs/>
          <w:color w:val="auto"/>
          <w:sz w:val="24"/>
          <w:highlight w:val="none"/>
        </w:rPr>
        <w:t>标项名称：</w:t>
      </w:r>
      <w:r>
        <w:rPr>
          <w:rFonts w:hint="eastAsia" w:hAnsi="宋体" w:cs="宋体"/>
          <w:bCs/>
          <w:color w:val="auto"/>
          <w:sz w:val="24"/>
          <w:highlight w:val="none"/>
          <w:lang w:eastAsia="zh-CN"/>
        </w:rPr>
        <w:t>智能节水系统安装与运维综合实训平台</w:t>
      </w:r>
    </w:p>
    <w:p w14:paraId="1E1E32EB">
      <w:pPr>
        <w:pStyle w:val="16"/>
        <w:keepNext w:val="0"/>
        <w:keepLines w:val="0"/>
        <w:pageBreakBefore w:val="0"/>
        <w:shd w:val="clear"/>
        <w:kinsoku/>
        <w:wordWrap/>
        <w:overflowPunct/>
        <w:topLinePunct w:val="0"/>
        <w:autoSpaceDE/>
        <w:autoSpaceDN/>
        <w:bidi w:val="0"/>
        <w:adjustRightInd w:val="0"/>
        <w:snapToGrid w:val="0"/>
        <w:spacing w:line="360" w:lineRule="auto"/>
        <w:ind w:firstLine="960" w:firstLineChars="400"/>
        <w:rPr>
          <w:rFonts w:hAnsi="宋体" w:cs="宋体"/>
          <w:bCs/>
          <w:color w:val="auto"/>
          <w:sz w:val="24"/>
          <w:highlight w:val="none"/>
        </w:rPr>
      </w:pPr>
      <w:r>
        <w:rPr>
          <w:rFonts w:hint="eastAsia" w:hAnsi="宋体" w:cs="宋体"/>
          <w:bCs/>
          <w:color w:val="auto"/>
          <w:sz w:val="24"/>
          <w:highlight w:val="none"/>
        </w:rPr>
        <w:t>数量：1批</w:t>
      </w:r>
    </w:p>
    <w:p w14:paraId="3BFFC65B">
      <w:pPr>
        <w:pStyle w:val="16"/>
        <w:keepNext w:val="0"/>
        <w:keepLines w:val="0"/>
        <w:pageBreakBefore w:val="0"/>
        <w:shd w:val="clear"/>
        <w:kinsoku/>
        <w:wordWrap/>
        <w:overflowPunct/>
        <w:topLinePunct w:val="0"/>
        <w:autoSpaceDE/>
        <w:autoSpaceDN/>
        <w:bidi w:val="0"/>
        <w:adjustRightInd w:val="0"/>
        <w:snapToGrid w:val="0"/>
        <w:spacing w:line="360" w:lineRule="auto"/>
        <w:ind w:firstLine="960" w:firstLineChars="400"/>
        <w:rPr>
          <w:rFonts w:hint="default" w:hAnsi="宋体" w:eastAsia="宋体" w:cs="宋体"/>
          <w:bCs/>
          <w:color w:val="auto"/>
          <w:sz w:val="24"/>
          <w:highlight w:val="none"/>
          <w:lang w:val="en-US" w:eastAsia="zh-CN"/>
        </w:rPr>
      </w:pPr>
      <w:r>
        <w:rPr>
          <w:rFonts w:hint="eastAsia" w:hAnsi="宋体" w:cs="宋体"/>
          <w:bCs/>
          <w:color w:val="auto"/>
          <w:sz w:val="24"/>
          <w:highlight w:val="none"/>
        </w:rPr>
        <w:t>预算金额（元）：</w:t>
      </w:r>
      <w:r>
        <w:rPr>
          <w:rFonts w:hint="eastAsia" w:hAnsi="宋体" w:cs="宋体"/>
          <w:bCs/>
          <w:color w:val="auto"/>
          <w:sz w:val="24"/>
          <w:highlight w:val="none"/>
          <w:lang w:val="en-US" w:eastAsia="zh-CN"/>
        </w:rPr>
        <w:t>380000</w:t>
      </w:r>
    </w:p>
    <w:p w14:paraId="7F6D975B">
      <w:pPr>
        <w:pStyle w:val="16"/>
        <w:keepNext w:val="0"/>
        <w:keepLines w:val="0"/>
        <w:pageBreakBefore w:val="0"/>
        <w:shd w:val="clear"/>
        <w:kinsoku/>
        <w:wordWrap/>
        <w:overflowPunct/>
        <w:topLinePunct w:val="0"/>
        <w:autoSpaceDE/>
        <w:autoSpaceDN/>
        <w:bidi w:val="0"/>
        <w:adjustRightInd w:val="0"/>
        <w:snapToGrid w:val="0"/>
        <w:spacing w:line="360" w:lineRule="auto"/>
        <w:ind w:firstLine="960" w:firstLineChars="400"/>
        <w:rPr>
          <w:rFonts w:hAnsi="宋体" w:cs="宋体"/>
          <w:bCs/>
          <w:color w:val="auto"/>
          <w:sz w:val="24"/>
          <w:highlight w:val="none"/>
        </w:rPr>
      </w:pPr>
      <w:r>
        <w:rPr>
          <w:rFonts w:hint="eastAsia" w:hAnsi="宋体" w:cs="宋体"/>
          <w:bCs/>
          <w:color w:val="auto"/>
          <w:sz w:val="24"/>
          <w:highlight w:val="none"/>
        </w:rPr>
        <w:t>简要规格描述或项目基本概况介绍、用途：详见招标文件第三部分采购需求。</w:t>
      </w:r>
    </w:p>
    <w:p w14:paraId="787B9E11">
      <w:pPr>
        <w:pStyle w:val="16"/>
        <w:keepNext w:val="0"/>
        <w:keepLines w:val="0"/>
        <w:pageBreakBefore w:val="0"/>
        <w:shd w:val="clear"/>
        <w:kinsoku/>
        <w:wordWrap/>
        <w:overflowPunct/>
        <w:topLinePunct w:val="0"/>
        <w:autoSpaceDE/>
        <w:autoSpaceDN/>
        <w:bidi w:val="0"/>
        <w:adjustRightInd w:val="0"/>
        <w:snapToGrid w:val="0"/>
        <w:spacing w:line="360" w:lineRule="auto"/>
        <w:ind w:firstLine="960" w:firstLineChars="400"/>
        <w:rPr>
          <w:rFonts w:hint="eastAsia" w:hAnsi="宋体" w:cs="宋体"/>
          <w:bCs/>
          <w:color w:val="auto"/>
          <w:sz w:val="24"/>
          <w:highlight w:val="none"/>
          <w:lang w:val="en-US" w:eastAsia="zh-CN"/>
        </w:rPr>
      </w:pPr>
      <w:r>
        <w:rPr>
          <w:rFonts w:hint="eastAsia" w:hAnsi="宋体" w:cs="宋体"/>
          <w:bCs/>
          <w:color w:val="auto"/>
          <w:sz w:val="24"/>
          <w:highlight w:val="none"/>
        </w:rPr>
        <w:t>备注：</w:t>
      </w:r>
      <w:r>
        <w:rPr>
          <w:rFonts w:hint="eastAsia" w:hAnsi="宋体" w:cs="宋体"/>
          <w:bCs/>
          <w:color w:val="auto"/>
          <w:sz w:val="24"/>
          <w:highlight w:val="none"/>
          <w:lang w:val="en-US" w:eastAsia="zh-CN"/>
        </w:rPr>
        <w:t>/。</w:t>
      </w:r>
    </w:p>
    <w:p w14:paraId="632E55F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rPr>
          <w:rFonts w:hint="eastAsia" w:ascii="宋体" w:hAnsi="宋体" w:eastAsia="宋体" w:cs="宋体"/>
          <w:b/>
          <w:bCs w:val="0"/>
          <w:color w:val="auto"/>
          <w:kern w:val="28"/>
          <w:sz w:val="24"/>
          <w:szCs w:val="20"/>
          <w:highlight w:val="none"/>
          <w:lang w:val="en-US" w:eastAsia="zh-CN" w:bidi="ar-SA"/>
        </w:rPr>
      </w:pPr>
      <w:r>
        <w:rPr>
          <w:rFonts w:hint="eastAsia" w:ascii="宋体" w:hAnsi="宋体" w:eastAsia="宋体" w:cs="宋体"/>
          <w:b/>
          <w:bCs w:val="0"/>
          <w:color w:val="auto"/>
          <w:kern w:val="28"/>
          <w:sz w:val="24"/>
          <w:szCs w:val="20"/>
          <w:highlight w:val="none"/>
          <w:lang w:val="en-US" w:eastAsia="zh-CN" w:bidi="ar-SA"/>
        </w:rPr>
        <w:t>合同履约期限：标项一，</w:t>
      </w:r>
      <w:r>
        <w:rPr>
          <w:rFonts w:hint="eastAsia" w:ascii="宋体" w:hAnsi="宋体" w:cs="宋体"/>
          <w:b/>
          <w:bCs w:val="0"/>
          <w:color w:val="auto"/>
          <w:kern w:val="28"/>
          <w:sz w:val="24"/>
          <w:szCs w:val="20"/>
          <w:highlight w:val="none"/>
          <w:lang w:val="en-US" w:eastAsia="zh-CN" w:bidi="ar-SA"/>
        </w:rPr>
        <w:t>签订合同后30日内</w:t>
      </w:r>
      <w:r>
        <w:rPr>
          <w:rFonts w:hint="eastAsia" w:ascii="宋体" w:hAnsi="宋体" w:eastAsia="宋体" w:cs="宋体"/>
          <w:b/>
          <w:bCs w:val="0"/>
          <w:color w:val="auto"/>
          <w:kern w:val="28"/>
          <w:sz w:val="24"/>
          <w:szCs w:val="20"/>
          <w:highlight w:val="none"/>
          <w:lang w:val="en-US" w:eastAsia="zh-CN" w:bidi="ar-SA"/>
        </w:rPr>
        <w:t>完成供货、安装、调试。</w:t>
      </w:r>
    </w:p>
    <w:p w14:paraId="43BE912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rPr>
          <w:rFonts w:hAnsi="宋体" w:cs="宋体"/>
          <w:color w:val="auto"/>
          <w:kern w:val="0"/>
          <w:sz w:val="24"/>
          <w:highlight w:val="none"/>
        </w:rPr>
      </w:pPr>
      <w:r>
        <w:rPr>
          <w:rFonts w:hint="eastAsia" w:hAnsi="宋体" w:cs="宋体"/>
          <w:b/>
          <w:color w:val="auto"/>
          <w:sz w:val="24"/>
          <w:highlight w:val="none"/>
        </w:rPr>
        <w:t>本项目</w:t>
      </w:r>
      <w:r>
        <w:rPr>
          <w:rFonts w:hint="eastAsia" w:hAnsi="宋体" w:cs="宋体"/>
          <w:b/>
          <w:color w:val="auto"/>
          <w:sz w:val="24"/>
          <w:highlight w:val="none"/>
          <w:lang w:val="en-US" w:eastAsia="zh-CN"/>
        </w:rPr>
        <w:t>是否</w:t>
      </w:r>
      <w:r>
        <w:rPr>
          <w:rFonts w:hint="eastAsia" w:hAnsi="宋体" w:cs="宋体"/>
          <w:b/>
          <w:color w:val="auto"/>
          <w:sz w:val="24"/>
          <w:highlight w:val="none"/>
        </w:rPr>
        <w:t>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hAnsi="宋体" w:cs="宋体"/>
          <w:b/>
          <w:color w:val="auto"/>
          <w:sz w:val="24"/>
          <w:highlight w:val="none"/>
        </w:rPr>
        <w:t>是</w:t>
      </w:r>
      <w:r>
        <w:rPr>
          <w:rFonts w:hint="eastAsia" w:hAnsi="宋体" w:cs="宋体"/>
          <w:b/>
          <w:color w:val="auto"/>
          <w:kern w:val="2"/>
          <w:sz w:val="24"/>
          <w:highlight w:val="none"/>
        </w:rPr>
        <w:t>；</w:t>
      </w:r>
      <w:sdt>
        <w:sdtPr>
          <w:rPr>
            <w:rFonts w:hint="eastAsia" w:hAnsi="宋体" w:cs="宋体"/>
            <w:color w:val="auto"/>
            <w:kern w:val="0"/>
            <w:sz w:val="24"/>
            <w:highlight w:val="none"/>
          </w:rPr>
          <w:id w:val="-1"/>
        </w:sdtPr>
        <w:sdtEndPr>
          <w:rPr>
            <w:rFonts w:hint="eastAsia"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9E6333C">
      <w:pPr>
        <w:keepNext w:val="0"/>
        <w:keepLines w:val="0"/>
        <w:pageBreakBefore w:val="0"/>
        <w:shd w:val="clear"/>
        <w:kinsoku/>
        <w:wordWrap/>
        <w:overflowPunct/>
        <w:topLinePunct w:val="0"/>
        <w:autoSpaceDE/>
        <w:autoSpaceDN/>
        <w:bidi w:val="0"/>
        <w:adjustRightInd w:val="0"/>
        <w:snapToGrid w:val="0"/>
        <w:spacing w:line="360" w:lineRule="auto"/>
        <w:rPr>
          <w:rFonts w:ascii="宋体" w:hAnsi="宋体" w:cs="宋体"/>
          <w:b/>
          <w:color w:val="auto"/>
          <w:sz w:val="24"/>
          <w:highlight w:val="none"/>
        </w:rPr>
      </w:pPr>
      <w:bookmarkStart w:id="10" w:name="_Hlk101132948"/>
      <w:bookmarkEnd w:id="10"/>
      <w:r>
        <w:rPr>
          <w:rFonts w:hint="eastAsia" w:ascii="宋体" w:hAnsi="宋体" w:cs="宋体"/>
          <w:b/>
          <w:color w:val="auto"/>
          <w:sz w:val="24"/>
          <w:highlight w:val="none"/>
        </w:rPr>
        <w:t>二、申请人的资格要求：</w:t>
      </w:r>
    </w:p>
    <w:p w14:paraId="697B89D4">
      <w:pPr>
        <w:keepNext w:val="0"/>
        <w:keepLines w:val="0"/>
        <w:pageBreakBefore w:val="0"/>
        <w:shd w:val="clear"/>
        <w:kinsoku/>
        <w:wordWrap/>
        <w:overflowPunct/>
        <w:topLinePunct w:val="0"/>
        <w:autoSpaceDE/>
        <w:autoSpaceDN/>
        <w:bidi w:val="0"/>
        <w:adjustRightInd w:val="0"/>
        <w:snapToGrid w:val="0"/>
        <w:spacing w:line="360" w:lineRule="auto"/>
        <w:ind w:firstLine="480"/>
        <w:rPr>
          <w:rFonts w:ascii="宋体" w:hAnsi="宋体" w:cs="宋体"/>
          <w:color w:val="auto"/>
          <w:kern w:val="28"/>
          <w:sz w:val="24"/>
          <w:szCs w:val="20"/>
          <w:highlight w:val="none"/>
        </w:rPr>
      </w:pPr>
      <w:r>
        <w:rPr>
          <w:rFonts w:hint="eastAsia" w:ascii="宋体" w:hAnsi="宋体" w:cs="宋体"/>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DB765C6">
      <w:pPr>
        <w:keepNext w:val="0"/>
        <w:keepLines w:val="0"/>
        <w:pageBreakBefore w:val="0"/>
        <w:shd w:val="clear"/>
        <w:kinsoku/>
        <w:wordWrap/>
        <w:overflowPunct/>
        <w:topLinePunct w:val="0"/>
        <w:autoSpaceDE/>
        <w:autoSpaceDN/>
        <w:bidi w:val="0"/>
        <w:adjustRightInd w:val="0"/>
        <w:snapToGrid w:val="0"/>
        <w:spacing w:line="360" w:lineRule="auto"/>
        <w:ind w:firstLine="480"/>
        <w:rPr>
          <w:rFonts w:ascii="宋体" w:hAnsi="宋体" w:cs="宋体"/>
          <w:color w:val="auto"/>
          <w:kern w:val="28"/>
          <w:sz w:val="24"/>
          <w:szCs w:val="20"/>
          <w:highlight w:val="none"/>
        </w:rPr>
      </w:pPr>
      <w:r>
        <w:rPr>
          <w:rFonts w:ascii="宋体" w:hAnsi="宋体" w:cs="宋体"/>
          <w:color w:val="auto"/>
          <w:kern w:val="28"/>
          <w:sz w:val="24"/>
          <w:szCs w:val="20"/>
          <w:highlight w:val="none"/>
        </w:rPr>
        <w:t>2</w:t>
      </w:r>
      <w:r>
        <w:rPr>
          <w:rFonts w:hint="eastAsia" w:ascii="宋体" w:hAnsi="宋体" w:cs="宋体"/>
          <w:color w:val="auto"/>
          <w:kern w:val="28"/>
          <w:sz w:val="24"/>
          <w:szCs w:val="20"/>
          <w:highlight w:val="none"/>
        </w:rPr>
        <w:t>.以联合体形式投标的，提供联合协议(本项目不接受联合体投标或者投标人不以联合体形式投标的，则不需要提供)；</w:t>
      </w:r>
    </w:p>
    <w:p w14:paraId="296FCA74">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ascii="宋体" w:hAnsi="宋体" w:cs="宋体"/>
          <w:color w:val="auto"/>
          <w:kern w:val="28"/>
          <w:sz w:val="24"/>
          <w:szCs w:val="20"/>
          <w:highlight w:val="none"/>
        </w:rPr>
        <w:t>3</w:t>
      </w:r>
      <w:r>
        <w:rPr>
          <w:rFonts w:hint="eastAsia" w:ascii="宋体" w:hAnsi="宋体" w:cs="宋体"/>
          <w:color w:val="auto"/>
          <w:kern w:val="28"/>
          <w:sz w:val="24"/>
          <w:szCs w:val="20"/>
          <w:highlight w:val="none"/>
        </w:rPr>
        <w:t>.落实政府采购政策需满足的资格要求：</w:t>
      </w:r>
      <w:r>
        <w:rPr>
          <w:rFonts w:hint="eastAsia" w:ascii="宋体" w:hAnsi="宋体" w:eastAsia="宋体" w:cs="宋体"/>
          <w:i w:val="0"/>
          <w:color w:val="auto"/>
          <w:spacing w:val="0"/>
          <w:sz w:val="24"/>
          <w:szCs w:val="24"/>
          <w:highlight w:val="none"/>
        </w:rPr>
        <w:t>本项目为专门面向中小企业采购的项目（监狱企业、残疾人福利性单位视同小型、微型企业）</w:t>
      </w:r>
      <w:r>
        <w:rPr>
          <w:rFonts w:hint="eastAsia" w:ascii="宋体" w:hAnsi="宋体" w:cs="宋体"/>
          <w:i w:val="0"/>
          <w:color w:val="auto"/>
          <w:spacing w:val="0"/>
          <w:sz w:val="24"/>
          <w:szCs w:val="24"/>
          <w:highlight w:val="none"/>
          <w:lang w:eastAsia="zh-CN"/>
        </w:rPr>
        <w:t>，</w:t>
      </w:r>
      <w:r>
        <w:rPr>
          <w:rFonts w:hint="eastAsia" w:ascii="宋体" w:hAnsi="宋体" w:cs="宋体"/>
          <w:i w:val="0"/>
          <w:color w:val="auto"/>
          <w:spacing w:val="0"/>
          <w:sz w:val="24"/>
          <w:szCs w:val="24"/>
          <w:highlight w:val="none"/>
          <w:lang w:val="en-US" w:eastAsia="zh-CN"/>
        </w:rPr>
        <w:t>提供《中小企业声明函》</w:t>
      </w:r>
      <w:r>
        <w:rPr>
          <w:rFonts w:hint="eastAsia" w:ascii="宋体" w:hAnsi="宋体" w:eastAsia="宋体" w:cs="宋体"/>
          <w:i w:val="0"/>
          <w:color w:val="auto"/>
          <w:spacing w:val="0"/>
          <w:sz w:val="24"/>
          <w:szCs w:val="24"/>
          <w:highlight w:val="none"/>
        </w:rPr>
        <w:t>。</w:t>
      </w:r>
    </w:p>
    <w:p w14:paraId="44164820">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52821A8A">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05E3E8">
      <w:pPr>
        <w:keepNext w:val="0"/>
        <w:keepLines w:val="0"/>
        <w:pageBreakBefore w:val="0"/>
        <w:shd w:val="clear"/>
        <w:kinsoku/>
        <w:wordWrap/>
        <w:overflowPunct/>
        <w:topLinePunct w:val="0"/>
        <w:autoSpaceDE/>
        <w:autoSpaceDN/>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0EF579F">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06月16日</w:t>
      </w:r>
      <w:r>
        <w:rPr>
          <w:rFonts w:hint="eastAsia" w:ascii="宋体" w:hAnsi="宋体" w:cs="宋体"/>
          <w:color w:val="auto"/>
          <w:sz w:val="24"/>
          <w:highlight w:val="none"/>
        </w:rPr>
        <w:t>，每天上午00:00至12:00，下午12:00至23:59（北京时间，线上获取法定节假日均可，线下获取文件法定节假日除外）</w:t>
      </w:r>
    </w:p>
    <w:p w14:paraId="683580B6">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EC52869">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CCDF640">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bookmarkStart w:id="406" w:name="_GoBack"/>
      <w:bookmarkEnd w:id="406"/>
    </w:p>
    <w:p w14:paraId="468DFB9E">
      <w:pPr>
        <w:keepNext w:val="0"/>
        <w:keepLines w:val="0"/>
        <w:pageBreakBefore w:val="0"/>
        <w:shd w:val="clear"/>
        <w:kinsoku/>
        <w:wordWrap/>
        <w:overflowPunct/>
        <w:topLinePunct w:val="0"/>
        <w:autoSpaceDE/>
        <w:autoSpaceDN/>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19A73DA">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eastAsia="zh-CN"/>
        </w:rPr>
        <w:t>06月16日13点30分00秒</w:t>
      </w:r>
      <w:r>
        <w:rPr>
          <w:rFonts w:hint="eastAsia" w:ascii="宋体" w:hAnsi="宋体" w:cs="宋体"/>
          <w:color w:val="auto"/>
          <w:sz w:val="24"/>
          <w:highlight w:val="none"/>
        </w:rPr>
        <w:t>（北京时间）</w:t>
      </w:r>
    </w:p>
    <w:p w14:paraId="6CE87FF3">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DC74583">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eastAsia="zh-CN"/>
        </w:rPr>
        <w:t>06月16日13点30分00秒</w:t>
      </w:r>
    </w:p>
    <w:p w14:paraId="64BD4065">
      <w:pPr>
        <w:keepNext w:val="0"/>
        <w:keepLines w:val="0"/>
        <w:pageBreakBefore w:val="0"/>
        <w:shd w:val="clear"/>
        <w:kinsoku/>
        <w:wordWrap/>
        <w:overflowPunct/>
        <w:topLinePunct w:val="0"/>
        <w:autoSpaceDE/>
        <w:autoSpaceDN/>
        <w:bidi w:val="0"/>
        <w:adjustRightInd w:val="0"/>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1745500">
      <w:pPr>
        <w:keepNext w:val="0"/>
        <w:keepLines w:val="0"/>
        <w:pageBreakBefore w:val="0"/>
        <w:shd w:val="clear"/>
        <w:kinsoku/>
        <w:wordWrap/>
        <w:overflowPunct/>
        <w:topLinePunct w:val="0"/>
        <w:autoSpaceDE/>
        <w:autoSpaceDN/>
        <w:bidi w:val="0"/>
        <w:adjustRightInd w:val="0"/>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51DEE81">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3797EF8">
      <w:pPr>
        <w:keepNext w:val="0"/>
        <w:keepLines w:val="0"/>
        <w:pageBreakBefore w:val="0"/>
        <w:shd w:val="clear"/>
        <w:kinsoku/>
        <w:wordWrap/>
        <w:overflowPunct/>
        <w:topLinePunct w:val="0"/>
        <w:autoSpaceDE/>
        <w:autoSpaceDN/>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9C60E59">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979B3BE">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53B2DC">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和采购代理机构提出质疑。质疑供应商对</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、采购代理机构的答复不满意或者</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、采购代理机构未在规定的时间内作出答复的，可以在答复期满后十五个工作日内向同级政府采购监督管理部门投诉。质疑函范本、投诉书范本请到浙江政府采购网下载专区下载。</w:t>
      </w:r>
    </w:p>
    <w:p w14:paraId="3316F9F2">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、采购代理机构将依托政采云平台完成本项目的电子交易活动，平台不接受未按上述方式获取招标文件的供应商进行投标活动； ⑥对未按上述方式获取招标文件的供应商对该文件提出的质疑，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9366BE4">
      <w:pPr>
        <w:keepNext w:val="0"/>
        <w:keepLines w:val="0"/>
        <w:pageBreakBefore w:val="0"/>
        <w:shd w:val="clear"/>
        <w:kinsoku/>
        <w:wordWrap/>
        <w:overflowPunct/>
        <w:topLinePunct w:val="0"/>
        <w:autoSpaceDE/>
        <w:autoSpaceDN/>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28F9E62">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信息</w:t>
      </w:r>
    </w:p>
    <w:p w14:paraId="4F7F3767">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浙江同济科技职业学院</w:t>
      </w:r>
    </w:p>
    <w:p w14:paraId="50B4645A">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杭州市萧山高教园区耕文路418号</w:t>
      </w:r>
    </w:p>
    <w:p w14:paraId="5E4AC721">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陈</w:t>
      </w:r>
      <w:r>
        <w:rPr>
          <w:rFonts w:hint="eastAsia" w:ascii="宋体" w:hAnsi="宋体" w:cs="宋体"/>
          <w:color w:val="auto"/>
          <w:sz w:val="24"/>
          <w:highlight w:val="none"/>
          <w:lang w:eastAsia="zh-CN"/>
        </w:rPr>
        <w:t>老师</w:t>
      </w:r>
    </w:p>
    <w:p w14:paraId="56E6ADD9">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0571-83686375</w:t>
      </w:r>
    </w:p>
    <w:p w14:paraId="68F20DB2">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马老师</w:t>
      </w:r>
    </w:p>
    <w:p w14:paraId="1E53AA62">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0571-83518898</w:t>
      </w:r>
    </w:p>
    <w:p w14:paraId="461CB050">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w:t>
      </w:r>
    </w:p>
    <w:p w14:paraId="2B7741F4">
      <w:pPr>
        <w:keepNext w:val="0"/>
        <w:keepLines w:val="0"/>
        <w:pageBreakBefore w:val="0"/>
        <w:shd w:val="clear"/>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浙江致信招标代理有限公司</w:t>
      </w:r>
    </w:p>
    <w:p w14:paraId="47597B67">
      <w:pPr>
        <w:keepNext w:val="0"/>
        <w:keepLines w:val="0"/>
        <w:pageBreakBefore w:val="0"/>
        <w:shd w:val="clear"/>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浙江省杭州市西湖区天目山路7号1号楼裙楼</w:t>
      </w:r>
    </w:p>
    <w:p w14:paraId="4BBE5EF2">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徐锦峰、俞磊、徐敬琪、张小燕、朱梅黎、沈诗佳</w:t>
      </w:r>
    </w:p>
    <w:p w14:paraId="0FABF311">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0571-85388866</w:t>
      </w:r>
    </w:p>
    <w:p w14:paraId="10F729C0">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质疑联系人：尤依婷</w:t>
      </w:r>
    </w:p>
    <w:p w14:paraId="7EA030EE">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0571-88026807</w:t>
      </w:r>
    </w:p>
    <w:p w14:paraId="4D3A771A">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14:paraId="08AEA150">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称：浙江省政府采购行政裁决服务中心（杭州市上城区清泰街549号城建综合大楼11楼）</w:t>
      </w:r>
    </w:p>
    <w:p w14:paraId="4C599785">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址：杭州市上城区清泰街549号城建综合大楼11楼 </w:t>
      </w:r>
    </w:p>
    <w:p w14:paraId="5DA2C4A3">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 /</w:t>
      </w:r>
    </w:p>
    <w:p w14:paraId="7BB5B4EC">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人：匡老师</w:t>
      </w:r>
    </w:p>
    <w:p w14:paraId="043C4920">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监督投诉电话：0571-87807798</w:t>
      </w:r>
    </w:p>
    <w:p w14:paraId="55E01EDA">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p>
    <w:p w14:paraId="6DC6E750">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3DED0746">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23295C38">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rFonts w:ascii="宋体" w:hAnsi="宋体" w:cs="宋体"/>
          <w:color w:val="auto"/>
          <w:sz w:val="24"/>
          <w:highlight w:val="none"/>
        </w:rPr>
      </w:pPr>
    </w:p>
    <w:p w14:paraId="6FFB993F">
      <w:pPr>
        <w:keepNext w:val="0"/>
        <w:keepLines w:val="0"/>
        <w:pageBreakBefore w:val="0"/>
        <w:shd w:val="clear"/>
        <w:kinsoku/>
        <w:wordWrap/>
        <w:overflowPunct/>
        <w:topLinePunct w:val="0"/>
        <w:autoSpaceDE/>
        <w:autoSpaceDN/>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若对项目采购电子交易系统操作有疑问，可登录政采云（https://www.zcygov.cn/），点击右侧咨询小采，获取采小蜜智能服务管家帮助，或拨打政采云服务热线95763获取热线服务帮助。</w:t>
      </w:r>
    </w:p>
    <w:p w14:paraId="18D3DEA5">
      <w:pPr>
        <w:keepNext w:val="0"/>
        <w:keepLines w:val="0"/>
        <w:pageBreakBefore w:val="0"/>
        <w:shd w:val="clear"/>
        <w:kinsoku/>
        <w:wordWrap/>
        <w:overflowPunct/>
        <w:topLinePunct w:val="0"/>
        <w:autoSpaceDE/>
        <w:autoSpaceDN/>
        <w:bidi w:val="0"/>
        <w:adjustRightInd w:val="0"/>
        <w:snapToGrid w:val="0"/>
        <w:spacing w:line="360" w:lineRule="auto"/>
        <w:ind w:firstLine="480" w:firstLineChars="200"/>
        <w:rPr>
          <w:color w:val="auto"/>
          <w:highlight w:val="none"/>
        </w:rPr>
      </w:pPr>
      <w:r>
        <w:rPr>
          <w:rFonts w:hint="eastAsia" w:ascii="宋体" w:hAnsi="宋体" w:cs="宋体"/>
          <w:color w:val="auto"/>
          <w:sz w:val="24"/>
          <w:highlight w:val="none"/>
        </w:rPr>
        <w:t>CA问题联系电话（人工）：汇信CA 400-888-4636；天谷CA 400-087-8198。</w:t>
      </w:r>
      <w:r>
        <w:rPr>
          <w:color w:val="auto"/>
          <w:highlight w:val="none"/>
        </w:rPr>
        <w:br w:type="page"/>
      </w:r>
    </w:p>
    <w:bookmarkEnd w:id="8"/>
    <w:bookmarkEnd w:id="9"/>
    <w:p w14:paraId="05244B06">
      <w:pPr>
        <w:pStyle w:val="3"/>
        <w:shd w:val="clear"/>
        <w:rPr>
          <w:color w:val="auto"/>
          <w:highlight w:val="none"/>
        </w:rPr>
      </w:pPr>
      <w:r>
        <w:rPr>
          <w:rFonts w:hint="eastAsia"/>
          <w:color w:val="auto"/>
          <w:highlight w:val="none"/>
        </w:rPr>
        <w:t>第二部分 投标人须知</w:t>
      </w:r>
    </w:p>
    <w:p w14:paraId="5A39BC91">
      <w:pPr>
        <w:pStyle w:val="4"/>
        <w:shd w:val="clear"/>
        <w:jc w:val="center"/>
        <w:rPr>
          <w:color w:val="auto"/>
          <w:highlight w:val="none"/>
        </w:rPr>
      </w:pPr>
      <w:r>
        <w:rPr>
          <w:rFonts w:hint="eastAsia"/>
          <w:color w:val="auto"/>
          <w:highlight w:val="none"/>
        </w:rPr>
        <w:t>前附表</w:t>
      </w:r>
    </w:p>
    <w:tbl>
      <w:tblPr>
        <w:tblStyle w:val="6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18"/>
        <w:gridCol w:w="2107"/>
        <w:gridCol w:w="6973"/>
      </w:tblGrid>
      <w:tr w14:paraId="44D4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1" w:hRule="atLeast"/>
          <w:jc w:val="center"/>
        </w:trPr>
        <w:tc>
          <w:tcPr>
            <w:tcW w:w="366" w:type="pct"/>
          </w:tcPr>
          <w:p w14:paraId="063E9FC7">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075" w:type="pct"/>
            <w:vAlign w:val="center"/>
          </w:tcPr>
          <w:p w14:paraId="100464AE">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3557" w:type="pct"/>
            <w:vAlign w:val="center"/>
          </w:tcPr>
          <w:p w14:paraId="6784FE22">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BDE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366" w:type="pct"/>
            <w:vAlign w:val="center"/>
          </w:tcPr>
          <w:p w14:paraId="64F9ED8A">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075" w:type="pct"/>
            <w:vAlign w:val="center"/>
          </w:tcPr>
          <w:p w14:paraId="7A4259B2">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3557" w:type="pct"/>
            <w:vAlign w:val="center"/>
          </w:tcPr>
          <w:p w14:paraId="6EF382A7">
            <w:pPr>
              <w:shd w:val="clear"/>
              <w:rPr>
                <w:rFonts w:ascii="宋体" w:hAnsi="宋体" w:cs="宋体"/>
                <w:color w:val="auto"/>
                <w:sz w:val="24"/>
                <w:highlight w:val="none"/>
              </w:rPr>
            </w:pPr>
            <w:r>
              <w:rPr>
                <w:rFonts w:hint="eastAsia" w:ascii="宋体" w:hAnsi="宋体" w:cs="宋体"/>
                <w:color w:val="auto"/>
                <w:sz w:val="24"/>
                <w:highlight w:val="none"/>
              </w:rPr>
              <w:t>货物类</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核心产品：</w:t>
            </w:r>
            <w:r>
              <w:rPr>
                <w:rFonts w:hint="eastAsia" w:ascii="宋体" w:hAnsi="宋体" w:cs="宋体"/>
                <w:color w:val="auto"/>
                <w:sz w:val="24"/>
                <w:highlight w:val="none"/>
                <w:u w:val="single"/>
                <w:lang w:val="en-US" w:eastAsia="zh-CN"/>
              </w:rPr>
              <w:t xml:space="preserve"> 智能节水系统安装与运维综合实训平台 </w:t>
            </w:r>
            <w:r>
              <w:rPr>
                <w:rFonts w:hint="eastAsia" w:ascii="宋体" w:hAnsi="宋体" w:cs="宋体"/>
                <w:color w:val="auto"/>
                <w:sz w:val="24"/>
                <w:highlight w:val="none"/>
              </w:rPr>
              <w:t>。</w:t>
            </w:r>
          </w:p>
        </w:tc>
      </w:tr>
      <w:tr w14:paraId="5340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66" w:type="pct"/>
            <w:vAlign w:val="center"/>
          </w:tcPr>
          <w:p w14:paraId="3A2ECA30">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075" w:type="pct"/>
            <w:vAlign w:val="center"/>
          </w:tcPr>
          <w:p w14:paraId="7F2C5659">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3557" w:type="pct"/>
            <w:vAlign w:val="center"/>
          </w:tcPr>
          <w:tbl>
            <w:tblPr>
              <w:tblStyle w:val="65"/>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5"/>
              <w:gridCol w:w="4041"/>
              <w:gridCol w:w="2070"/>
            </w:tblGrid>
            <w:tr w14:paraId="22861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2" w:type="pct"/>
                  <w:tcBorders>
                    <w:top w:val="single" w:color="000000" w:sz="4" w:space="0"/>
                    <w:left w:val="single" w:color="000000" w:sz="4" w:space="0"/>
                    <w:bottom w:val="single" w:color="000000" w:sz="4" w:space="0"/>
                    <w:right w:val="single" w:color="000000" w:sz="4" w:space="0"/>
                  </w:tcBorders>
                  <w:noWrap/>
                  <w:vAlign w:val="center"/>
                </w:tcPr>
                <w:p w14:paraId="28C24523">
                  <w:pPr>
                    <w:keepNext w:val="0"/>
                    <w:keepLines w:val="0"/>
                    <w:widowControl/>
                    <w:suppressLineNumbers w:val="0"/>
                    <w:jc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920" w:type="pct"/>
                  <w:tcBorders>
                    <w:top w:val="single" w:color="000000" w:sz="4" w:space="0"/>
                    <w:left w:val="single" w:color="000000" w:sz="4" w:space="0"/>
                    <w:bottom w:val="single" w:color="000000" w:sz="4" w:space="0"/>
                    <w:right w:val="single" w:color="000000" w:sz="4" w:space="0"/>
                  </w:tcBorders>
                  <w:noWrap w:val="0"/>
                  <w:vAlign w:val="center"/>
                </w:tcPr>
                <w:p w14:paraId="5CEB5243">
                  <w:pPr>
                    <w:keepNext w:val="0"/>
                    <w:keepLines w:val="0"/>
                    <w:widowControl/>
                    <w:suppressLineNumbers w:val="0"/>
                    <w:jc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标的</w:t>
                  </w:r>
                </w:p>
              </w:tc>
              <w:tc>
                <w:tcPr>
                  <w:tcW w:w="1496" w:type="pct"/>
                  <w:tcBorders>
                    <w:top w:val="single" w:color="000000" w:sz="4" w:space="0"/>
                    <w:left w:val="single" w:color="000000" w:sz="4" w:space="0"/>
                    <w:bottom w:val="single" w:color="000000" w:sz="4" w:space="0"/>
                    <w:right w:val="single" w:color="000000" w:sz="4" w:space="0"/>
                  </w:tcBorders>
                  <w:noWrap w:val="0"/>
                  <w:vAlign w:val="center"/>
                </w:tcPr>
                <w:p w14:paraId="4A635999">
                  <w:pPr>
                    <w:keepNext w:val="0"/>
                    <w:keepLines w:val="0"/>
                    <w:pageBreakBefore w:val="0"/>
                    <w:widowControl/>
                    <w:suppressLineNumbers w:val="0"/>
                    <w:kinsoku/>
                    <w:wordWrap/>
                    <w:overflowPunct/>
                    <w:topLinePunct w:val="0"/>
                    <w:autoSpaceDE/>
                    <w:autoSpaceDN/>
                    <w:bidi w:val="0"/>
                    <w:adjustRightInd w:val="0"/>
                    <w:snapToGrid w:val="0"/>
                    <w:jc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所属行业</w:t>
                  </w:r>
                </w:p>
              </w:tc>
            </w:tr>
            <w:tr w14:paraId="27B33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2" w:type="pct"/>
                  <w:tcBorders>
                    <w:top w:val="single" w:color="000000" w:sz="4" w:space="0"/>
                    <w:left w:val="single" w:color="000000" w:sz="4" w:space="0"/>
                    <w:bottom w:val="single" w:color="000000" w:sz="4" w:space="0"/>
                    <w:right w:val="single" w:color="000000" w:sz="4" w:space="0"/>
                  </w:tcBorders>
                  <w:noWrap/>
                  <w:vAlign w:val="center"/>
                </w:tcPr>
                <w:p w14:paraId="1A79037F">
                  <w:pPr>
                    <w:keepNext w:val="0"/>
                    <w:keepLines w:val="0"/>
                    <w:widowControl/>
                    <w:suppressLineNumbers w:val="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920" w:type="pct"/>
                  <w:tcBorders>
                    <w:top w:val="single" w:color="000000" w:sz="4" w:space="0"/>
                    <w:left w:val="single" w:color="000000" w:sz="4" w:space="0"/>
                    <w:bottom w:val="single" w:color="000000" w:sz="4" w:space="0"/>
                    <w:right w:val="nil"/>
                  </w:tcBorders>
                  <w:noWrap w:val="0"/>
                  <w:vAlign w:val="center"/>
                </w:tcPr>
                <w:p w14:paraId="09A1A668">
                  <w:pPr>
                    <w:keepNext w:val="0"/>
                    <w:keepLines w:val="0"/>
                    <w:widowControl/>
                    <w:suppressLineNumbers w:val="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智能节水系统安装与运维综合实训平台</w:t>
                  </w:r>
                </w:p>
              </w:tc>
              <w:tc>
                <w:tcPr>
                  <w:tcW w:w="1496" w:type="pct"/>
                  <w:tcBorders>
                    <w:top w:val="single" w:color="000000" w:sz="4" w:space="0"/>
                    <w:left w:val="single" w:color="000000" w:sz="4" w:space="0"/>
                    <w:bottom w:val="single" w:color="000000" w:sz="4" w:space="0"/>
                    <w:right w:val="nil"/>
                  </w:tcBorders>
                  <w:noWrap w:val="0"/>
                  <w:vAlign w:val="center"/>
                </w:tcPr>
                <w:p w14:paraId="4AD712CD">
                  <w:pPr>
                    <w:keepNext w:val="0"/>
                    <w:keepLines w:val="0"/>
                    <w:widowControl/>
                    <w:suppressLineNumbers w:val="0"/>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工业</w:t>
                  </w:r>
                </w:p>
              </w:tc>
            </w:tr>
          </w:tbl>
          <w:p w14:paraId="310A8817">
            <w:pPr>
              <w:rPr>
                <w:rFonts w:hint="eastAsia" w:ascii="宋体" w:hAnsi="宋体"/>
                <w:color w:val="auto"/>
                <w:highlight w:val="none"/>
                <w:lang w:val="en-US" w:eastAsia="zh-CN"/>
              </w:rPr>
            </w:pPr>
          </w:p>
          <w:p w14:paraId="31216CF7">
            <w:pPr>
              <w:shd w:val="clear"/>
              <w:snapToGrid w:val="0"/>
              <w:rPr>
                <w:rFonts w:hint="eastAsia" w:ascii="宋体" w:hAnsi="宋体" w:cs="宋体"/>
                <w:color w:val="auto"/>
                <w:kern w:val="0"/>
                <w:sz w:val="24"/>
                <w:highlight w:val="none"/>
              </w:rPr>
            </w:pPr>
            <w:r>
              <w:rPr>
                <w:rFonts w:hint="eastAsia" w:ascii="宋体" w:hAnsi="宋体" w:cs="宋体"/>
                <w:color w:val="auto"/>
                <w:kern w:val="0"/>
                <w:sz w:val="24"/>
                <w:highlight w:val="none"/>
              </w:rPr>
              <w:t>中小企业划型标准：</w:t>
            </w:r>
            <w:r>
              <w:rPr>
                <w:rFonts w:hint="eastAsia" w:ascii="宋体" w:hAnsi="宋体" w:cs="宋体"/>
                <w:color w:val="auto"/>
                <w:kern w:val="0"/>
                <w:sz w:val="24"/>
                <w:highlight w:val="none"/>
                <w:lang w:val="en-US" w:eastAsia="zh-CN"/>
              </w:rPr>
              <w:t>详见《招标文件》第六部分 应提交的有关格式范例：</w:t>
            </w:r>
            <w:r>
              <w:rPr>
                <w:rFonts w:hint="eastAsia" w:ascii="宋体" w:hAnsi="宋体" w:cs="宋体"/>
                <w:b/>
                <w:bCs/>
                <w:color w:val="auto"/>
                <w:kern w:val="0"/>
                <w:sz w:val="24"/>
                <w:highlight w:val="none"/>
                <w:lang w:val="en-US" w:eastAsia="zh-CN"/>
              </w:rPr>
              <w:t>各行业划型标准</w:t>
            </w:r>
            <w:r>
              <w:rPr>
                <w:rFonts w:hint="eastAsia" w:ascii="宋体" w:hAnsi="宋体" w:cs="宋体"/>
                <w:color w:val="auto"/>
                <w:kern w:val="0"/>
                <w:sz w:val="24"/>
                <w:highlight w:val="none"/>
              </w:rPr>
              <w:t>。</w:t>
            </w:r>
          </w:p>
          <w:p w14:paraId="1B8FBD5C">
            <w:pPr>
              <w:shd w:val="clear"/>
              <w:snapToGrid w:val="0"/>
              <w:rPr>
                <w:rFonts w:ascii="宋体" w:hAnsi="宋体" w:cs="宋体"/>
                <w:color w:val="auto"/>
                <w:kern w:val="0"/>
                <w:sz w:val="24"/>
                <w:highlight w:val="none"/>
              </w:rPr>
            </w:pPr>
            <w:r>
              <w:rPr>
                <w:rFonts w:hint="eastAsia" w:ascii="宋体" w:hAnsi="宋体" w:cs="宋体"/>
                <w:b/>
                <w:bCs/>
                <w:color w:val="auto"/>
                <w:kern w:val="0"/>
                <w:sz w:val="24"/>
                <w:highlight w:val="none"/>
              </w:rPr>
              <w:t>注：对于未预留份额专门面向中小企业的政府采购货物或服务项目，以及预留份额政府采购货物或服务项目中的非预留部分标项，对小型和微型企业的最后报价给予10%的扣除，用扣除后的价格参与评审。</w:t>
            </w:r>
          </w:p>
        </w:tc>
      </w:tr>
      <w:tr w14:paraId="336E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jc w:val="center"/>
        </w:trPr>
        <w:tc>
          <w:tcPr>
            <w:tcW w:w="366" w:type="pct"/>
            <w:vAlign w:val="center"/>
          </w:tcPr>
          <w:p w14:paraId="5C3E7C32">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075" w:type="pct"/>
            <w:vAlign w:val="center"/>
          </w:tcPr>
          <w:p w14:paraId="011CED24">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3557" w:type="pct"/>
            <w:vAlign w:val="center"/>
          </w:tcPr>
          <w:p w14:paraId="040330FF">
            <w:pPr>
              <w:shd w:val="clea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标项一</w:t>
            </w:r>
            <w:r>
              <w:rPr>
                <w:rFonts w:hint="eastAsia" w:ascii="宋体" w:hAnsi="宋体" w:cs="宋体"/>
                <w:color w:val="auto"/>
                <w:kern w:val="0"/>
                <w:sz w:val="24"/>
                <w:highlight w:val="none"/>
                <w:lang w:eastAsia="zh-CN"/>
              </w:rPr>
              <w:t>：</w:t>
            </w:r>
          </w:p>
          <w:p w14:paraId="20C2C13E">
            <w:pPr>
              <w:shd w:val="clear"/>
              <w:rPr>
                <w:rFonts w:ascii="宋体" w:hAnsi="宋体" w:cs="宋体"/>
                <w:color w:val="auto"/>
                <w:kern w:val="0"/>
                <w:sz w:val="24"/>
                <w:highlight w:val="none"/>
              </w:rPr>
            </w:pPr>
            <w:sdt>
              <w:sdtPr>
                <w:rPr>
                  <w:rFonts w:hint="eastAsia" w:ascii="宋体" w:hAnsi="宋体" w:cs="宋体"/>
                  <w:color w:val="auto"/>
                  <w:kern w:val="0"/>
                  <w:sz w:val="24"/>
                  <w:highlight w:val="none"/>
                </w:rPr>
                <w:id w:val="100182911"/>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24714A09">
            <w:pPr>
              <w:shd w:val="clear"/>
              <w:rPr>
                <w:rFonts w:ascii="宋体" w:hAnsi="宋体" w:cs="宋体"/>
                <w:color w:val="auto"/>
                <w:kern w:val="0"/>
                <w:sz w:val="24"/>
                <w:highlight w:val="none"/>
              </w:rPr>
            </w:pPr>
            <w:sdt>
              <w:sdtPr>
                <w:rPr>
                  <w:rFonts w:hint="eastAsia" w:ascii="宋体" w:hAnsi="宋体" w:cs="宋体"/>
                  <w:color w:val="auto"/>
                  <w:kern w:val="0"/>
                  <w:sz w:val="24"/>
                  <w:highlight w:val="none"/>
                </w:rPr>
                <w:id w:val="732963085"/>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58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0" w:hRule="atLeast"/>
          <w:jc w:val="center"/>
        </w:trPr>
        <w:tc>
          <w:tcPr>
            <w:tcW w:w="366" w:type="pct"/>
            <w:vAlign w:val="center"/>
          </w:tcPr>
          <w:p w14:paraId="09B4F1DC">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075" w:type="pct"/>
            <w:vAlign w:val="center"/>
          </w:tcPr>
          <w:p w14:paraId="28E94003">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lang w:val="en-US" w:eastAsia="zh-CN"/>
              </w:rPr>
              <w:t>转包、</w:t>
            </w:r>
            <w:r>
              <w:rPr>
                <w:rFonts w:hint="eastAsia" w:ascii="宋体" w:hAnsi="宋体" w:cs="宋体"/>
                <w:b/>
                <w:color w:val="auto"/>
                <w:sz w:val="24"/>
                <w:highlight w:val="none"/>
              </w:rPr>
              <w:t>分包</w:t>
            </w:r>
          </w:p>
        </w:tc>
        <w:tc>
          <w:tcPr>
            <w:tcW w:w="3557" w:type="pct"/>
            <w:vAlign w:val="center"/>
          </w:tcPr>
          <w:p w14:paraId="20AC97A7">
            <w:pPr>
              <w:shd w:val="clea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转包：否</w:t>
            </w:r>
          </w:p>
          <w:p w14:paraId="515A279D">
            <w:pPr>
              <w:shd w:val="clea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分包：</w:t>
            </w:r>
          </w:p>
          <w:p w14:paraId="19C034DD">
            <w:pPr>
              <w:shd w:val="clear"/>
              <w:rPr>
                <w:rFonts w:hint="eastAsia" w:ascii="宋体" w:hAnsi="宋体" w:cs="宋体"/>
                <w:color w:val="auto"/>
                <w:sz w:val="24"/>
                <w:highlight w:val="none"/>
              </w:rPr>
            </w:pPr>
            <w:sdt>
              <w:sdtPr>
                <w:rPr>
                  <w:rFonts w:hint="eastAsia" w:ascii="宋体" w:hAnsi="宋体" w:cs="宋体"/>
                  <w:color w:val="auto"/>
                  <w:kern w:val="0"/>
                  <w:sz w:val="24"/>
                  <w:highlight w:val="none"/>
                </w:rPr>
                <w:id w:val="737348981"/>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w:t>
            </w:r>
            <w:r>
              <w:rPr>
                <w:rFonts w:hint="eastAsia" w:ascii="宋体" w:hAnsi="宋体" w:cs="宋体"/>
                <w:color w:val="auto"/>
                <w:sz w:val="24"/>
                <w:highlight w:val="none"/>
                <w:lang w:val="en-US" w:eastAsia="zh-CN"/>
              </w:rPr>
              <w:t>将</w:t>
            </w:r>
            <w:r>
              <w:rPr>
                <w:rFonts w:hint="eastAsia" w:ascii="宋体" w:hAnsi="宋体" w:cs="宋体"/>
                <w:color w:val="auto"/>
                <w:sz w:val="24"/>
                <w:highlight w:val="none"/>
              </w:rPr>
              <w:t>本项目非主体、非关键性</w:t>
            </w:r>
            <w:r>
              <w:rPr>
                <w:rFonts w:hint="eastAsia" w:ascii="宋体" w:hAnsi="宋体" w:cs="宋体"/>
                <w:color w:val="auto"/>
                <w:sz w:val="24"/>
                <w:highlight w:val="none"/>
                <w:lang w:eastAsia="zh-CN"/>
              </w:rPr>
              <w:t>的</w:t>
            </w:r>
            <w:r>
              <w:rPr>
                <w:rFonts w:hint="eastAsia" w:ascii="宋体" w:hAnsi="宋体" w:cs="宋体"/>
                <w:color w:val="auto"/>
                <w:sz w:val="24"/>
                <w:highlight w:val="none"/>
                <w:u w:val="single"/>
                <w:lang w:val="en-US" w:eastAsia="zh-CN"/>
              </w:rPr>
              <w:t xml:space="preserve"> 安装 </w:t>
            </w:r>
            <w:r>
              <w:rPr>
                <w:rFonts w:hint="eastAsia" w:ascii="宋体" w:hAnsi="宋体" w:cs="宋体"/>
                <w:color w:val="auto"/>
                <w:sz w:val="24"/>
                <w:highlight w:val="none"/>
              </w:rPr>
              <w:t>部分进行合理分包。</w:t>
            </w:r>
          </w:p>
          <w:p w14:paraId="1DAE51B9">
            <w:pPr>
              <w:shd w:val="clear"/>
              <w:rPr>
                <w:rFonts w:ascii="宋体" w:hAnsi="宋体" w:cs="宋体"/>
                <w:color w:val="auto"/>
                <w:sz w:val="24"/>
                <w:highlight w:val="none"/>
              </w:rPr>
            </w:pPr>
            <w:sdt>
              <w:sdtPr>
                <w:rPr>
                  <w:rFonts w:hint="eastAsia" w:ascii="宋体" w:hAnsi="宋体" w:cs="宋体"/>
                  <w:color w:val="auto"/>
                  <w:kern w:val="0"/>
                  <w:sz w:val="24"/>
                  <w:highlight w:val="none"/>
                </w:rPr>
                <w:id w:val="289175408"/>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237A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0" w:hRule="atLeast"/>
          <w:jc w:val="center"/>
        </w:trPr>
        <w:tc>
          <w:tcPr>
            <w:tcW w:w="366" w:type="pct"/>
            <w:vAlign w:val="center"/>
          </w:tcPr>
          <w:p w14:paraId="535A86BF">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075" w:type="pct"/>
            <w:vAlign w:val="center"/>
          </w:tcPr>
          <w:p w14:paraId="1918DE87">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3557" w:type="pct"/>
            <w:vAlign w:val="center"/>
          </w:tcPr>
          <w:p w14:paraId="3F181354">
            <w:pPr>
              <w:shd w:val="clear"/>
              <w:rPr>
                <w:rFonts w:ascii="宋体" w:hAnsi="宋体" w:cs="宋体"/>
                <w:color w:val="auto"/>
                <w:sz w:val="24"/>
                <w:highlight w:val="none"/>
              </w:rPr>
            </w:pPr>
            <w:sdt>
              <w:sdtPr>
                <w:rPr>
                  <w:rFonts w:hint="eastAsia" w:ascii="宋体" w:hAnsi="宋体" w:cs="宋体"/>
                  <w:color w:val="auto"/>
                  <w:kern w:val="0"/>
                  <w:sz w:val="24"/>
                  <w:highlight w:val="none"/>
                </w:rPr>
                <w:id w:val="415589095"/>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F20DAAB">
            <w:pPr>
              <w:shd w:val="clear"/>
              <w:rPr>
                <w:rFonts w:ascii="宋体" w:hAnsi="宋体" w:cs="宋体"/>
                <w:color w:val="auto"/>
                <w:sz w:val="24"/>
                <w:highlight w:val="none"/>
              </w:rPr>
            </w:pPr>
            <w:sdt>
              <w:sdtPr>
                <w:rPr>
                  <w:rFonts w:hint="eastAsia" w:ascii="宋体" w:hAnsi="宋体" w:cs="宋体"/>
                  <w:color w:val="auto"/>
                  <w:kern w:val="0"/>
                  <w:sz w:val="24"/>
                  <w:highlight w:val="none"/>
                </w:rPr>
                <w:id w:val="18909962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1F80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66" w:type="pct"/>
            <w:vAlign w:val="center"/>
          </w:tcPr>
          <w:p w14:paraId="2A11F392">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075" w:type="pct"/>
            <w:vAlign w:val="center"/>
          </w:tcPr>
          <w:p w14:paraId="4E8E5212">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3557" w:type="pct"/>
            <w:vAlign w:val="center"/>
          </w:tcPr>
          <w:p w14:paraId="35C7A3CB">
            <w:pPr>
              <w:shd w:val="clear"/>
              <w:rPr>
                <w:rFonts w:ascii="宋体" w:hAnsi="宋体" w:cs="宋体"/>
                <w:color w:val="auto"/>
                <w:sz w:val="24"/>
                <w:highlight w:val="none"/>
              </w:rPr>
            </w:pPr>
            <w:sdt>
              <w:sdtPr>
                <w:rPr>
                  <w:rFonts w:hint="eastAsia" w:ascii="宋体" w:hAnsi="宋体" w:cs="宋体"/>
                  <w:color w:val="auto"/>
                  <w:kern w:val="0"/>
                  <w:sz w:val="24"/>
                  <w:highlight w:val="none"/>
                </w:rPr>
                <w:id w:val="714511165"/>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74FED2D">
            <w:pPr>
              <w:shd w:val="clear"/>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w:t>
            </w:r>
          </w:p>
          <w:p w14:paraId="2A52AEDB">
            <w:pPr>
              <w:shd w:val="clea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样品具体要求详见：第三部分 采购需求</w:t>
            </w:r>
          </w:p>
        </w:tc>
      </w:tr>
      <w:tr w14:paraId="3CD2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jc w:val="center"/>
        </w:trPr>
        <w:tc>
          <w:tcPr>
            <w:tcW w:w="366" w:type="pct"/>
            <w:vAlign w:val="center"/>
          </w:tcPr>
          <w:p w14:paraId="612CFA88">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075" w:type="pct"/>
            <w:vAlign w:val="center"/>
          </w:tcPr>
          <w:p w14:paraId="3409D094">
            <w:pPr>
              <w:shd w:val="clear"/>
              <w:snapToGrid w:val="0"/>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3557" w:type="pct"/>
            <w:vAlign w:val="center"/>
          </w:tcPr>
          <w:p w14:paraId="2E3A5A2C">
            <w:pPr>
              <w:shd w:val="clear"/>
              <w:rPr>
                <w:rFonts w:ascii="宋体" w:hAnsi="宋体" w:cs="宋体"/>
                <w:color w:val="auto"/>
                <w:sz w:val="24"/>
                <w:highlight w:val="none"/>
              </w:rPr>
            </w:pPr>
            <w:sdt>
              <w:sdtPr>
                <w:rPr>
                  <w:rFonts w:hint="eastAsia" w:ascii="宋体" w:hAnsi="宋体" w:cs="宋体"/>
                  <w:color w:val="auto"/>
                  <w:kern w:val="0"/>
                  <w:sz w:val="24"/>
                  <w:highlight w:val="none"/>
                </w:rPr>
                <w:id w:val="6059613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2260"/>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sym w:font="Wingdings" w:char="00A8"/>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1B2D4D7">
            <w:pPr>
              <w:shd w:val="clear"/>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sym w:font="Wingdings" w:char="00FE"/>
                </w:r>
              </w:sdtContent>
            </w:sdt>
            <w:r>
              <w:rPr>
                <w:rFonts w:hint="eastAsia" w:ascii="宋体" w:hAnsi="宋体" w:cs="宋体"/>
                <w:color w:val="auto"/>
                <w:kern w:val="0"/>
                <w:sz w:val="24"/>
                <w:highlight w:val="none"/>
              </w:rPr>
              <w:t>B组织。</w:t>
            </w:r>
          </w:p>
          <w:p w14:paraId="4F0877C1">
            <w:pPr>
              <w:shd w:val="clear"/>
              <w:snapToGrid w:val="0"/>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20分钟</w:t>
            </w:r>
            <w:r>
              <w:rPr>
                <w:rFonts w:hint="eastAsia" w:ascii="宋体" w:hAnsi="宋体" w:cs="宋体"/>
                <w:color w:val="auto"/>
                <w:kern w:val="0"/>
                <w:sz w:val="24"/>
                <w:highlight w:val="none"/>
              </w:rPr>
              <w:t>，讲解次序以投标文件解密时间先后次序为准，讲解演示人员不超过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2 </w:t>
            </w:r>
            <w:r>
              <w:rPr>
                <w:rFonts w:hint="eastAsia" w:ascii="宋体" w:hAnsi="宋体" w:cs="宋体"/>
                <w:color w:val="auto"/>
                <w:kern w:val="0"/>
                <w:sz w:val="24"/>
                <w:highlight w:val="none"/>
              </w:rPr>
              <w:t>人。</w:t>
            </w:r>
          </w:p>
          <w:p w14:paraId="22A964F1">
            <w:pPr>
              <w:snapToGrid w:val="0"/>
              <w:rPr>
                <w:rFonts w:hint="eastAsia" w:ascii="宋体" w:hAnsi="宋体" w:cs="宋体"/>
                <w:color w:val="auto"/>
                <w:kern w:val="0"/>
                <w:sz w:val="24"/>
                <w:highlight w:val="none"/>
              </w:rPr>
            </w:pPr>
            <w:r>
              <w:rPr>
                <w:rFonts w:hint="eastAsia" w:ascii="宋体" w:hAnsi="宋体" w:cs="宋体"/>
                <w:color w:val="auto"/>
                <w:kern w:val="0"/>
                <w:sz w:val="24"/>
                <w:highlight w:val="none"/>
              </w:rPr>
              <w:t>（2）投标人应自行准备演示所需的</w:t>
            </w:r>
            <w:r>
              <w:rPr>
                <w:rFonts w:hint="eastAsia" w:ascii="宋体" w:hAnsi="宋体" w:cs="宋体"/>
                <w:color w:val="auto"/>
                <w:kern w:val="0"/>
                <w:sz w:val="24"/>
                <w:highlight w:val="none"/>
                <w:lang w:val="en-US" w:eastAsia="zh-CN"/>
              </w:rPr>
              <w:t>设施</w:t>
            </w:r>
            <w:r>
              <w:rPr>
                <w:rFonts w:hint="eastAsia" w:ascii="宋体" w:hAnsi="宋体" w:cs="宋体"/>
                <w:color w:val="auto"/>
                <w:kern w:val="0"/>
                <w:sz w:val="24"/>
                <w:highlight w:val="none"/>
              </w:rPr>
              <w:t>设备，按要求完成项目演示，将演示内容录制成演示视频随备份文件在投标截止前一并递交（如无备份文件的可单独递交演示视频）。</w:t>
            </w:r>
          </w:p>
          <w:p w14:paraId="5C0DED2D">
            <w:pPr>
              <w:shd w:val="clear"/>
              <w:snapToGrid w:val="0"/>
              <w:rPr>
                <w:rFonts w:ascii="宋体" w:hAnsi="宋体" w:cs="宋体"/>
                <w:b/>
                <w:color w:val="auto"/>
                <w:kern w:val="0"/>
                <w:sz w:val="24"/>
                <w:highlight w:val="none"/>
                <w:lang w:val="zh-CN"/>
              </w:rPr>
            </w:pPr>
            <w:r>
              <w:rPr>
                <w:rFonts w:hint="eastAsia" w:ascii="宋体" w:hAnsi="宋体" w:cs="宋体"/>
                <w:color w:val="auto"/>
                <w:kern w:val="0"/>
                <w:sz w:val="24"/>
                <w:highlight w:val="none"/>
              </w:rPr>
              <w:t>（3）演示视频时长不超过</w:t>
            </w:r>
            <w:r>
              <w:rPr>
                <w:rFonts w:hint="eastAsia" w:ascii="宋体" w:hAnsi="宋体" w:cs="宋体"/>
                <w:color w:val="auto"/>
                <w:kern w:val="0"/>
                <w:sz w:val="24"/>
                <w:highlight w:val="none"/>
                <w:lang w:eastAsia="zh-CN"/>
              </w:rPr>
              <w:t>2</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分钟，视频格式要求为mp4，视频载体要求为U盘。未按以上要求制作导致演示不能顺利进行的，由投标人自行承担所有责任。</w:t>
            </w:r>
          </w:p>
        </w:tc>
      </w:tr>
      <w:tr w14:paraId="186D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7" w:hRule="atLeast"/>
          <w:jc w:val="center"/>
        </w:trPr>
        <w:tc>
          <w:tcPr>
            <w:tcW w:w="366" w:type="pct"/>
            <w:vMerge w:val="restart"/>
            <w:vAlign w:val="center"/>
          </w:tcPr>
          <w:p w14:paraId="7E01FF79">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075" w:type="pct"/>
            <w:vMerge w:val="restart"/>
            <w:vAlign w:val="center"/>
          </w:tcPr>
          <w:p w14:paraId="3A32491E">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3557" w:type="pct"/>
            <w:vAlign w:val="center"/>
          </w:tcPr>
          <w:p w14:paraId="1BAAD2FB">
            <w:pPr>
              <w:shd w:val="clear"/>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1049B1F">
            <w:pPr>
              <w:shd w:val="clear"/>
              <w:rPr>
                <w:rFonts w:ascii="宋体" w:hAnsi="宋体" w:cs="宋体"/>
                <w:color w:val="auto"/>
                <w:kern w:val="0"/>
                <w:sz w:val="24"/>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398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 w:hRule="atLeast"/>
          <w:jc w:val="center"/>
        </w:trPr>
        <w:tc>
          <w:tcPr>
            <w:tcW w:w="366" w:type="pct"/>
            <w:vMerge w:val="continue"/>
            <w:vAlign w:val="center"/>
          </w:tcPr>
          <w:p w14:paraId="30666CBD">
            <w:pPr>
              <w:shd w:val="clear"/>
              <w:snapToGrid w:val="0"/>
              <w:jc w:val="center"/>
              <w:rPr>
                <w:rFonts w:ascii="宋体" w:hAnsi="宋体" w:cs="宋体"/>
                <w:color w:val="auto"/>
                <w:sz w:val="24"/>
                <w:highlight w:val="none"/>
              </w:rPr>
            </w:pPr>
          </w:p>
        </w:tc>
        <w:tc>
          <w:tcPr>
            <w:tcW w:w="1075" w:type="pct"/>
            <w:vMerge w:val="continue"/>
            <w:vAlign w:val="center"/>
          </w:tcPr>
          <w:p w14:paraId="01CB8B91">
            <w:pPr>
              <w:shd w:val="clear"/>
              <w:snapToGrid w:val="0"/>
              <w:jc w:val="center"/>
              <w:rPr>
                <w:rFonts w:ascii="宋体" w:hAnsi="宋体" w:cs="宋体"/>
                <w:b/>
                <w:color w:val="auto"/>
                <w:sz w:val="24"/>
                <w:highlight w:val="none"/>
              </w:rPr>
            </w:pPr>
          </w:p>
        </w:tc>
        <w:tc>
          <w:tcPr>
            <w:tcW w:w="3557" w:type="pct"/>
            <w:vAlign w:val="center"/>
          </w:tcPr>
          <w:p w14:paraId="0E4989E5">
            <w:pPr>
              <w:shd w:val="clear"/>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042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366" w:type="pct"/>
            <w:vAlign w:val="center"/>
          </w:tcPr>
          <w:p w14:paraId="5A6100D8">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075" w:type="pct"/>
            <w:vAlign w:val="center"/>
          </w:tcPr>
          <w:p w14:paraId="0FA35CD6">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3557" w:type="pct"/>
            <w:vAlign w:val="center"/>
          </w:tcPr>
          <w:p w14:paraId="5DA8E35C">
            <w:pPr>
              <w:shd w:val="clear"/>
              <w:snapToGrid w:val="0"/>
              <w:rPr>
                <w:rFonts w:ascii="宋体" w:hAnsi="宋体" w:cs="宋体"/>
                <w:color w:val="auto"/>
                <w:sz w:val="24"/>
                <w:highlight w:val="none"/>
              </w:rPr>
            </w:pP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拟采购的产品属于品目清单范围的，</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及其委托的采购代理机构将依据国家确定的认证机构出具的、处于有效期之内的节能产品、环境标志产品认证证书，对获得证书的产品实施政府优先采购或强制采购。</w:t>
            </w:r>
          </w:p>
        </w:tc>
      </w:tr>
      <w:tr w14:paraId="68D1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jc w:val="center"/>
        </w:trPr>
        <w:tc>
          <w:tcPr>
            <w:tcW w:w="366" w:type="pct"/>
            <w:vAlign w:val="center"/>
          </w:tcPr>
          <w:p w14:paraId="0C489294">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075" w:type="pct"/>
            <w:vAlign w:val="center"/>
          </w:tcPr>
          <w:p w14:paraId="45EB5611">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3557" w:type="pct"/>
            <w:vAlign w:val="center"/>
          </w:tcPr>
          <w:p w14:paraId="72E606EF">
            <w:pPr>
              <w:shd w:val="clear"/>
              <w:snapToGrid w:val="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993436F">
            <w:pPr>
              <w:shd w:val="clear"/>
              <w:snapToGrid w:val="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D5418F5">
            <w:pPr>
              <w:shd w:val="clear"/>
              <w:snapToGrid w:val="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50C1A5C">
            <w:pPr>
              <w:shd w:val="clear"/>
              <w:snapToGrid w:val="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ECA3F00">
            <w:pPr>
              <w:shd w:val="clear"/>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6802BECA">
            <w:pPr>
              <w:shd w:val="clear"/>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B99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jc w:val="center"/>
        </w:trPr>
        <w:tc>
          <w:tcPr>
            <w:tcW w:w="366" w:type="pct"/>
            <w:vAlign w:val="center"/>
          </w:tcPr>
          <w:p w14:paraId="27BB91A8">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075" w:type="pct"/>
            <w:vAlign w:val="center"/>
          </w:tcPr>
          <w:p w14:paraId="5FE746D1">
            <w:pPr>
              <w:shd w:val="clear"/>
              <w:snapToGrid w:val="0"/>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采购代理服务费</w:t>
            </w:r>
          </w:p>
        </w:tc>
        <w:tc>
          <w:tcPr>
            <w:tcW w:w="3557" w:type="pct"/>
            <w:vAlign w:val="center"/>
          </w:tcPr>
          <w:p w14:paraId="5BEB7C65">
            <w:pPr>
              <w:shd w:val="clear"/>
              <w:jc w:val="left"/>
              <w:rPr>
                <w:rFonts w:hint="eastAsia" w:ascii="宋体" w:hAnsi="宋体" w:cs="宋体"/>
                <w:color w:val="auto"/>
                <w:kern w:val="28"/>
                <w:sz w:val="24"/>
                <w:highlight w:val="none"/>
              </w:rPr>
            </w:pPr>
            <w:r>
              <w:rPr>
                <w:rFonts w:hint="eastAsia" w:ascii="宋体" w:hAnsi="宋体" w:cs="宋体"/>
                <w:color w:val="auto"/>
                <w:kern w:val="28"/>
                <w:sz w:val="24"/>
                <w:highlight w:val="none"/>
              </w:rPr>
              <w:t>（1）</w:t>
            </w:r>
            <w:r>
              <w:rPr>
                <w:rFonts w:hint="eastAsia" w:ascii="宋体" w:hAnsi="宋体" w:cs="宋体"/>
                <w:color w:val="auto"/>
                <w:kern w:val="28"/>
                <w:sz w:val="24"/>
                <w:highlight w:val="none"/>
                <w:lang w:eastAsia="zh-CN"/>
              </w:rPr>
              <w:t>采购代理服务费</w:t>
            </w:r>
            <w:r>
              <w:rPr>
                <w:rFonts w:hint="eastAsia" w:ascii="宋体" w:hAnsi="宋体" w:cs="宋体"/>
                <w:color w:val="auto"/>
                <w:kern w:val="28"/>
                <w:sz w:val="24"/>
                <w:highlight w:val="none"/>
              </w:rPr>
              <w:t>参照国家发改委发改办价格[2003]857号通知和原国家计[2002]1980号文件规定的招标费率标准7折收取，不足</w:t>
            </w:r>
            <w:r>
              <w:rPr>
                <w:rFonts w:hint="eastAsia" w:ascii="宋体" w:hAnsi="宋体" w:cs="宋体"/>
                <w:color w:val="auto"/>
                <w:kern w:val="28"/>
                <w:sz w:val="24"/>
                <w:highlight w:val="none"/>
                <w:lang w:val="en-US" w:eastAsia="zh-CN"/>
              </w:rPr>
              <w:t>5</w:t>
            </w:r>
            <w:r>
              <w:rPr>
                <w:rFonts w:hint="eastAsia" w:ascii="宋体" w:hAnsi="宋体" w:cs="宋体"/>
                <w:color w:val="auto"/>
                <w:kern w:val="28"/>
                <w:sz w:val="24"/>
                <w:highlight w:val="none"/>
              </w:rPr>
              <w:t>000元按</w:t>
            </w:r>
            <w:r>
              <w:rPr>
                <w:rFonts w:hint="eastAsia" w:ascii="宋体" w:hAnsi="宋体" w:cs="宋体"/>
                <w:color w:val="auto"/>
                <w:kern w:val="28"/>
                <w:sz w:val="24"/>
                <w:highlight w:val="none"/>
                <w:lang w:val="en-US" w:eastAsia="zh-CN"/>
              </w:rPr>
              <w:t>5</w:t>
            </w:r>
            <w:r>
              <w:rPr>
                <w:rFonts w:hint="eastAsia" w:ascii="宋体" w:hAnsi="宋体" w:cs="宋体"/>
                <w:color w:val="auto"/>
                <w:kern w:val="28"/>
                <w:sz w:val="24"/>
                <w:highlight w:val="none"/>
              </w:rPr>
              <w:t>000元收取。</w:t>
            </w:r>
          </w:p>
          <w:p w14:paraId="717B6765">
            <w:pPr>
              <w:shd w:val="clear"/>
              <w:jc w:val="left"/>
              <w:rPr>
                <w:rFonts w:hint="eastAsia" w:ascii="宋体" w:hAnsi="宋体" w:cs="宋体"/>
                <w:color w:val="auto"/>
                <w:kern w:val="28"/>
                <w:sz w:val="24"/>
                <w:highlight w:val="none"/>
              </w:rPr>
            </w:pPr>
            <w:r>
              <w:rPr>
                <w:rFonts w:hint="eastAsia" w:ascii="宋体" w:hAnsi="宋体" w:cs="宋体"/>
                <w:color w:val="auto"/>
                <w:kern w:val="28"/>
                <w:sz w:val="24"/>
                <w:highlight w:val="none"/>
              </w:rPr>
              <w:t>（2）中标人在领取中标通知书前，应向</w:t>
            </w:r>
            <w:r>
              <w:rPr>
                <w:rFonts w:hint="eastAsia" w:ascii="宋体" w:hAnsi="宋体" w:cs="宋体"/>
                <w:color w:val="auto"/>
                <w:kern w:val="28"/>
                <w:sz w:val="24"/>
                <w:highlight w:val="none"/>
                <w:lang w:eastAsia="zh-CN"/>
              </w:rPr>
              <w:t>采购代理机构</w:t>
            </w:r>
            <w:r>
              <w:rPr>
                <w:rFonts w:hint="eastAsia" w:ascii="宋体" w:hAnsi="宋体" w:cs="宋体"/>
                <w:color w:val="auto"/>
                <w:kern w:val="28"/>
                <w:sz w:val="24"/>
                <w:highlight w:val="none"/>
              </w:rPr>
              <w:t>交纳</w:t>
            </w:r>
            <w:r>
              <w:rPr>
                <w:rFonts w:hint="eastAsia" w:ascii="宋体" w:hAnsi="宋体" w:cs="宋体"/>
                <w:color w:val="auto"/>
                <w:kern w:val="28"/>
                <w:sz w:val="24"/>
                <w:highlight w:val="none"/>
                <w:lang w:eastAsia="zh-CN"/>
              </w:rPr>
              <w:t>采购代理服务费</w:t>
            </w:r>
            <w:r>
              <w:rPr>
                <w:rFonts w:hint="eastAsia" w:ascii="宋体" w:hAnsi="宋体" w:cs="宋体"/>
                <w:color w:val="auto"/>
                <w:kern w:val="28"/>
                <w:sz w:val="24"/>
                <w:highlight w:val="none"/>
              </w:rPr>
              <w:t>。</w:t>
            </w:r>
          </w:p>
          <w:p w14:paraId="32C3F7FB">
            <w:pPr>
              <w:shd w:val="clear"/>
              <w:jc w:val="left"/>
              <w:rPr>
                <w:rFonts w:hint="eastAsia" w:ascii="宋体" w:hAnsi="宋体" w:cs="宋体"/>
                <w:color w:val="auto"/>
                <w:kern w:val="28"/>
                <w:sz w:val="24"/>
                <w:highlight w:val="none"/>
              </w:rPr>
            </w:pPr>
            <w:r>
              <w:rPr>
                <w:rFonts w:hint="eastAsia" w:ascii="宋体" w:hAnsi="宋体" w:cs="宋体"/>
                <w:color w:val="auto"/>
                <w:kern w:val="28"/>
                <w:sz w:val="24"/>
                <w:highlight w:val="none"/>
              </w:rPr>
              <w:t>（3）</w:t>
            </w:r>
            <w:r>
              <w:rPr>
                <w:rFonts w:hint="eastAsia" w:ascii="宋体" w:hAnsi="宋体" w:cs="宋体"/>
                <w:color w:val="auto"/>
                <w:kern w:val="28"/>
                <w:sz w:val="24"/>
                <w:highlight w:val="none"/>
                <w:lang w:eastAsia="zh-CN"/>
              </w:rPr>
              <w:t>采购代理服务费</w:t>
            </w:r>
            <w:r>
              <w:rPr>
                <w:rFonts w:hint="eastAsia" w:ascii="宋体" w:hAnsi="宋体" w:cs="宋体"/>
                <w:color w:val="auto"/>
                <w:kern w:val="28"/>
                <w:sz w:val="24"/>
                <w:highlight w:val="none"/>
              </w:rPr>
              <w:t>以电汇方式支付。</w:t>
            </w:r>
          </w:p>
          <w:p w14:paraId="7DC9DABA">
            <w:pPr>
              <w:shd w:val="clear"/>
              <w:jc w:val="left"/>
              <w:rPr>
                <w:rFonts w:hint="eastAsia" w:ascii="宋体" w:hAnsi="宋体" w:cs="宋体"/>
                <w:color w:val="auto"/>
                <w:kern w:val="28"/>
                <w:sz w:val="24"/>
                <w:highlight w:val="none"/>
              </w:rPr>
            </w:pPr>
            <w:r>
              <w:rPr>
                <w:rFonts w:hint="eastAsia" w:ascii="宋体" w:hAnsi="宋体" w:cs="宋体"/>
                <w:color w:val="auto"/>
                <w:kern w:val="28"/>
                <w:sz w:val="24"/>
                <w:highlight w:val="none"/>
              </w:rPr>
              <w:t>（4）中标人如未按上述规定办理，本</w:t>
            </w:r>
            <w:r>
              <w:rPr>
                <w:rFonts w:hint="eastAsia" w:ascii="宋体" w:hAnsi="宋体" w:cs="宋体"/>
                <w:color w:val="auto"/>
                <w:kern w:val="28"/>
                <w:sz w:val="24"/>
                <w:highlight w:val="none"/>
                <w:lang w:eastAsia="zh-CN"/>
              </w:rPr>
              <w:t>采购代理机构</w:t>
            </w:r>
            <w:r>
              <w:rPr>
                <w:rFonts w:hint="eastAsia" w:ascii="宋体" w:hAnsi="宋体" w:cs="宋体"/>
                <w:color w:val="auto"/>
                <w:kern w:val="28"/>
                <w:sz w:val="24"/>
                <w:highlight w:val="none"/>
              </w:rPr>
              <w:t>有权从其参加招标活动的投标保证金中收取采</w:t>
            </w:r>
            <w:r>
              <w:rPr>
                <w:rFonts w:hint="eastAsia" w:ascii="宋体" w:hAnsi="宋体" w:cs="宋体"/>
                <w:color w:val="auto"/>
                <w:kern w:val="28"/>
                <w:sz w:val="24"/>
                <w:highlight w:val="none"/>
                <w:lang w:eastAsia="zh-CN"/>
              </w:rPr>
              <w:t>采购代理服务费</w:t>
            </w:r>
            <w:r>
              <w:rPr>
                <w:rFonts w:hint="eastAsia" w:ascii="宋体" w:hAnsi="宋体" w:cs="宋体"/>
                <w:color w:val="auto"/>
                <w:kern w:val="28"/>
                <w:sz w:val="24"/>
                <w:highlight w:val="none"/>
              </w:rPr>
              <w:t>，并对不足部分进行追索。</w:t>
            </w:r>
          </w:p>
          <w:p w14:paraId="0DED0E2E">
            <w:pPr>
              <w:shd w:val="clear"/>
              <w:jc w:val="left"/>
              <w:rPr>
                <w:rFonts w:hint="eastAsia" w:ascii="宋体" w:hAnsi="宋体" w:cs="宋体"/>
                <w:color w:val="auto"/>
                <w:kern w:val="28"/>
                <w:sz w:val="24"/>
                <w:highlight w:val="none"/>
              </w:rPr>
            </w:pPr>
            <w:r>
              <w:rPr>
                <w:rFonts w:hint="eastAsia" w:ascii="宋体" w:hAnsi="宋体" w:cs="宋体"/>
                <w:color w:val="auto"/>
                <w:kern w:val="28"/>
                <w:sz w:val="24"/>
                <w:highlight w:val="none"/>
              </w:rPr>
              <w:t>（5）服务费缴纳账号：</w:t>
            </w:r>
          </w:p>
          <w:p w14:paraId="5C671F39">
            <w:pPr>
              <w:shd w:val="clear"/>
              <w:jc w:val="left"/>
              <w:rPr>
                <w:rFonts w:hint="eastAsia" w:ascii="宋体" w:hAnsi="宋体" w:cs="宋体"/>
                <w:color w:val="auto"/>
                <w:kern w:val="28"/>
                <w:sz w:val="24"/>
                <w:highlight w:val="none"/>
              </w:rPr>
            </w:pPr>
            <w:r>
              <w:rPr>
                <w:rFonts w:hint="eastAsia" w:ascii="宋体" w:hAnsi="宋体" w:cs="宋体"/>
                <w:color w:val="auto"/>
                <w:kern w:val="28"/>
                <w:sz w:val="24"/>
                <w:highlight w:val="none"/>
              </w:rPr>
              <w:t>户名：浙江致信招标代理有限公司宁波分公司</w:t>
            </w:r>
          </w:p>
          <w:p w14:paraId="13E8C374">
            <w:pPr>
              <w:shd w:val="clear"/>
              <w:jc w:val="left"/>
              <w:rPr>
                <w:rFonts w:hint="eastAsia" w:ascii="宋体" w:hAnsi="宋体" w:cs="宋体"/>
                <w:color w:val="auto"/>
                <w:kern w:val="28"/>
                <w:sz w:val="24"/>
                <w:highlight w:val="none"/>
              </w:rPr>
            </w:pPr>
            <w:r>
              <w:rPr>
                <w:rFonts w:hint="eastAsia" w:ascii="宋体" w:hAnsi="宋体" w:cs="宋体"/>
                <w:color w:val="auto"/>
                <w:kern w:val="28"/>
                <w:sz w:val="24"/>
                <w:highlight w:val="none"/>
              </w:rPr>
              <w:t>账号：33030100201000007592</w:t>
            </w:r>
          </w:p>
          <w:p w14:paraId="405B8866">
            <w:pPr>
              <w:shd w:val="clear"/>
              <w:jc w:val="left"/>
              <w:rPr>
                <w:rFonts w:ascii="宋体" w:hAnsi="宋体" w:cs="宋体"/>
                <w:color w:val="auto"/>
                <w:kern w:val="28"/>
                <w:sz w:val="24"/>
                <w:highlight w:val="none"/>
              </w:rPr>
            </w:pPr>
            <w:r>
              <w:rPr>
                <w:rFonts w:hint="eastAsia" w:ascii="宋体" w:hAnsi="宋体" w:cs="宋体"/>
                <w:color w:val="auto"/>
                <w:kern w:val="28"/>
                <w:sz w:val="24"/>
                <w:highlight w:val="none"/>
              </w:rPr>
              <w:t>开户行：浙江泰隆商业银行宁波路林小微企业专营支行</w:t>
            </w:r>
          </w:p>
        </w:tc>
      </w:tr>
      <w:tr w14:paraId="5F80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4" w:hRule="atLeast"/>
          <w:jc w:val="center"/>
        </w:trPr>
        <w:tc>
          <w:tcPr>
            <w:tcW w:w="366" w:type="pct"/>
            <w:vAlign w:val="center"/>
          </w:tcPr>
          <w:p w14:paraId="7C34F2F7">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12</w:t>
            </w:r>
          </w:p>
        </w:tc>
        <w:tc>
          <w:tcPr>
            <w:tcW w:w="1075" w:type="pct"/>
            <w:vAlign w:val="center"/>
          </w:tcPr>
          <w:p w14:paraId="2F24E7A7">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3557" w:type="pct"/>
            <w:vAlign w:val="center"/>
          </w:tcPr>
          <w:p w14:paraId="1CAB2ABD">
            <w:pPr>
              <w:pStyle w:val="33"/>
              <w:shd w:val="clear"/>
              <w:rPr>
                <w:rFonts w:hAnsi="宋体" w:cs="宋体"/>
                <w:color w:val="auto"/>
                <w:kern w:val="28"/>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杭州市西湖区天目山路7号一号楼裙楼301室</w:t>
            </w:r>
            <w:r>
              <w:rPr>
                <w:rFonts w:hint="eastAsia" w:hAnsi="宋体" w:cs="宋体"/>
                <w:color w:val="auto"/>
                <w:kern w:val="28"/>
                <w:sz w:val="24"/>
                <w:szCs w:val="24"/>
                <w:highlight w:val="none"/>
              </w:rPr>
              <w:t>；备份投标文件签收人员联系电话：</w:t>
            </w:r>
            <w:r>
              <w:rPr>
                <w:rFonts w:hint="eastAsia" w:hAnsi="宋体" w:cs="宋体"/>
                <w:color w:val="auto"/>
                <w:sz w:val="24"/>
                <w:szCs w:val="24"/>
                <w:highlight w:val="none"/>
                <w:u w:val="single"/>
                <w:lang w:eastAsia="zh-CN"/>
              </w:rPr>
              <w:t>徐锦峰</w:t>
            </w:r>
            <w:r>
              <w:rPr>
                <w:rFonts w:hint="eastAsia" w:hAnsi="宋体" w:cs="宋体"/>
                <w:color w:val="auto"/>
                <w:sz w:val="24"/>
                <w:szCs w:val="24"/>
                <w:highlight w:val="none"/>
                <w:u w:val="single"/>
                <w:lang w:val="en-US" w:eastAsia="zh-CN"/>
              </w:rPr>
              <w:t>/</w:t>
            </w:r>
            <w:r>
              <w:rPr>
                <w:rFonts w:hint="eastAsia" w:hAnsi="宋体" w:cs="宋体"/>
                <w:color w:val="auto"/>
                <w:sz w:val="24"/>
                <w:szCs w:val="24"/>
                <w:highlight w:val="none"/>
                <w:u w:val="single"/>
                <w:lang w:eastAsia="zh-CN"/>
              </w:rPr>
              <w:t>17706633850</w:t>
            </w:r>
            <w:r>
              <w:rPr>
                <w:rFonts w:hint="eastAsia" w:hAnsi="宋体" w:cs="宋体"/>
                <w:color w:val="auto"/>
                <w:sz w:val="24"/>
                <w:szCs w:val="24"/>
                <w:highlight w:val="none"/>
              </w:rPr>
              <w:t>。</w:t>
            </w:r>
            <w:r>
              <w:rPr>
                <w:rFonts w:hint="eastAsia" w:hAnsi="宋体" w:cs="宋体"/>
                <w:b/>
                <w:color w:val="auto"/>
                <w:sz w:val="24"/>
                <w:szCs w:val="24"/>
                <w:highlight w:val="none"/>
                <w:lang w:eastAsia="zh-CN"/>
              </w:rPr>
              <w:t>采购人</w:t>
            </w:r>
            <w:r>
              <w:rPr>
                <w:rFonts w:hint="eastAsia" w:hAnsi="宋体" w:cs="宋体"/>
                <w:b/>
                <w:color w:val="auto"/>
                <w:sz w:val="24"/>
                <w:szCs w:val="24"/>
                <w:highlight w:val="none"/>
              </w:rPr>
              <w:t>、采购代理机构不强制或变相强制投标人提交备份投标文件。</w:t>
            </w:r>
          </w:p>
        </w:tc>
      </w:tr>
      <w:tr w14:paraId="2274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jc w:val="center"/>
        </w:trPr>
        <w:tc>
          <w:tcPr>
            <w:tcW w:w="366" w:type="pct"/>
            <w:vMerge w:val="restart"/>
            <w:vAlign w:val="center"/>
          </w:tcPr>
          <w:p w14:paraId="39FEDB6E">
            <w:pPr>
              <w:shd w:val="clear"/>
              <w:snapToGrid w:val="0"/>
              <w:jc w:val="center"/>
              <w:rPr>
                <w:rFonts w:ascii="宋体" w:hAnsi="宋体" w:cs="宋体"/>
                <w:color w:val="auto"/>
                <w:sz w:val="24"/>
                <w:highlight w:val="none"/>
              </w:rPr>
            </w:pPr>
            <w:r>
              <w:rPr>
                <w:rFonts w:hint="eastAsia" w:ascii="宋体" w:hAnsi="宋体" w:cs="宋体"/>
                <w:color w:val="auto"/>
                <w:sz w:val="24"/>
                <w:highlight w:val="none"/>
              </w:rPr>
              <w:t>13</w:t>
            </w:r>
          </w:p>
        </w:tc>
        <w:tc>
          <w:tcPr>
            <w:tcW w:w="1075" w:type="pct"/>
            <w:vMerge w:val="restart"/>
            <w:vAlign w:val="center"/>
          </w:tcPr>
          <w:p w14:paraId="2F8078EB">
            <w:pPr>
              <w:shd w:val="clea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3557" w:type="pct"/>
            <w:vAlign w:val="center"/>
          </w:tcPr>
          <w:p w14:paraId="62821217">
            <w:pPr>
              <w:shd w:val="clear"/>
              <w:rPr>
                <w:rFonts w:ascii="宋体" w:hAnsi="宋体" w:cs="宋体"/>
                <w:color w:val="auto"/>
                <w:kern w:val="28"/>
                <w:sz w:val="24"/>
                <w:highlight w:val="none"/>
              </w:rPr>
            </w:pPr>
            <w:r>
              <w:rPr>
                <w:rFonts w:hint="eastAsia" w:ascii="宋体" w:hAnsi="宋体" w:cs="宋体"/>
                <w:color w:val="auto"/>
                <w:kern w:val="28"/>
                <w:sz w:val="24"/>
                <w:highlight w:val="none"/>
              </w:rPr>
              <w:t>联合体投标的，联合体各方分别提供与联合体协议中规定的分工内容相应的业绩证明材料，业绩数量以提供材料较少的一方为准。</w:t>
            </w:r>
          </w:p>
        </w:tc>
      </w:tr>
      <w:tr w14:paraId="1396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jc w:val="center"/>
        </w:trPr>
        <w:tc>
          <w:tcPr>
            <w:tcW w:w="366" w:type="pct"/>
            <w:vMerge w:val="continue"/>
          </w:tcPr>
          <w:p w14:paraId="21630075">
            <w:pPr>
              <w:shd w:val="clear"/>
              <w:snapToGrid w:val="0"/>
              <w:jc w:val="center"/>
              <w:rPr>
                <w:rFonts w:ascii="宋体" w:hAnsi="宋体" w:cs="宋体"/>
                <w:color w:val="auto"/>
                <w:sz w:val="24"/>
                <w:highlight w:val="none"/>
              </w:rPr>
            </w:pPr>
          </w:p>
        </w:tc>
        <w:tc>
          <w:tcPr>
            <w:tcW w:w="1075" w:type="pct"/>
            <w:vMerge w:val="continue"/>
            <w:vAlign w:val="center"/>
          </w:tcPr>
          <w:p w14:paraId="3A61CB3C">
            <w:pPr>
              <w:shd w:val="clear"/>
              <w:snapToGrid w:val="0"/>
              <w:jc w:val="center"/>
              <w:rPr>
                <w:rFonts w:ascii="宋体" w:hAnsi="宋体" w:cs="宋体"/>
                <w:b/>
                <w:color w:val="auto"/>
                <w:sz w:val="24"/>
                <w:highlight w:val="none"/>
              </w:rPr>
            </w:pPr>
          </w:p>
        </w:tc>
        <w:tc>
          <w:tcPr>
            <w:tcW w:w="3557" w:type="pct"/>
            <w:vAlign w:val="center"/>
          </w:tcPr>
          <w:p w14:paraId="25839EF3">
            <w:pPr>
              <w:shd w:val="clear"/>
              <w:rPr>
                <w:rFonts w:ascii="宋体" w:hAnsi="宋体" w:cs="宋体"/>
                <w:color w:val="auto"/>
                <w:kern w:val="28"/>
                <w:sz w:val="24"/>
                <w:highlight w:val="none"/>
              </w:rPr>
            </w:pPr>
            <w:sdt>
              <w:sdtPr>
                <w:rPr>
                  <w:rFonts w:hint="eastAsia" w:ascii="宋体" w:hAnsi="宋体" w:cs="宋体"/>
                  <w:color w:val="auto"/>
                  <w:kern w:val="0"/>
                  <w:sz w:val="24"/>
                  <w:highlight w:val="none"/>
                </w:rPr>
                <w:id w:val="53192503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8"/>
                <w:sz w:val="24"/>
                <w:highlight w:val="none"/>
              </w:rPr>
              <w:t>联合体投标的，联合体各方均需按招标文件第四部分评标标准要求提供资信证明文件，否则视为不符合相关要求。</w:t>
            </w:r>
          </w:p>
          <w:p w14:paraId="6C623202">
            <w:pPr>
              <w:shd w:val="clear"/>
              <w:rPr>
                <w:rFonts w:ascii="宋体" w:hAnsi="宋体" w:cs="宋体"/>
                <w:color w:val="auto"/>
                <w:kern w:val="28"/>
                <w:sz w:val="24"/>
                <w:highlight w:val="none"/>
              </w:rPr>
            </w:pPr>
            <w:sdt>
              <w:sdtPr>
                <w:rPr>
                  <w:rFonts w:hint="eastAsia" w:ascii="宋体" w:hAnsi="宋体" w:cs="宋体"/>
                  <w:color w:val="auto"/>
                  <w:kern w:val="0"/>
                  <w:sz w:val="24"/>
                  <w:highlight w:val="none"/>
                </w:rPr>
                <w:id w:val="89708012"/>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28"/>
                <w:sz w:val="24"/>
                <w:highlight w:val="none"/>
              </w:rPr>
              <w:t>联合体投标的，联合体中有一方或者联合体成员根据分工按招标文件第四部分评标标准要求提供资信证明文件的，视为符合了相关要求。</w:t>
            </w:r>
          </w:p>
        </w:tc>
      </w:tr>
    </w:tbl>
    <w:p w14:paraId="7FAA41E9">
      <w:pPr>
        <w:bidi w:val="0"/>
        <w:rPr>
          <w:color w:val="auto"/>
          <w:highlight w:val="none"/>
        </w:rPr>
      </w:pPr>
    </w:p>
    <w:p w14:paraId="5B96B9C2">
      <w:pPr>
        <w:pStyle w:val="4"/>
        <w:shd w:val="clear"/>
        <w:jc w:val="center"/>
        <w:rPr>
          <w:color w:val="auto"/>
          <w:highlight w:val="none"/>
        </w:rPr>
      </w:pPr>
      <w:r>
        <w:rPr>
          <w:rFonts w:hint="eastAsia"/>
          <w:color w:val="auto"/>
          <w:highlight w:val="none"/>
        </w:rPr>
        <w:t>一、总则</w:t>
      </w:r>
    </w:p>
    <w:p w14:paraId="1746221A">
      <w:pPr>
        <w:pStyle w:val="5"/>
        <w:shd w:val="clear"/>
        <w:rPr>
          <w:color w:val="auto"/>
          <w:highlight w:val="none"/>
        </w:rPr>
      </w:pPr>
      <w:r>
        <w:rPr>
          <w:rFonts w:hint="eastAsia"/>
          <w:color w:val="auto"/>
          <w:highlight w:val="none"/>
        </w:rPr>
        <w:t>1.适用范围</w:t>
      </w:r>
    </w:p>
    <w:p w14:paraId="686A36A3">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13EAD1E">
      <w:pPr>
        <w:pStyle w:val="5"/>
        <w:shd w:val="clear"/>
        <w:rPr>
          <w:color w:val="auto"/>
          <w:highlight w:val="none"/>
        </w:rPr>
      </w:pPr>
      <w:r>
        <w:rPr>
          <w:rFonts w:hint="eastAsia"/>
          <w:color w:val="auto"/>
          <w:highlight w:val="none"/>
        </w:rPr>
        <w:t>2.定义</w:t>
      </w:r>
    </w:p>
    <w:p w14:paraId="3BA4EB2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w:t>
      </w:r>
    </w:p>
    <w:p w14:paraId="262BA77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B06DDC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787799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70BB77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6648DD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 “电子交易平台”系指本项目政府采购活动所依托的政府采购云平台（https://www.zcygov.cn/）。</w:t>
      </w:r>
    </w:p>
    <w:p w14:paraId="1DAA8BE0">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w:t>
      </w:r>
      <w:r>
        <w:rPr>
          <w:rFonts w:hint="eastAsia" w:ascii="宋体" w:hAnsi="宋体" w:cs="宋体"/>
          <w:color w:val="auto"/>
          <w:sz w:val="24"/>
          <w:highlight w:val="none"/>
          <w:lang w:val="en-US" w:eastAsia="zh-CN"/>
        </w:rPr>
        <w:t>重要</w:t>
      </w:r>
      <w:r>
        <w:rPr>
          <w:rFonts w:hint="eastAsia" w:ascii="宋体" w:hAnsi="宋体" w:cs="宋体"/>
          <w:color w:val="auto"/>
          <w:sz w:val="24"/>
          <w:highlight w:val="none"/>
        </w:rPr>
        <w:t>条款</w:t>
      </w:r>
      <w:r>
        <w:rPr>
          <w:rFonts w:hint="eastAsia" w:ascii="宋体" w:hAnsi="宋体" w:cs="宋体"/>
          <w:color w:val="auto"/>
          <w:sz w:val="24"/>
          <w:highlight w:val="none"/>
          <w:lang w:eastAsia="zh-CN"/>
        </w:rPr>
        <w:t>。</w:t>
      </w:r>
    </w:p>
    <w:p w14:paraId="0A34C7EB">
      <w:pPr>
        <w:pStyle w:val="5"/>
        <w:shd w:val="clear"/>
        <w:rPr>
          <w:color w:val="auto"/>
          <w:highlight w:val="none"/>
        </w:rPr>
      </w:pPr>
      <w:r>
        <w:rPr>
          <w:rFonts w:hint="eastAsia"/>
          <w:color w:val="auto"/>
          <w:highlight w:val="none"/>
        </w:rPr>
        <w:t>3.采购项目需要落实的政府采购政策</w:t>
      </w:r>
    </w:p>
    <w:p w14:paraId="53C45D2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83E87C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5FFB9C3A">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 xml:space="preserve">3.2.1 </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拟采购的产品属于品目清单范围的，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拟采购的产品属于政府强制采购的节能产品品目清单范围的，投标人相应的投标产品未获得国家确定的认证机构出具的、处于有效期之内的节能产品认证证书的，投标无效。</w:t>
      </w:r>
    </w:p>
    <w:p w14:paraId="059AFE3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B94C0A3">
      <w:pPr>
        <w:shd w:val="clear"/>
        <w:spacing w:line="360" w:lineRule="auto"/>
        <w:ind w:firstLine="480" w:firstLineChars="200"/>
        <w:rPr>
          <w:rFonts w:ascii="宋体" w:hAnsi="宋体" w:cs="宋体"/>
          <w:color w:val="auto"/>
          <w:sz w:val="24"/>
          <w:highlight w:val="none"/>
        </w:rPr>
      </w:pPr>
      <w:bookmarkStart w:id="11" w:name="_Hlk107568539"/>
      <w:r>
        <w:rPr>
          <w:rFonts w:hint="eastAsia" w:ascii="宋体" w:hAnsi="宋体" w:cs="宋体"/>
          <w:color w:val="auto"/>
          <w:sz w:val="24"/>
          <w:highlight w:val="none"/>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bookmarkEnd w:id="11"/>
    <w:p w14:paraId="2A8C1C7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785CB2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支持中小企业发展</w:t>
      </w:r>
    </w:p>
    <w:p w14:paraId="61177B6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 中小企业，是指在中华人民共和国境内依法设立，依据国务院批准的中小企业划分标准确定的中型企业、小型企业和微型企业，但与大企业的负责人为同一人，或者与大企业存在直接控股、管理关系的除外。</w:t>
      </w:r>
    </w:p>
    <w:p w14:paraId="5351864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39A0408">
      <w:pPr>
        <w:widowControl/>
        <w:shd w:val="clear"/>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bCs/>
          <w:color w:val="auto"/>
          <w:sz w:val="24"/>
          <w:highlight w:val="none"/>
        </w:rPr>
        <w:t xml:space="preserve"> </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D0872DB">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6B64F3C">
      <w:pPr>
        <w:shd w:val="clear"/>
        <w:spacing w:line="360" w:lineRule="auto"/>
        <w:ind w:firstLine="480" w:firstLineChars="200"/>
        <w:rPr>
          <w:rFonts w:ascii="宋体" w:hAnsi="宋体" w:cs="宋体"/>
          <w:color w:val="auto"/>
          <w:sz w:val="24"/>
          <w:highlight w:val="none"/>
        </w:rPr>
      </w:pPr>
      <w:bookmarkStart w:id="12" w:name="_Hlk101132181"/>
      <w:bookmarkEnd w:id="12"/>
      <w:r>
        <w:rPr>
          <w:rFonts w:hint="eastAsia" w:ascii="宋体" w:hAnsi="宋体" w:cs="宋体"/>
          <w:color w:val="auto"/>
          <w:sz w:val="24"/>
          <w:highlight w:val="none"/>
        </w:rPr>
        <w:t>3.3.3 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804343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 符合《关于促进残疾人就业政府采购政策的通知》（财库〔2017〕141号）规定的条件并提供《残疾人福利性单位声明函》（附件1）的残疾人福利性单位视同小型、微型企业；</w:t>
      </w:r>
    </w:p>
    <w:p w14:paraId="4315ADA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14:paraId="5209F20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 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D31C96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 中小企业享受扶持政策获得政府采购合同的，小微企业不得将合同分包给大中型企业，中型企业不得将合同分包给大型企业。</w:t>
      </w:r>
    </w:p>
    <w:p w14:paraId="2E79066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 </w:t>
      </w:r>
      <w:r>
        <w:rPr>
          <w:rFonts w:hint="eastAsia" w:ascii="宋体" w:hAnsi="宋体" w:cs="宋体"/>
          <w:bCs/>
          <w:color w:val="auto"/>
          <w:sz w:val="24"/>
          <w:highlight w:val="none"/>
        </w:rPr>
        <w:t>支持创新发展</w:t>
      </w:r>
    </w:p>
    <w:p w14:paraId="226EA83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优先采购被认定为首台套产品和“制造精品”的自主创新产品。</w:t>
      </w:r>
    </w:p>
    <w:p w14:paraId="5DE76E8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 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502144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 平等对待内外资企业和符合条件的破产重整企业</w:t>
      </w:r>
    </w:p>
    <w:p w14:paraId="23D302A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755CED3A">
      <w:pPr>
        <w:pStyle w:val="5"/>
        <w:shd w:val="clear"/>
        <w:rPr>
          <w:color w:val="auto"/>
          <w:highlight w:val="none"/>
        </w:rPr>
      </w:pPr>
      <w:r>
        <w:rPr>
          <w:rFonts w:hint="eastAsia"/>
          <w:color w:val="auto"/>
          <w:highlight w:val="none"/>
        </w:rPr>
        <w:t>4.询问、质疑、投诉</w:t>
      </w:r>
    </w:p>
    <w:p w14:paraId="1FC27F79">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4.1</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在线询问、质疑、投诉</w:t>
      </w:r>
    </w:p>
    <w:p w14:paraId="7246EC41">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357766">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4.2</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供应商询问</w:t>
      </w:r>
    </w:p>
    <w:p w14:paraId="6891FB3A">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lang w:val="zh-CN"/>
        </w:rPr>
        <w:t>供应商对政府采购活动事项有疑问的，可以提出询问，采购人或者采购代理机构应当在3个工作日内对供应商依法提出的询问作出答复，但答复的内容不得</w:t>
      </w:r>
      <w:r>
        <w:rPr>
          <w:rFonts w:hint="eastAsia" w:ascii="宋体" w:hAnsi="宋体" w:cs="宋体"/>
          <w:color w:val="auto"/>
          <w:kern w:val="0"/>
          <w:sz w:val="24"/>
          <w:highlight w:val="none"/>
          <w:lang w:val="zh-CN"/>
        </w:rPr>
        <w:t>涉及商业秘密。供应商提出的询问超出采购人对采购代理机构委托授权范围的，采购代理机构应当告知供应商向采购人提出。</w:t>
      </w:r>
    </w:p>
    <w:p w14:paraId="29147BFC">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供应商质疑</w:t>
      </w:r>
    </w:p>
    <w:p w14:paraId="19F4CE0D">
      <w:pPr>
        <w:pStyle w:val="33"/>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 提出质疑的供应商应当是参与所质疑项目采购活动的供应商。潜在供应商已依法获取其可质疑的招标文件的，可以对该文件提出质疑。</w:t>
      </w:r>
    </w:p>
    <w:p w14:paraId="4D8D1D3D">
      <w:pPr>
        <w:pStyle w:val="33"/>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 供应商认为招标文件、采购过程和中标结果使自己的权益受到损害的，可以在知道或者应知其权益受到损害之日起七个工作日内，以书面形式向</w:t>
      </w:r>
      <w:r>
        <w:rPr>
          <w:rFonts w:hint="eastAsia" w:hAnsi="宋体" w:cs="宋体"/>
          <w:color w:val="auto"/>
          <w:sz w:val="24"/>
          <w:highlight w:val="none"/>
          <w:lang w:eastAsia="zh-CN"/>
        </w:rPr>
        <w:t>采购人</w:t>
      </w:r>
      <w:r>
        <w:rPr>
          <w:rFonts w:hint="eastAsia" w:hAnsi="宋体" w:cs="宋体"/>
          <w:color w:val="auto"/>
          <w:sz w:val="24"/>
          <w:highlight w:val="none"/>
        </w:rPr>
        <w:t>或者采购代理机构提出质疑，否则，</w:t>
      </w:r>
      <w:r>
        <w:rPr>
          <w:rFonts w:hint="eastAsia" w:hAnsi="宋体" w:cs="宋体"/>
          <w:color w:val="auto"/>
          <w:sz w:val="24"/>
          <w:highlight w:val="none"/>
          <w:lang w:eastAsia="zh-CN"/>
        </w:rPr>
        <w:t>采购人</w:t>
      </w:r>
      <w:r>
        <w:rPr>
          <w:rFonts w:hint="eastAsia" w:hAnsi="宋体" w:cs="宋体"/>
          <w:color w:val="auto"/>
          <w:sz w:val="24"/>
          <w:highlight w:val="none"/>
        </w:rPr>
        <w:t>或者采购代理机构不予受理：</w:t>
      </w:r>
    </w:p>
    <w:p w14:paraId="13D30A8C">
      <w:pPr>
        <w:pStyle w:val="16"/>
        <w:shd w:val="clear"/>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 对招标文件提出质疑的，质疑期限为供应商获得招标文件之日或者招标文件公告期限届满之日起计算。</w:t>
      </w:r>
    </w:p>
    <w:p w14:paraId="53B2DA01">
      <w:pPr>
        <w:pStyle w:val="33"/>
        <w:shd w:val="clear"/>
        <w:spacing w:line="360" w:lineRule="auto"/>
        <w:ind w:left="479" w:leftChars="228"/>
        <w:rPr>
          <w:rFonts w:hAnsi="宋体" w:cs="宋体"/>
          <w:color w:val="auto"/>
          <w:sz w:val="24"/>
          <w:highlight w:val="none"/>
        </w:rPr>
      </w:pPr>
      <w:r>
        <w:rPr>
          <w:rFonts w:hint="eastAsia" w:hAnsi="宋体" w:cs="宋体"/>
          <w:color w:val="auto"/>
          <w:sz w:val="24"/>
          <w:highlight w:val="none"/>
        </w:rPr>
        <w:t>4.3.2.2 对采购过程提出质疑的，质疑期限为各采购程序环节结束之日起计算。4.3.2.3对采购结果提出质疑的，质疑期限自采购结果公告期限届满之日起计算。</w:t>
      </w:r>
    </w:p>
    <w:p w14:paraId="018A61CE">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kern w:val="0"/>
          <w:sz w:val="24"/>
          <w:highlight w:val="none"/>
        </w:rPr>
        <w:t xml:space="preserve"> </w:t>
      </w:r>
      <w:r>
        <w:rPr>
          <w:rFonts w:hint="eastAsia" w:hAnsi="宋体" w:cs="宋体"/>
          <w:color w:val="auto"/>
          <w:sz w:val="24"/>
          <w:highlight w:val="none"/>
        </w:rPr>
        <w:t>供应商提出质疑应当提交质疑函和必要的证明材料。质疑函应当包括下列内容：</w:t>
      </w:r>
    </w:p>
    <w:p w14:paraId="0F06DF66">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供应商的姓名或者名称、地址、邮编、联系人及联系电话；</w:t>
      </w:r>
    </w:p>
    <w:p w14:paraId="5E8B1CD6">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质疑项目的名称、编号；</w:t>
      </w:r>
    </w:p>
    <w:p w14:paraId="62E77BEB">
      <w:pPr>
        <w:pStyle w:val="33"/>
        <w:shd w:val="clear"/>
        <w:spacing w:line="360" w:lineRule="auto"/>
        <w:ind w:firstLine="480" w:firstLineChars="200"/>
        <w:rPr>
          <w:rFonts w:hAnsi="宋体" w:cs="宋体"/>
          <w:color w:val="auto"/>
          <w:sz w:val="24"/>
          <w:highlight w:val="none"/>
          <w:lang w:val="zh-CN"/>
        </w:rPr>
      </w:pPr>
      <w:r>
        <w:rPr>
          <w:rFonts w:hint="eastAsia" w:hAnsi="宋体" w:cs="宋体"/>
          <w:color w:val="auto"/>
          <w:kern w:val="0"/>
          <w:sz w:val="24"/>
          <w:highlight w:val="none"/>
          <w:lang w:val="zh-CN"/>
        </w:rPr>
        <w:t>4.3.3.3</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具体、明确的质疑事项</w:t>
      </w:r>
      <w:r>
        <w:rPr>
          <w:rFonts w:hint="eastAsia" w:hAnsi="宋体" w:cs="宋体"/>
          <w:color w:val="auto"/>
          <w:sz w:val="24"/>
          <w:highlight w:val="none"/>
          <w:lang w:val="zh-CN"/>
        </w:rPr>
        <w:t>和与质疑事项相关的请求；</w:t>
      </w:r>
    </w:p>
    <w:p w14:paraId="44117E63">
      <w:pPr>
        <w:pStyle w:val="33"/>
        <w:shd w:val="clear"/>
        <w:spacing w:line="360" w:lineRule="auto"/>
        <w:ind w:firstLine="480" w:firstLineChars="200"/>
        <w:rPr>
          <w:rFonts w:hAnsi="宋体" w:cs="宋体"/>
          <w:color w:val="auto"/>
          <w:sz w:val="24"/>
          <w:highlight w:val="none"/>
          <w:lang w:val="zh-CN"/>
        </w:rPr>
      </w:pPr>
      <w:r>
        <w:rPr>
          <w:rFonts w:hint="eastAsia" w:hAnsi="宋体" w:cs="宋体"/>
          <w:color w:val="auto"/>
          <w:sz w:val="24"/>
          <w:highlight w:val="none"/>
          <w:lang w:val="zh-CN"/>
        </w:rPr>
        <w:t>4.3.3.4</w:t>
      </w:r>
      <w:r>
        <w:rPr>
          <w:rFonts w:hint="eastAsia" w:hAnsi="宋体" w:cs="宋体"/>
          <w:color w:val="auto"/>
          <w:sz w:val="24"/>
          <w:highlight w:val="none"/>
        </w:rPr>
        <w:t xml:space="preserve"> </w:t>
      </w:r>
      <w:r>
        <w:rPr>
          <w:rFonts w:hint="eastAsia" w:hAnsi="宋体" w:cs="宋体"/>
          <w:color w:val="auto"/>
          <w:sz w:val="24"/>
          <w:highlight w:val="none"/>
          <w:lang w:val="zh-CN"/>
        </w:rPr>
        <w:t>事实依据；</w:t>
      </w:r>
    </w:p>
    <w:p w14:paraId="2AF34369">
      <w:pPr>
        <w:pStyle w:val="33"/>
        <w:shd w:val="clear"/>
        <w:spacing w:line="360" w:lineRule="auto"/>
        <w:ind w:firstLine="480" w:firstLineChars="200"/>
        <w:rPr>
          <w:rFonts w:hAnsi="宋体" w:cs="宋体"/>
          <w:color w:val="auto"/>
          <w:sz w:val="24"/>
          <w:highlight w:val="none"/>
          <w:lang w:val="zh-CN"/>
        </w:rPr>
      </w:pPr>
      <w:r>
        <w:rPr>
          <w:rFonts w:hint="eastAsia" w:hAnsi="宋体" w:cs="宋体"/>
          <w:color w:val="auto"/>
          <w:sz w:val="24"/>
          <w:highlight w:val="none"/>
          <w:lang w:val="zh-CN"/>
        </w:rPr>
        <w:t>4.3.3.5</w:t>
      </w:r>
      <w:r>
        <w:rPr>
          <w:rFonts w:hint="eastAsia" w:hAnsi="宋体" w:cs="宋体"/>
          <w:color w:val="auto"/>
          <w:sz w:val="24"/>
          <w:highlight w:val="none"/>
        </w:rPr>
        <w:t xml:space="preserve"> </w:t>
      </w:r>
      <w:r>
        <w:rPr>
          <w:rFonts w:hint="eastAsia" w:hAnsi="宋体" w:cs="宋体"/>
          <w:color w:val="auto"/>
          <w:sz w:val="24"/>
          <w:highlight w:val="none"/>
          <w:lang w:val="zh-CN"/>
        </w:rPr>
        <w:t>必要的法律依据；</w:t>
      </w:r>
    </w:p>
    <w:p w14:paraId="05EA226D">
      <w:pPr>
        <w:pStyle w:val="33"/>
        <w:shd w:val="clear"/>
        <w:spacing w:line="360" w:lineRule="auto"/>
        <w:ind w:firstLine="480" w:firstLineChars="200"/>
        <w:rPr>
          <w:rFonts w:hAnsi="宋体" w:cs="宋体"/>
          <w:color w:val="auto"/>
          <w:sz w:val="24"/>
          <w:highlight w:val="none"/>
          <w:lang w:val="zh-CN"/>
        </w:rPr>
      </w:pPr>
      <w:r>
        <w:rPr>
          <w:rFonts w:hint="eastAsia" w:hAnsi="宋体" w:cs="宋体"/>
          <w:color w:val="auto"/>
          <w:sz w:val="24"/>
          <w:highlight w:val="none"/>
          <w:lang w:val="zh-CN"/>
        </w:rPr>
        <w:t>4.3.3.6</w:t>
      </w:r>
      <w:r>
        <w:rPr>
          <w:rFonts w:hint="eastAsia" w:hAnsi="宋体" w:cs="宋体"/>
          <w:color w:val="auto"/>
          <w:sz w:val="24"/>
          <w:highlight w:val="none"/>
        </w:rPr>
        <w:t xml:space="preserve"> </w:t>
      </w:r>
      <w:r>
        <w:rPr>
          <w:rFonts w:hint="eastAsia" w:hAnsi="宋体" w:cs="宋体"/>
          <w:color w:val="auto"/>
          <w:sz w:val="24"/>
          <w:highlight w:val="none"/>
          <w:lang w:val="zh-CN"/>
        </w:rPr>
        <w:t>提出质疑的日期。</w:t>
      </w:r>
    </w:p>
    <w:p w14:paraId="23C5D49C">
      <w:pPr>
        <w:pStyle w:val="33"/>
        <w:shd w:val="clear"/>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0F1B11C4">
      <w:pPr>
        <w:pStyle w:val="33"/>
        <w:shd w:val="clear"/>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质疑函范本及制作说明详见附件2。</w:t>
      </w:r>
    </w:p>
    <w:p w14:paraId="5D5A63B7">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4.3.4</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对同一采购程序环节的质疑，供应商须在法定质疑期内一次性提出。</w:t>
      </w:r>
    </w:p>
    <w:p w14:paraId="7BB14895">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4.3.5</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155C2036">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4.3.6</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询问或者质疑事项可能影响采购结果的，采购人应当暂停签订合同，已经签订合同的，应当中止履行合同。</w:t>
      </w:r>
    </w:p>
    <w:p w14:paraId="76039135">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4.4</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供应商投诉</w:t>
      </w:r>
    </w:p>
    <w:p w14:paraId="5DC988B5">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4.4.1</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68B7B6FD">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4.4.2</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供应商投诉的事项不得超出已质疑事项的范围，基于质疑答复内容提出的投诉事项除外。</w:t>
      </w:r>
    </w:p>
    <w:p w14:paraId="74F30DE3">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4.4.3</w:t>
      </w:r>
      <w:r>
        <w:rPr>
          <w:rFonts w:hint="eastAsia" w:hAnsi="宋体" w:cs="宋体"/>
          <w:color w:val="auto"/>
          <w:kern w:val="0"/>
          <w:sz w:val="24"/>
          <w:highlight w:val="none"/>
        </w:rPr>
        <w:t xml:space="preserve"> </w:t>
      </w:r>
      <w:r>
        <w:rPr>
          <w:rFonts w:hint="eastAsia" w:hAnsi="宋体" w:cs="宋体"/>
          <w:color w:val="auto"/>
          <w:kern w:val="0"/>
          <w:sz w:val="24"/>
          <w:highlight w:val="none"/>
          <w:lang w:val="zh-CN"/>
        </w:rPr>
        <w:t>供应商投诉应当有明确的请求和必要的证明材料。</w:t>
      </w:r>
    </w:p>
    <w:p w14:paraId="0E6B8938">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4.4.4 以联合体形式参加政府采购活动的，其投诉应当由组成联合体的所有供应商共同提出。</w:t>
      </w:r>
    </w:p>
    <w:p w14:paraId="04B7E3F4">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投诉书范本及制作说明详见附件3。</w:t>
      </w:r>
    </w:p>
    <w:p w14:paraId="3FC727EC">
      <w:pPr>
        <w:bidi w:val="0"/>
        <w:rPr>
          <w:color w:val="auto"/>
          <w:highlight w:val="none"/>
        </w:rPr>
      </w:pPr>
    </w:p>
    <w:p w14:paraId="33388D2E">
      <w:pPr>
        <w:pStyle w:val="4"/>
        <w:shd w:val="clear"/>
        <w:jc w:val="center"/>
        <w:rPr>
          <w:color w:val="auto"/>
          <w:highlight w:val="none"/>
        </w:rPr>
      </w:pPr>
      <w:r>
        <w:rPr>
          <w:rFonts w:hint="eastAsia"/>
          <w:color w:val="auto"/>
          <w:highlight w:val="none"/>
        </w:rPr>
        <w:t>二、招标文件的构成、澄清、修改</w:t>
      </w:r>
    </w:p>
    <w:p w14:paraId="0C5C8B47">
      <w:pPr>
        <w:pStyle w:val="5"/>
        <w:shd w:val="clear"/>
        <w:rPr>
          <w:color w:val="auto"/>
          <w:highlight w:val="none"/>
        </w:rPr>
      </w:pPr>
      <w:r>
        <w:rPr>
          <w:rFonts w:hint="eastAsia"/>
          <w:color w:val="auto"/>
          <w:highlight w:val="none"/>
        </w:rPr>
        <w:t>5．招标文件的构成</w:t>
      </w:r>
    </w:p>
    <w:p w14:paraId="02BD515E">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99E8C15">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 招标公告；</w:t>
      </w:r>
    </w:p>
    <w:p w14:paraId="4FDD2739">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 投标人须知；</w:t>
      </w:r>
    </w:p>
    <w:p w14:paraId="7AAF81F7">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 采购需求；</w:t>
      </w:r>
    </w:p>
    <w:p w14:paraId="559CCA0B">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 评标办法；</w:t>
      </w:r>
    </w:p>
    <w:p w14:paraId="43AC71DB">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 拟签订的合同文本；</w:t>
      </w:r>
    </w:p>
    <w:p w14:paraId="46914F59">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 xml:space="preserve">5.1.6 </w:t>
      </w:r>
      <w:r>
        <w:rPr>
          <w:rFonts w:hint="eastAsia" w:hAnsi="宋体" w:cs="宋体"/>
          <w:color w:val="auto"/>
          <w:sz w:val="24"/>
          <w:szCs w:val="24"/>
          <w:highlight w:val="none"/>
        </w:rPr>
        <w:t>应提交的有关格式范例。</w:t>
      </w:r>
    </w:p>
    <w:p w14:paraId="5A4E32D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 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A55E2B0">
      <w:pPr>
        <w:pStyle w:val="5"/>
        <w:shd w:val="clear"/>
        <w:rPr>
          <w:color w:val="auto"/>
          <w:highlight w:val="none"/>
        </w:rPr>
      </w:pPr>
      <w:r>
        <w:rPr>
          <w:rFonts w:hint="eastAsia"/>
          <w:color w:val="auto"/>
          <w:highlight w:val="none"/>
        </w:rPr>
        <w:t>6.招标文件的澄清、修改</w:t>
      </w:r>
    </w:p>
    <w:p w14:paraId="7C8C2A83">
      <w:pPr>
        <w:pStyle w:val="134"/>
        <w:shd w:val="clear"/>
        <w:snapToGrid w:val="0"/>
        <w:spacing w:before="0"/>
        <w:ind w:firstLine="480"/>
        <w:rPr>
          <w:rFonts w:ascii="宋体" w:hAnsi="宋体" w:cs="宋体"/>
          <w:color w:val="auto"/>
          <w:highlight w:val="none"/>
        </w:rPr>
      </w:pPr>
      <w:r>
        <w:rPr>
          <w:rFonts w:hint="eastAsia" w:ascii="宋体" w:hAnsi="宋体" w:cs="宋体"/>
          <w:color w:val="auto"/>
          <w:highlight w:val="none"/>
        </w:rPr>
        <w:t>6.1 已获取招标文件的潜在投标人，若有问题需要澄清，应于投标截止时间前，以书面形式向采购代理机构提出。</w:t>
      </w:r>
    </w:p>
    <w:p w14:paraId="078147DD">
      <w:pPr>
        <w:pStyle w:val="134"/>
        <w:shd w:val="clear"/>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91E2BA">
      <w:pPr>
        <w:bidi w:val="0"/>
        <w:rPr>
          <w:color w:val="auto"/>
          <w:highlight w:val="none"/>
        </w:rPr>
      </w:pPr>
    </w:p>
    <w:p w14:paraId="6B56210E">
      <w:pPr>
        <w:pStyle w:val="4"/>
        <w:shd w:val="clear"/>
        <w:jc w:val="center"/>
        <w:rPr>
          <w:color w:val="auto"/>
          <w:highlight w:val="none"/>
        </w:rPr>
      </w:pPr>
      <w:r>
        <w:rPr>
          <w:rFonts w:hint="eastAsia"/>
          <w:color w:val="auto"/>
          <w:highlight w:val="none"/>
        </w:rPr>
        <w:t>三、投标</w:t>
      </w:r>
    </w:p>
    <w:p w14:paraId="7761ABEE">
      <w:pPr>
        <w:pStyle w:val="5"/>
        <w:shd w:val="clear"/>
        <w:rPr>
          <w:color w:val="auto"/>
          <w:highlight w:val="none"/>
        </w:rPr>
      </w:pPr>
      <w:r>
        <w:rPr>
          <w:rFonts w:hint="eastAsia"/>
          <w:color w:val="auto"/>
          <w:highlight w:val="none"/>
        </w:rPr>
        <w:t>7.招标文件的获取</w:t>
      </w:r>
    </w:p>
    <w:p w14:paraId="2B17E886">
      <w:pPr>
        <w:shd w:val="clear"/>
        <w:spacing w:line="360" w:lineRule="auto"/>
        <w:ind w:firstLine="480" w:firstLineChars="200"/>
        <w:rPr>
          <w:rFonts w:ascii="宋体" w:hAnsi="宋体" w:cs="宋体"/>
          <w:color w:val="auto"/>
          <w:kern w:val="28"/>
          <w:sz w:val="24"/>
          <w:highlight w:val="none"/>
        </w:rPr>
      </w:pPr>
      <w:r>
        <w:rPr>
          <w:rFonts w:hint="eastAsia" w:ascii="宋体" w:hAnsi="宋体" w:cs="宋体"/>
          <w:color w:val="auto"/>
          <w:kern w:val="28"/>
          <w:sz w:val="24"/>
          <w:highlight w:val="none"/>
        </w:rPr>
        <w:t>详见招标公告中获取招标文件的时间期限、地点、方式及招标文件售价。</w:t>
      </w:r>
    </w:p>
    <w:p w14:paraId="0F0FC443">
      <w:pPr>
        <w:pStyle w:val="5"/>
        <w:shd w:val="clear"/>
        <w:rPr>
          <w:color w:val="auto"/>
          <w:highlight w:val="none"/>
        </w:rPr>
      </w:pPr>
      <w:r>
        <w:rPr>
          <w:rFonts w:hint="eastAsia"/>
          <w:color w:val="auto"/>
          <w:highlight w:val="none"/>
        </w:rPr>
        <w:t>8.开标前答疑会或现场考察</w:t>
      </w:r>
    </w:p>
    <w:p w14:paraId="6D46EB79">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eastAsia="zh-CN"/>
        </w:rPr>
        <w:t>采购人</w:t>
      </w:r>
      <w:r>
        <w:rPr>
          <w:rFonts w:hint="eastAsia" w:hAnsi="宋体" w:cs="宋体"/>
          <w:color w:val="auto"/>
          <w:sz w:val="24"/>
          <w:szCs w:val="24"/>
          <w:highlight w:val="none"/>
        </w:rPr>
        <w:t>组织潜在投标人现场考察或者召开开标前答疑会的，潜在投标人按第二部分投标人须知前附表的规定参加现场考察或者开标前答疑会。</w:t>
      </w:r>
    </w:p>
    <w:p w14:paraId="3F165736">
      <w:pPr>
        <w:pStyle w:val="5"/>
        <w:shd w:val="clear"/>
        <w:rPr>
          <w:color w:val="auto"/>
          <w:highlight w:val="none"/>
        </w:rPr>
      </w:pPr>
      <w:r>
        <w:rPr>
          <w:rFonts w:hint="eastAsia"/>
          <w:color w:val="auto"/>
          <w:highlight w:val="none"/>
        </w:rPr>
        <w:t>9.投标保证金</w:t>
      </w:r>
    </w:p>
    <w:p w14:paraId="7F47DD0B">
      <w:pPr>
        <w:pStyle w:val="16"/>
        <w:shd w:val="clear"/>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5C0D74D">
      <w:pPr>
        <w:pStyle w:val="5"/>
        <w:shd w:val="clear"/>
        <w:rPr>
          <w:color w:val="auto"/>
          <w:highlight w:val="none"/>
        </w:rPr>
      </w:pPr>
      <w:r>
        <w:rPr>
          <w:rFonts w:hint="eastAsia"/>
          <w:color w:val="auto"/>
          <w:highlight w:val="none"/>
        </w:rPr>
        <w:t>10.投标文件的语言</w:t>
      </w:r>
    </w:p>
    <w:p w14:paraId="74B57E4A">
      <w:pPr>
        <w:shd w:val="clea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A6AAE3C">
      <w:pPr>
        <w:pStyle w:val="5"/>
        <w:shd w:val="clear"/>
        <w:rPr>
          <w:color w:val="auto"/>
          <w:highlight w:val="none"/>
        </w:rPr>
      </w:pPr>
      <w:r>
        <w:rPr>
          <w:rFonts w:hint="eastAsia"/>
          <w:color w:val="auto"/>
          <w:highlight w:val="none"/>
        </w:rPr>
        <w:t>11.投标文件的组成</w:t>
      </w:r>
    </w:p>
    <w:p w14:paraId="74A0D60D">
      <w:pPr>
        <w:shd w:val="clea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 xml:space="preserve">11.1 </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2D3F76F">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0D80912">
      <w:pPr>
        <w:shd w:val="clear"/>
        <w:snapToGrid w:val="0"/>
        <w:spacing w:line="360" w:lineRule="auto"/>
        <w:ind w:firstLine="960" w:firstLineChars="400"/>
        <w:rPr>
          <w:rFonts w:ascii="宋体" w:hAnsi="宋体" w:cs="宋体"/>
          <w:color w:val="auto"/>
          <w:sz w:val="24"/>
          <w:highlight w:val="none"/>
        </w:rPr>
      </w:pPr>
      <w:bookmarkStart w:id="13" w:name="_Hlk101259339"/>
      <w:bookmarkEnd w:id="13"/>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color w:val="auto"/>
          <w:kern w:val="28"/>
          <w:sz w:val="24"/>
          <w:szCs w:val="20"/>
          <w:highlight w:val="none"/>
        </w:rPr>
        <w:t>联合协议（如果有)；</w:t>
      </w:r>
    </w:p>
    <w:p w14:paraId="57D53379">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color w:val="auto"/>
          <w:kern w:val="28"/>
          <w:sz w:val="24"/>
          <w:szCs w:val="20"/>
          <w:highlight w:val="none"/>
        </w:rPr>
        <w:t>（如果有)</w:t>
      </w:r>
      <w:r>
        <w:rPr>
          <w:rFonts w:hint="eastAsia" w:ascii="宋体" w:hAnsi="宋体" w:cs="宋体"/>
          <w:color w:val="auto"/>
          <w:sz w:val="24"/>
          <w:highlight w:val="none"/>
        </w:rPr>
        <w:t>；</w:t>
      </w:r>
    </w:p>
    <w:p w14:paraId="48C0D748">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kern w:val="28"/>
          <w:sz w:val="24"/>
          <w:szCs w:val="20"/>
          <w:highlight w:val="none"/>
        </w:rPr>
        <w:t>（如果有)</w:t>
      </w:r>
      <w:r>
        <w:rPr>
          <w:rFonts w:hint="eastAsia" w:ascii="宋体" w:hAnsi="宋体" w:cs="宋体"/>
          <w:color w:val="auto"/>
          <w:sz w:val="24"/>
          <w:highlight w:val="none"/>
        </w:rPr>
        <w:t>。</w:t>
      </w:r>
    </w:p>
    <w:p w14:paraId="73D5AE10">
      <w:pPr>
        <w:shd w:val="clea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444E260A">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C3B0E88">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BC55DB5">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color w:val="auto"/>
          <w:kern w:val="28"/>
          <w:sz w:val="24"/>
          <w:szCs w:val="20"/>
          <w:highlight w:val="none"/>
        </w:rPr>
        <w:t>（如果有)</w:t>
      </w:r>
      <w:r>
        <w:rPr>
          <w:rFonts w:hint="eastAsia" w:ascii="宋体" w:hAnsi="宋体" w:cs="宋体"/>
          <w:color w:val="auto"/>
          <w:sz w:val="24"/>
          <w:highlight w:val="none"/>
        </w:rPr>
        <w:t>；</w:t>
      </w:r>
    </w:p>
    <w:p w14:paraId="5CE25D70">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071B1D7E">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3A4CFFE8">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11.2.6投标标的清单；</w:t>
      </w:r>
    </w:p>
    <w:p w14:paraId="7194423F">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14:paraId="4831F7B1">
      <w:pPr>
        <w:shd w:val="clea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A5CC824">
      <w:pPr>
        <w:shd w:val="clea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rPr>
        <w:t>11.2.9投标人股权信息表</w:t>
      </w:r>
      <w:r>
        <w:rPr>
          <w:rFonts w:hint="eastAsia" w:ascii="宋体" w:hAnsi="宋体" w:cs="宋体"/>
          <w:color w:val="auto"/>
          <w:sz w:val="24"/>
          <w:highlight w:val="none"/>
          <w:lang w:eastAsia="zh-CN"/>
        </w:rPr>
        <w:t>；</w:t>
      </w:r>
    </w:p>
    <w:p w14:paraId="086AF569">
      <w:pPr>
        <w:shd w:val="clear"/>
        <w:snapToGrid w:val="0"/>
        <w:spacing w:line="360" w:lineRule="auto"/>
        <w:ind w:firstLine="720" w:firstLineChars="3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11.2.10缴纳代理服务费承诺书。</w:t>
      </w:r>
    </w:p>
    <w:p w14:paraId="1D8AF651">
      <w:pPr>
        <w:shd w:val="clea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18CA39E">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60723686">
      <w:pPr>
        <w:shd w:val="clear"/>
        <w:snapToGrid w:val="0"/>
        <w:spacing w:line="360" w:lineRule="auto"/>
        <w:ind w:firstLine="964" w:firstLineChars="400"/>
        <w:rPr>
          <w:rFonts w:ascii="宋体" w:hAnsi="宋体" w:cs="宋体"/>
          <w:b/>
          <w:bCs/>
          <w:color w:val="auto"/>
          <w:sz w:val="24"/>
          <w:highlight w:val="none"/>
        </w:rPr>
      </w:pPr>
      <w:r>
        <w:rPr>
          <w:rFonts w:hint="eastAsia" w:ascii="宋体" w:hAnsi="宋体" w:cs="宋体"/>
          <w:b/>
          <w:bCs/>
          <w:color w:val="auto"/>
          <w:sz w:val="24"/>
          <w:highlight w:val="none"/>
        </w:rPr>
        <w:t>11.3.2中小企业声明函。</w:t>
      </w:r>
    </w:p>
    <w:p w14:paraId="70AF8FDA">
      <w:pPr>
        <w:shd w:val="clea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不能接受的附加条件的，投标无效；</w:t>
      </w:r>
    </w:p>
    <w:p w14:paraId="5AC58CF5">
      <w:pPr>
        <w:shd w:val="clea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5BA70537">
      <w:pPr>
        <w:pStyle w:val="5"/>
        <w:shd w:val="clear"/>
        <w:rPr>
          <w:rFonts w:cs="宋体"/>
          <w:color w:val="auto"/>
          <w:szCs w:val="24"/>
          <w:highlight w:val="none"/>
        </w:rPr>
      </w:pPr>
      <w:r>
        <w:rPr>
          <w:rFonts w:hint="eastAsia" w:cs="宋体"/>
          <w:color w:val="auto"/>
          <w:szCs w:val="24"/>
          <w:highlight w:val="none"/>
        </w:rPr>
        <w:t>12</w:t>
      </w:r>
      <w:r>
        <w:rPr>
          <w:rFonts w:hint="eastAsia" w:cs="宋体"/>
          <w:color w:val="auto"/>
          <w:kern w:val="0"/>
          <w:szCs w:val="24"/>
          <w:highlight w:val="none"/>
          <w:lang w:val="zh-CN"/>
        </w:rPr>
        <w:t>.</w:t>
      </w:r>
      <w:r>
        <w:rPr>
          <w:rFonts w:hint="eastAsia" w:cs="宋体"/>
          <w:color w:val="auto"/>
          <w:szCs w:val="24"/>
          <w:highlight w:val="none"/>
        </w:rPr>
        <w:t>投标文件的编制</w:t>
      </w:r>
    </w:p>
    <w:p w14:paraId="3DD0B345">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8C5016">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4891FDCD">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使用“政采云电子交易客户端”需要提前申领CA数字证书，申领流程请自行前往“浙江政府采购网-下载专区-电子交易客户端-CA驱动和申领流程”进行查阅。</w:t>
      </w:r>
    </w:p>
    <w:p w14:paraId="2125B608">
      <w:pPr>
        <w:pStyle w:val="5"/>
        <w:shd w:val="clear"/>
        <w:rPr>
          <w:color w:val="auto"/>
          <w:highlight w:val="none"/>
        </w:rPr>
      </w:pPr>
      <w:r>
        <w:rPr>
          <w:rFonts w:hint="eastAsia"/>
          <w:color w:val="auto"/>
          <w:highlight w:val="none"/>
        </w:rPr>
        <w:t>13.投标文件的签署、盖章</w:t>
      </w:r>
    </w:p>
    <w:p w14:paraId="0E2FEF71">
      <w:pPr>
        <w:pStyle w:val="134"/>
        <w:shd w:val="clear"/>
        <w:snapToGrid w:val="0"/>
        <w:spacing w:before="0"/>
        <w:ind w:firstLine="480"/>
        <w:rPr>
          <w:rFonts w:ascii="宋体" w:hAnsi="宋体" w:cs="宋体"/>
          <w:b/>
          <w:color w:val="auto"/>
          <w:highlight w:val="none"/>
        </w:rPr>
      </w:pPr>
      <w:r>
        <w:rPr>
          <w:rFonts w:hint="eastAsia" w:ascii="宋体" w:hAnsi="宋体" w:cs="宋体"/>
          <w:color w:val="auto"/>
          <w:szCs w:val="24"/>
          <w:highlight w:val="none"/>
        </w:rPr>
        <w:t>13.1 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719DE58">
      <w:pPr>
        <w:pStyle w:val="134"/>
        <w:shd w:val="clear"/>
        <w:snapToGrid w:val="0"/>
        <w:spacing w:before="0"/>
        <w:ind w:firstLine="480"/>
        <w:rPr>
          <w:rFonts w:ascii="宋体" w:hAnsi="宋体" w:cs="宋体"/>
          <w:color w:val="auto"/>
          <w:highlight w:val="none"/>
        </w:rPr>
      </w:pPr>
      <w:r>
        <w:rPr>
          <w:rFonts w:hint="eastAsia" w:ascii="宋体" w:hAnsi="宋体" w:cs="宋体"/>
          <w:color w:val="auto"/>
          <w:highlight w:val="none"/>
        </w:rPr>
        <w:t>13.2 为确保网上操作合法、有效和安全，投标人应当在投标截止时间前完成在“政府采购云平台”的身份认证，确保在电子投标过程中能够对相关数据电文进行加密和使用电子签名。</w:t>
      </w:r>
    </w:p>
    <w:p w14:paraId="5F88A12F">
      <w:pPr>
        <w:pStyle w:val="134"/>
        <w:shd w:val="clear"/>
        <w:snapToGrid w:val="0"/>
        <w:spacing w:before="0"/>
        <w:ind w:firstLine="480"/>
        <w:rPr>
          <w:rFonts w:ascii="宋体" w:hAnsi="宋体" w:cs="宋体"/>
          <w:color w:val="auto"/>
          <w:szCs w:val="24"/>
          <w:highlight w:val="none"/>
        </w:rPr>
      </w:pPr>
      <w:r>
        <w:rPr>
          <w:rFonts w:hint="eastAsia" w:ascii="宋体" w:hAnsi="宋体" w:cs="宋体"/>
          <w:color w:val="auto"/>
          <w:highlight w:val="none"/>
        </w:rPr>
        <w:t>13.3 招标文件对投标文件签署、盖章的要求适用于电子签名。</w:t>
      </w:r>
    </w:p>
    <w:p w14:paraId="73D262B2">
      <w:pPr>
        <w:pStyle w:val="5"/>
        <w:shd w:val="clear"/>
        <w:rPr>
          <w:color w:val="auto"/>
          <w:highlight w:val="none"/>
        </w:rPr>
      </w:pPr>
      <w:r>
        <w:rPr>
          <w:rFonts w:hint="eastAsia"/>
          <w:color w:val="auto"/>
          <w:highlight w:val="none"/>
        </w:rPr>
        <w:t>14.投标文件的提交、补充、修改、撤回</w:t>
      </w:r>
    </w:p>
    <w:p w14:paraId="42BFB22B">
      <w:pPr>
        <w:pStyle w:val="134"/>
        <w:shd w:val="clear"/>
        <w:snapToGrid w:val="0"/>
        <w:spacing w:before="0"/>
        <w:ind w:firstLine="480"/>
        <w:rPr>
          <w:rFonts w:ascii="宋体" w:hAnsi="宋体" w:cs="宋体"/>
          <w:color w:val="auto"/>
          <w:highlight w:val="none"/>
        </w:rPr>
      </w:pPr>
      <w:r>
        <w:rPr>
          <w:rFonts w:hint="eastAsia" w:ascii="宋体" w:hAnsi="宋体" w:cs="宋体"/>
          <w:color w:val="auto"/>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BE84636">
      <w:pPr>
        <w:pStyle w:val="134"/>
        <w:shd w:val="clear"/>
        <w:snapToGrid w:val="0"/>
        <w:spacing w:before="0"/>
        <w:ind w:firstLine="480"/>
        <w:rPr>
          <w:rFonts w:ascii="宋体" w:hAnsi="宋体" w:cs="宋体"/>
          <w:color w:val="auto"/>
          <w:highlight w:val="none"/>
        </w:rPr>
      </w:pPr>
      <w:r>
        <w:rPr>
          <w:rFonts w:hint="eastAsia" w:ascii="宋体" w:hAnsi="宋体" w:cs="宋体"/>
          <w:color w:val="auto"/>
          <w:highlight w:val="none"/>
        </w:rPr>
        <w:t>14.2 电子交易平台收到投标文件，将妥善保存并即时向供应商发出确认回执通知。在投标截止时间前，除供应商补充、修改或者撤回投标文件外，任何单位和个人不得解密或提取投标文件。</w:t>
      </w:r>
    </w:p>
    <w:p w14:paraId="4BD90EF7">
      <w:pPr>
        <w:pStyle w:val="134"/>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14.3 </w:t>
      </w:r>
      <w:r>
        <w:rPr>
          <w:rFonts w:hint="eastAsia" w:ascii="宋体" w:hAnsi="宋体" w:cs="宋体"/>
          <w:color w:val="auto"/>
          <w:highlight w:val="none"/>
          <w:lang w:eastAsia="zh-CN"/>
        </w:rPr>
        <w:t>采购人</w:t>
      </w:r>
      <w:r>
        <w:rPr>
          <w:rFonts w:hint="eastAsia" w:ascii="宋体" w:hAnsi="宋体" w:cs="宋体"/>
          <w:color w:val="auto"/>
          <w:highlight w:val="none"/>
        </w:rPr>
        <w:t>、采购代理机构可以视情况延长投标文件提交的截止时间。在上述情况下，采购代理机构与投标人以前在投标截止期方面的全部权利、责任和义务，将适用于延长至新的投标截止期。</w:t>
      </w:r>
    </w:p>
    <w:p w14:paraId="4D5B4356">
      <w:pPr>
        <w:pStyle w:val="5"/>
        <w:shd w:val="clear"/>
        <w:rPr>
          <w:color w:val="auto"/>
          <w:highlight w:val="none"/>
        </w:rPr>
      </w:pPr>
      <w:r>
        <w:rPr>
          <w:rFonts w:hint="eastAsia"/>
          <w:color w:val="auto"/>
          <w:highlight w:val="none"/>
        </w:rPr>
        <w:t>15.备份投标文件</w:t>
      </w:r>
    </w:p>
    <w:p w14:paraId="24D12C84">
      <w:pPr>
        <w:pStyle w:val="134"/>
        <w:shd w:val="clear"/>
        <w:snapToGrid w:val="0"/>
        <w:spacing w:before="0"/>
        <w:ind w:firstLine="480"/>
        <w:rPr>
          <w:rFonts w:ascii="宋体" w:hAnsi="宋体" w:cs="宋体"/>
          <w:b/>
          <w:bCs/>
          <w:color w:val="auto"/>
          <w:highlight w:val="none"/>
        </w:rPr>
      </w:pPr>
      <w:r>
        <w:rPr>
          <w:rFonts w:hint="eastAsia" w:ascii="宋体" w:hAnsi="宋体" w:cs="宋体"/>
          <w:color w:val="auto"/>
          <w:highlight w:val="none"/>
        </w:rPr>
        <w:t>15.1 投标人在电子交易平台传输递交投标文件后，还可以在投标截止时间前直接提交或者以邮政快递方式递交备份投标文件1份，</w:t>
      </w:r>
      <w:r>
        <w:rPr>
          <w:rFonts w:hint="eastAsia" w:ascii="宋体" w:hAnsi="宋体" w:cs="宋体"/>
          <w:b/>
          <w:bCs/>
          <w:color w:val="auto"/>
          <w:highlight w:val="none"/>
        </w:rPr>
        <w:t>但</w:t>
      </w:r>
      <w:r>
        <w:rPr>
          <w:rFonts w:hint="eastAsia" w:ascii="宋体" w:hAnsi="宋体" w:cs="宋体"/>
          <w:b/>
          <w:bCs/>
          <w:color w:val="auto"/>
          <w:highlight w:val="none"/>
          <w:lang w:eastAsia="zh-CN"/>
        </w:rPr>
        <w:t>采购人</w:t>
      </w:r>
      <w:r>
        <w:rPr>
          <w:rFonts w:hint="eastAsia" w:ascii="宋体" w:hAnsi="宋体" w:cs="宋体"/>
          <w:b/>
          <w:bCs/>
          <w:color w:val="auto"/>
          <w:highlight w:val="none"/>
        </w:rPr>
        <w:t>、采购代理机构不强制或变相强制投标人提交备份投标文件。</w:t>
      </w:r>
    </w:p>
    <w:p w14:paraId="306BC658">
      <w:pPr>
        <w:pStyle w:val="134"/>
        <w:shd w:val="clear"/>
        <w:snapToGrid w:val="0"/>
        <w:spacing w:before="0"/>
        <w:ind w:firstLine="480"/>
        <w:rPr>
          <w:rFonts w:hAnsi="宋体" w:cs="宋体"/>
          <w:b/>
          <w:color w:val="auto"/>
          <w:szCs w:val="24"/>
          <w:highlight w:val="none"/>
        </w:rPr>
      </w:pPr>
      <w:r>
        <w:rPr>
          <w:rFonts w:hint="eastAsia" w:hAnsi="宋体" w:cs="宋体"/>
          <w:color w:val="auto"/>
          <w:szCs w:val="24"/>
          <w:highlight w:val="none"/>
        </w:rPr>
        <w:t>15.2 备份投标文件须在“政采云投标客户端”制作生成，并储存在</w:t>
      </w:r>
      <w:r>
        <w:rPr>
          <w:rFonts w:hint="eastAsia" w:hAnsi="宋体" w:cs="宋体"/>
          <w:color w:val="auto"/>
          <w:highlight w:val="none"/>
        </w:rPr>
        <w:t>DVD光盘等存储介质</w:t>
      </w:r>
      <w:r>
        <w:rPr>
          <w:rFonts w:hint="eastAsia" w:hAnsi="宋体" w:cs="宋体"/>
          <w:color w:val="auto"/>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highlight w:val="none"/>
        </w:rPr>
        <w:t>不符合上述制作、</w:t>
      </w:r>
      <w:r>
        <w:rPr>
          <w:rFonts w:hint="eastAsia" w:hAnsi="宋体" w:cs="宋体"/>
          <w:b/>
          <w:color w:val="auto"/>
          <w:szCs w:val="24"/>
          <w:highlight w:val="none"/>
        </w:rPr>
        <w:t>存储、密封规定的备份投标文件将被视为无效或者被拒绝接收。</w:t>
      </w:r>
    </w:p>
    <w:p w14:paraId="1BAA7DC1">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 直接提交备份投标文件的，投标人应于投标截止时间前在招标公告中载明的开标地点将备份投标文件提交给采购代理机构，采购代理机构将拒绝接受逾期送达的备份投标文件。</w:t>
      </w:r>
    </w:p>
    <w:p w14:paraId="61F953E1">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 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31333BA">
      <w:pPr>
        <w:pStyle w:val="33"/>
        <w:shd w:val="clear"/>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 投标人仅提交备份投标文件，未在电子交易平台传输递交投标文件的，投标无效。</w:t>
      </w:r>
    </w:p>
    <w:p w14:paraId="6E572B62">
      <w:pPr>
        <w:pStyle w:val="5"/>
        <w:shd w:val="clear"/>
        <w:rPr>
          <w:color w:val="auto"/>
          <w:highlight w:val="none"/>
        </w:rPr>
      </w:pPr>
      <w:r>
        <w:rPr>
          <w:rFonts w:hint="eastAsia"/>
          <w:color w:val="auto"/>
          <w:highlight w:val="none"/>
        </w:rPr>
        <w:t>16.投标文件的无效处理</w:t>
      </w:r>
    </w:p>
    <w:p w14:paraId="2FBBA8CF">
      <w:pPr>
        <w:pStyle w:val="25"/>
        <w:shd w:val="clear"/>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65E6E972">
      <w:pPr>
        <w:pStyle w:val="5"/>
        <w:shd w:val="clear"/>
        <w:rPr>
          <w:color w:val="auto"/>
          <w:highlight w:val="none"/>
        </w:rPr>
      </w:pPr>
      <w:r>
        <w:rPr>
          <w:rFonts w:hint="eastAsia"/>
          <w:color w:val="auto"/>
          <w:highlight w:val="none"/>
        </w:rPr>
        <w:t>17.投标有效期</w:t>
      </w:r>
    </w:p>
    <w:p w14:paraId="7A5F67A1">
      <w:pPr>
        <w:shd w:val="clea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 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A8B3FED">
      <w:pPr>
        <w:pStyle w:val="134"/>
        <w:shd w:val="clear"/>
        <w:spacing w:before="0"/>
        <w:ind w:firstLine="480"/>
        <w:rPr>
          <w:rFonts w:ascii="宋体" w:hAnsi="宋体" w:cs="宋体"/>
          <w:color w:val="auto"/>
          <w:highlight w:val="none"/>
        </w:rPr>
      </w:pPr>
      <w:r>
        <w:rPr>
          <w:rFonts w:hint="eastAsia" w:ascii="宋体" w:hAnsi="宋体" w:cs="宋体"/>
          <w:color w:val="auto"/>
          <w:highlight w:val="none"/>
        </w:rPr>
        <w:t>17.2 投标文件合格投递后，自投标截止日期起，在投标有效期内有效。</w:t>
      </w:r>
    </w:p>
    <w:p w14:paraId="7C075B12">
      <w:pPr>
        <w:pStyle w:val="134"/>
        <w:shd w:val="clear"/>
        <w:spacing w:before="0"/>
        <w:ind w:firstLine="480"/>
        <w:rPr>
          <w:rFonts w:ascii="宋体" w:hAnsi="宋体" w:cs="宋体"/>
          <w:color w:val="auto"/>
          <w:highlight w:val="none"/>
        </w:rPr>
      </w:pPr>
      <w:r>
        <w:rPr>
          <w:rFonts w:hint="eastAsia" w:ascii="宋体" w:hAnsi="宋体" w:cs="宋体"/>
          <w:color w:val="auto"/>
          <w:highlight w:val="none"/>
        </w:rPr>
        <w:t>17.3 在原定投标有效期满之前，如果出现特殊情况，采购代理机构可以以书面形式通知投标人延长投标有效期。投标人同意延长的，不得要求或被允许修改其投标文件，投标人拒绝延长的，其投标无效。</w:t>
      </w:r>
    </w:p>
    <w:p w14:paraId="1BC5DF66">
      <w:pPr>
        <w:pStyle w:val="134"/>
        <w:shd w:val="clear"/>
        <w:spacing w:before="0"/>
        <w:ind w:firstLine="480"/>
        <w:rPr>
          <w:rFonts w:ascii="宋体" w:hAnsi="宋体" w:cs="宋体"/>
          <w:color w:val="auto"/>
          <w:highlight w:val="none"/>
        </w:rPr>
      </w:pPr>
    </w:p>
    <w:p w14:paraId="357534E2">
      <w:pPr>
        <w:pStyle w:val="4"/>
        <w:shd w:val="clear"/>
        <w:jc w:val="center"/>
        <w:rPr>
          <w:color w:val="auto"/>
          <w:highlight w:val="none"/>
        </w:rPr>
      </w:pPr>
      <w:r>
        <w:rPr>
          <w:rFonts w:hint="eastAsia"/>
          <w:color w:val="auto"/>
          <w:highlight w:val="none"/>
        </w:rPr>
        <w:t>四、开标、资格审查与信用信息查询</w:t>
      </w:r>
    </w:p>
    <w:p w14:paraId="24B2C221">
      <w:pPr>
        <w:pStyle w:val="5"/>
        <w:shd w:val="clear"/>
        <w:rPr>
          <w:rFonts w:cs="宋体"/>
          <w:color w:val="auto"/>
          <w:highlight w:val="none"/>
        </w:rPr>
      </w:pPr>
      <w:r>
        <w:rPr>
          <w:rFonts w:hint="eastAsia" w:cs="宋体"/>
          <w:color w:val="auto"/>
          <w:szCs w:val="24"/>
          <w:highlight w:val="none"/>
        </w:rPr>
        <w:t>18.开标</w:t>
      </w:r>
    </w:p>
    <w:p w14:paraId="21C0BEEA">
      <w:pPr>
        <w:pStyle w:val="558"/>
        <w:shd w:val="clear"/>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 采购代理机构按照招标文件规定的时间通过电子交易平台组织开标，所有投标人均应当准时在线参加。投标人不足3家的，不得开标。</w:t>
      </w:r>
    </w:p>
    <w:p w14:paraId="27A83E6D">
      <w:pPr>
        <w:pStyle w:val="558"/>
        <w:shd w:val="clear"/>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 开标时，电子交易平台按开标时间自动提取所有投标文件。采购代理机构依托电子交易平台发起开始解密指令，投标人按照平台提示和招标文件的规定在半小时内完成在线解密。</w:t>
      </w:r>
    </w:p>
    <w:p w14:paraId="2EC048BA">
      <w:pPr>
        <w:pStyle w:val="558"/>
        <w:shd w:val="clear"/>
        <w:spacing w:before="0" w:line="360" w:lineRule="auto"/>
        <w:ind w:left="0" w:firstLine="480" w:firstLineChars="200"/>
        <w:contextualSpacing/>
        <w:rPr>
          <w:rFonts w:ascii="宋体" w:hAnsi="宋体" w:cs="宋体"/>
          <w:b/>
          <w:color w:val="auto"/>
          <w:sz w:val="24"/>
          <w:highlight w:val="none"/>
        </w:rPr>
      </w:pPr>
      <w:r>
        <w:rPr>
          <w:rFonts w:hint="eastAsia" w:ascii="宋体" w:hAnsi="宋体" w:cs="宋体"/>
          <w:color w:val="auto"/>
          <w:sz w:val="24"/>
          <w:highlight w:val="none"/>
        </w:rPr>
        <w:t xml:space="preserve">18.3 </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D467ED0">
      <w:pPr>
        <w:pStyle w:val="5"/>
        <w:shd w:val="clear"/>
        <w:rPr>
          <w:color w:val="auto"/>
          <w:highlight w:val="none"/>
        </w:rPr>
      </w:pPr>
      <w:r>
        <w:rPr>
          <w:rFonts w:hint="eastAsia"/>
          <w:color w:val="auto"/>
          <w:highlight w:val="none"/>
        </w:rPr>
        <w:t>19.资格审查</w:t>
      </w:r>
    </w:p>
    <w:p w14:paraId="2C67646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 xml:space="preserve">19.1 </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或采购代理机构依据法律法规和招标文件的规定，对投标人的资格进行审查。</w:t>
      </w:r>
    </w:p>
    <w:p w14:paraId="14DC49F0">
      <w:pPr>
        <w:pStyle w:val="134"/>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19.2 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789E391">
      <w:pPr>
        <w:pStyle w:val="134"/>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 对未通过资格审查的投标人，</w:t>
      </w:r>
      <w:r>
        <w:rPr>
          <w:rFonts w:hint="eastAsia" w:ascii="宋体" w:hAnsi="宋体" w:cs="宋体"/>
          <w:color w:val="auto"/>
          <w:highlight w:val="none"/>
          <w:lang w:eastAsia="zh-CN"/>
        </w:rPr>
        <w:t>采购人</w:t>
      </w:r>
      <w:r>
        <w:rPr>
          <w:rFonts w:hint="eastAsia" w:ascii="宋体" w:hAnsi="宋体" w:cs="宋体"/>
          <w:color w:val="auto"/>
          <w:highlight w:val="none"/>
        </w:rPr>
        <w:t>或采购代理机构告知其未通过的原因。</w:t>
      </w:r>
    </w:p>
    <w:p w14:paraId="44F1F3DD">
      <w:pPr>
        <w:pStyle w:val="134"/>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 合格投标人不足3家的，不再评标。</w:t>
      </w:r>
    </w:p>
    <w:p w14:paraId="4740F43A">
      <w:pPr>
        <w:pStyle w:val="5"/>
        <w:shd w:val="clear"/>
        <w:rPr>
          <w:color w:val="auto"/>
          <w:highlight w:val="none"/>
        </w:rPr>
      </w:pPr>
      <w:r>
        <w:rPr>
          <w:rFonts w:hint="eastAsia"/>
          <w:color w:val="auto"/>
          <w:highlight w:val="none"/>
        </w:rPr>
        <w:t>20.信用信息查询</w:t>
      </w:r>
    </w:p>
    <w:p w14:paraId="35D4F95C">
      <w:pPr>
        <w:pStyle w:val="134"/>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 信用信息查询渠道及截止时间：采购代理机构将在资格审查时通过“信用中国”网站(www.creditchina.gov.cn)、中国政府采购网(www.ccgp.gov.cn)渠道查询投标人接受资格审查时的信用记录。</w:t>
      </w:r>
    </w:p>
    <w:p w14:paraId="668ECE8F">
      <w:pPr>
        <w:pStyle w:val="134"/>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 信用信息查询记录和证据留存的具体方式：现场查询的投标人的信用记录、查询结果经确认后将与采购文件一起存档。</w:t>
      </w:r>
    </w:p>
    <w:p w14:paraId="122F1EBC">
      <w:pPr>
        <w:pStyle w:val="134"/>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 信用信息的使用规则：经查询列入失信被执行人名单、重大税收违法案件当事人名单、政府采购严重违法失信行为记录名单的投标人将被拒绝参与政府采购活动。</w:t>
      </w:r>
    </w:p>
    <w:p w14:paraId="6D6AB63A">
      <w:pPr>
        <w:pStyle w:val="134"/>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20.4 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DD5E0F4">
      <w:pPr>
        <w:pStyle w:val="134"/>
        <w:shd w:val="clear"/>
        <w:spacing w:before="0"/>
        <w:ind w:firstLine="0" w:firstLineChars="0"/>
        <w:rPr>
          <w:rFonts w:ascii="宋体" w:hAnsi="宋体" w:cs="宋体"/>
          <w:color w:val="auto"/>
          <w:kern w:val="0"/>
          <w:szCs w:val="24"/>
          <w:highlight w:val="none"/>
        </w:rPr>
      </w:pPr>
    </w:p>
    <w:p w14:paraId="4E24D1F3">
      <w:pPr>
        <w:pStyle w:val="4"/>
        <w:shd w:val="clear"/>
        <w:jc w:val="center"/>
        <w:rPr>
          <w:color w:val="auto"/>
          <w:highlight w:val="none"/>
        </w:rPr>
      </w:pPr>
      <w:r>
        <w:rPr>
          <w:rFonts w:hint="eastAsia"/>
          <w:color w:val="auto"/>
          <w:highlight w:val="none"/>
        </w:rPr>
        <w:t>五、评标</w:t>
      </w:r>
    </w:p>
    <w:p w14:paraId="1AACE416">
      <w:pPr>
        <w:pStyle w:val="5"/>
        <w:shd w:val="clear"/>
        <w:rPr>
          <w:rFonts w:cs="宋体"/>
          <w:color w:val="auto"/>
          <w:highlight w:val="none"/>
        </w:rPr>
      </w:pPr>
      <w:r>
        <w:rPr>
          <w:rFonts w:hint="eastAsia" w:cs="宋体"/>
          <w:color w:val="auto"/>
          <w:highlight w:val="none"/>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22061F86">
      <w:pPr>
        <w:bidi w:val="0"/>
        <w:rPr>
          <w:color w:val="auto"/>
          <w:highlight w:val="none"/>
        </w:rPr>
      </w:pPr>
    </w:p>
    <w:p w14:paraId="2C1A8091">
      <w:pPr>
        <w:pStyle w:val="4"/>
        <w:shd w:val="clear"/>
        <w:jc w:val="center"/>
        <w:rPr>
          <w:color w:val="auto"/>
          <w:highlight w:val="none"/>
        </w:rPr>
      </w:pPr>
      <w:r>
        <w:rPr>
          <w:rFonts w:hint="eastAsia"/>
          <w:color w:val="auto"/>
          <w:highlight w:val="none"/>
        </w:rPr>
        <w:t>六、定 标</w:t>
      </w:r>
    </w:p>
    <w:p w14:paraId="48E5353D">
      <w:pPr>
        <w:pStyle w:val="5"/>
        <w:shd w:val="clear"/>
        <w:rPr>
          <w:color w:val="auto"/>
          <w:highlight w:val="none"/>
        </w:rPr>
      </w:pPr>
      <w:r>
        <w:rPr>
          <w:rFonts w:hint="eastAsia"/>
          <w:color w:val="auto"/>
          <w:highlight w:val="none"/>
        </w:rPr>
        <w:t>22.确定中标供应商</w:t>
      </w:r>
    </w:p>
    <w:p w14:paraId="42143AE2">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。采购单位应当自收到评审报告之日起2个工作日内在线确定中标或者中标人。中标、成交通知书和中标、成交结果公告应当在规定时间内同时发出。</w:t>
      </w:r>
    </w:p>
    <w:p w14:paraId="50D4EB6C">
      <w:pPr>
        <w:pStyle w:val="5"/>
        <w:shd w:val="clear"/>
        <w:rPr>
          <w:color w:val="auto"/>
          <w:highlight w:val="none"/>
        </w:rPr>
      </w:pPr>
      <w:r>
        <w:rPr>
          <w:rFonts w:hint="eastAsia"/>
          <w:color w:val="auto"/>
          <w:highlight w:val="none"/>
        </w:rPr>
        <w:t>23.中标通知与中标结果公告</w:t>
      </w:r>
    </w:p>
    <w:p w14:paraId="6C831F9E">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 自中标人确定之日起2个工作日内，采购代理机构通过电子交易平台向中标人发出中标通知书，同时编制发布采购结果公告。采购代理机构也可以以纸质形式进行中标通知。</w:t>
      </w:r>
    </w:p>
    <w:p w14:paraId="33E3493C">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 中标结果公告内容包括</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3C59BE4">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 公告期限为1个工作日。</w:t>
      </w:r>
    </w:p>
    <w:p w14:paraId="1E240B6E">
      <w:pPr>
        <w:bidi w:val="0"/>
        <w:rPr>
          <w:color w:val="auto"/>
          <w:highlight w:val="none"/>
        </w:rPr>
      </w:pPr>
    </w:p>
    <w:p w14:paraId="3F10FD4B">
      <w:pPr>
        <w:pStyle w:val="4"/>
        <w:shd w:val="clear"/>
        <w:jc w:val="center"/>
        <w:rPr>
          <w:color w:val="auto"/>
          <w:highlight w:val="none"/>
        </w:rPr>
      </w:pPr>
      <w:r>
        <w:rPr>
          <w:rFonts w:hint="eastAsia"/>
          <w:color w:val="auto"/>
          <w:highlight w:val="none"/>
        </w:rPr>
        <w:t>七、合同授予</w:t>
      </w:r>
    </w:p>
    <w:p w14:paraId="69C3F532">
      <w:pPr>
        <w:pStyle w:val="5"/>
        <w:shd w:val="clear"/>
        <w:rPr>
          <w:rFonts w:cs="宋体"/>
          <w:color w:val="auto"/>
          <w:highlight w:val="none"/>
        </w:rPr>
      </w:pPr>
      <w:r>
        <w:rPr>
          <w:rFonts w:hint="eastAsia" w:cs="宋体"/>
          <w:color w:val="auto"/>
          <w:highlight w:val="none"/>
        </w:rPr>
        <w:t>24.合同主要条款详见第五部分拟签订的合同文本。</w:t>
      </w:r>
    </w:p>
    <w:p w14:paraId="12279E63">
      <w:pPr>
        <w:pStyle w:val="5"/>
        <w:shd w:val="clear"/>
        <w:rPr>
          <w:color w:val="auto"/>
          <w:highlight w:val="none"/>
        </w:rPr>
      </w:pPr>
      <w:r>
        <w:rPr>
          <w:rFonts w:hint="eastAsia"/>
          <w:color w:val="auto"/>
          <w:highlight w:val="none"/>
        </w:rPr>
        <w:t>25.合同的签订</w:t>
      </w:r>
    </w:p>
    <w:p w14:paraId="77AF40A3">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与中标人应当通过电子交易平台在中标通知书发出之日起三十日内，按照招标文件确定的事项签订政府采购合同，并在签订之日起2个工作日内将政府采购合同在浙江政府采购网上公告。</w:t>
      </w:r>
    </w:p>
    <w:p w14:paraId="4814FDD6">
      <w:pPr>
        <w:pStyle w:val="134"/>
        <w:shd w:val="clear"/>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2ED747C0">
      <w:pPr>
        <w:pStyle w:val="134"/>
        <w:shd w:val="clear"/>
        <w:snapToGrid w:val="0"/>
        <w:spacing w:before="0"/>
        <w:ind w:firstLine="480"/>
        <w:rPr>
          <w:rFonts w:ascii="宋体" w:hAnsi="宋体" w:cs="宋体"/>
          <w:color w:val="auto"/>
          <w:highlight w:val="none"/>
        </w:rPr>
      </w:pPr>
      <w:r>
        <w:rPr>
          <w:rFonts w:hint="eastAsia" w:ascii="宋体" w:hAnsi="宋体" w:cs="宋体"/>
          <w:color w:val="auto"/>
          <w:highlight w:val="none"/>
        </w:rPr>
        <w:t>25.3 如签订合同并生效后，供应商无故拒绝或延期，除按照合同条款处理外，列入不良行为记录一次，并给予通报。</w:t>
      </w:r>
    </w:p>
    <w:p w14:paraId="3A809310">
      <w:pPr>
        <w:pStyle w:val="134"/>
        <w:shd w:val="clear"/>
        <w:snapToGrid w:val="0"/>
        <w:spacing w:before="0"/>
        <w:ind w:firstLine="480"/>
        <w:rPr>
          <w:rFonts w:ascii="宋体" w:hAnsi="宋体" w:cs="宋体"/>
          <w:color w:val="auto"/>
          <w:highlight w:val="none"/>
        </w:rPr>
      </w:pPr>
      <w:r>
        <w:rPr>
          <w:rFonts w:hint="eastAsia" w:ascii="宋体" w:hAnsi="宋体" w:cs="宋体"/>
          <w:color w:val="auto"/>
          <w:highlight w:val="none"/>
        </w:rPr>
        <w:t>25.4 中标供应商拒绝与</w:t>
      </w:r>
      <w:r>
        <w:rPr>
          <w:rFonts w:hint="eastAsia" w:ascii="宋体" w:hAnsi="宋体" w:cs="宋体"/>
          <w:color w:val="auto"/>
          <w:highlight w:val="none"/>
          <w:lang w:eastAsia="zh-CN"/>
        </w:rPr>
        <w:t>采购人</w:t>
      </w:r>
      <w:r>
        <w:rPr>
          <w:rFonts w:hint="eastAsia" w:ascii="宋体" w:hAnsi="宋体" w:cs="宋体"/>
          <w:color w:val="auto"/>
          <w:highlight w:val="none"/>
        </w:rPr>
        <w:t>签订合同的，</w:t>
      </w:r>
      <w:r>
        <w:rPr>
          <w:rFonts w:hint="eastAsia" w:ascii="宋体" w:hAnsi="宋体" w:cs="宋体"/>
          <w:color w:val="auto"/>
          <w:highlight w:val="none"/>
          <w:lang w:eastAsia="zh-CN"/>
        </w:rPr>
        <w:t>采购人</w:t>
      </w:r>
      <w:r>
        <w:rPr>
          <w:rFonts w:hint="eastAsia" w:ascii="宋体" w:hAnsi="宋体" w:cs="宋体"/>
          <w:color w:val="auto"/>
          <w:highlight w:val="none"/>
        </w:rPr>
        <w:t>可以按照评审报告推荐的中标或者成交候选人名单排序，确定下一候选人为中标供应商，也可以重新开展政府采购活动。</w:t>
      </w:r>
    </w:p>
    <w:p w14:paraId="09EAEDF2">
      <w:pPr>
        <w:pStyle w:val="134"/>
        <w:shd w:val="clear"/>
        <w:snapToGrid w:val="0"/>
        <w:spacing w:before="0" w:after="120"/>
        <w:ind w:firstLine="480"/>
        <w:rPr>
          <w:rFonts w:ascii="宋体" w:hAnsi="宋体" w:cs="宋体"/>
          <w:color w:val="auto"/>
          <w:highlight w:val="none"/>
        </w:rPr>
      </w:pPr>
      <w:r>
        <w:rPr>
          <w:rFonts w:hint="eastAsia" w:ascii="宋体" w:hAnsi="宋体" w:cs="宋体"/>
          <w:color w:val="auto"/>
          <w:highlight w:val="none"/>
        </w:rPr>
        <w:t>25.5 采购合同由</w:t>
      </w:r>
      <w:r>
        <w:rPr>
          <w:rFonts w:hint="eastAsia" w:ascii="宋体" w:hAnsi="宋体" w:cs="宋体"/>
          <w:color w:val="auto"/>
          <w:highlight w:val="none"/>
          <w:lang w:eastAsia="zh-CN"/>
        </w:rPr>
        <w:t>采购人</w:t>
      </w:r>
      <w:r>
        <w:rPr>
          <w:rFonts w:hint="eastAsia" w:ascii="宋体" w:hAnsi="宋体" w:cs="宋体"/>
          <w:color w:val="auto"/>
          <w:highlight w:val="none"/>
        </w:rPr>
        <w:t>与中标供应商根据招标文件、投标文件等内容通过政府采购电子交易平台在线签订，自动备案。</w:t>
      </w:r>
    </w:p>
    <w:p w14:paraId="59DA0A1F">
      <w:pPr>
        <w:pStyle w:val="5"/>
        <w:shd w:val="clear"/>
        <w:rPr>
          <w:color w:val="auto"/>
          <w:highlight w:val="none"/>
        </w:rPr>
      </w:pPr>
      <w:r>
        <w:rPr>
          <w:rFonts w:hint="eastAsia"/>
          <w:color w:val="auto"/>
          <w:highlight w:val="none"/>
        </w:rPr>
        <w:t>26.履约保证金</w:t>
      </w:r>
    </w:p>
    <w:p w14:paraId="4DA95FF4">
      <w:pPr>
        <w:shd w:val="clear"/>
        <w:tabs>
          <w:tab w:val="left" w:pos="0"/>
        </w:tabs>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不得拒收履约保函，项目验收结束后应及时退还，延迟退还的，应当按照合同约定和法律规定承担相应的赔偿责任。</w:t>
      </w:r>
    </w:p>
    <w:p w14:paraId="53FF098E">
      <w:pPr>
        <w:shd w:val="clear"/>
        <w:tabs>
          <w:tab w:val="left" w:pos="0"/>
        </w:tabs>
        <w:spacing w:line="360" w:lineRule="auto"/>
        <w:ind w:firstLine="482"/>
        <w:rPr>
          <w:rFonts w:ascii="宋体" w:hAnsi="宋体" w:cs="宋体"/>
          <w:color w:val="auto"/>
          <w:kern w:val="0"/>
          <w:sz w:val="24"/>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ABBC1B9">
      <w:pPr>
        <w:pStyle w:val="5"/>
        <w:shd w:val="clear"/>
        <w:rPr>
          <w:color w:val="auto"/>
          <w:highlight w:val="none"/>
        </w:rPr>
      </w:pPr>
      <w:r>
        <w:rPr>
          <w:color w:val="auto"/>
          <w:highlight w:val="none"/>
        </w:rPr>
        <w:t>27.预付款</w:t>
      </w:r>
    </w:p>
    <w:p w14:paraId="5FDF0275">
      <w:pPr>
        <w:shd w:val="clea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53D53779">
      <w:pPr>
        <w:bidi w:val="0"/>
        <w:rPr>
          <w:color w:val="auto"/>
          <w:highlight w:val="none"/>
        </w:rPr>
      </w:pPr>
    </w:p>
    <w:p w14:paraId="12FFFD4D">
      <w:pPr>
        <w:pStyle w:val="4"/>
        <w:shd w:val="clear"/>
        <w:jc w:val="center"/>
        <w:rPr>
          <w:color w:val="auto"/>
          <w:highlight w:val="none"/>
        </w:rPr>
      </w:pPr>
      <w:r>
        <w:rPr>
          <w:rFonts w:hint="eastAsia"/>
          <w:color w:val="auto"/>
          <w:highlight w:val="none"/>
        </w:rPr>
        <w:t>八、电子交易活动的中止</w:t>
      </w:r>
    </w:p>
    <w:p w14:paraId="2033EDA2">
      <w:pPr>
        <w:pStyle w:val="5"/>
        <w:shd w:val="clear"/>
        <w:rPr>
          <w:color w:val="auto"/>
          <w:highlight w:val="none"/>
        </w:rPr>
      </w:pPr>
      <w:r>
        <w:rPr>
          <w:color w:val="auto"/>
          <w:highlight w:val="none"/>
        </w:rPr>
        <w:t>28</w:t>
      </w:r>
      <w:r>
        <w:rPr>
          <w:rFonts w:hint="eastAsia"/>
          <w:color w:val="auto"/>
          <w:highlight w:val="none"/>
        </w:rPr>
        <w:t>.电子交易活动的中止。</w:t>
      </w:r>
    </w:p>
    <w:p w14:paraId="6A6159BD">
      <w:pPr>
        <w:pStyle w:val="134"/>
        <w:shd w:val="clear"/>
        <w:snapToGrid w:val="0"/>
        <w:spacing w:before="0"/>
        <w:ind w:firstLine="480"/>
        <w:rPr>
          <w:rFonts w:ascii="宋体" w:hAnsi="宋体" w:cs="宋体"/>
          <w:color w:val="auto"/>
          <w:highlight w:val="none"/>
        </w:rPr>
      </w:pP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1436B40A">
      <w:pPr>
        <w:pStyle w:val="134"/>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 电子交易平台发生故障而无法登录访问的； </w:t>
      </w:r>
    </w:p>
    <w:p w14:paraId="5896B451">
      <w:pPr>
        <w:pStyle w:val="134"/>
        <w:shd w:val="clear"/>
        <w:snapToGrid w:val="0"/>
        <w:spacing w:before="0"/>
        <w:ind w:firstLine="480"/>
        <w:rPr>
          <w:rFonts w:ascii="宋体" w:hAnsi="宋体" w:cs="宋体"/>
          <w:color w:val="auto"/>
          <w:highlight w:val="none"/>
        </w:rPr>
      </w:pPr>
      <w:r>
        <w:rPr>
          <w:rFonts w:hint="eastAsia" w:ascii="宋体" w:hAnsi="宋体" w:cs="宋体"/>
          <w:color w:val="auto"/>
          <w:highlight w:val="none"/>
        </w:rPr>
        <w:t>28.2 电子交易平台应用或数据库出现错误，不能进行正常操作的；</w:t>
      </w:r>
    </w:p>
    <w:p w14:paraId="3E89082A">
      <w:pPr>
        <w:pStyle w:val="134"/>
        <w:shd w:val="clear"/>
        <w:snapToGrid w:val="0"/>
        <w:spacing w:before="0"/>
        <w:ind w:firstLine="480"/>
        <w:rPr>
          <w:rFonts w:ascii="宋体" w:hAnsi="宋体" w:cs="宋体"/>
          <w:color w:val="auto"/>
          <w:highlight w:val="none"/>
        </w:rPr>
      </w:pPr>
      <w:r>
        <w:rPr>
          <w:rFonts w:hint="eastAsia" w:ascii="宋体" w:hAnsi="宋体" w:cs="宋体"/>
          <w:color w:val="auto"/>
          <w:highlight w:val="none"/>
        </w:rPr>
        <w:t>28.3 电子交易平台发现严重安全漏洞，有潜在泄密危险的；</w:t>
      </w:r>
    </w:p>
    <w:p w14:paraId="5B6687A4">
      <w:pPr>
        <w:pStyle w:val="134"/>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 病毒发作导致不能进行正常操作的； </w:t>
      </w:r>
    </w:p>
    <w:p w14:paraId="0EF5C513">
      <w:pPr>
        <w:pStyle w:val="134"/>
        <w:shd w:val="clear"/>
        <w:snapToGrid w:val="0"/>
        <w:spacing w:before="0"/>
        <w:ind w:firstLine="480"/>
        <w:rPr>
          <w:rFonts w:ascii="宋体" w:hAnsi="宋体" w:cs="宋体"/>
          <w:color w:val="auto"/>
          <w:highlight w:val="none"/>
        </w:rPr>
      </w:pPr>
      <w:r>
        <w:rPr>
          <w:rFonts w:hint="eastAsia" w:ascii="宋体" w:hAnsi="宋体" w:cs="宋体"/>
          <w:color w:val="auto"/>
          <w:highlight w:val="none"/>
        </w:rPr>
        <w:t>28.5 其他无法保证电子交易的公平、公正和安全的情况。</w:t>
      </w:r>
    </w:p>
    <w:p w14:paraId="6C18AB12">
      <w:pPr>
        <w:pStyle w:val="5"/>
        <w:shd w:val="clear"/>
        <w:rPr>
          <w:color w:val="auto"/>
          <w:highlight w:val="none"/>
        </w:rPr>
      </w:pPr>
      <w:r>
        <w:rPr>
          <w:rFonts w:hint="eastAsia"/>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26B8C9F">
      <w:pPr>
        <w:bidi w:val="0"/>
        <w:rPr>
          <w:color w:val="auto"/>
          <w:highlight w:val="none"/>
        </w:rPr>
      </w:pPr>
    </w:p>
    <w:p w14:paraId="2C075308">
      <w:pPr>
        <w:pStyle w:val="4"/>
        <w:shd w:val="clear"/>
        <w:jc w:val="center"/>
        <w:rPr>
          <w:color w:val="auto"/>
          <w:highlight w:val="none"/>
        </w:rPr>
      </w:pPr>
      <w:r>
        <w:rPr>
          <w:rFonts w:hint="eastAsia"/>
          <w:color w:val="auto"/>
          <w:highlight w:val="none"/>
        </w:rPr>
        <w:t>九、验收</w:t>
      </w:r>
    </w:p>
    <w:p w14:paraId="67B4759A">
      <w:pPr>
        <w:pStyle w:val="5"/>
        <w:shd w:val="clear"/>
        <w:rPr>
          <w:color w:val="auto"/>
          <w:highlight w:val="none"/>
        </w:rPr>
      </w:pPr>
      <w:r>
        <w:rPr>
          <w:rFonts w:hint="eastAsia"/>
          <w:color w:val="auto"/>
          <w:highlight w:val="none"/>
        </w:rPr>
        <w:t>30.验收</w:t>
      </w:r>
    </w:p>
    <w:p w14:paraId="0F93461E">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 xml:space="preserve">30.1 </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ADD7BE">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 xml:space="preserve">30.2 </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可以邀请参加本项目的其他投标人或者第三方机构参与验收。参与验收的投标人或者第三方机构的意见作为验收书的参考资料一并存档。</w:t>
      </w:r>
    </w:p>
    <w:p w14:paraId="748C6219">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 严格按照采购合同开展履约验收。</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9ADADB">
      <w:pPr>
        <w:shd w:val="clea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 验收合格的项目，</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将根据采购合同的约定及时向供应商支付采购资金、退还履约保证金。验收不合格的项目，</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将依法及时处理。采购合同的履行、违约责任和解决争议的方式等适用《中华人民共和国民法典》。供应商在履约过程中有政府采购法律法规规定的违法违规情形的，</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应当及时报告本级财政部门。</w:t>
      </w:r>
    </w:p>
    <w:p w14:paraId="77F827B9">
      <w:pPr>
        <w:shd w:val="clea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bookmarkStart w:id="14" w:name="_Hlt68057669"/>
      <w:bookmarkEnd w:id="14"/>
      <w:bookmarkStart w:id="15" w:name="_Hlt75236290"/>
      <w:bookmarkEnd w:id="15"/>
      <w:bookmarkStart w:id="16" w:name="_Hlt68072990"/>
      <w:bookmarkEnd w:id="16"/>
      <w:bookmarkStart w:id="17" w:name="_Hlt75236101"/>
      <w:bookmarkEnd w:id="17"/>
      <w:bookmarkStart w:id="18" w:name="_Hlt68403820"/>
      <w:bookmarkEnd w:id="18"/>
      <w:bookmarkStart w:id="19" w:name="_Hlt75236011"/>
      <w:bookmarkEnd w:id="19"/>
      <w:bookmarkStart w:id="20" w:name="_Hlt68072998"/>
      <w:bookmarkEnd w:id="20"/>
      <w:bookmarkStart w:id="21" w:name="_Hlt68073093"/>
      <w:bookmarkEnd w:id="21"/>
      <w:bookmarkStart w:id="22" w:name="_Hlt74707468"/>
      <w:bookmarkEnd w:id="22"/>
      <w:bookmarkStart w:id="23" w:name="_Hlt74730295"/>
      <w:bookmarkEnd w:id="23"/>
      <w:bookmarkStart w:id="24" w:name="_Hlt74714665"/>
      <w:bookmarkEnd w:id="24"/>
      <w:bookmarkStart w:id="25" w:name="_Hlt74729768"/>
      <w:bookmarkEnd w:id="25"/>
    </w:p>
    <w:p w14:paraId="28245384">
      <w:pPr>
        <w:pStyle w:val="3"/>
        <w:numPr>
          <w:ilvl w:val="0"/>
          <w:numId w:val="0"/>
        </w:numPr>
        <w:shd w:val="clear"/>
        <w:rPr>
          <w:color w:val="auto"/>
          <w:highlight w:val="none"/>
        </w:rPr>
      </w:pPr>
      <w:bookmarkStart w:id="26" w:name="第四部分"/>
      <w:r>
        <w:rPr>
          <w:rFonts w:hint="eastAsia" w:ascii="宋体" w:hAnsi="宋体" w:cs="宋体"/>
          <w:color w:val="auto"/>
          <w:szCs w:val="36"/>
          <w:highlight w:val="none"/>
        </w:rPr>
        <w:t>第</w:t>
      </w:r>
      <w:r>
        <w:rPr>
          <w:rFonts w:hint="eastAsia" w:ascii="宋体" w:hAnsi="宋体" w:cs="宋体"/>
          <w:color w:val="auto"/>
          <w:szCs w:val="36"/>
          <w:highlight w:val="none"/>
          <w:lang w:val="en-US" w:eastAsia="zh-CN"/>
        </w:rPr>
        <w:t>三</w:t>
      </w:r>
      <w:r>
        <w:rPr>
          <w:rFonts w:hint="eastAsia" w:ascii="宋体" w:hAnsi="宋体" w:cs="宋体"/>
          <w:color w:val="auto"/>
          <w:szCs w:val="36"/>
          <w:highlight w:val="none"/>
        </w:rPr>
        <w:t>部分</w:t>
      </w:r>
      <w:r>
        <w:rPr>
          <w:rFonts w:hint="eastAsia"/>
          <w:color w:val="auto"/>
          <w:highlight w:val="none"/>
          <w:lang w:val="en-US" w:eastAsia="zh-CN"/>
        </w:rPr>
        <w:t xml:space="preserve"> </w:t>
      </w:r>
      <w:r>
        <w:rPr>
          <w:rFonts w:hint="eastAsia"/>
          <w:color w:val="auto"/>
          <w:highlight w:val="none"/>
        </w:rPr>
        <w:t>采购需求</w:t>
      </w:r>
    </w:p>
    <w:p w14:paraId="1D4EF3E3">
      <w:pPr>
        <w:pStyle w:val="4"/>
        <w:bidi w:val="0"/>
        <w:rPr>
          <w:rFonts w:hint="default"/>
          <w:color w:val="auto"/>
          <w:highlight w:val="none"/>
          <w:lang w:val="en-US" w:eastAsia="zh-CN"/>
        </w:rPr>
      </w:pPr>
      <w:r>
        <w:rPr>
          <w:rFonts w:hint="eastAsia"/>
          <w:color w:val="auto"/>
          <w:highlight w:val="none"/>
          <w:lang w:val="en-US" w:eastAsia="zh-CN"/>
        </w:rPr>
        <w:t>一、</w:t>
      </w:r>
      <w:r>
        <w:rPr>
          <w:rFonts w:hint="eastAsia" w:ascii="宋体" w:hAnsi="宋体" w:eastAsia="宋体" w:cs="宋体"/>
          <w:color w:val="auto"/>
          <w:sz w:val="24"/>
          <w:szCs w:val="24"/>
          <w:highlight w:val="none"/>
          <w:lang w:val="en-US" w:eastAsia="zh-CN"/>
        </w:rPr>
        <w:t>技术性能要求</w:t>
      </w:r>
    </w:p>
    <w:p w14:paraId="0D693F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1.输入电源：三相五线（或四线）制AC380V±10%  50Hz；</w:t>
      </w:r>
    </w:p>
    <w:p w14:paraId="22BF8E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2.工作环境：环境温度范围为0℃～＋40℃ 、相对湿度＜85%（25℃）；</w:t>
      </w:r>
    </w:p>
    <w:p w14:paraId="7BFD1D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3.装置容量：≤2.5kVA；</w:t>
      </w:r>
    </w:p>
    <w:p w14:paraId="50B965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4.外形尺寸：</w:t>
      </w:r>
      <w:r>
        <w:rPr>
          <w:rFonts w:hint="eastAsia" w:ascii="Arial" w:hAnsi="Arial"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800mm×600mm×1800mm（控制柜）；</w:t>
      </w:r>
    </w:p>
    <w:p w14:paraId="1E191F4D">
      <w:pPr>
        <w:keepNext w:val="0"/>
        <w:keepLines w:val="0"/>
        <w:pageBreakBefore w:val="0"/>
        <w:widowControl w:val="0"/>
        <w:kinsoku/>
        <w:wordWrap/>
        <w:overflowPunct/>
        <w:topLinePunct w:val="0"/>
        <w:autoSpaceDE/>
        <w:autoSpaceDN/>
        <w:bidi w:val="0"/>
        <w:adjustRightInd w:val="0"/>
        <w:snapToGrid w:val="0"/>
        <w:spacing w:line="360" w:lineRule="auto"/>
        <w:ind w:firstLine="1920" w:firstLineChars="800"/>
        <w:rPr>
          <w:rFonts w:hint="eastAsia" w:ascii="宋体" w:hAnsi="宋体" w:eastAsia="宋体" w:cs="宋体"/>
          <w:color w:val="auto"/>
          <w:sz w:val="24"/>
          <w:szCs w:val="24"/>
          <w:highlight w:val="none"/>
          <w:lang w:val="en-US" w:eastAsia="zh-CN"/>
        </w:rPr>
      </w:pPr>
      <w:r>
        <w:rPr>
          <w:rFonts w:hint="eastAsia" w:ascii="Arial" w:hAnsi="Arial"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4950mm×900mm×1997mm（对象）；</w:t>
      </w:r>
    </w:p>
    <w:p w14:paraId="118BC5D0">
      <w:pPr>
        <w:keepNext w:val="0"/>
        <w:keepLines w:val="0"/>
        <w:pageBreakBefore w:val="0"/>
        <w:widowControl w:val="0"/>
        <w:kinsoku/>
        <w:wordWrap/>
        <w:overflowPunct/>
        <w:topLinePunct w:val="0"/>
        <w:autoSpaceDE/>
        <w:autoSpaceDN/>
        <w:bidi w:val="0"/>
        <w:adjustRightInd w:val="0"/>
        <w:snapToGrid w:val="0"/>
        <w:spacing w:line="360" w:lineRule="auto"/>
        <w:ind w:firstLine="1920" w:firstLineChars="800"/>
        <w:rPr>
          <w:rFonts w:hint="eastAsia" w:ascii="宋体" w:hAnsi="宋体" w:eastAsia="宋体" w:cs="宋体"/>
          <w:color w:val="auto"/>
          <w:sz w:val="24"/>
          <w:szCs w:val="24"/>
          <w:highlight w:val="none"/>
          <w:lang w:val="en-US" w:eastAsia="zh-CN"/>
        </w:rPr>
      </w:pPr>
      <w:r>
        <w:rPr>
          <w:rFonts w:hint="eastAsia" w:ascii="Arial" w:hAnsi="Arial" w:cs="Arial"/>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950mm×634mm×1840mm（监控中心）；</w:t>
      </w:r>
    </w:p>
    <w:p w14:paraId="6641E6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5.安全保护：具有漏电压、漏电流保护装置，安全符合国家标准；</w:t>
      </w:r>
    </w:p>
    <w:p w14:paraId="623917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6.管道材质：透明PVC管、黑色PE给水管、微喷灌PE管、渗滴管、滴灌管、弹簧软管、不锈钢加密软管和不锈钢复合管；</w:t>
      </w:r>
    </w:p>
    <w:p w14:paraId="500DD5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7.管道连接方式：螺纹连接、法兰连接、卡套式连接、粘接连接和快接等；</w:t>
      </w:r>
    </w:p>
    <w:p w14:paraId="3A4AB3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8.管道承压：</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1.0MPa；</w:t>
      </w:r>
    </w:p>
    <w:p w14:paraId="2B7672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9.水泵类型：卧式离心泵、自吸泵、潜水泵、变频潜水泵、比例泵；</w:t>
      </w:r>
    </w:p>
    <w:p w14:paraId="2C7951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灌溉类型：喷灌、移动喷灌、微喷灌、滴灌、涌泉灌和渗灌，可以通过不同灌溉方式的启动时间实现定时灌溉，可以在监控界面中设置灌溉方式的运行时长并显示当前灌溉方式，不同的灌溉方式自动设置不同的运行压力，实现恒压控制。</w:t>
      </w:r>
    </w:p>
    <w:p w14:paraId="413338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11.通讯方式：模拟量、RS485、Wifi、遥控蓝牙、以太网等通讯方式</w:t>
      </w:r>
    </w:p>
    <w:p w14:paraId="0C5434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12.过滤方式：Y型过滤器、盘片式过滤器、管道过滤器、网式过滤器、离心过滤器等组成，设有自动反冲洗功能。</w:t>
      </w:r>
    </w:p>
    <w:p w14:paraId="7ECB6F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13.具有调试清水和施肥废水分离功能，方便水更换，具有水回流管网，具有施肥罐补水管网。</w:t>
      </w:r>
    </w:p>
    <w:p w14:paraId="7AD138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14.设有三层独立抽拉式灌溉田间，田间设有排水槽，顶层可实现移动喷灌，每层设有三个进水口，方便选择，每层独立灯光，顶部设有两个排气扇，设有前后顶盖一键开启功能。</w:t>
      </w:r>
    </w:p>
    <w:p w14:paraId="04A6DEAE">
      <w:pPr>
        <w:pStyle w:val="4"/>
        <w:bidi w:val="0"/>
        <w:rPr>
          <w:rFonts w:hint="eastAsia"/>
          <w:color w:val="auto"/>
          <w:highlight w:val="none"/>
          <w:lang w:val="en-US" w:eastAsia="zh-CN"/>
        </w:rPr>
      </w:pPr>
      <w:r>
        <w:rPr>
          <w:rFonts w:hint="eastAsia"/>
          <w:color w:val="auto"/>
          <w:highlight w:val="none"/>
          <w:lang w:val="en-US" w:eastAsia="zh-CN"/>
        </w:rPr>
        <w:t>二、产品结构和组成</w:t>
      </w:r>
    </w:p>
    <w:p w14:paraId="6ED045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求提供第三方检测机构出具的检测报告，检测内容包括但不限于常温性能、常温性能、外观检查、设备配置、底部平台、透明水箱、管道、接线工艺、自吸泵、卧式离心泵、潜水泵、搅拌机、振动传感器、超声波物位、管道、pH仪、电子压力表、电源控制系统、软件平台、组态软件、可编程控制软件、IOT 平台软件、工程与程序、触摸屏工程、互联网管理系统、实验演示、首部枢纽系统实验、用水安全、漏电保护器、电源适应性、基本安全、绝缘电阻、介电强度等。</w:t>
      </w:r>
    </w:p>
    <w:p w14:paraId="125AA5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泵站供水系统：利用水泵将清水池内的水源水增压后计量输出。主要由清水箱、离心泵、自吸泵、潜水泵、电动调节阀、电磁阀、超声波物位仪、数字压力表、铂热电阻、转速传感器、振动传感器、自动排气阀、活接球阀、橡胶软接头、翻板式止回阀、球型止回阀、Y型过滤器、活接头和PVC管道管件等组成。</w:t>
      </w:r>
    </w:p>
    <w:p w14:paraId="777952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过滤施肥系统：压力水经过过滤和加药（肥）处理后成为灌溉水，并输送至田间。主要由离心过滤器、管道过滤器、叠片过滤器（或网式过滤器）、泄压阀、活接球阀、电磁阀、电动三通阀、隔膜阀、电动调节阀、自动排气阀、施肥罐、比例泵（或文丘里）、调速搅拌机、数字压力表、水表、pH仪、电导率仪、浮球开关和管道管件等组成。</w:t>
      </w:r>
    </w:p>
    <w:p w14:paraId="735DF3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田间灌溉系统：将送至田间的灌溉水减压后，送入各轮灌组，进行智能灌溉。主要由模拟大棚、抽拉结构田间、集水箱、废水箱、变频潜水泵、电磁阀、调压阀、自动排气阀、数字压力表、排气扇、浮球液位开关、防水灯、大气四合一传感器（光照度、温度、湿度、大气压）、二氧化碳传感器、氧气传感器、土壤多参数传感器（氮磷钾、水分、温度、电导率、pH）、限位开关、电动伸缩推杆、电动丝轴滑杆、电动卷帘、微喷头、涌泉喷头、滴灌带、渗灌管、管道、阀门和开放式透明防水门等组成。</w:t>
      </w:r>
    </w:p>
    <w:p w14:paraId="106A4B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自动控制系统：具有系统电源控制、运行工况监测、数据远程传输和异常状况反馈等功能。主要由电气控制柜、触摸屏、PH仪、电导率仪、通断开关、急停按钮、操作开关、指示灯、综合电量表、空气开关、PLC可编程控制器、边缘计算网关、交换机、变频器、调速器、继电器等组成。</w:t>
      </w:r>
    </w:p>
    <w:p w14:paraId="6F29FE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5.在线监测系统：</w:t>
      </w:r>
      <w:r>
        <w:rPr>
          <w:rFonts w:hint="eastAsia" w:ascii="宋体" w:hAnsi="宋体" w:cs="宋体"/>
          <w:color w:val="auto"/>
          <w:sz w:val="24"/>
          <w:szCs w:val="24"/>
          <w:highlight w:val="none"/>
          <w:lang w:val="en-US" w:eastAsia="zh-CN"/>
        </w:rPr>
        <w:t>xqy</w:t>
      </w:r>
      <w:r>
        <w:rPr>
          <w:rFonts w:hint="eastAsia" w:ascii="宋体" w:hAnsi="宋体" w:eastAsia="宋体" w:cs="宋体"/>
          <w:color w:val="auto"/>
          <w:sz w:val="24"/>
          <w:szCs w:val="24"/>
          <w:highlight w:val="none"/>
          <w:lang w:val="en-US" w:eastAsia="zh-CN"/>
        </w:rPr>
        <w:t>55寸触控一体机移动监控中心、组态工程软件、博途组态编程软件、远程监测维护软件等智能监控软件组成。</w:t>
      </w:r>
    </w:p>
    <w:p w14:paraId="1DD5CFD8">
      <w:pPr>
        <w:pStyle w:val="4"/>
        <w:bidi w:val="0"/>
        <w:rPr>
          <w:rFonts w:hint="eastAsia"/>
          <w:color w:val="auto"/>
          <w:highlight w:val="none"/>
          <w:lang w:val="en-US" w:eastAsia="zh-CN"/>
        </w:rPr>
      </w:pPr>
      <w:r>
        <w:rPr>
          <w:rFonts w:hint="eastAsia"/>
          <w:color w:val="auto"/>
          <w:highlight w:val="none"/>
          <w:lang w:val="en-US" w:eastAsia="zh-CN"/>
        </w:rPr>
        <w:t>三、系统配置</w:t>
      </w:r>
    </w:p>
    <w:p w14:paraId="08BAFA9F">
      <w:pPr>
        <w:pStyle w:val="5"/>
        <w:bidi w:val="0"/>
        <w:rPr>
          <w:rFonts w:hint="eastAsia"/>
          <w:color w:val="auto"/>
          <w:highlight w:val="none"/>
          <w:lang w:val="en-US" w:eastAsia="zh-CN"/>
        </w:rPr>
      </w:pPr>
      <w:r>
        <w:rPr>
          <w:rFonts w:hint="eastAsia"/>
          <w:color w:val="auto"/>
          <w:highlight w:val="none"/>
          <w:lang w:val="en-US" w:eastAsia="zh-CN"/>
        </w:rPr>
        <w:t>（一）对象基本配置</w:t>
      </w:r>
    </w:p>
    <w:tbl>
      <w:tblPr>
        <w:tblStyle w:val="6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710"/>
        <w:gridCol w:w="5408"/>
        <w:gridCol w:w="527"/>
        <w:gridCol w:w="856"/>
        <w:gridCol w:w="695"/>
      </w:tblGrid>
      <w:tr w14:paraId="60E1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0991D60B">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1"/>
                <w:szCs w:val="21"/>
                <w:highlight w:val="none"/>
              </w:rPr>
            </w:pPr>
            <w:bookmarkStart w:id="27" w:name="_Hlk330628754"/>
            <w:bookmarkStart w:id="28" w:name="OLE_LINK1" w:colFirst="0" w:colLast="5"/>
            <w:bookmarkStart w:id="29" w:name="OLE_LINK2" w:colFirst="0" w:colLast="5"/>
            <w:r>
              <w:rPr>
                <w:rFonts w:hint="eastAsia" w:ascii="宋体" w:hAnsi="宋体" w:eastAsia="宋体" w:cs="宋体"/>
                <w:b/>
                <w:bCs/>
                <w:color w:val="auto"/>
                <w:sz w:val="21"/>
                <w:szCs w:val="21"/>
                <w:highlight w:val="none"/>
              </w:rPr>
              <w:t>序号</w:t>
            </w:r>
          </w:p>
        </w:tc>
        <w:tc>
          <w:tcPr>
            <w:tcW w:w="859" w:type="pct"/>
            <w:vAlign w:val="center"/>
          </w:tcPr>
          <w:p w14:paraId="57D9849E">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器材名称</w:t>
            </w:r>
          </w:p>
        </w:tc>
        <w:tc>
          <w:tcPr>
            <w:tcW w:w="2717" w:type="pct"/>
            <w:vAlign w:val="center"/>
          </w:tcPr>
          <w:p w14:paraId="30B99864">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器材、规格说明</w:t>
            </w:r>
          </w:p>
        </w:tc>
        <w:tc>
          <w:tcPr>
            <w:tcW w:w="265" w:type="pct"/>
            <w:vAlign w:val="center"/>
          </w:tcPr>
          <w:p w14:paraId="0B0F2D56">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430" w:type="pct"/>
            <w:vAlign w:val="center"/>
          </w:tcPr>
          <w:p w14:paraId="4BF1793E">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349" w:type="pct"/>
            <w:vAlign w:val="center"/>
          </w:tcPr>
          <w:p w14:paraId="512116C2">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bookmarkEnd w:id="27"/>
      <w:bookmarkEnd w:id="28"/>
      <w:bookmarkEnd w:id="29"/>
      <w:tr w14:paraId="390C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Align w:val="center"/>
          </w:tcPr>
          <w:p w14:paraId="1028FC80">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p>
        </w:tc>
        <w:tc>
          <w:tcPr>
            <w:tcW w:w="859" w:type="pct"/>
            <w:vAlign w:val="center"/>
          </w:tcPr>
          <w:p w14:paraId="5C5E303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框架一（泵站供水系统）</w:t>
            </w:r>
          </w:p>
        </w:tc>
        <w:tc>
          <w:tcPr>
            <w:tcW w:w="2717" w:type="pct"/>
            <w:vAlign w:val="center"/>
          </w:tcPr>
          <w:p w14:paraId="6687C3F6">
            <w:pPr>
              <w:keepNext w:val="0"/>
              <w:keepLines w:val="0"/>
              <w:pageBreakBefore w:val="0"/>
              <w:widowControl/>
              <w:kinsoku/>
              <w:wordWrap/>
              <w:overflowPunct/>
              <w:topLinePunct w:val="0"/>
              <w:autoSpaceDE/>
              <w:autoSpaceDN/>
              <w:bidi w:val="0"/>
              <w:adjustRightInd w:val="0"/>
              <w:snapToGrid/>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105cm×90cm×167.8cm；主体框架由45mm×45mm铝型材制作，底部集水托盘</w:t>
            </w:r>
            <w:r>
              <w:rPr>
                <w:rFonts w:hint="eastAsia" w:ascii="宋体" w:hAnsi="宋体" w:eastAsia="宋体" w:cs="宋体"/>
                <w:color w:val="auto"/>
                <w:spacing w:val="-2"/>
                <w:sz w:val="21"/>
                <w:szCs w:val="21"/>
                <w:highlight w:val="none"/>
              </w:rPr>
              <w:t>由2mm厚不锈钢板制作，设有排水阀和</w:t>
            </w:r>
            <w:r>
              <w:rPr>
                <w:rFonts w:hint="eastAsia" w:ascii="宋体" w:hAnsi="宋体" w:eastAsia="宋体" w:cs="宋体"/>
                <w:color w:val="auto"/>
                <w:kern w:val="0"/>
                <w:sz w:val="21"/>
                <w:szCs w:val="21"/>
                <w:highlight w:val="none"/>
              </w:rPr>
              <w:t>移动脚轮</w:t>
            </w:r>
          </w:p>
        </w:tc>
        <w:tc>
          <w:tcPr>
            <w:tcW w:w="265" w:type="pct"/>
            <w:vAlign w:val="center"/>
          </w:tcPr>
          <w:p w14:paraId="734BF92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74A6730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03580FD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7365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2F15E7AB">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p>
        </w:tc>
        <w:tc>
          <w:tcPr>
            <w:tcW w:w="859" w:type="pct"/>
            <w:vAlign w:val="center"/>
          </w:tcPr>
          <w:p w14:paraId="7CAEB36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框架二（过滤施肥系统）</w:t>
            </w:r>
          </w:p>
        </w:tc>
        <w:tc>
          <w:tcPr>
            <w:tcW w:w="2717" w:type="pct"/>
            <w:vAlign w:val="center"/>
          </w:tcPr>
          <w:p w14:paraId="1E97655E">
            <w:pPr>
              <w:keepNext w:val="0"/>
              <w:keepLines w:val="0"/>
              <w:pageBreakBefore w:val="0"/>
              <w:widowControl/>
              <w:kinsoku/>
              <w:wordWrap/>
              <w:overflowPunct/>
              <w:topLinePunct w:val="0"/>
              <w:autoSpaceDE/>
              <w:autoSpaceDN/>
              <w:bidi w:val="0"/>
              <w:adjustRightInd w:val="0"/>
              <w:snapToGrid/>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160cm×90cm×167.8cm；主体框架由45mm×45mm铝型材制作，底部集水托盘</w:t>
            </w:r>
            <w:r>
              <w:rPr>
                <w:rFonts w:hint="eastAsia" w:ascii="宋体" w:hAnsi="宋体" w:eastAsia="宋体" w:cs="宋体"/>
                <w:color w:val="auto"/>
                <w:spacing w:val="-2"/>
                <w:sz w:val="21"/>
                <w:szCs w:val="21"/>
                <w:highlight w:val="none"/>
              </w:rPr>
              <w:t>由2mm厚不锈钢板制作，设有排水阀和</w:t>
            </w:r>
            <w:r>
              <w:rPr>
                <w:rFonts w:hint="eastAsia" w:ascii="宋体" w:hAnsi="宋体" w:eastAsia="宋体" w:cs="宋体"/>
                <w:color w:val="auto"/>
                <w:kern w:val="0"/>
                <w:sz w:val="21"/>
                <w:szCs w:val="21"/>
                <w:highlight w:val="none"/>
              </w:rPr>
              <w:t>移动脚轮</w:t>
            </w:r>
          </w:p>
        </w:tc>
        <w:tc>
          <w:tcPr>
            <w:tcW w:w="265" w:type="pct"/>
            <w:vAlign w:val="center"/>
          </w:tcPr>
          <w:p w14:paraId="07E57B0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014F9F3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244CE0F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149F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0A967AD5">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p>
        </w:tc>
        <w:tc>
          <w:tcPr>
            <w:tcW w:w="859" w:type="pct"/>
            <w:vAlign w:val="center"/>
          </w:tcPr>
          <w:p w14:paraId="4C97363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框架三（田间灌溉系统）</w:t>
            </w:r>
          </w:p>
        </w:tc>
        <w:tc>
          <w:tcPr>
            <w:tcW w:w="2717" w:type="pct"/>
            <w:vAlign w:val="center"/>
          </w:tcPr>
          <w:p w14:paraId="048AA16B">
            <w:pPr>
              <w:keepNext w:val="0"/>
              <w:keepLines w:val="0"/>
              <w:pageBreakBefore w:val="0"/>
              <w:widowControl/>
              <w:kinsoku/>
              <w:wordWrap/>
              <w:overflowPunct/>
              <w:topLinePunct w:val="0"/>
              <w:autoSpaceDE/>
              <w:autoSpaceDN/>
              <w:bidi w:val="0"/>
              <w:adjustRightInd w:val="0"/>
              <w:snapToGrid/>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220cm×90cm×199.7cm；主体框架由45mm×45mm铝型材制作，底部集水托盘</w:t>
            </w:r>
            <w:r>
              <w:rPr>
                <w:rFonts w:hint="eastAsia" w:ascii="宋体" w:hAnsi="宋体" w:eastAsia="宋体" w:cs="宋体"/>
                <w:color w:val="auto"/>
                <w:spacing w:val="-2"/>
                <w:sz w:val="21"/>
                <w:szCs w:val="21"/>
                <w:highlight w:val="none"/>
              </w:rPr>
              <w:t>由2mm厚不锈钢板制作，设有排水阀</w:t>
            </w:r>
            <w:r>
              <w:rPr>
                <w:rFonts w:hint="eastAsia" w:ascii="宋体" w:hAnsi="宋体" w:eastAsia="宋体" w:cs="宋体"/>
                <w:color w:val="auto"/>
                <w:kern w:val="0"/>
                <w:sz w:val="21"/>
                <w:szCs w:val="21"/>
                <w:highlight w:val="none"/>
              </w:rPr>
              <w:t>和移动脚轮</w:t>
            </w:r>
          </w:p>
        </w:tc>
        <w:tc>
          <w:tcPr>
            <w:tcW w:w="265" w:type="pct"/>
            <w:vAlign w:val="center"/>
          </w:tcPr>
          <w:p w14:paraId="477C0D2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7459BBA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760F66A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2C77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58C25F9B">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669C173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清水箱</w:t>
            </w:r>
          </w:p>
        </w:tc>
        <w:tc>
          <w:tcPr>
            <w:tcW w:w="2717" w:type="pct"/>
            <w:vAlign w:val="center"/>
          </w:tcPr>
          <w:p w14:paraId="65FA46B2">
            <w:pPr>
              <w:keepNext w:val="0"/>
              <w:keepLines w:val="0"/>
              <w:pageBreakBefore w:val="0"/>
              <w:widowControl/>
              <w:kinsoku/>
              <w:wordWrap/>
              <w:overflowPunct/>
              <w:topLinePunct w:val="0"/>
              <w:autoSpaceDE/>
              <w:autoSpaceDN/>
              <w:bidi w:val="0"/>
              <w:adjustRightInd w:val="0"/>
              <w:snapToGrid/>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50cm×61cm×68cm；由淡蓝色有机玻璃板20mm和10mm制作</w:t>
            </w:r>
          </w:p>
        </w:tc>
        <w:tc>
          <w:tcPr>
            <w:tcW w:w="265" w:type="pct"/>
            <w:vAlign w:val="center"/>
          </w:tcPr>
          <w:p w14:paraId="15FE478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612FC02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04070FA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401D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2216A8DD">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33209CD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集水箱</w:t>
            </w:r>
          </w:p>
        </w:tc>
        <w:tc>
          <w:tcPr>
            <w:tcW w:w="2717" w:type="pct"/>
            <w:vAlign w:val="center"/>
          </w:tcPr>
          <w:p w14:paraId="79E24DBE">
            <w:pPr>
              <w:keepNext w:val="0"/>
              <w:keepLines w:val="0"/>
              <w:pageBreakBefore w:val="0"/>
              <w:widowControl/>
              <w:kinsoku/>
              <w:wordWrap/>
              <w:overflowPunct/>
              <w:topLinePunct w:val="0"/>
              <w:autoSpaceDE/>
              <w:autoSpaceDN/>
              <w:bidi w:val="0"/>
              <w:adjustRightInd w:val="0"/>
              <w:snapToGrid/>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141cm×50.5cm×31cm；由淡蓝色有机玻璃板15mm制作；</w:t>
            </w:r>
          </w:p>
        </w:tc>
        <w:tc>
          <w:tcPr>
            <w:tcW w:w="265" w:type="pct"/>
            <w:vAlign w:val="center"/>
          </w:tcPr>
          <w:p w14:paraId="14DC3D1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6B76F63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6768D52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66CD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3943C7B4">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39D74A2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废水箱</w:t>
            </w:r>
          </w:p>
        </w:tc>
        <w:tc>
          <w:tcPr>
            <w:tcW w:w="2717" w:type="pct"/>
            <w:vAlign w:val="center"/>
          </w:tcPr>
          <w:p w14:paraId="799066A1">
            <w:pPr>
              <w:keepNext w:val="0"/>
              <w:keepLines w:val="0"/>
              <w:pageBreakBefore w:val="0"/>
              <w:widowControl/>
              <w:kinsoku/>
              <w:wordWrap/>
              <w:overflowPunct/>
              <w:topLinePunct w:val="0"/>
              <w:autoSpaceDE/>
              <w:autoSpaceDN/>
              <w:bidi w:val="0"/>
              <w:adjustRightInd w:val="0"/>
              <w:snapToGrid/>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141cm×25cm×31cm；由淡蓝色有机玻璃板15mm制作；</w:t>
            </w:r>
          </w:p>
        </w:tc>
        <w:tc>
          <w:tcPr>
            <w:tcW w:w="265" w:type="pct"/>
            <w:vAlign w:val="center"/>
          </w:tcPr>
          <w:p w14:paraId="056E31C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52885F0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4A8F05E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13EE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73ACF094">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2A030D2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施肥罐</w:t>
            </w:r>
          </w:p>
        </w:tc>
        <w:tc>
          <w:tcPr>
            <w:tcW w:w="2717" w:type="pct"/>
            <w:vAlign w:val="center"/>
          </w:tcPr>
          <w:p w14:paraId="16A87040">
            <w:pPr>
              <w:keepNext w:val="0"/>
              <w:keepLines w:val="0"/>
              <w:pageBreakBefore w:val="0"/>
              <w:widowControl/>
              <w:kinsoku/>
              <w:wordWrap/>
              <w:overflowPunct/>
              <w:topLinePunct w:val="0"/>
              <w:autoSpaceDE/>
              <w:autoSpaceDN/>
              <w:bidi w:val="0"/>
              <w:adjustRightInd w:val="0"/>
              <w:snapToGrid/>
              <w:spacing w:line="360" w:lineRule="exact"/>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28cm×25cm×48cm；由淡蓝色有机玻璃板20mm和10mm制作；</w:t>
            </w:r>
          </w:p>
        </w:tc>
        <w:tc>
          <w:tcPr>
            <w:tcW w:w="265" w:type="pct"/>
            <w:vAlign w:val="center"/>
          </w:tcPr>
          <w:p w14:paraId="05D67A4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311A5FD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16F6FF0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7A58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227458FC">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6771DD3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离心泵</w:t>
            </w:r>
          </w:p>
        </w:tc>
        <w:tc>
          <w:tcPr>
            <w:tcW w:w="2717" w:type="pct"/>
            <w:shd w:val="clear" w:color="auto" w:fill="auto"/>
            <w:vAlign w:val="center"/>
          </w:tcPr>
          <w:p w14:paraId="69238687">
            <w:pPr>
              <w:keepNext w:val="0"/>
              <w:keepLines w:val="0"/>
              <w:pageBreakBefore w:val="0"/>
              <w:widowControl/>
              <w:kinsoku/>
              <w:wordWrap/>
              <w:overflowPunct/>
              <w:topLinePunct w:val="0"/>
              <w:autoSpaceDE/>
              <w:autoSpaceDN/>
              <w:bidi w:val="0"/>
              <w:adjustRightInd w:val="0"/>
              <w:snapToGrid/>
              <w:spacing w:line="360" w:lineRule="exact"/>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电源：AC380V 50Hz；功率：0.55kW，额定流量：4m</w:t>
            </w:r>
            <w:r>
              <w:rPr>
                <w:rFonts w:hint="eastAsia" w:ascii="宋体" w:hAnsi="宋体" w:eastAsia="宋体" w:cs="宋体"/>
                <w:color w:val="auto"/>
                <w:kern w:val="0"/>
                <w:sz w:val="21"/>
                <w:szCs w:val="21"/>
                <w:highlight w:val="none"/>
                <w:vertAlign w:val="superscript"/>
              </w:rPr>
              <w:t>3</w:t>
            </w:r>
            <w:r>
              <w:rPr>
                <w:rFonts w:hint="eastAsia" w:ascii="宋体" w:hAnsi="宋体" w:eastAsia="宋体" w:cs="宋体"/>
                <w:color w:val="auto"/>
                <w:kern w:val="0"/>
                <w:sz w:val="21"/>
                <w:szCs w:val="21"/>
                <w:highlight w:val="none"/>
              </w:rPr>
              <w:t>/h</w:t>
            </w:r>
          </w:p>
        </w:tc>
        <w:tc>
          <w:tcPr>
            <w:tcW w:w="265" w:type="pct"/>
            <w:vAlign w:val="center"/>
          </w:tcPr>
          <w:p w14:paraId="447380F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4F6B8A7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49" w:type="pct"/>
            <w:vAlign w:val="center"/>
          </w:tcPr>
          <w:p w14:paraId="78E5B8D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1951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18249C4B">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136E6C2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潜水泵</w:t>
            </w:r>
          </w:p>
        </w:tc>
        <w:tc>
          <w:tcPr>
            <w:tcW w:w="2717" w:type="pct"/>
            <w:shd w:val="clear" w:color="auto" w:fill="auto"/>
            <w:vAlign w:val="center"/>
          </w:tcPr>
          <w:p w14:paraId="33EF8E28">
            <w:pPr>
              <w:keepNext w:val="0"/>
              <w:keepLines w:val="0"/>
              <w:pageBreakBefore w:val="0"/>
              <w:widowControl/>
              <w:kinsoku/>
              <w:wordWrap/>
              <w:overflowPunct/>
              <w:topLinePunct w:val="0"/>
              <w:autoSpaceDE/>
              <w:autoSpaceDN/>
              <w:bidi w:val="0"/>
              <w:adjustRightInd w:val="0"/>
              <w:snapToGrid/>
              <w:spacing w:line="360" w:lineRule="exact"/>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电源：AC220V 50Hz；功率：0.55kW；扬程：18m，流量：3m</w:t>
            </w:r>
            <w:r>
              <w:rPr>
                <w:rFonts w:hint="eastAsia" w:ascii="宋体" w:hAnsi="宋体" w:eastAsia="宋体" w:cs="宋体"/>
                <w:color w:val="auto"/>
                <w:kern w:val="0"/>
                <w:sz w:val="21"/>
                <w:szCs w:val="21"/>
                <w:highlight w:val="none"/>
                <w:vertAlign w:val="superscript"/>
              </w:rPr>
              <w:t>3</w:t>
            </w:r>
            <w:r>
              <w:rPr>
                <w:rFonts w:hint="eastAsia" w:ascii="宋体" w:hAnsi="宋体" w:eastAsia="宋体" w:cs="宋体"/>
                <w:color w:val="auto"/>
                <w:kern w:val="0"/>
                <w:sz w:val="21"/>
                <w:szCs w:val="21"/>
                <w:highlight w:val="none"/>
              </w:rPr>
              <w:t>/h</w:t>
            </w:r>
          </w:p>
        </w:tc>
        <w:tc>
          <w:tcPr>
            <w:tcW w:w="265" w:type="pct"/>
            <w:vAlign w:val="center"/>
          </w:tcPr>
          <w:p w14:paraId="2F63EE6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4F4505E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49" w:type="pct"/>
            <w:vAlign w:val="center"/>
          </w:tcPr>
          <w:p w14:paraId="17666BF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5F5D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0B4E4CDC">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6B8026E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自吸泵</w:t>
            </w:r>
          </w:p>
        </w:tc>
        <w:tc>
          <w:tcPr>
            <w:tcW w:w="2717" w:type="pct"/>
            <w:shd w:val="clear" w:color="auto" w:fill="auto"/>
            <w:vAlign w:val="center"/>
          </w:tcPr>
          <w:p w14:paraId="1A88A83E">
            <w:pPr>
              <w:keepNext w:val="0"/>
              <w:keepLines w:val="0"/>
              <w:pageBreakBefore w:val="0"/>
              <w:widowControl/>
              <w:kinsoku/>
              <w:wordWrap/>
              <w:overflowPunct/>
              <w:topLinePunct w:val="0"/>
              <w:autoSpaceDE/>
              <w:autoSpaceDN/>
              <w:bidi w:val="0"/>
              <w:adjustRightInd w:val="0"/>
              <w:snapToGrid/>
              <w:spacing w:line="360" w:lineRule="exact"/>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电源：AC220V 50Hz；功率：0.37kW；吸程：9m，额定扬程：20m，额定流量：1.5m</w:t>
            </w:r>
            <w:r>
              <w:rPr>
                <w:rFonts w:hint="eastAsia" w:ascii="宋体" w:hAnsi="宋体" w:eastAsia="宋体" w:cs="宋体"/>
                <w:color w:val="auto"/>
                <w:kern w:val="0"/>
                <w:sz w:val="21"/>
                <w:szCs w:val="21"/>
                <w:highlight w:val="none"/>
                <w:vertAlign w:val="superscript"/>
              </w:rPr>
              <w:t>3</w:t>
            </w:r>
            <w:r>
              <w:rPr>
                <w:rFonts w:hint="eastAsia" w:ascii="宋体" w:hAnsi="宋体" w:eastAsia="宋体" w:cs="宋体"/>
                <w:color w:val="auto"/>
                <w:kern w:val="0"/>
                <w:sz w:val="21"/>
                <w:szCs w:val="21"/>
                <w:highlight w:val="none"/>
              </w:rPr>
              <w:t>/h</w:t>
            </w:r>
          </w:p>
        </w:tc>
        <w:tc>
          <w:tcPr>
            <w:tcW w:w="265" w:type="pct"/>
            <w:vAlign w:val="center"/>
          </w:tcPr>
          <w:p w14:paraId="1D072BE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01E59B2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49" w:type="pct"/>
            <w:vAlign w:val="center"/>
          </w:tcPr>
          <w:p w14:paraId="4A17435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4B27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304F49D4">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0677803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电机</w:t>
            </w:r>
          </w:p>
        </w:tc>
        <w:tc>
          <w:tcPr>
            <w:tcW w:w="2717" w:type="pct"/>
            <w:shd w:val="clear" w:color="auto" w:fill="auto"/>
            <w:vAlign w:val="center"/>
          </w:tcPr>
          <w:p w14:paraId="2C2E1D91">
            <w:pPr>
              <w:keepNext w:val="0"/>
              <w:keepLines w:val="0"/>
              <w:pageBreakBefore w:val="0"/>
              <w:widowControl/>
              <w:kinsoku/>
              <w:wordWrap/>
              <w:overflowPunct/>
              <w:topLinePunct w:val="0"/>
              <w:autoSpaceDE/>
              <w:autoSpaceDN/>
              <w:bidi w:val="0"/>
              <w:adjustRightInd w:val="0"/>
              <w:snapToGrid/>
              <w:spacing w:line="360" w:lineRule="exact"/>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感应式，电源：AC220V 50Hz；功率：25W、40W</w:t>
            </w:r>
          </w:p>
        </w:tc>
        <w:tc>
          <w:tcPr>
            <w:tcW w:w="265" w:type="pct"/>
            <w:vAlign w:val="center"/>
          </w:tcPr>
          <w:p w14:paraId="2343394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30" w:type="pct"/>
            <w:vAlign w:val="center"/>
          </w:tcPr>
          <w:p w14:paraId="49E9047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49" w:type="pct"/>
            <w:vAlign w:val="center"/>
          </w:tcPr>
          <w:p w14:paraId="5DE4CC6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2330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1EAB1496">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15249FD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变频潜水泵</w:t>
            </w:r>
          </w:p>
        </w:tc>
        <w:tc>
          <w:tcPr>
            <w:tcW w:w="2717" w:type="pct"/>
            <w:shd w:val="clear" w:color="auto" w:fill="auto"/>
            <w:vAlign w:val="center"/>
          </w:tcPr>
          <w:p w14:paraId="5E4CB734">
            <w:pPr>
              <w:keepNext w:val="0"/>
              <w:keepLines w:val="0"/>
              <w:pageBreakBefore w:val="0"/>
              <w:widowControl/>
              <w:kinsoku/>
              <w:wordWrap/>
              <w:overflowPunct/>
              <w:topLinePunct w:val="0"/>
              <w:autoSpaceDE/>
              <w:autoSpaceDN/>
              <w:bidi w:val="0"/>
              <w:adjustRightInd w:val="0"/>
              <w:snapToGrid/>
              <w:spacing w:line="360" w:lineRule="exact"/>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电源：AC220V 50Hz；功率：30W；额定扬程：3.6m，最大流量</w:t>
            </w:r>
            <w:r>
              <w:rPr>
                <w:rFonts w:hint="eastAsia" w:ascii="宋体" w:hAnsi="宋体" w:cs="宋体"/>
                <w:color w:val="auto"/>
                <w:spacing w:val="-2"/>
                <w:sz w:val="21"/>
                <w:szCs w:val="21"/>
                <w:highlight w:val="none"/>
                <w:lang w:eastAsia="zh-CN"/>
              </w:rPr>
              <w:t>≥</w:t>
            </w:r>
            <w:r>
              <w:rPr>
                <w:rFonts w:hint="eastAsia" w:ascii="宋体" w:hAnsi="宋体" w:eastAsia="宋体" w:cs="宋体"/>
                <w:color w:val="auto"/>
                <w:kern w:val="0"/>
                <w:sz w:val="21"/>
                <w:szCs w:val="21"/>
                <w:highlight w:val="none"/>
              </w:rPr>
              <w:t>5000L/h</w:t>
            </w:r>
          </w:p>
        </w:tc>
        <w:tc>
          <w:tcPr>
            <w:tcW w:w="265" w:type="pct"/>
            <w:vAlign w:val="center"/>
          </w:tcPr>
          <w:p w14:paraId="3AF0E20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0C8444D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49" w:type="pct"/>
            <w:vAlign w:val="center"/>
          </w:tcPr>
          <w:p w14:paraId="6225F66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6782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0EF900A7">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71A143D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比例泵</w:t>
            </w:r>
          </w:p>
        </w:tc>
        <w:tc>
          <w:tcPr>
            <w:tcW w:w="2717" w:type="pct"/>
            <w:shd w:val="clear" w:color="auto" w:fill="auto"/>
            <w:vAlign w:val="center"/>
          </w:tcPr>
          <w:p w14:paraId="7606997F">
            <w:pPr>
              <w:keepNext w:val="0"/>
              <w:keepLines w:val="0"/>
              <w:pageBreakBefore w:val="0"/>
              <w:widowControl/>
              <w:kinsoku/>
              <w:wordWrap/>
              <w:overflowPunct/>
              <w:topLinePunct w:val="0"/>
              <w:autoSpaceDE/>
              <w:autoSpaceDN/>
              <w:bidi w:val="0"/>
              <w:adjustRightInd w:val="0"/>
              <w:snapToGrid/>
              <w:spacing w:line="360" w:lineRule="exact"/>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规格：DN25，调节比例：0.2%～2%</w:t>
            </w:r>
          </w:p>
        </w:tc>
        <w:tc>
          <w:tcPr>
            <w:tcW w:w="265" w:type="pct"/>
            <w:vAlign w:val="center"/>
          </w:tcPr>
          <w:p w14:paraId="33686AE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57B02A1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49" w:type="pct"/>
            <w:vMerge w:val="restart"/>
            <w:vAlign w:val="center"/>
          </w:tcPr>
          <w:p w14:paraId="5972AF3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两种方式</w:t>
            </w:r>
          </w:p>
        </w:tc>
      </w:tr>
      <w:tr w14:paraId="6BD2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5950AE88">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4E31115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文丘里吸肥器</w:t>
            </w:r>
          </w:p>
        </w:tc>
        <w:tc>
          <w:tcPr>
            <w:tcW w:w="2717" w:type="pct"/>
            <w:vAlign w:val="center"/>
          </w:tcPr>
          <w:p w14:paraId="21780142">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4分，带调节阀</w:t>
            </w:r>
          </w:p>
        </w:tc>
        <w:tc>
          <w:tcPr>
            <w:tcW w:w="265" w:type="pct"/>
            <w:vAlign w:val="center"/>
          </w:tcPr>
          <w:p w14:paraId="5449BA6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1C02315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Merge w:val="continue"/>
            <w:vAlign w:val="center"/>
          </w:tcPr>
          <w:p w14:paraId="18065ED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62A7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2DE12569">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6CD6CBD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电动调节阀</w:t>
            </w:r>
          </w:p>
        </w:tc>
        <w:tc>
          <w:tcPr>
            <w:tcW w:w="2717" w:type="pct"/>
            <w:vAlign w:val="center"/>
          </w:tcPr>
          <w:p w14:paraId="5F822BD4">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电源：AC220V 50Hz；规格：DN25；功率：15W；信号：4～20mA</w:t>
            </w:r>
          </w:p>
        </w:tc>
        <w:tc>
          <w:tcPr>
            <w:tcW w:w="265" w:type="pct"/>
            <w:vAlign w:val="center"/>
          </w:tcPr>
          <w:p w14:paraId="381425A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30" w:type="pct"/>
            <w:vAlign w:val="center"/>
          </w:tcPr>
          <w:p w14:paraId="3E1F0DD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49" w:type="pct"/>
            <w:vAlign w:val="center"/>
          </w:tcPr>
          <w:p w14:paraId="5DF93F2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6AEC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39C9CCF8">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4FFF3EE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电动三通阀</w:t>
            </w:r>
          </w:p>
        </w:tc>
        <w:tc>
          <w:tcPr>
            <w:tcW w:w="2717" w:type="pct"/>
            <w:vAlign w:val="center"/>
          </w:tcPr>
          <w:p w14:paraId="15947855">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电源：AC220V 50Hz；规格：DN25</w:t>
            </w:r>
          </w:p>
        </w:tc>
        <w:tc>
          <w:tcPr>
            <w:tcW w:w="265" w:type="pct"/>
            <w:vAlign w:val="center"/>
          </w:tcPr>
          <w:p w14:paraId="10D6E06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30" w:type="pct"/>
            <w:vAlign w:val="center"/>
          </w:tcPr>
          <w:p w14:paraId="7544113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49" w:type="pct"/>
            <w:vAlign w:val="center"/>
          </w:tcPr>
          <w:p w14:paraId="1C094E9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0A44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6E8DD730">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1ECC57B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电磁阀</w:t>
            </w:r>
          </w:p>
        </w:tc>
        <w:tc>
          <w:tcPr>
            <w:tcW w:w="2717" w:type="pct"/>
            <w:shd w:val="clear" w:color="auto" w:fill="auto"/>
            <w:vAlign w:val="center"/>
          </w:tcPr>
          <w:p w14:paraId="4128A236">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电源：24V；规格：DN20、DN25；工作压力：（0～1）MPa</w:t>
            </w:r>
          </w:p>
        </w:tc>
        <w:tc>
          <w:tcPr>
            <w:tcW w:w="265" w:type="pct"/>
            <w:vAlign w:val="center"/>
          </w:tcPr>
          <w:p w14:paraId="4BF9466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430" w:type="pct"/>
            <w:vAlign w:val="center"/>
          </w:tcPr>
          <w:p w14:paraId="01D225A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49" w:type="pct"/>
            <w:vAlign w:val="center"/>
          </w:tcPr>
          <w:p w14:paraId="1944C26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495B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23BF3D63">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0BC3B7E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自动排气阀</w:t>
            </w:r>
          </w:p>
        </w:tc>
        <w:tc>
          <w:tcPr>
            <w:tcW w:w="2717" w:type="pct"/>
            <w:shd w:val="clear" w:color="auto" w:fill="auto"/>
            <w:vAlign w:val="center"/>
          </w:tcPr>
          <w:p w14:paraId="033E7C7E">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规格：DN20</w:t>
            </w:r>
          </w:p>
        </w:tc>
        <w:tc>
          <w:tcPr>
            <w:tcW w:w="265" w:type="pct"/>
            <w:vAlign w:val="center"/>
          </w:tcPr>
          <w:p w14:paraId="098B201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430" w:type="pct"/>
            <w:vAlign w:val="center"/>
          </w:tcPr>
          <w:p w14:paraId="38109E0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49" w:type="pct"/>
            <w:vAlign w:val="center"/>
          </w:tcPr>
          <w:p w14:paraId="11F95B0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350B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571AD5DE">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7F16244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泄压阀</w:t>
            </w:r>
          </w:p>
        </w:tc>
        <w:tc>
          <w:tcPr>
            <w:tcW w:w="2717" w:type="pct"/>
            <w:shd w:val="clear" w:color="auto" w:fill="auto"/>
            <w:vAlign w:val="center"/>
          </w:tcPr>
          <w:p w14:paraId="5BA23B4C">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隔膜式，规格：DN25</w:t>
            </w:r>
          </w:p>
        </w:tc>
        <w:tc>
          <w:tcPr>
            <w:tcW w:w="265" w:type="pct"/>
            <w:vAlign w:val="center"/>
          </w:tcPr>
          <w:p w14:paraId="741B670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54EC8F0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49" w:type="pct"/>
            <w:vAlign w:val="center"/>
          </w:tcPr>
          <w:p w14:paraId="3734FE1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42AC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0FB26FE6">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6426FA1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减压阀</w:t>
            </w:r>
            <w:r>
              <w:rPr>
                <w:rFonts w:hint="eastAsia" w:ascii="宋体" w:hAnsi="宋体" w:eastAsia="宋体" w:cs="宋体"/>
                <w:color w:val="auto"/>
                <w:kern w:val="0"/>
                <w:sz w:val="21"/>
                <w:szCs w:val="21"/>
                <w:highlight w:val="none"/>
              </w:rPr>
              <w:tab/>
            </w:r>
          </w:p>
        </w:tc>
        <w:tc>
          <w:tcPr>
            <w:tcW w:w="2717" w:type="pct"/>
            <w:shd w:val="clear" w:color="auto" w:fill="auto"/>
            <w:vAlign w:val="center"/>
          </w:tcPr>
          <w:p w14:paraId="11292F56">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rPr>
              <w:t>304不锈钢材质，带压力表；规格：DN15</w:t>
            </w:r>
          </w:p>
        </w:tc>
        <w:tc>
          <w:tcPr>
            <w:tcW w:w="265" w:type="pct"/>
            <w:vAlign w:val="center"/>
          </w:tcPr>
          <w:p w14:paraId="0124E53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30" w:type="pct"/>
            <w:vAlign w:val="center"/>
          </w:tcPr>
          <w:p w14:paraId="0FE5149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49" w:type="pct"/>
            <w:vAlign w:val="center"/>
          </w:tcPr>
          <w:p w14:paraId="35956FF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35ED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1E265640">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0E2E3B6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隔膜阀</w:t>
            </w:r>
          </w:p>
        </w:tc>
        <w:tc>
          <w:tcPr>
            <w:tcW w:w="2717" w:type="pct"/>
            <w:vAlign w:val="center"/>
          </w:tcPr>
          <w:p w14:paraId="1212918D">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DN20</w:t>
            </w:r>
          </w:p>
        </w:tc>
        <w:tc>
          <w:tcPr>
            <w:tcW w:w="265" w:type="pct"/>
            <w:vAlign w:val="center"/>
          </w:tcPr>
          <w:p w14:paraId="69B7128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441AEDF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49" w:type="pct"/>
            <w:vAlign w:val="center"/>
          </w:tcPr>
          <w:p w14:paraId="16D111C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4B26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52C5899C">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27FD380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离心过滤器</w:t>
            </w:r>
          </w:p>
        </w:tc>
        <w:tc>
          <w:tcPr>
            <w:tcW w:w="2717" w:type="pct"/>
            <w:vAlign w:val="center"/>
          </w:tcPr>
          <w:p w14:paraId="2A22D681">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47cm×43cm×110cm；规格：2寸；由工程塑料制作；</w:t>
            </w:r>
          </w:p>
        </w:tc>
        <w:tc>
          <w:tcPr>
            <w:tcW w:w="265" w:type="pct"/>
            <w:vAlign w:val="center"/>
          </w:tcPr>
          <w:p w14:paraId="4E72E71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200DC37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269DAE8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0DC2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384D9F9A">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310C36C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管道过滤器</w:t>
            </w:r>
          </w:p>
        </w:tc>
        <w:tc>
          <w:tcPr>
            <w:tcW w:w="2717" w:type="pct"/>
            <w:vAlign w:val="center"/>
          </w:tcPr>
          <w:p w14:paraId="100DAA68">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规格：DN25，80目</w:t>
            </w:r>
          </w:p>
        </w:tc>
        <w:tc>
          <w:tcPr>
            <w:tcW w:w="265" w:type="pct"/>
            <w:vAlign w:val="center"/>
          </w:tcPr>
          <w:p w14:paraId="742E8C1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3576DBC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49" w:type="pct"/>
            <w:vAlign w:val="center"/>
          </w:tcPr>
          <w:p w14:paraId="487F821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3E17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714914E0">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3234749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叠片过滤器</w:t>
            </w:r>
          </w:p>
        </w:tc>
        <w:tc>
          <w:tcPr>
            <w:tcW w:w="2717" w:type="pct"/>
            <w:vAlign w:val="center"/>
          </w:tcPr>
          <w:p w14:paraId="5A2419A5">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规格：DN25</w:t>
            </w:r>
          </w:p>
        </w:tc>
        <w:tc>
          <w:tcPr>
            <w:tcW w:w="265" w:type="pct"/>
            <w:vAlign w:val="center"/>
          </w:tcPr>
          <w:p w14:paraId="022F4DF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30" w:type="pct"/>
            <w:vAlign w:val="center"/>
          </w:tcPr>
          <w:p w14:paraId="47ADB3C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49" w:type="pct"/>
            <w:vMerge w:val="restart"/>
            <w:vAlign w:val="center"/>
          </w:tcPr>
          <w:p w14:paraId="7085F81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两种方式</w:t>
            </w:r>
          </w:p>
        </w:tc>
      </w:tr>
      <w:tr w14:paraId="4C9F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0A7D9CD5">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6F3CDC6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网式过滤器</w:t>
            </w:r>
          </w:p>
        </w:tc>
        <w:tc>
          <w:tcPr>
            <w:tcW w:w="2717" w:type="pct"/>
            <w:vAlign w:val="center"/>
          </w:tcPr>
          <w:p w14:paraId="3FF99169">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规格：DN25</w:t>
            </w:r>
          </w:p>
        </w:tc>
        <w:tc>
          <w:tcPr>
            <w:tcW w:w="265" w:type="pct"/>
            <w:vAlign w:val="center"/>
          </w:tcPr>
          <w:p w14:paraId="1E00B29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 </w:t>
            </w:r>
          </w:p>
        </w:tc>
        <w:tc>
          <w:tcPr>
            <w:tcW w:w="430" w:type="pct"/>
            <w:vAlign w:val="center"/>
          </w:tcPr>
          <w:p w14:paraId="66388A1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49" w:type="pct"/>
            <w:vMerge w:val="continue"/>
            <w:vAlign w:val="center"/>
          </w:tcPr>
          <w:p w14:paraId="209E22C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4EF3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3F25151C">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18FFB53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模拟大棚</w:t>
            </w:r>
          </w:p>
        </w:tc>
        <w:tc>
          <w:tcPr>
            <w:tcW w:w="2717" w:type="pct"/>
            <w:vAlign w:val="center"/>
          </w:tcPr>
          <w:p w14:paraId="1DBA58A2">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159cm×76cm×138cm；主体框架由铝合金型材和淡蓝色有机玻璃板搭建而成，并配有开放双开门和开放顶棚机构；</w:t>
            </w:r>
          </w:p>
        </w:tc>
        <w:tc>
          <w:tcPr>
            <w:tcW w:w="265" w:type="pct"/>
            <w:vAlign w:val="center"/>
          </w:tcPr>
          <w:p w14:paraId="51225AB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01BEE43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71FBC72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52B5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4A3902BF">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58D8A04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抽拉田间喷灌区</w:t>
            </w:r>
          </w:p>
        </w:tc>
        <w:tc>
          <w:tcPr>
            <w:tcW w:w="2717" w:type="pct"/>
            <w:vAlign w:val="center"/>
          </w:tcPr>
          <w:p w14:paraId="0DC6CAAE">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304不锈钢材质，抽拉结构，尺寸</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146cm×63cm×14.3cm，配有排水沟和放水阀</w:t>
            </w:r>
          </w:p>
        </w:tc>
        <w:tc>
          <w:tcPr>
            <w:tcW w:w="265" w:type="pct"/>
            <w:vAlign w:val="center"/>
          </w:tcPr>
          <w:p w14:paraId="4C1A3A7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319221B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091D8FA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1F42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08205D7D">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2420C21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抽拉田间滴</w:t>
            </w:r>
            <w:r>
              <w:rPr>
                <w:rFonts w:hint="eastAsia" w:ascii="宋体" w:hAnsi="宋体" w:eastAsia="宋体" w:cs="宋体"/>
                <w:color w:val="auto"/>
                <w:sz w:val="21"/>
                <w:szCs w:val="21"/>
                <w:highlight w:val="none"/>
                <w:lang w:val="en-US" w:eastAsia="zh-CN"/>
              </w:rPr>
              <w:t>灌</w:t>
            </w:r>
            <w:r>
              <w:rPr>
                <w:rFonts w:hint="eastAsia" w:ascii="宋体" w:hAnsi="宋体" w:eastAsia="宋体" w:cs="宋体"/>
                <w:color w:val="auto"/>
                <w:sz w:val="21"/>
                <w:szCs w:val="21"/>
                <w:highlight w:val="none"/>
              </w:rPr>
              <w:t>区</w:t>
            </w:r>
          </w:p>
        </w:tc>
        <w:tc>
          <w:tcPr>
            <w:tcW w:w="2717" w:type="pct"/>
            <w:vAlign w:val="center"/>
          </w:tcPr>
          <w:p w14:paraId="51D5E3B2">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不304锈钢材质，抽拉结构，尺寸</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146cm×63cm×14.3cm，配有排水沟和放水阀</w:t>
            </w:r>
          </w:p>
        </w:tc>
        <w:tc>
          <w:tcPr>
            <w:tcW w:w="265" w:type="pct"/>
            <w:vAlign w:val="center"/>
          </w:tcPr>
          <w:p w14:paraId="61EA864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4AA76D9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4CD9ADD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2038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60F2BF65">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414F845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抽拉田间渗灌区</w:t>
            </w:r>
          </w:p>
        </w:tc>
        <w:tc>
          <w:tcPr>
            <w:tcW w:w="5408" w:type="dxa"/>
            <w:shd w:val="clear" w:color="auto" w:fill="auto"/>
            <w:vAlign w:val="center"/>
          </w:tcPr>
          <w:p w14:paraId="0A2D7C60">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304不锈钢材质，抽拉结构，尺寸</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146cm×63cm×14.3cm，配有排水沟和放水阀，</w:t>
            </w:r>
            <w:r>
              <w:rPr>
                <w:rFonts w:hint="eastAsia" w:ascii="宋体" w:hAnsi="宋体" w:eastAsia="宋体" w:cs="宋体"/>
                <w:color w:val="auto"/>
                <w:kern w:val="0"/>
                <w:sz w:val="21"/>
                <w:szCs w:val="21"/>
                <w:highlight w:val="none"/>
                <w:lang w:val="en-US" w:eastAsia="zh-CN"/>
              </w:rPr>
              <w:t>可</w:t>
            </w:r>
            <w:r>
              <w:rPr>
                <w:rFonts w:hint="eastAsia" w:ascii="宋体" w:hAnsi="宋体" w:eastAsia="宋体" w:cs="宋体"/>
                <w:color w:val="auto"/>
                <w:kern w:val="0"/>
                <w:sz w:val="21"/>
                <w:szCs w:val="21"/>
                <w:highlight w:val="none"/>
              </w:rPr>
              <w:t>模拟田间实施灌溉</w:t>
            </w:r>
          </w:p>
        </w:tc>
        <w:tc>
          <w:tcPr>
            <w:tcW w:w="265" w:type="pct"/>
            <w:vAlign w:val="center"/>
          </w:tcPr>
          <w:p w14:paraId="3F82DE0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5742DBE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0E963F3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0AAF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74FA6B9F">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4B7043D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排气扇</w:t>
            </w:r>
          </w:p>
        </w:tc>
        <w:tc>
          <w:tcPr>
            <w:tcW w:w="2717" w:type="pct"/>
            <w:vAlign w:val="center"/>
          </w:tcPr>
          <w:p w14:paraId="63B96F4B">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24v 120*120*38mm,5叶</w:t>
            </w:r>
          </w:p>
        </w:tc>
        <w:tc>
          <w:tcPr>
            <w:tcW w:w="265" w:type="pct"/>
            <w:vAlign w:val="center"/>
          </w:tcPr>
          <w:p w14:paraId="74E40DF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30" w:type="pct"/>
            <w:vAlign w:val="center"/>
          </w:tcPr>
          <w:p w14:paraId="1ADBED5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49" w:type="pct"/>
            <w:vAlign w:val="center"/>
          </w:tcPr>
          <w:p w14:paraId="038DCCC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6ECE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66226D28">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3B785A0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移动喷灌系统</w:t>
            </w:r>
          </w:p>
        </w:tc>
        <w:tc>
          <w:tcPr>
            <w:tcW w:w="2717" w:type="pct"/>
            <w:vAlign w:val="center"/>
          </w:tcPr>
          <w:p w14:paraId="7853E992">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包括电机、限位开关、喷头、直线导轨、滚珠丝杆等</w:t>
            </w:r>
          </w:p>
        </w:tc>
        <w:tc>
          <w:tcPr>
            <w:tcW w:w="265" w:type="pct"/>
            <w:vAlign w:val="center"/>
          </w:tcPr>
          <w:p w14:paraId="6A22F9F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 </w:t>
            </w:r>
          </w:p>
        </w:tc>
        <w:tc>
          <w:tcPr>
            <w:tcW w:w="430" w:type="pct"/>
            <w:vAlign w:val="center"/>
          </w:tcPr>
          <w:p w14:paraId="5D64289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06D6F25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7C31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2DF4184E">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28793A8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电动透明卷帘</w:t>
            </w:r>
          </w:p>
        </w:tc>
        <w:tc>
          <w:tcPr>
            <w:tcW w:w="5408" w:type="dxa"/>
            <w:vAlign w:val="center"/>
          </w:tcPr>
          <w:p w14:paraId="7EEFDBD4">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电源：220V，长度</w:t>
            </w:r>
            <w:r>
              <w:rPr>
                <w:rFonts w:hint="eastAsia" w:ascii="宋体" w:hAnsi="宋体" w:cs="宋体"/>
                <w:color w:val="auto"/>
                <w:spacing w:val="-2"/>
                <w:sz w:val="21"/>
                <w:szCs w:val="21"/>
                <w:highlight w:val="none"/>
                <w:lang w:eastAsia="zh-CN"/>
              </w:rPr>
              <w:t>≥</w:t>
            </w:r>
            <w:r>
              <w:rPr>
                <w:rFonts w:hint="eastAsia" w:ascii="宋体" w:hAnsi="宋体" w:eastAsia="宋体" w:cs="宋体"/>
                <w:color w:val="auto"/>
                <w:kern w:val="0"/>
                <w:sz w:val="21"/>
                <w:szCs w:val="21"/>
                <w:highlight w:val="none"/>
              </w:rPr>
              <w:t>1500mm，高度</w:t>
            </w:r>
            <w:r>
              <w:rPr>
                <w:rFonts w:hint="eastAsia" w:ascii="宋体" w:hAnsi="宋体" w:cs="宋体"/>
                <w:color w:val="auto"/>
                <w:spacing w:val="-2"/>
                <w:sz w:val="21"/>
                <w:szCs w:val="21"/>
                <w:highlight w:val="none"/>
                <w:lang w:eastAsia="zh-CN"/>
              </w:rPr>
              <w:t>≥</w:t>
            </w:r>
            <w:r>
              <w:rPr>
                <w:rFonts w:hint="eastAsia" w:ascii="宋体" w:hAnsi="宋体" w:eastAsia="宋体" w:cs="宋体"/>
                <w:color w:val="auto"/>
                <w:kern w:val="0"/>
                <w:sz w:val="21"/>
                <w:szCs w:val="21"/>
                <w:highlight w:val="none"/>
              </w:rPr>
              <w:t>1300，遥控蓝牙控制</w:t>
            </w:r>
          </w:p>
        </w:tc>
        <w:tc>
          <w:tcPr>
            <w:tcW w:w="265" w:type="pct"/>
            <w:vAlign w:val="center"/>
          </w:tcPr>
          <w:p w14:paraId="7A49EE5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731AD45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Merge w:val="restart"/>
            <w:vAlign w:val="center"/>
          </w:tcPr>
          <w:p w14:paraId="754499E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01BF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463A27D7">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499E74D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防水灯</w:t>
            </w:r>
          </w:p>
        </w:tc>
        <w:tc>
          <w:tcPr>
            <w:tcW w:w="2717" w:type="pct"/>
            <w:vAlign w:val="center"/>
          </w:tcPr>
          <w:p w14:paraId="2DCBE2E5">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电源：24VDC</w:t>
            </w:r>
          </w:p>
        </w:tc>
        <w:tc>
          <w:tcPr>
            <w:tcW w:w="265" w:type="pct"/>
            <w:vAlign w:val="center"/>
          </w:tcPr>
          <w:p w14:paraId="3D8D3AE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30" w:type="pct"/>
            <w:vAlign w:val="center"/>
          </w:tcPr>
          <w:p w14:paraId="6D0CC85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49" w:type="pct"/>
            <w:vMerge w:val="continue"/>
            <w:vAlign w:val="center"/>
          </w:tcPr>
          <w:p w14:paraId="4F85571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3EA8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31EC6EC8">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0D2E84F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数字压力表</w:t>
            </w:r>
          </w:p>
        </w:tc>
        <w:tc>
          <w:tcPr>
            <w:tcW w:w="2717" w:type="pct"/>
            <w:vAlign w:val="center"/>
          </w:tcPr>
          <w:p w14:paraId="15C83E97">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远传数显式，电源：DC24V；输出信号：（4～20）mA；测量范围：（0～0.6）MPa、（-0.1～0.1）MPa；精度：0.2%FS</w:t>
            </w:r>
          </w:p>
        </w:tc>
        <w:tc>
          <w:tcPr>
            <w:tcW w:w="265" w:type="pct"/>
            <w:vAlign w:val="center"/>
          </w:tcPr>
          <w:p w14:paraId="22E02E6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430" w:type="pct"/>
            <w:vAlign w:val="center"/>
          </w:tcPr>
          <w:p w14:paraId="22E48C7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49" w:type="pct"/>
            <w:vAlign w:val="center"/>
          </w:tcPr>
          <w:p w14:paraId="66492F8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767B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072ABF60">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38D0B39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在线pH仪</w:t>
            </w:r>
          </w:p>
        </w:tc>
        <w:tc>
          <w:tcPr>
            <w:tcW w:w="2717" w:type="pct"/>
            <w:vAlign w:val="center"/>
          </w:tcPr>
          <w:p w14:paraId="25032723">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电源：AC220V 50Hz；量程：0～14；输出：4～20mA</w:t>
            </w:r>
          </w:p>
        </w:tc>
        <w:tc>
          <w:tcPr>
            <w:tcW w:w="265" w:type="pct"/>
            <w:vAlign w:val="center"/>
          </w:tcPr>
          <w:p w14:paraId="0BE6D8F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59AA13B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49" w:type="pct"/>
            <w:vAlign w:val="center"/>
          </w:tcPr>
          <w:p w14:paraId="4F779BE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5C94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09AEC2DD">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0F8B90A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物位仪</w:t>
            </w:r>
          </w:p>
        </w:tc>
        <w:tc>
          <w:tcPr>
            <w:tcW w:w="2717" w:type="pct"/>
            <w:vAlign w:val="center"/>
          </w:tcPr>
          <w:p w14:paraId="07F40025">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电源：DC24V；量程：0～1m；盲区：0.06m；输出：4～20mA</w:t>
            </w:r>
          </w:p>
        </w:tc>
        <w:tc>
          <w:tcPr>
            <w:tcW w:w="265" w:type="pct"/>
            <w:vAlign w:val="center"/>
          </w:tcPr>
          <w:p w14:paraId="1088C08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554EB11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49" w:type="pct"/>
            <w:vAlign w:val="center"/>
          </w:tcPr>
          <w:p w14:paraId="17B52AA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1EC2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76157235">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7EFDE92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水表</w:t>
            </w:r>
          </w:p>
        </w:tc>
        <w:tc>
          <w:tcPr>
            <w:tcW w:w="2717" w:type="pct"/>
            <w:vAlign w:val="center"/>
          </w:tcPr>
          <w:p w14:paraId="536C13FA">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电源：DC24V；规格：DN25；工作压力上限：1.6Mpa；最大流量：6.3m</w:t>
            </w:r>
            <w:r>
              <w:rPr>
                <w:rFonts w:hint="eastAsia" w:ascii="宋体" w:hAnsi="宋体" w:eastAsia="宋体" w:cs="宋体"/>
                <w:color w:val="auto"/>
                <w:kern w:val="0"/>
                <w:sz w:val="21"/>
                <w:szCs w:val="21"/>
                <w:highlight w:val="none"/>
                <w:vertAlign w:val="superscript"/>
              </w:rPr>
              <w:t>3</w:t>
            </w:r>
            <w:r>
              <w:rPr>
                <w:rFonts w:hint="eastAsia" w:ascii="宋体" w:hAnsi="宋体" w:eastAsia="宋体" w:cs="宋体"/>
                <w:color w:val="auto"/>
                <w:kern w:val="0"/>
                <w:sz w:val="21"/>
                <w:szCs w:val="21"/>
                <w:highlight w:val="none"/>
              </w:rPr>
              <w:t>/h；485通讯</w:t>
            </w:r>
          </w:p>
        </w:tc>
        <w:tc>
          <w:tcPr>
            <w:tcW w:w="265" w:type="pct"/>
            <w:vAlign w:val="center"/>
          </w:tcPr>
          <w:p w14:paraId="57D0B53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0B87BEA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349" w:type="pct"/>
            <w:vAlign w:val="center"/>
          </w:tcPr>
          <w:p w14:paraId="7D623FA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14E0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34CDF629">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4B2AB65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浮球液位开关</w:t>
            </w:r>
          </w:p>
        </w:tc>
        <w:tc>
          <w:tcPr>
            <w:tcW w:w="2717" w:type="pct"/>
            <w:vAlign w:val="center"/>
          </w:tcPr>
          <w:p w14:paraId="69A8EF5D">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双球；内置微动开关</w:t>
            </w:r>
          </w:p>
        </w:tc>
        <w:tc>
          <w:tcPr>
            <w:tcW w:w="265" w:type="pct"/>
            <w:vAlign w:val="center"/>
          </w:tcPr>
          <w:p w14:paraId="713FDE2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30" w:type="pct"/>
            <w:vAlign w:val="center"/>
          </w:tcPr>
          <w:p w14:paraId="1075D43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w:t>
            </w:r>
          </w:p>
        </w:tc>
        <w:tc>
          <w:tcPr>
            <w:tcW w:w="349" w:type="pct"/>
            <w:vAlign w:val="center"/>
          </w:tcPr>
          <w:p w14:paraId="0D2D4BA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5DC7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7AF82C86">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1A1366F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转速传感器</w:t>
            </w:r>
          </w:p>
        </w:tc>
        <w:tc>
          <w:tcPr>
            <w:tcW w:w="2717" w:type="pct"/>
            <w:vAlign w:val="center"/>
          </w:tcPr>
          <w:p w14:paraId="0DCEE239">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红外漫反射式，电源：DC24V；输出信号：电脉冲信号；测量范围：0～3000rpm</w:t>
            </w:r>
          </w:p>
        </w:tc>
        <w:tc>
          <w:tcPr>
            <w:tcW w:w="265" w:type="pct"/>
            <w:vAlign w:val="center"/>
          </w:tcPr>
          <w:p w14:paraId="04BC597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351EA4E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1002FC2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644E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03C32F1D">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77F8C41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振动传感器</w:t>
            </w:r>
          </w:p>
        </w:tc>
        <w:tc>
          <w:tcPr>
            <w:tcW w:w="2717" w:type="pct"/>
            <w:vAlign w:val="center"/>
          </w:tcPr>
          <w:p w14:paraId="2F8F6A37">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电源：DC24V；量程：0～20mm/s；输出：4～20mA</w:t>
            </w:r>
          </w:p>
        </w:tc>
        <w:tc>
          <w:tcPr>
            <w:tcW w:w="265" w:type="pct"/>
            <w:vAlign w:val="center"/>
          </w:tcPr>
          <w:p w14:paraId="1F2C6BB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75AABDC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1A2718E1">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2FAD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4AC3FA7C">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7098A00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铂热电阻</w:t>
            </w:r>
          </w:p>
        </w:tc>
        <w:tc>
          <w:tcPr>
            <w:tcW w:w="2717" w:type="pct"/>
            <w:vAlign w:val="center"/>
          </w:tcPr>
          <w:p w14:paraId="00F8E210">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粘贴式PT100；量程：-60～180℃</w:t>
            </w:r>
          </w:p>
        </w:tc>
        <w:tc>
          <w:tcPr>
            <w:tcW w:w="265" w:type="pct"/>
            <w:vAlign w:val="center"/>
          </w:tcPr>
          <w:p w14:paraId="3C9A4BB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30" w:type="pct"/>
            <w:vAlign w:val="center"/>
          </w:tcPr>
          <w:p w14:paraId="143497F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49" w:type="pct"/>
            <w:vAlign w:val="center"/>
          </w:tcPr>
          <w:p w14:paraId="3DBE523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1DFA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5B06F4F4">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4317816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电导率仪</w:t>
            </w:r>
          </w:p>
        </w:tc>
        <w:tc>
          <w:tcPr>
            <w:tcW w:w="2717" w:type="pct"/>
            <w:vAlign w:val="center"/>
          </w:tcPr>
          <w:p w14:paraId="041FE1A7">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电源：AC220V 50Hz；量程：0.5～20mS/cm；输出：4～20mA</w:t>
            </w:r>
          </w:p>
        </w:tc>
        <w:tc>
          <w:tcPr>
            <w:tcW w:w="265" w:type="pct"/>
            <w:vAlign w:val="center"/>
          </w:tcPr>
          <w:p w14:paraId="759CBF2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7084751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225E277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7B16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23EFC8D8">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734E4F3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大气四合一传感器</w:t>
            </w:r>
          </w:p>
        </w:tc>
        <w:tc>
          <w:tcPr>
            <w:tcW w:w="2717" w:type="pct"/>
            <w:vAlign w:val="center"/>
          </w:tcPr>
          <w:p w14:paraId="16BD2701">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电源：12～24V DC；输出信号：RS485；测量范围：温度：-40°C～80C，湿度：0～100%RH无凝珠，光照度：0～200,000流明，大气压：1hPa</w:t>
            </w:r>
          </w:p>
        </w:tc>
        <w:tc>
          <w:tcPr>
            <w:tcW w:w="265" w:type="pct"/>
            <w:vAlign w:val="center"/>
          </w:tcPr>
          <w:p w14:paraId="1C1E3AA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0B938B8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77E4726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3A9F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13963656">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2C1B758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二氧化碳传感器</w:t>
            </w:r>
          </w:p>
        </w:tc>
        <w:tc>
          <w:tcPr>
            <w:tcW w:w="2717" w:type="pct"/>
            <w:vAlign w:val="center"/>
          </w:tcPr>
          <w:p w14:paraId="63DB4740">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电源：DC24V，输出信号：4～20mA，测量范围：0～2000ppm</w:t>
            </w:r>
          </w:p>
        </w:tc>
        <w:tc>
          <w:tcPr>
            <w:tcW w:w="265" w:type="pct"/>
            <w:vAlign w:val="center"/>
          </w:tcPr>
          <w:p w14:paraId="56582FD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013F34D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6B8D334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5354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096E2641">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126D245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氧气传感器</w:t>
            </w:r>
          </w:p>
        </w:tc>
        <w:tc>
          <w:tcPr>
            <w:tcW w:w="2717" w:type="pct"/>
            <w:vAlign w:val="center"/>
          </w:tcPr>
          <w:p w14:paraId="1206C55B">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电源：DC24V，输出信号：4～20mA，测量范围：0～30%</w:t>
            </w:r>
          </w:p>
        </w:tc>
        <w:tc>
          <w:tcPr>
            <w:tcW w:w="265" w:type="pct"/>
            <w:vAlign w:val="center"/>
          </w:tcPr>
          <w:p w14:paraId="00EA8F1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28FF0EA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16C20CC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5AE5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664524E4">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73D3CE3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土壤多参数传感器</w:t>
            </w:r>
          </w:p>
        </w:tc>
        <w:tc>
          <w:tcPr>
            <w:tcW w:w="2717" w:type="pct"/>
            <w:vAlign w:val="center"/>
          </w:tcPr>
          <w:p w14:paraId="6A017473">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电源：DC24V，输出信号：RS485；测量范围：水分：0～100%，电导率：0～10000µS/cm，pH：3～9，氮磷钾：0～1999mg/kg</w:t>
            </w:r>
          </w:p>
        </w:tc>
        <w:tc>
          <w:tcPr>
            <w:tcW w:w="265" w:type="pct"/>
            <w:vAlign w:val="center"/>
          </w:tcPr>
          <w:p w14:paraId="0CCFED8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3C97DBB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0833530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598D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1B5ECAF3">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5627000A">
            <w:pPr>
              <w:keepNext w:val="0"/>
              <w:keepLines w:val="0"/>
              <w:pageBreakBefore w:val="0"/>
              <w:kinsoku/>
              <w:wordWrap/>
              <w:overflowPunct/>
              <w:topLinePunct w:val="0"/>
              <w:autoSpaceDE/>
              <w:autoSpaceDN/>
              <w:bidi w:val="0"/>
              <w:adjustRightInd w:val="0"/>
              <w:snapToGrid w:val="0"/>
              <w:spacing w:line="240" w:lineRule="auto"/>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传感器技术AR仿真实训教学APP软件</w:t>
            </w:r>
          </w:p>
        </w:tc>
        <w:tc>
          <w:tcPr>
            <w:tcW w:w="5408" w:type="dxa"/>
            <w:vAlign w:val="center"/>
          </w:tcPr>
          <w:p w14:paraId="5EB66F17">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要求提供正版软件，软件具有霍尔传感器装配演示、压电传感器装配演电涡流传感器装配演示、差动电容传感器装配演示、差动变压器装配演示等各项功能，并且达到软件产品登记测试规范的要求，提供软件著作权证书、第三方权威机构出具的软件测评报告及使用说明书。</w:t>
            </w:r>
          </w:p>
          <w:p w14:paraId="39E5F382">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软件具有实时交互性，在手机上打开本软件，将摄像头对准到特定物体上（图片/实物），通过增强现实系统可以在它上面展示出以下功能</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lang w:val="en-US" w:eastAsia="zh-CN"/>
              </w:rPr>
              <w:t>提供满足技术要求的演示视频）</w:t>
            </w:r>
            <w:r>
              <w:rPr>
                <w:rFonts w:hint="eastAsia" w:ascii="宋体" w:hAnsi="宋体" w:eastAsia="宋体" w:cs="宋体"/>
                <w:color w:val="auto"/>
                <w:kern w:val="0"/>
                <w:sz w:val="21"/>
                <w:szCs w:val="21"/>
                <w:highlight w:val="none"/>
              </w:rPr>
              <w:t>：</w:t>
            </w:r>
          </w:p>
          <w:p w14:paraId="59537273">
            <w:pPr>
              <w:keepNext w:val="0"/>
              <w:keepLines w:val="0"/>
              <w:pageBreakBefore w:val="0"/>
              <w:kinsoku/>
              <w:wordWrap/>
              <w:overflowPunct/>
              <w:topLinePunct w:val="0"/>
              <w:autoSpaceDE/>
              <w:autoSpaceDN/>
              <w:bidi w:val="0"/>
              <w:spacing w:line="360" w:lineRule="exact"/>
              <w:jc w:val="left"/>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1.原理展示：通过位移测量、振动测量、转速测量、环境测量等具体应用实例来展示传感器的基本原理，并可动态显示实验结果，以此加深学生对传感器的了解</w:t>
            </w:r>
            <w:r>
              <w:rPr>
                <w:rFonts w:hint="eastAsia" w:ascii="宋体" w:hAnsi="宋体" w:eastAsia="宋体" w:cs="宋体"/>
                <w:color w:val="auto"/>
                <w:kern w:val="0"/>
                <w:sz w:val="21"/>
                <w:szCs w:val="21"/>
                <w:highlight w:val="none"/>
                <w:lang w:val="en-US" w:eastAsia="zh-CN"/>
              </w:rPr>
              <w:t>，投标技术方案中提供对应功能截图</w:t>
            </w:r>
            <w:r>
              <w:rPr>
                <w:rFonts w:hint="eastAsia" w:ascii="宋体" w:hAnsi="宋体" w:eastAsia="宋体" w:cs="宋体"/>
                <w:color w:val="auto"/>
                <w:spacing w:val="-2"/>
                <w:sz w:val="21"/>
                <w:szCs w:val="21"/>
                <w:highlight w:val="none"/>
                <w:lang w:val="en-US" w:eastAsia="zh-CN"/>
              </w:rPr>
              <w:t>。</w:t>
            </w:r>
          </w:p>
          <w:p w14:paraId="54B42102">
            <w:pPr>
              <w:keepNext w:val="0"/>
              <w:keepLines w:val="0"/>
              <w:pageBreakBefore w:val="0"/>
              <w:kinsoku/>
              <w:wordWrap/>
              <w:overflowPunct/>
              <w:topLinePunct w:val="0"/>
              <w:autoSpaceDE/>
              <w:autoSpaceDN/>
              <w:bidi w:val="0"/>
              <w:spacing w:line="360" w:lineRule="exact"/>
              <w:jc w:val="left"/>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2.零件展示：单独展示传感器的各个组成元件，观察零件的结构、材质以及材质类型</w:t>
            </w:r>
            <w:r>
              <w:rPr>
                <w:rFonts w:hint="eastAsia" w:ascii="宋体" w:hAnsi="宋体" w:eastAsia="宋体" w:cs="宋体"/>
                <w:color w:val="auto"/>
                <w:kern w:val="0"/>
                <w:sz w:val="21"/>
                <w:szCs w:val="21"/>
                <w:highlight w:val="none"/>
                <w:lang w:val="en-US" w:eastAsia="zh-CN"/>
              </w:rPr>
              <w:t>，投标技术方案中提供对应功能截图</w:t>
            </w:r>
            <w:r>
              <w:rPr>
                <w:rFonts w:hint="eastAsia" w:ascii="宋体" w:hAnsi="宋体" w:eastAsia="宋体" w:cs="宋体"/>
                <w:color w:val="auto"/>
                <w:spacing w:val="-2"/>
                <w:sz w:val="21"/>
                <w:szCs w:val="21"/>
                <w:highlight w:val="none"/>
                <w:lang w:val="en-US" w:eastAsia="zh-CN"/>
              </w:rPr>
              <w:t>。</w:t>
            </w:r>
          </w:p>
          <w:p w14:paraId="4E614D21">
            <w:pPr>
              <w:keepNext w:val="0"/>
              <w:keepLines w:val="0"/>
              <w:pageBreakBefore w:val="0"/>
              <w:kinsoku/>
              <w:wordWrap/>
              <w:overflowPunct/>
              <w:topLinePunct w:val="0"/>
              <w:autoSpaceDE/>
              <w:autoSpaceDN/>
              <w:bidi w:val="0"/>
              <w:spacing w:line="360" w:lineRule="exact"/>
              <w:jc w:val="left"/>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3.装配演示：以3D仿真的形式展示传感器的装配过程，让学生直观了解传感器的组成结构和装配方法。具有快速装配、慢速装配、放大、缩小、旋转视图等功能</w:t>
            </w:r>
            <w:r>
              <w:rPr>
                <w:rFonts w:hint="eastAsia" w:ascii="宋体" w:hAnsi="宋体" w:eastAsia="宋体" w:cs="宋体"/>
                <w:color w:val="auto"/>
                <w:kern w:val="0"/>
                <w:sz w:val="21"/>
                <w:szCs w:val="21"/>
                <w:highlight w:val="none"/>
                <w:lang w:val="en-US" w:eastAsia="zh-CN"/>
              </w:rPr>
              <w:t>，投标技术方案中提供对应功能截图</w:t>
            </w:r>
            <w:r>
              <w:rPr>
                <w:rFonts w:hint="eastAsia" w:ascii="宋体" w:hAnsi="宋体" w:eastAsia="宋体" w:cs="宋体"/>
                <w:color w:val="auto"/>
                <w:spacing w:val="-2"/>
                <w:sz w:val="21"/>
                <w:szCs w:val="21"/>
                <w:highlight w:val="none"/>
                <w:lang w:val="en-US" w:eastAsia="zh-CN"/>
              </w:rPr>
              <w:t>。</w:t>
            </w:r>
          </w:p>
          <w:p w14:paraId="38A5839C">
            <w:pPr>
              <w:keepNext w:val="0"/>
              <w:keepLines w:val="0"/>
              <w:pageBreakBefore w:val="0"/>
              <w:kinsoku/>
              <w:wordWrap/>
              <w:overflowPunct/>
              <w:topLinePunct w:val="0"/>
              <w:autoSpaceDE/>
              <w:autoSpaceDN/>
              <w:bidi w:val="0"/>
              <w:spacing w:line="360" w:lineRule="exact"/>
              <w:jc w:val="left"/>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4.支持霍尔位移传感器、霍尔转速传感器、压电传感器、湿敏传感器、气敏传感器、电涡流传感器、磁电传感器、差动电容传感器、差动变压器、金属箔应变传感器、扩散硅压力传感器、光纤位移传感器、光电转速传感器、集成温度传感器、K型热电偶、E型热电偶、PT100铂电阻等17个常用传感器</w:t>
            </w:r>
            <w:r>
              <w:rPr>
                <w:rFonts w:hint="eastAsia" w:ascii="宋体" w:hAnsi="宋体" w:eastAsia="宋体" w:cs="宋体"/>
                <w:color w:val="auto"/>
                <w:kern w:val="0"/>
                <w:sz w:val="21"/>
                <w:szCs w:val="21"/>
                <w:highlight w:val="none"/>
                <w:lang w:val="en-US" w:eastAsia="zh-CN"/>
              </w:rPr>
              <w:t>，投标技术方案中提供对应功能截图</w:t>
            </w:r>
            <w:r>
              <w:rPr>
                <w:rFonts w:hint="eastAsia" w:ascii="宋体" w:hAnsi="宋体" w:eastAsia="宋体" w:cs="宋体"/>
                <w:color w:val="auto"/>
                <w:spacing w:val="-2"/>
                <w:sz w:val="21"/>
                <w:szCs w:val="21"/>
                <w:highlight w:val="none"/>
                <w:lang w:val="en-US" w:eastAsia="zh-CN"/>
              </w:rPr>
              <w:t>。</w:t>
            </w:r>
          </w:p>
        </w:tc>
        <w:tc>
          <w:tcPr>
            <w:tcW w:w="265" w:type="pct"/>
            <w:vAlign w:val="center"/>
          </w:tcPr>
          <w:p w14:paraId="578C3F89">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657BF17E">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4A14688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6E4F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5B820DDC">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5748919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土壤监测盒一</w:t>
            </w:r>
          </w:p>
        </w:tc>
        <w:tc>
          <w:tcPr>
            <w:tcW w:w="5408" w:type="dxa"/>
            <w:vAlign w:val="center"/>
          </w:tcPr>
          <w:p w14:paraId="308354D7">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26cm×8cm×8.5cm；由淡蓝色有机玻璃板制作；</w:t>
            </w:r>
            <w:r>
              <w:rPr>
                <w:rFonts w:hint="eastAsia" w:ascii="宋体" w:hAnsi="宋体" w:eastAsia="宋体" w:cs="宋体"/>
                <w:color w:val="auto"/>
                <w:kern w:val="0"/>
                <w:sz w:val="21"/>
                <w:szCs w:val="21"/>
                <w:highlight w:val="none"/>
                <w:lang w:eastAsia="zh-CN"/>
              </w:rPr>
              <w:t>可用于土壤存放和监测</w:t>
            </w:r>
          </w:p>
        </w:tc>
        <w:tc>
          <w:tcPr>
            <w:tcW w:w="265" w:type="pct"/>
            <w:vAlign w:val="center"/>
          </w:tcPr>
          <w:p w14:paraId="3AD1AAB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39F61DE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3E21A73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r w14:paraId="391A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9" w:type="pct"/>
            <w:vAlign w:val="center"/>
          </w:tcPr>
          <w:p w14:paraId="4B68E548">
            <w:pPr>
              <w:keepNext w:val="0"/>
              <w:keepLines w:val="0"/>
              <w:pageBreakBefore w:val="0"/>
              <w:widowControl/>
              <w:numPr>
                <w:ilvl w:val="0"/>
                <w:numId w:val="1"/>
              </w:numPr>
              <w:tabs>
                <w:tab w:val="clear" w:pos="284"/>
              </w:tabs>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c>
          <w:tcPr>
            <w:tcW w:w="859" w:type="pct"/>
            <w:vAlign w:val="center"/>
          </w:tcPr>
          <w:p w14:paraId="1C6AEC0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土壤监测盒二</w:t>
            </w:r>
          </w:p>
        </w:tc>
        <w:tc>
          <w:tcPr>
            <w:tcW w:w="5408" w:type="dxa"/>
            <w:vAlign w:val="center"/>
          </w:tcPr>
          <w:p w14:paraId="16B8E8FB">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36.2cm×23.7cm×40cm；由淡蓝色有机玻璃板制作；</w:t>
            </w:r>
            <w:r>
              <w:rPr>
                <w:rFonts w:hint="eastAsia" w:ascii="宋体" w:hAnsi="宋体" w:eastAsia="宋体" w:cs="宋体"/>
                <w:color w:val="auto"/>
                <w:kern w:val="0"/>
                <w:sz w:val="21"/>
                <w:szCs w:val="21"/>
                <w:highlight w:val="none"/>
                <w:lang w:val="en-US" w:eastAsia="zh-CN"/>
              </w:rPr>
              <w:t>可</w:t>
            </w:r>
            <w:r>
              <w:rPr>
                <w:rFonts w:hint="eastAsia" w:ascii="宋体" w:hAnsi="宋体" w:eastAsia="宋体" w:cs="宋体"/>
                <w:color w:val="auto"/>
                <w:kern w:val="0"/>
                <w:sz w:val="21"/>
                <w:szCs w:val="21"/>
                <w:highlight w:val="none"/>
              </w:rPr>
              <w:t>用于土壤存放和监测</w:t>
            </w:r>
          </w:p>
        </w:tc>
        <w:tc>
          <w:tcPr>
            <w:tcW w:w="265" w:type="pct"/>
            <w:vAlign w:val="center"/>
          </w:tcPr>
          <w:p w14:paraId="6166063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0" w:type="pct"/>
            <w:vAlign w:val="center"/>
          </w:tcPr>
          <w:p w14:paraId="03FEEC8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49" w:type="pct"/>
            <w:vAlign w:val="center"/>
          </w:tcPr>
          <w:p w14:paraId="71DA9F47">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rPr>
            </w:pPr>
          </w:p>
        </w:tc>
      </w:tr>
    </w:tbl>
    <w:p w14:paraId="08C02610">
      <w:pPr>
        <w:pStyle w:val="5"/>
        <w:bidi w:val="0"/>
        <w:rPr>
          <w:rFonts w:hint="eastAsia"/>
          <w:color w:val="auto"/>
          <w:highlight w:val="none"/>
          <w:lang w:val="en-US" w:eastAsia="zh-CN"/>
        </w:rPr>
      </w:pPr>
      <w:r>
        <w:rPr>
          <w:rFonts w:hint="eastAsia"/>
          <w:color w:val="auto"/>
          <w:highlight w:val="none"/>
          <w:lang w:val="en-US" w:eastAsia="zh-CN"/>
        </w:rPr>
        <w:t>（二）电气控制系统基本配置</w:t>
      </w:r>
    </w:p>
    <w:tbl>
      <w:tblPr>
        <w:tblStyle w:val="6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711"/>
        <w:gridCol w:w="5496"/>
        <w:gridCol w:w="516"/>
        <w:gridCol w:w="829"/>
        <w:gridCol w:w="649"/>
      </w:tblGrid>
      <w:tr w14:paraId="4262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4066955D">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859" w:type="pct"/>
            <w:vAlign w:val="center"/>
          </w:tcPr>
          <w:p w14:paraId="50F30771">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器材名称</w:t>
            </w:r>
          </w:p>
        </w:tc>
        <w:tc>
          <w:tcPr>
            <w:tcW w:w="2759" w:type="pct"/>
            <w:vAlign w:val="center"/>
          </w:tcPr>
          <w:p w14:paraId="75118E58">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器材、规格说明</w:t>
            </w:r>
          </w:p>
        </w:tc>
        <w:tc>
          <w:tcPr>
            <w:tcW w:w="259" w:type="pct"/>
            <w:vAlign w:val="center"/>
          </w:tcPr>
          <w:p w14:paraId="6E8426E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数量</w:t>
            </w:r>
          </w:p>
        </w:tc>
        <w:tc>
          <w:tcPr>
            <w:tcW w:w="416" w:type="pct"/>
            <w:vAlign w:val="center"/>
          </w:tcPr>
          <w:p w14:paraId="5932433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单位</w:t>
            </w:r>
          </w:p>
        </w:tc>
        <w:tc>
          <w:tcPr>
            <w:tcW w:w="326" w:type="pct"/>
            <w:vAlign w:val="center"/>
          </w:tcPr>
          <w:p w14:paraId="37BD240D">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14:paraId="3C2B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7A47981B">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34013EDC">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电器控制柜</w:t>
            </w:r>
          </w:p>
        </w:tc>
        <w:tc>
          <w:tcPr>
            <w:tcW w:w="2759" w:type="pct"/>
            <w:vAlign w:val="center"/>
          </w:tcPr>
          <w:p w14:paraId="7FDB9A9F">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尺寸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800mm×600mm×1800mm；四面开门，带梯形顶；钢板静电喷塑工艺；</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实现与对象连接和控制以及与电脑的通讯连接编程功能</w:t>
            </w:r>
          </w:p>
        </w:tc>
        <w:tc>
          <w:tcPr>
            <w:tcW w:w="259" w:type="pct"/>
            <w:vAlign w:val="center"/>
          </w:tcPr>
          <w:p w14:paraId="180C113E">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vAlign w:val="center"/>
          </w:tcPr>
          <w:p w14:paraId="06815036">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26" w:type="pct"/>
            <w:vAlign w:val="center"/>
          </w:tcPr>
          <w:p w14:paraId="7DF1BEC8">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4014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2CFFB31A">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30AA3DAB">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PLC控制器</w:t>
            </w:r>
          </w:p>
        </w:tc>
        <w:tc>
          <w:tcPr>
            <w:tcW w:w="2759" w:type="pct"/>
            <w:vAlign w:val="center"/>
          </w:tcPr>
          <w:p w14:paraId="771EB829">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集成以太网口用于编程、HMI 通信和 PLC 间的通信。此外它还通过开放的以太网协议支持与第三方设备的通信。该接口带一个具有自动交叉网线（auto-cross-over）功能的RJ45 连接器，提供 10/100 Mbit/s 的数据传输速率，支持以下协议：TCP/IP、UDP、OPC UA、ISO-on-TCP、Modbus TCP、S7、Profinet IO等。50KB工作存储器/1MB 装载存储器。提供3种带自动调节功能的PID控制回路；提供8路闭环运动控制；提供多达6个高速计数器，本体最大支持100kHz，信号板最大支持200kHz，用于计数和测量。集成了4个100 kHz 的高速脉冲输出，用于步进电机或伺服驱动器的速度和位置控制。最多可以添加三个通信模块，支持 PROFIBUS主从站通信，RS485和RS232 通信模块为点对点的串行通信提供连接及I/O连接主站。</w:t>
            </w:r>
          </w:p>
        </w:tc>
        <w:tc>
          <w:tcPr>
            <w:tcW w:w="259" w:type="pct"/>
            <w:vAlign w:val="center"/>
          </w:tcPr>
          <w:p w14:paraId="5D62BCE3">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vAlign w:val="center"/>
          </w:tcPr>
          <w:p w14:paraId="41A87656">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26" w:type="pct"/>
            <w:vAlign w:val="center"/>
          </w:tcPr>
          <w:p w14:paraId="4521C6C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6237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26F32E58">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72B35B3F">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PLC技术AR仿真实训教学APP软件</w:t>
            </w:r>
          </w:p>
        </w:tc>
        <w:tc>
          <w:tcPr>
            <w:tcW w:w="2759" w:type="pct"/>
            <w:vAlign w:val="top"/>
          </w:tcPr>
          <w:p w14:paraId="040AFC73">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要求提供正版软件，要求具有PLC技术实训装置展示、可编程控制器装置展示、变频器装置展示、工业触摸屏展示、PLC控制LED运行演示、PLC控制继电器接触电路运行演示、PLC控制变频运行演示等各项功能，并且达到软件产品登记测试规范的要求，提供软件著作权证书、第三方权威机构出具的软件测评报告及使用说明书。</w:t>
            </w:r>
          </w:p>
          <w:p w14:paraId="216A9285">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软件具有实时交互性，在手机上打开本软件，将摄像头对准到特定物体上（图片/实物），通过增强现实系统可以在它上面展示出以下功能：</w:t>
            </w:r>
          </w:p>
          <w:p w14:paraId="38FD300F">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1.PLC技术实训装置的动画演示，投标技术方案中提供对应功能截图</w:t>
            </w:r>
          </w:p>
          <w:p w14:paraId="7BD88F00">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2.可编程控制器的介绍，投标技术方案中提供对应功能截图</w:t>
            </w:r>
          </w:p>
          <w:p w14:paraId="4B2B6CFA">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3.变频器的介绍，投标技术方案中提供对应功能截图</w:t>
            </w:r>
          </w:p>
          <w:p w14:paraId="7DFF9A8A">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4.工业触摸屏的介绍，投标技术方案中提供对应功能截图</w:t>
            </w:r>
          </w:p>
          <w:p w14:paraId="0A96E726">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5.PLC控制LED仿真实训，投标技术方案中提供对应功能截图</w:t>
            </w:r>
          </w:p>
          <w:p w14:paraId="7D547A85">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6.PLC控制继电接触电路仿真实训，投标技术方案中提供对应功能截图</w:t>
            </w:r>
          </w:p>
          <w:p w14:paraId="6356256F">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7.PLC控制变频调速仿真实训，投标技术方案中提供对应功能截图</w:t>
            </w:r>
          </w:p>
        </w:tc>
        <w:tc>
          <w:tcPr>
            <w:tcW w:w="259" w:type="pct"/>
            <w:vAlign w:val="center"/>
          </w:tcPr>
          <w:p w14:paraId="7465EF46">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vAlign w:val="center"/>
          </w:tcPr>
          <w:p w14:paraId="45A74D7D">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26" w:type="pct"/>
            <w:vAlign w:val="center"/>
          </w:tcPr>
          <w:p w14:paraId="1E085EF3">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4C3A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7A3561C1">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580FCC17">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通讯模块</w:t>
            </w:r>
          </w:p>
        </w:tc>
        <w:tc>
          <w:tcPr>
            <w:tcW w:w="2759" w:type="pct"/>
            <w:vAlign w:val="center"/>
          </w:tcPr>
          <w:p w14:paraId="6972D2D5">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共模电压范围：-7V～+12V， 1秒，3 VRMS连续；接收器阈值/灵敏度：最低±0.2V，典型滞后60mV</w:t>
            </w:r>
          </w:p>
        </w:tc>
        <w:tc>
          <w:tcPr>
            <w:tcW w:w="259" w:type="pct"/>
            <w:vAlign w:val="center"/>
          </w:tcPr>
          <w:p w14:paraId="40A53E14">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vAlign w:val="center"/>
          </w:tcPr>
          <w:p w14:paraId="5343DAB7">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26" w:type="pct"/>
            <w:vAlign w:val="center"/>
          </w:tcPr>
          <w:p w14:paraId="0FA838BD">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34F5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5B954FE3">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39153909">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数字量模块</w:t>
            </w:r>
          </w:p>
        </w:tc>
        <w:tc>
          <w:tcPr>
            <w:tcW w:w="2759" w:type="pct"/>
            <w:vAlign w:val="center"/>
          </w:tcPr>
          <w:p w14:paraId="091D58EA">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DI16×24VDC/DQ16×24VDC</w:t>
            </w:r>
          </w:p>
        </w:tc>
        <w:tc>
          <w:tcPr>
            <w:tcW w:w="259" w:type="pct"/>
            <w:vAlign w:val="center"/>
          </w:tcPr>
          <w:p w14:paraId="55D6E497">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vAlign w:val="center"/>
          </w:tcPr>
          <w:p w14:paraId="53E9510D">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26" w:type="pct"/>
            <w:vAlign w:val="center"/>
          </w:tcPr>
          <w:p w14:paraId="074323DC">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2D91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013B3E37">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66890500">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模拟量输入模块</w:t>
            </w:r>
          </w:p>
        </w:tc>
        <w:tc>
          <w:tcPr>
            <w:tcW w:w="2759" w:type="pct"/>
            <w:vAlign w:val="center"/>
          </w:tcPr>
          <w:p w14:paraId="62229BE3">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AI 8x13 位；输入类型：电压或电流（差动）：信号范围：±10 V、±5 V、±2.5V、0～20mA或4～20mA</w:t>
            </w:r>
          </w:p>
        </w:tc>
        <w:tc>
          <w:tcPr>
            <w:tcW w:w="259" w:type="pct"/>
            <w:vAlign w:val="center"/>
          </w:tcPr>
          <w:p w14:paraId="724F1CE8">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16" w:type="pct"/>
            <w:vAlign w:val="center"/>
          </w:tcPr>
          <w:p w14:paraId="381F4441">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26" w:type="pct"/>
            <w:vAlign w:val="center"/>
          </w:tcPr>
          <w:p w14:paraId="3C17CE3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3912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5F220376">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6B1030D0">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模拟量输出模块</w:t>
            </w:r>
          </w:p>
        </w:tc>
        <w:tc>
          <w:tcPr>
            <w:tcW w:w="2759" w:type="pct"/>
            <w:vAlign w:val="center"/>
          </w:tcPr>
          <w:p w14:paraId="5432F6B0">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AQ 4x14 位；类型：电压或电流；范围：±10V、0～20mA或4～20mA；分辨率：电压：14位；电流：13位。</w:t>
            </w:r>
          </w:p>
        </w:tc>
        <w:tc>
          <w:tcPr>
            <w:tcW w:w="259" w:type="pct"/>
            <w:vAlign w:val="center"/>
          </w:tcPr>
          <w:p w14:paraId="054F89ED">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16" w:type="pct"/>
            <w:vAlign w:val="center"/>
          </w:tcPr>
          <w:p w14:paraId="6A986C66">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26" w:type="pct"/>
            <w:vAlign w:val="center"/>
          </w:tcPr>
          <w:p w14:paraId="33536414">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4D7D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6D5CF76C">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51CD1C2C">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触摸屏</w:t>
            </w:r>
          </w:p>
        </w:tc>
        <w:tc>
          <w:tcPr>
            <w:tcW w:w="2759" w:type="pct"/>
            <w:vAlign w:val="center"/>
          </w:tcPr>
          <w:p w14:paraId="44DC75EF">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触摸屏，10.2″TFT液晶屏，分辨率：800x480；接口：RS232、USB、RJ45。</w:t>
            </w:r>
          </w:p>
        </w:tc>
        <w:tc>
          <w:tcPr>
            <w:tcW w:w="259" w:type="pct"/>
            <w:vAlign w:val="center"/>
          </w:tcPr>
          <w:p w14:paraId="6668B172">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vAlign w:val="center"/>
          </w:tcPr>
          <w:p w14:paraId="43B69CC0">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26" w:type="pct"/>
            <w:vAlign w:val="center"/>
          </w:tcPr>
          <w:p w14:paraId="6229E946">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05C7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59E70E8E">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58F666BB">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变频器</w:t>
            </w:r>
          </w:p>
        </w:tc>
        <w:tc>
          <w:tcPr>
            <w:tcW w:w="2759" w:type="pct"/>
            <w:vAlign w:val="center"/>
          </w:tcPr>
          <w:p w14:paraId="59788BCF">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输出功率 1.5KW (配三相隔离变压器)</w:t>
            </w:r>
          </w:p>
        </w:tc>
        <w:tc>
          <w:tcPr>
            <w:tcW w:w="259" w:type="pct"/>
            <w:vAlign w:val="center"/>
          </w:tcPr>
          <w:p w14:paraId="520C709C">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vAlign w:val="center"/>
          </w:tcPr>
          <w:p w14:paraId="2B6DE4D1">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26" w:type="pct"/>
            <w:vAlign w:val="center"/>
          </w:tcPr>
          <w:p w14:paraId="38D0902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42C9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70C7D3E6">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7F5AF585">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隔离变压器</w:t>
            </w:r>
          </w:p>
        </w:tc>
        <w:tc>
          <w:tcPr>
            <w:tcW w:w="2759" w:type="pct"/>
            <w:vAlign w:val="center"/>
          </w:tcPr>
          <w:p w14:paraId="5AAF9CC7">
            <w:pPr>
              <w:keepNext w:val="0"/>
              <w:keepLines w:val="0"/>
              <w:pageBreakBefore w:val="0"/>
              <w:widowControl/>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三相，EMDQ01(初级380V/1.32A，次级220V/2.28A）</w:t>
            </w:r>
          </w:p>
        </w:tc>
        <w:tc>
          <w:tcPr>
            <w:tcW w:w="259" w:type="pct"/>
            <w:vAlign w:val="center"/>
          </w:tcPr>
          <w:p w14:paraId="364D9048">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vAlign w:val="center"/>
          </w:tcPr>
          <w:p w14:paraId="4912979E">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26" w:type="pct"/>
            <w:vAlign w:val="center"/>
          </w:tcPr>
          <w:p w14:paraId="207FF659">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07AC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4CAAFE10">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057A34A7">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漏电保护器</w:t>
            </w:r>
          </w:p>
        </w:tc>
        <w:tc>
          <w:tcPr>
            <w:tcW w:w="2759" w:type="pct"/>
            <w:vAlign w:val="center"/>
          </w:tcPr>
          <w:p w14:paraId="1D997381">
            <w:pPr>
              <w:keepNext w:val="0"/>
              <w:keepLines w:val="0"/>
              <w:pageBreakBefore w:val="0"/>
              <w:widowControl/>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16A</w:t>
            </w:r>
          </w:p>
        </w:tc>
        <w:tc>
          <w:tcPr>
            <w:tcW w:w="259" w:type="pct"/>
            <w:vAlign w:val="center"/>
          </w:tcPr>
          <w:p w14:paraId="2AFE0BE0">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vAlign w:val="center"/>
          </w:tcPr>
          <w:p w14:paraId="7DFBA099">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26" w:type="pct"/>
            <w:vAlign w:val="center"/>
          </w:tcPr>
          <w:p w14:paraId="7C5195E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3DE7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0123B804">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39AC81C4">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三相综合电量表</w:t>
            </w:r>
          </w:p>
        </w:tc>
        <w:tc>
          <w:tcPr>
            <w:tcW w:w="2759" w:type="pct"/>
            <w:vAlign w:val="center"/>
          </w:tcPr>
          <w:p w14:paraId="3D1D207B">
            <w:pPr>
              <w:keepNext w:val="0"/>
              <w:keepLines w:val="0"/>
              <w:pageBreakBefore w:val="0"/>
              <w:widowControl/>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NHR-3300C 0-500V 0-5A RS485通讯</w:t>
            </w:r>
          </w:p>
        </w:tc>
        <w:tc>
          <w:tcPr>
            <w:tcW w:w="259" w:type="pct"/>
            <w:vAlign w:val="center"/>
          </w:tcPr>
          <w:p w14:paraId="0AB7819E">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vAlign w:val="center"/>
          </w:tcPr>
          <w:p w14:paraId="29522031">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26" w:type="pct"/>
            <w:vAlign w:val="center"/>
          </w:tcPr>
          <w:p w14:paraId="1DECE7A4">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5E6E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131846C8">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1CB16A09">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三相多功能电力仪表</w:t>
            </w:r>
          </w:p>
        </w:tc>
        <w:tc>
          <w:tcPr>
            <w:tcW w:w="2759" w:type="pct"/>
            <w:vAlign w:val="center"/>
          </w:tcPr>
          <w:p w14:paraId="6A909394">
            <w:pPr>
              <w:keepNext w:val="0"/>
              <w:keepLines w:val="0"/>
              <w:pageBreakBefore w:val="0"/>
              <w:widowControl/>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DTSU2186/WC（RS485通信）</w:t>
            </w:r>
          </w:p>
        </w:tc>
        <w:tc>
          <w:tcPr>
            <w:tcW w:w="259" w:type="pct"/>
            <w:vAlign w:val="center"/>
          </w:tcPr>
          <w:p w14:paraId="4AF10BE4">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vAlign w:val="center"/>
          </w:tcPr>
          <w:p w14:paraId="0E1662A7">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26" w:type="pct"/>
            <w:vAlign w:val="center"/>
          </w:tcPr>
          <w:p w14:paraId="11BF060C">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6366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09472CC6">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56DD9769">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单相多功能电力仪表</w:t>
            </w:r>
          </w:p>
        </w:tc>
        <w:tc>
          <w:tcPr>
            <w:tcW w:w="2759" w:type="pct"/>
            <w:vAlign w:val="center"/>
          </w:tcPr>
          <w:p w14:paraId="2F724D4F">
            <w:pPr>
              <w:keepNext w:val="0"/>
              <w:keepLines w:val="0"/>
              <w:pageBreakBefore w:val="0"/>
              <w:widowControl/>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DDSU 2186/4CH（RS485通信）</w:t>
            </w:r>
          </w:p>
        </w:tc>
        <w:tc>
          <w:tcPr>
            <w:tcW w:w="259" w:type="pct"/>
            <w:vAlign w:val="center"/>
          </w:tcPr>
          <w:p w14:paraId="4AD2284A">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vAlign w:val="center"/>
          </w:tcPr>
          <w:p w14:paraId="656A4638">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26" w:type="pct"/>
            <w:vAlign w:val="center"/>
          </w:tcPr>
          <w:p w14:paraId="420E88A3">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1657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6ADE68B7">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6BF54292">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边缘计算网关</w:t>
            </w:r>
          </w:p>
        </w:tc>
        <w:tc>
          <w:tcPr>
            <w:tcW w:w="2759" w:type="pct"/>
            <w:vAlign w:val="center"/>
          </w:tcPr>
          <w:p w14:paraId="1C22EA63">
            <w:pPr>
              <w:keepNext w:val="0"/>
              <w:keepLines w:val="0"/>
              <w:pageBreakBefore w:val="0"/>
              <w:widowControl/>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 600MHz ARM Cortex-A8；存储 128MB Flash + 128MB DDR3；以太网 3 路 10M/100M 自适应端口；支持SD卡；1个USB Device 2.0 接口；1个USB Host 2.0 端口；2路光电隔离数字点输入；2路继电器输出；COM1：RS232/RS485/RS422；COM2：RS485；COM3：RS232；IEEE 802.11b/g/n compatible WLAN；IEEE 802.11e QoS Enhancement (WMM)；RTC实时时钟内置；350+工业协议接入，支持绝大部分工业设备连接；无线接入方式：以太网；本地完成数据解析，将数据推送至云端服务器；支持边缘计算，可在本地进行数据运算；支持远程配置、诊断；支持PLC程序上传、下载和监控；支持历史数据本地缓存；支持 WiFi通讯，联网方式多样；支持SIM管理、数据推送、用户授权、订单中心、发票中心、设备模版、物联卡管理平台等。</w:t>
            </w:r>
          </w:p>
        </w:tc>
        <w:tc>
          <w:tcPr>
            <w:tcW w:w="259" w:type="pct"/>
            <w:vAlign w:val="center"/>
          </w:tcPr>
          <w:p w14:paraId="4C461E8C">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vAlign w:val="center"/>
          </w:tcPr>
          <w:p w14:paraId="65C5C049">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26" w:type="pct"/>
            <w:vAlign w:val="center"/>
          </w:tcPr>
          <w:p w14:paraId="28D3FD66">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3556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5A3F98BE">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309EAEC0">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工业交换机</w:t>
            </w:r>
          </w:p>
        </w:tc>
        <w:tc>
          <w:tcPr>
            <w:tcW w:w="2759" w:type="pct"/>
            <w:vAlign w:val="center"/>
          </w:tcPr>
          <w:p w14:paraId="2FA1E542">
            <w:pPr>
              <w:keepNext w:val="0"/>
              <w:keepLines w:val="0"/>
              <w:pageBreakBefore w:val="0"/>
              <w:widowControl/>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5口</w:t>
            </w:r>
          </w:p>
        </w:tc>
        <w:tc>
          <w:tcPr>
            <w:tcW w:w="259" w:type="pct"/>
            <w:vAlign w:val="center"/>
          </w:tcPr>
          <w:p w14:paraId="1BA70D9B">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vAlign w:val="center"/>
          </w:tcPr>
          <w:p w14:paraId="20F733B2">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26" w:type="pct"/>
            <w:vAlign w:val="center"/>
          </w:tcPr>
          <w:p w14:paraId="4D74AB79">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1994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6C814CF1">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6305B87D">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DC24V开关电源</w:t>
            </w:r>
          </w:p>
        </w:tc>
        <w:tc>
          <w:tcPr>
            <w:tcW w:w="2759" w:type="pct"/>
            <w:vAlign w:val="center"/>
          </w:tcPr>
          <w:p w14:paraId="42290B20">
            <w:pPr>
              <w:keepNext w:val="0"/>
              <w:keepLines w:val="0"/>
              <w:pageBreakBefore w:val="0"/>
              <w:widowControl/>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EDR-120-24，输出电压DC24，输出电流5A，额定功率120W</w:t>
            </w:r>
          </w:p>
        </w:tc>
        <w:tc>
          <w:tcPr>
            <w:tcW w:w="259" w:type="pct"/>
            <w:vAlign w:val="center"/>
          </w:tcPr>
          <w:p w14:paraId="7B00CC5A">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16" w:type="pct"/>
            <w:vAlign w:val="center"/>
          </w:tcPr>
          <w:p w14:paraId="3B0B42F4">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26" w:type="pct"/>
            <w:vAlign w:val="center"/>
          </w:tcPr>
          <w:p w14:paraId="0CE35140">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2793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3439B689">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286856C6">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电机调速器</w:t>
            </w:r>
          </w:p>
        </w:tc>
        <w:tc>
          <w:tcPr>
            <w:tcW w:w="2759" w:type="pct"/>
            <w:vAlign w:val="center"/>
          </w:tcPr>
          <w:p w14:paraId="7FFB990D">
            <w:pPr>
              <w:keepNext w:val="0"/>
              <w:keepLines w:val="0"/>
              <w:pageBreakBefore w:val="0"/>
              <w:widowControl/>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SK系列，数显式，与调速电机组合实现宽范围的无级变速；功能丰富，可实现缓慢加速，缓慢减速；功率高达200W；内置式调速器可直接输入0-5V模拟电压调速，实现与PLC模拟端口的调速联动。</w:t>
            </w:r>
          </w:p>
        </w:tc>
        <w:tc>
          <w:tcPr>
            <w:tcW w:w="259" w:type="pct"/>
            <w:vAlign w:val="center"/>
          </w:tcPr>
          <w:p w14:paraId="0BD2C2CD">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vAlign w:val="center"/>
          </w:tcPr>
          <w:p w14:paraId="19F2C03E">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26" w:type="pct"/>
            <w:vAlign w:val="center"/>
          </w:tcPr>
          <w:p w14:paraId="475EE415">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69F6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25EB65B5">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06ACAC12">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中间继电器</w:t>
            </w:r>
          </w:p>
        </w:tc>
        <w:tc>
          <w:tcPr>
            <w:tcW w:w="2759" w:type="pct"/>
            <w:vAlign w:val="center"/>
          </w:tcPr>
          <w:p w14:paraId="6BE95F41">
            <w:pPr>
              <w:keepNext w:val="0"/>
              <w:keepLines w:val="0"/>
              <w:pageBreakBefore w:val="0"/>
              <w:widowControl/>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HHC68B系列，透明</w:t>
            </w:r>
          </w:p>
        </w:tc>
        <w:tc>
          <w:tcPr>
            <w:tcW w:w="259" w:type="pct"/>
            <w:vAlign w:val="center"/>
          </w:tcPr>
          <w:p w14:paraId="0020FAD1">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416" w:type="pct"/>
            <w:vAlign w:val="center"/>
          </w:tcPr>
          <w:p w14:paraId="093F1287">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26" w:type="pct"/>
            <w:vAlign w:val="center"/>
          </w:tcPr>
          <w:p w14:paraId="11579F1B">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58A6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7AD56E98">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7B33F9C1">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温度变送器</w:t>
            </w:r>
          </w:p>
        </w:tc>
        <w:tc>
          <w:tcPr>
            <w:tcW w:w="2759" w:type="pct"/>
            <w:vAlign w:val="center"/>
          </w:tcPr>
          <w:p w14:paraId="7777F8B0">
            <w:pPr>
              <w:keepNext w:val="0"/>
              <w:keepLines w:val="0"/>
              <w:pageBreakBefore w:val="0"/>
              <w:widowControl/>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分度号：PT100；变送范围：0-200℃；变送输出：4～20mA。</w:t>
            </w:r>
          </w:p>
        </w:tc>
        <w:tc>
          <w:tcPr>
            <w:tcW w:w="259" w:type="pct"/>
            <w:vAlign w:val="center"/>
          </w:tcPr>
          <w:p w14:paraId="3016963B">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16" w:type="pct"/>
            <w:vAlign w:val="center"/>
          </w:tcPr>
          <w:p w14:paraId="05FE0E40">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26" w:type="pct"/>
            <w:vAlign w:val="center"/>
          </w:tcPr>
          <w:p w14:paraId="0368485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6FB3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452366CF">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380FD2AC">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操作开关及状态指示</w:t>
            </w:r>
          </w:p>
        </w:tc>
        <w:tc>
          <w:tcPr>
            <w:tcW w:w="2759" w:type="pct"/>
            <w:vAlign w:val="center"/>
          </w:tcPr>
          <w:p w14:paraId="562977EF">
            <w:pPr>
              <w:keepNext w:val="0"/>
              <w:keepLines w:val="0"/>
              <w:pageBreakBefore w:val="0"/>
              <w:widowControl/>
              <w:kinsoku/>
              <w:wordWrap/>
              <w:overflowPunct/>
              <w:topLinePunct w:val="0"/>
              <w:bidi w:val="0"/>
              <w:adjustRightInd w:val="0"/>
              <w:snapToGrid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绿/红指示灯、启停按钮、旋转开关等</w:t>
            </w:r>
          </w:p>
        </w:tc>
        <w:tc>
          <w:tcPr>
            <w:tcW w:w="259" w:type="pct"/>
            <w:vAlign w:val="center"/>
          </w:tcPr>
          <w:p w14:paraId="10148A0D">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若干</w:t>
            </w:r>
          </w:p>
        </w:tc>
        <w:tc>
          <w:tcPr>
            <w:tcW w:w="416" w:type="pct"/>
            <w:vAlign w:val="center"/>
          </w:tcPr>
          <w:p w14:paraId="738A8A52">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326" w:type="pct"/>
            <w:vAlign w:val="center"/>
          </w:tcPr>
          <w:p w14:paraId="52C36945">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0360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09622354">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7F1B2A0D">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警示牌</w:t>
            </w:r>
          </w:p>
        </w:tc>
        <w:tc>
          <w:tcPr>
            <w:tcW w:w="2759" w:type="pct"/>
            <w:vAlign w:val="center"/>
          </w:tcPr>
          <w:p w14:paraId="7A557446">
            <w:pPr>
              <w:keepNext w:val="0"/>
              <w:keepLines w:val="0"/>
              <w:pageBreakBefore w:val="0"/>
              <w:widowControl/>
              <w:kinsoku/>
              <w:wordWrap/>
              <w:overflowPunct/>
              <w:topLinePunct w:val="0"/>
              <w:autoSpaceDE/>
              <w:autoSpaceDN/>
              <w:bidi w:val="0"/>
              <w:adjustRightInd w:val="0"/>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悬挂式，</w:t>
            </w:r>
            <w:r>
              <w:rPr>
                <w:rFonts w:hint="eastAsia" w:ascii="宋体" w:hAnsi="宋体" w:eastAsia="宋体" w:cs="宋体"/>
                <w:color w:val="auto"/>
                <w:kern w:val="0"/>
                <w:sz w:val="21"/>
                <w:szCs w:val="21"/>
                <w:highlight w:val="none"/>
                <w:lang w:eastAsia="zh-CN"/>
              </w:rPr>
              <w:t>尺寸</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160mm×200mm×1.5mm</w:t>
            </w:r>
          </w:p>
        </w:tc>
        <w:tc>
          <w:tcPr>
            <w:tcW w:w="259" w:type="pct"/>
            <w:vAlign w:val="center"/>
          </w:tcPr>
          <w:p w14:paraId="37991F73">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vAlign w:val="center"/>
          </w:tcPr>
          <w:p w14:paraId="11EB21F5">
            <w:pPr>
              <w:keepNext w:val="0"/>
              <w:keepLines w:val="0"/>
              <w:pageBreakBefore w:val="0"/>
              <w:tabs>
                <w:tab w:val="left" w:pos="236"/>
                <w:tab w:val="center" w:pos="468"/>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26" w:type="pct"/>
            <w:vAlign w:val="center"/>
          </w:tcPr>
          <w:p w14:paraId="45D0BA30">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4A48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43D4C34E">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79D47C9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监控中心</w:t>
            </w:r>
          </w:p>
        </w:tc>
        <w:tc>
          <w:tcPr>
            <w:tcW w:w="2759" w:type="pct"/>
            <w:vAlign w:val="center"/>
          </w:tcPr>
          <w:p w14:paraId="712FC165">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钣金结构框架，带3寸带刹车万向脚轮，表面喷塑处理；电源：AC220V；触控一体机</w:t>
            </w:r>
            <w:r>
              <w:rPr>
                <w:rFonts w:hint="eastAsia" w:ascii="宋体" w:hAnsi="宋体" w:eastAsia="宋体" w:cs="宋体"/>
                <w:color w:val="auto"/>
                <w:kern w:val="0"/>
                <w:sz w:val="21"/>
                <w:szCs w:val="21"/>
                <w:highlight w:val="none"/>
                <w:lang w:eastAsia="zh-CN"/>
              </w:rPr>
              <w:t>尺寸</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55寸，用于监测数据显示</w:t>
            </w:r>
          </w:p>
        </w:tc>
        <w:tc>
          <w:tcPr>
            <w:tcW w:w="259" w:type="pct"/>
            <w:vAlign w:val="center"/>
          </w:tcPr>
          <w:p w14:paraId="16A86219">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vAlign w:val="center"/>
          </w:tcPr>
          <w:p w14:paraId="2946ADCB">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26" w:type="pct"/>
            <w:vAlign w:val="center"/>
          </w:tcPr>
          <w:p w14:paraId="45F179E4">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23B3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6385C3DD">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4CBED7AB">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监控软件</w:t>
            </w:r>
          </w:p>
        </w:tc>
        <w:tc>
          <w:tcPr>
            <w:tcW w:w="2759" w:type="pct"/>
            <w:vAlign w:val="center"/>
          </w:tcPr>
          <w:p w14:paraId="58A4FD99">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采用MCGS组态软件设计，包括</w:t>
            </w:r>
            <w:r>
              <w:rPr>
                <w:rFonts w:hint="eastAsia" w:ascii="宋体" w:hAnsi="宋体" w:eastAsia="宋体" w:cs="宋体"/>
                <w:color w:val="auto"/>
                <w:sz w:val="21"/>
                <w:szCs w:val="21"/>
                <w:highlight w:val="none"/>
              </w:rPr>
              <w:t>手动调试窗口，首部系统调试，田间灌溉系统承压调试，水泵温度监控，节水系统调压运行，节水系统智能控制运行，水肥一体化装置智能控制运行等独立界面</w:t>
            </w:r>
            <w:r>
              <w:rPr>
                <w:rFonts w:hint="eastAsia" w:ascii="宋体" w:hAnsi="宋体" w:eastAsia="宋体" w:cs="宋体"/>
                <w:color w:val="auto"/>
                <w:kern w:val="0"/>
                <w:sz w:val="21"/>
                <w:szCs w:val="21"/>
                <w:highlight w:val="none"/>
              </w:rPr>
              <w:t>，数据显示采集处理，设备运行控制。</w:t>
            </w:r>
          </w:p>
        </w:tc>
        <w:tc>
          <w:tcPr>
            <w:tcW w:w="259" w:type="pct"/>
            <w:vAlign w:val="center"/>
          </w:tcPr>
          <w:p w14:paraId="517E4C6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vAlign w:val="center"/>
          </w:tcPr>
          <w:p w14:paraId="674C5758">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26" w:type="pct"/>
            <w:vAlign w:val="center"/>
          </w:tcPr>
          <w:p w14:paraId="55F367DE">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4C93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1759E0C2">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0315A2BF">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IOT平台软件</w:t>
            </w:r>
          </w:p>
        </w:tc>
        <w:tc>
          <w:tcPr>
            <w:tcW w:w="2759" w:type="pct"/>
            <w:vAlign w:val="center"/>
          </w:tcPr>
          <w:p w14:paraId="7DF899F6">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对物联网终端产品进行配置和管理，主要功能包括：PLC远程下载、数据配置监控、固件升级、报警配置、历史数据查询、过缘计算、数据转发、地址标签、故障诊断、批量管理</w:t>
            </w:r>
          </w:p>
        </w:tc>
        <w:tc>
          <w:tcPr>
            <w:tcW w:w="259" w:type="pct"/>
            <w:vAlign w:val="center"/>
          </w:tcPr>
          <w:p w14:paraId="1BC31BC5">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416" w:type="pct"/>
            <w:vAlign w:val="center"/>
          </w:tcPr>
          <w:p w14:paraId="49DA277D">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326" w:type="pct"/>
            <w:vAlign w:val="center"/>
          </w:tcPr>
          <w:p w14:paraId="4C14A12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提供安装文件</w:t>
            </w:r>
          </w:p>
        </w:tc>
      </w:tr>
      <w:tr w14:paraId="14EB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5CF189CC">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1DB936DE">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云组态平台</w:t>
            </w:r>
          </w:p>
          <w:p w14:paraId="07A6BB2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（提供平台子帐号1个）</w:t>
            </w:r>
          </w:p>
        </w:tc>
        <w:tc>
          <w:tcPr>
            <w:tcW w:w="2759" w:type="pct"/>
            <w:shd w:val="clear" w:color="auto" w:fill="auto"/>
            <w:vAlign w:val="center"/>
          </w:tcPr>
          <w:p w14:paraId="5575D6B0">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具有组态监控、运营仪表盘、设备地图、数据报表、个性化设置、监控运维、知识管理、报表管理等功能，可实现设备数据的接入、处理和上报。</w:t>
            </w:r>
          </w:p>
          <w:p w14:paraId="4F166543">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组态监控：通过用户自行组态，设计针对不同设备的监控画面，实现设备数据监控和参数下发等功能。</w:t>
            </w:r>
          </w:p>
          <w:p w14:paraId="5BBDD031">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运营仪表盘：可以通过运营仪表盘，了解平台中设备的各种统计信息和数据，统一查看所有设备的数据和状态。</w:t>
            </w:r>
          </w:p>
          <w:p w14:paraId="7FC28BE1">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地图监控：可以通过地图，集中查看每台设备的地理位置和分布，了解设备故障状态和主要参数。</w:t>
            </w:r>
          </w:p>
          <w:p w14:paraId="659DC0B3">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手机APP：支持手机APP监控，无需单独组态，登录各大应用商店下载“设备云助手”APP即可安装使用。</w:t>
            </w:r>
          </w:p>
          <w:p w14:paraId="1739DBAC">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数据报表：可以自定义各种数据报表，采用不同的展示方式进行展示，可以在运营仪表盘和设备仪表盘中展示。</w:t>
            </w:r>
          </w:p>
        </w:tc>
        <w:tc>
          <w:tcPr>
            <w:tcW w:w="259" w:type="pct"/>
            <w:vAlign w:val="center"/>
          </w:tcPr>
          <w:p w14:paraId="265B35DF">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416" w:type="pct"/>
            <w:vAlign w:val="center"/>
          </w:tcPr>
          <w:p w14:paraId="17FBA8CB">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326" w:type="pct"/>
            <w:vAlign w:val="center"/>
          </w:tcPr>
          <w:p w14:paraId="4156813D">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提供平台子帐号1个</w:t>
            </w:r>
          </w:p>
        </w:tc>
      </w:tr>
      <w:tr w14:paraId="1DD3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72F59101">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37899808">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多种电机在环实时仿真实验系统</w:t>
            </w:r>
          </w:p>
        </w:tc>
        <w:tc>
          <w:tcPr>
            <w:tcW w:w="2759" w:type="pct"/>
            <w:vAlign w:val="center"/>
          </w:tcPr>
          <w:p w14:paraId="4D1AD041">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★要求提供正版软件，软件要求具有直流电机仿真实验、异步电机仿真实验、同步电机仿真实验、变压器仿真实验等功能，并且达到软件产品登记测试规范的要求，</w:t>
            </w:r>
            <w:r>
              <w:rPr>
                <w:rFonts w:hint="eastAsia" w:ascii="宋体" w:hAnsi="宋体" w:eastAsia="宋体" w:cs="宋体"/>
                <w:color w:val="auto"/>
                <w:kern w:val="0"/>
                <w:sz w:val="21"/>
                <w:szCs w:val="21"/>
                <w:highlight w:val="none"/>
                <w:lang w:val="en-US" w:eastAsia="zh-CN"/>
              </w:rPr>
              <w:t>提供软件著作权证书、第三方权威机构出具的软件测评报告及使用说明书。</w:t>
            </w:r>
          </w:p>
          <w:p w14:paraId="03F4C46A">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软件面向机电类、电气类、自动化、电工电子类等专业的电机仿真实验教学，采用C++语言、MFC框架开发。</w:t>
            </w:r>
          </w:p>
          <w:p w14:paraId="4C14B681">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(1)电机结构及磁场实验</w:t>
            </w:r>
          </w:p>
          <w:p w14:paraId="617E6C75">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3D电机结构仿真：展示了完整的电机工艺结构。</w:t>
            </w:r>
          </w:p>
          <w:p w14:paraId="0742E9F3">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电机磁场和磁势分布线：利用有限元分析软件准确计算电机内部磁场和磁势分布图，可以清晰的看到磁力线是如何通过主磁极、气隙、电枢铁芯及机座构成磁回路，也可以看到除了主磁通外只交链于励磁绕组本身的漏磁通。</w:t>
            </w:r>
          </w:p>
          <w:p w14:paraId="44040C06">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(2)电机运行实验</w:t>
            </w:r>
          </w:p>
          <w:p w14:paraId="3B91953F">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实验的电机类型要求包含：直流电机、异步电机、同步电机和变压器，对于电机运用等效电路的方式要求给出工作特性曲线和机械特性曲线，仿真步长不少于100微秒。对每一种电机要求给出电气和机械参数，便于学生理解和参考。学生可以通过选择对应的电机与运行方式获得电机的转速、转矩、电流等信息，十分便捷。暂停/停止后会自动显示游标，挪动游标可以在右侧获取当前点的值，有助于后续的计算与分析。</w:t>
            </w:r>
          </w:p>
          <w:p w14:paraId="3E31973B">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color w:val="auto"/>
                <w:kern w:val="2"/>
                <w:sz w:val="21"/>
                <w:szCs w:val="21"/>
                <w:highlight w:val="none"/>
                <w:lang w:val="en-US" w:eastAsia="zh-CN" w:bidi="ar-SA"/>
              </w:rPr>
              <w:t>(3)性能指标（提供以下16项性能指标对应功能截图）：</w:t>
            </w:r>
          </w:p>
          <w:p w14:paraId="1A50D0BE">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1)直流电机不少于23组数据模型</w:t>
            </w:r>
          </w:p>
          <w:p w14:paraId="67D3EE83">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2)异步电机不少于20组数据模型</w:t>
            </w:r>
          </w:p>
          <w:p w14:paraId="77FB29B1">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3)同步电机不少于6组数据模型</w:t>
            </w:r>
          </w:p>
          <w:p w14:paraId="105AA5EA">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4)变压器不少于6组数据模型</w:t>
            </w:r>
          </w:p>
          <w:p w14:paraId="4A7A4310">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5)支持电机参数自定义，并能用实验曲线验证电机参数的正确性</w:t>
            </w:r>
          </w:p>
          <w:p w14:paraId="5E6B4641">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6)直流电机数据模型覆盖串励、并励、他励三种电机类型</w:t>
            </w:r>
          </w:p>
          <w:p w14:paraId="1725FC51">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7)异步电机数据模型覆盖星型、三角两种接法</w:t>
            </w:r>
          </w:p>
          <w:p w14:paraId="008DAB59">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8)直流电机、异步电机特性实验能动态描绘电机工作特性、固有机械特性、人为机械特性曲线</w:t>
            </w:r>
          </w:p>
          <w:p w14:paraId="120A1BA7">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9)同步电机特性实验能动态描绘电机工作特性和功角特性曲线</w:t>
            </w:r>
          </w:p>
          <w:p w14:paraId="62C0EFEE">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10)变压器特性实验能动态描绘变压器外特性和效率曲线</w:t>
            </w:r>
          </w:p>
          <w:p w14:paraId="7FB44D70">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11)直流电机、异步电机能完成电机起动、调速、制动实验</w:t>
            </w:r>
          </w:p>
          <w:p w14:paraId="7F9387CA">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12)直流电机、异步电机、同步电机运行实验中可选择负载类型不少于3种</w:t>
            </w:r>
          </w:p>
          <w:p w14:paraId="15CD81CD">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13)直流电机、异步电机起动实验中，支持不少于3种起动方式</w:t>
            </w:r>
          </w:p>
          <w:p w14:paraId="0DAA4C1F">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14)直流电机、异步电机调速实验中，支持不少于3种调速方式</w:t>
            </w:r>
          </w:p>
          <w:p w14:paraId="4E7280E5">
            <w:pPr>
              <w:pageBreakBefore w:val="0"/>
              <w:widowControl/>
              <w:numPr>
                <w:ilvl w:val="0"/>
                <w:numId w:val="0"/>
              </w:numPr>
              <w:kinsoku/>
              <w:wordWrap/>
              <w:overflowPunct/>
              <w:topLinePunct w:val="0"/>
              <w:bidi w:val="0"/>
              <w:snapToGrid/>
              <w:spacing w:line="400" w:lineRule="exact"/>
              <w:ind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15)直流电机、异步电机制动实验中，支持不少于3种制动方式</w:t>
            </w:r>
          </w:p>
          <w:p w14:paraId="30949D75">
            <w:pPr>
              <w:pageBreakBefore w:val="0"/>
              <w:widowControl/>
              <w:numPr>
                <w:ilvl w:val="0"/>
                <w:numId w:val="0"/>
              </w:numPr>
              <w:kinsoku/>
              <w:wordWrap/>
              <w:overflowPunct/>
              <w:topLinePunct w:val="0"/>
              <w:bidi w:val="0"/>
              <w:snapToGrid/>
              <w:spacing w:line="400" w:lineRule="exact"/>
              <w:ind w:left="0" w:leftChars="0" w:firstLine="0" w:firstLineChars="0"/>
              <w:jc w:val="left"/>
              <w:textAlignment w:val="center"/>
              <w:rPr>
                <w:rFonts w:hint="eastAsia" w:ascii="宋体" w:hAnsi="宋体" w:eastAsia="宋体" w:cs="宋体"/>
                <w:color w:val="auto"/>
                <w:spacing w:val="-2"/>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16)等效框图与实验曲线在同一显示界面中，并支持在等效框图中直接调整实验电路参数</w:t>
            </w:r>
          </w:p>
        </w:tc>
        <w:tc>
          <w:tcPr>
            <w:tcW w:w="259" w:type="pct"/>
            <w:vAlign w:val="center"/>
          </w:tcPr>
          <w:p w14:paraId="725F2335">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vAlign w:val="center"/>
          </w:tcPr>
          <w:p w14:paraId="06897C56">
            <w:pPr>
              <w:keepNext w:val="0"/>
              <w:keepLines w:val="0"/>
              <w:pageBreakBefore w:val="0"/>
              <w:widowControl/>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26" w:type="pct"/>
            <w:vAlign w:val="center"/>
          </w:tcPr>
          <w:p w14:paraId="1BECB3C5">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r w14:paraId="0BA4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 w:type="pct"/>
            <w:vAlign w:val="center"/>
          </w:tcPr>
          <w:p w14:paraId="0036968C">
            <w:pPr>
              <w:keepNext w:val="0"/>
              <w:keepLines w:val="0"/>
              <w:pageBreakBefore w:val="0"/>
              <w:widowControl/>
              <w:numPr>
                <w:ilvl w:val="0"/>
                <w:numId w:val="2"/>
              </w:numPr>
              <w:tabs>
                <w:tab w:val="clear" w:pos="284"/>
              </w:tabs>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859" w:type="pct"/>
            <w:vAlign w:val="center"/>
          </w:tcPr>
          <w:p w14:paraId="08C63799">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三维工业自动化设计软件</w:t>
            </w:r>
          </w:p>
        </w:tc>
        <w:tc>
          <w:tcPr>
            <w:tcW w:w="2759" w:type="pct"/>
            <w:vAlign w:val="center"/>
          </w:tcPr>
          <w:p w14:paraId="6C45B1A6">
            <w:pPr>
              <w:pageBreakBefore w:val="0"/>
              <w:widowControl/>
              <w:numPr>
                <w:ilvl w:val="0"/>
                <w:numId w:val="0"/>
              </w:numPr>
              <w:kinsoku/>
              <w:wordWrap/>
              <w:overflowPunct/>
              <w:topLinePunct w:val="0"/>
              <w:bidi w:val="0"/>
              <w:snapToGrid/>
              <w:spacing w:line="400" w:lineRule="exact"/>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要求提供正版工业级软件，并且在投标技术方案中提供使用书。软件可正确实现用户文档集中陈述的零件设计、装配设计、工程制图、饭金设计、设计文件管理等各项功能，并且达到软件产品登记测试规范的要求，提供证明材料。软件面向工业和教育等多个领域，突出在工业自动化集成领域、教育自动化领域的三维设计功能。提供软件PLC仿真技术、机器人仿真技术、电机仿真技术、装配体设计、工程图创建、钣金设计及优化、曲面设计及评估、结构仿真分析、动画和运动仿真、MBD基于模型的定义等10个场景界面彩色截图，提供软件评测中心出具的检测报告。</w:t>
            </w:r>
          </w:p>
          <w:p w14:paraId="455C7423">
            <w:pPr>
              <w:pageBreakBefore w:val="0"/>
              <w:widowControl/>
              <w:numPr>
                <w:ilvl w:val="0"/>
                <w:numId w:val="0"/>
              </w:numPr>
              <w:kinsoku/>
              <w:wordWrap/>
              <w:overflowPunct/>
              <w:topLinePunct w:val="0"/>
              <w:bidi w:val="0"/>
              <w:snapToGrid/>
              <w:spacing w:line="400" w:lineRule="exact"/>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支持UG、solidedge、Pro/e、SOLIDWORKS、inverntor主流3D原生和通用文件的导入，支持与Solidedge商业版软件文件格式的互通，并可对数据进行直接编辑进行设计变更。可导出各环节所需的3D及2D数据，支持与主流的PLM/PDM系统的集成，3D数据应用于产品全生命周期。</w:t>
            </w:r>
          </w:p>
          <w:p w14:paraId="71C70241">
            <w:pPr>
              <w:pageBreakBefore w:val="0"/>
              <w:widowControl/>
              <w:numPr>
                <w:ilvl w:val="0"/>
                <w:numId w:val="0"/>
              </w:numPr>
              <w:kinsoku/>
              <w:wordWrap/>
              <w:overflowPunct/>
              <w:topLinePunct w:val="0"/>
              <w:bidi w:val="0"/>
              <w:snapToGrid/>
              <w:spacing w:line="400" w:lineRule="exact"/>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同步建模技术：无需刻意去创建草图，系统会自动捕捉草图平面。整个操作过程，可以在全三维环境下完成，也可以切换到二维平面视图；能够基于无历史树的特征，根据几何规则就能编辑修改模型，即使用变量化方式进行产品设计。</w:t>
            </w:r>
          </w:p>
          <w:p w14:paraId="59F5C943">
            <w:pPr>
              <w:pageBreakBefore w:val="0"/>
              <w:widowControl/>
              <w:numPr>
                <w:ilvl w:val="0"/>
                <w:numId w:val="0"/>
              </w:numPr>
              <w:kinsoku/>
              <w:wordWrap/>
              <w:overflowPunct/>
              <w:topLinePunct w:val="0"/>
              <w:bidi w:val="0"/>
              <w:snapToGrid/>
              <w:spacing w:line="400" w:lineRule="exact"/>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智能参数建模技术：智能参数建模技术可更快、更轻松地创建和编辑3D模型。完美融合直接建模的速度和简便性、及参数化设计的灵活性和可控性。还可像处理本机文件一样处理多CAD数据，无缝衔接整个生态链。</w:t>
            </w:r>
          </w:p>
          <w:p w14:paraId="0736EDF1">
            <w:pPr>
              <w:pageBreakBefore w:val="0"/>
              <w:widowControl/>
              <w:numPr>
                <w:ilvl w:val="0"/>
                <w:numId w:val="0"/>
              </w:numPr>
              <w:kinsoku/>
              <w:wordWrap/>
              <w:overflowPunct/>
              <w:topLinePunct w:val="0"/>
              <w:bidi w:val="0"/>
              <w:snapToGrid/>
              <w:spacing w:line="400" w:lineRule="exact"/>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集成PLC仿真技术：构建了3D虚拟环境，实现自动封盖、自动装箱、温度压力控制、码垛堆积、加工中心刀库、电镀生产线、多种液体混合、自动混合生产线、水塔水位控制、机械手控制、机器人自动扫雷等实训项目，支持采集卡采集PLC的输入输出信号，实现PLC与计算机的通讯，从而控制软件中的3D模型的动作，使得虚拟仿真技术实时展现PLC的运行状态，也使得学生非常容易理解对每一种控制单元的工作过程和原理。</w:t>
            </w:r>
          </w:p>
          <w:p w14:paraId="01FE4F84">
            <w:pPr>
              <w:pageBreakBefore w:val="0"/>
              <w:widowControl/>
              <w:numPr>
                <w:ilvl w:val="0"/>
                <w:numId w:val="0"/>
              </w:numPr>
              <w:kinsoku/>
              <w:wordWrap/>
              <w:overflowPunct/>
              <w:topLinePunct w:val="0"/>
              <w:bidi w:val="0"/>
              <w:snapToGrid/>
              <w:spacing w:line="400" w:lineRule="exact"/>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集成电机仿真技术：Windows系列操作系统下运行；通信协议：TCP/IP协议；开发语言：C++；支持离线仿真；以状态方程形式对电机建模，支持自定义电机，并包含不少于20台直流电机和20台异步电机型号供用户选择；实验项目：直流电机（结构展示、拆卸演示、装配演示、模拟装配、零部件展示、机械特性实验、启动实验、调速实验、制动实验）；异步电机（结构展示、拆卸演示、装配演示、模拟装配、零部件展示、机械特性实验、启动实验、调速实验、制动实验）；可以演示异步电机在启动过程中，定子与转子电流的瞬时变化，以及由它们建立的两个旋转磁势变化；可以演示出异步电机对称运行时的圆形磁场。实验对比：提供同类型电机，多项实验数据多维实验。（</w:t>
            </w:r>
            <w:r>
              <w:rPr>
                <w:rFonts w:hint="eastAsia" w:ascii="宋体" w:hAnsi="宋体" w:eastAsia="宋体" w:cs="宋体"/>
                <w:color w:val="auto"/>
                <w:sz w:val="21"/>
                <w:szCs w:val="21"/>
                <w:highlight w:val="none"/>
                <w:lang w:val="en-US" w:eastAsia="zh-CN"/>
              </w:rPr>
              <w:t>要求提供演示）</w:t>
            </w:r>
          </w:p>
          <w:p w14:paraId="4B3EF863">
            <w:pPr>
              <w:pageBreakBefore w:val="0"/>
              <w:widowControl/>
              <w:numPr>
                <w:ilvl w:val="0"/>
                <w:numId w:val="0"/>
              </w:numPr>
              <w:kinsoku/>
              <w:wordWrap/>
              <w:overflowPunct/>
              <w:topLinePunct w:val="0"/>
              <w:bidi w:val="0"/>
              <w:snapToGrid/>
              <w:spacing w:line="400" w:lineRule="exact"/>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(6)工程图创建：根据3D模型自动创建并更新工程图，快速创建标准视图和派生视图，提供尺寸控制和添加注释等工具，可以快速创建包含全部细节的工程图。</w:t>
            </w:r>
          </w:p>
          <w:p w14:paraId="7075B501">
            <w:pPr>
              <w:pageBreakBefore w:val="0"/>
              <w:widowControl/>
              <w:numPr>
                <w:ilvl w:val="0"/>
                <w:numId w:val="0"/>
              </w:numPr>
              <w:kinsoku/>
              <w:wordWrap/>
              <w:overflowPunct/>
              <w:topLinePunct w:val="0"/>
              <w:bidi w:val="0"/>
              <w:snapToGrid/>
              <w:spacing w:line="400" w:lineRule="exact"/>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(7)曲面设计及评估：可创建高品质的曲面，并可通过精确的参数控制从而获得理想的曲率，通过条纹等工具实时评估曲面效果。</w:t>
            </w:r>
          </w:p>
          <w:p w14:paraId="39F58AB5">
            <w:pPr>
              <w:pageBreakBefore w:val="0"/>
              <w:widowControl/>
              <w:numPr>
                <w:ilvl w:val="0"/>
                <w:numId w:val="0"/>
              </w:numPr>
              <w:kinsoku/>
              <w:wordWrap/>
              <w:overflowPunct/>
              <w:topLinePunct w:val="0"/>
              <w:bidi w:val="0"/>
              <w:snapToGrid/>
              <w:spacing w:line="400" w:lineRule="exact"/>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(8)结构仿真分析：内置的有限元分析(FEA)工具，设计工程师可以在3D环境中通过数字方式验证零件设计，缩短产品开发周期。</w:t>
            </w:r>
          </w:p>
          <w:p w14:paraId="616E051F">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(9)动画和运动仿真：不仅是基础的运动动画，可对模型输入运动参数，以获得运动过程中各状态的受力情况。也可通过结果倒推出所需的输入力或者功率。</w:t>
            </w:r>
          </w:p>
        </w:tc>
        <w:tc>
          <w:tcPr>
            <w:tcW w:w="259" w:type="pct"/>
            <w:vAlign w:val="center"/>
          </w:tcPr>
          <w:p w14:paraId="630248C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16" w:type="pct"/>
            <w:vAlign w:val="center"/>
          </w:tcPr>
          <w:p w14:paraId="48A76A8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326" w:type="pct"/>
            <w:vAlign w:val="center"/>
          </w:tcPr>
          <w:p w14:paraId="499A0E8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p>
        </w:tc>
      </w:tr>
    </w:tbl>
    <w:p w14:paraId="748413F5">
      <w:pPr>
        <w:pStyle w:val="5"/>
        <w:bidi w:val="0"/>
        <w:rPr>
          <w:rFonts w:hint="eastAsia"/>
          <w:color w:val="auto"/>
          <w:highlight w:val="none"/>
          <w:lang w:val="en-US" w:eastAsia="zh-CN"/>
        </w:rPr>
      </w:pPr>
      <w:r>
        <w:rPr>
          <w:rFonts w:hint="eastAsia"/>
          <w:color w:val="auto"/>
          <w:highlight w:val="none"/>
          <w:lang w:val="en-US" w:eastAsia="zh-CN"/>
        </w:rPr>
        <w:t>（三）配套工具</w:t>
      </w:r>
    </w:p>
    <w:tbl>
      <w:tblPr>
        <w:tblStyle w:val="6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8370"/>
        <w:gridCol w:w="580"/>
      </w:tblGrid>
      <w:tr w14:paraId="4C61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pct"/>
            <w:vAlign w:val="center"/>
          </w:tcPr>
          <w:p w14:paraId="28B9FB90">
            <w:pPr>
              <w:keepNext w:val="0"/>
              <w:keepLines w:val="0"/>
              <w:pageBreakBefore w:val="0"/>
              <w:tabs>
                <w:tab w:val="center" w:pos="4153"/>
                <w:tab w:val="right" w:pos="8306"/>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4201" w:type="pct"/>
            <w:vAlign w:val="center"/>
          </w:tcPr>
          <w:p w14:paraId="074515FA">
            <w:pPr>
              <w:keepNext w:val="0"/>
              <w:keepLines w:val="0"/>
              <w:pageBreakBefore w:val="0"/>
              <w:tabs>
                <w:tab w:val="center" w:pos="4153"/>
                <w:tab w:val="right" w:pos="8306"/>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主要组成器件</w:t>
            </w:r>
          </w:p>
        </w:tc>
        <w:tc>
          <w:tcPr>
            <w:tcW w:w="291" w:type="pct"/>
            <w:vAlign w:val="center"/>
          </w:tcPr>
          <w:p w14:paraId="17195A43">
            <w:pPr>
              <w:keepNext w:val="0"/>
              <w:keepLines w:val="0"/>
              <w:pageBreakBefore w:val="0"/>
              <w:tabs>
                <w:tab w:val="center" w:pos="4153"/>
                <w:tab w:val="right" w:pos="8306"/>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r>
      <w:tr w14:paraId="3AE5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0" w:type="dxa"/>
            <w:vAlign w:val="center"/>
          </w:tcPr>
          <w:p w14:paraId="394BB39B">
            <w:pPr>
              <w:keepNext w:val="0"/>
              <w:keepLines w:val="0"/>
              <w:pageBreakBefore w:val="0"/>
              <w:tabs>
                <w:tab w:val="center" w:pos="4153"/>
                <w:tab w:val="right" w:pos="8306"/>
              </w:tabs>
              <w:kinsoku/>
              <w:wordWrap/>
              <w:overflowPunct/>
              <w:topLinePunct w:val="0"/>
              <w:autoSpaceDE/>
              <w:autoSpaceDN/>
              <w:bidi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配套</w:t>
            </w:r>
          </w:p>
          <w:p w14:paraId="6FB2724F">
            <w:pPr>
              <w:keepNext w:val="0"/>
              <w:keepLines w:val="0"/>
              <w:pageBreakBefore w:val="0"/>
              <w:tabs>
                <w:tab w:val="center" w:pos="4153"/>
                <w:tab w:val="right" w:pos="8306"/>
              </w:tabs>
              <w:kinsoku/>
              <w:wordWrap/>
              <w:overflowPunct/>
              <w:topLinePunct w:val="0"/>
              <w:autoSpaceDE/>
              <w:autoSpaceDN/>
              <w:bidi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工具</w:t>
            </w:r>
          </w:p>
        </w:tc>
        <w:tc>
          <w:tcPr>
            <w:tcW w:w="8370" w:type="dxa"/>
            <w:vAlign w:val="center"/>
          </w:tcPr>
          <w:p w14:paraId="607448E3">
            <w:pPr>
              <w:keepNext w:val="0"/>
              <w:keepLines w:val="0"/>
              <w:pageBreakBefore w:val="0"/>
              <w:tabs>
                <w:tab w:val="center" w:pos="4153"/>
                <w:tab w:val="right" w:pos="8306"/>
              </w:tabs>
              <w:kinsoku/>
              <w:wordWrap/>
              <w:overflowPunct/>
              <w:topLinePunct w:val="0"/>
              <w:autoSpaceDE/>
              <w:autoSpaceDN/>
              <w:bidi w:val="0"/>
              <w:snapToGrid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包卷尺、扳手、尖嘴钳、生料带、内六角扳手、记号笔、十字螺丝刀、一字螺丝刀、插线板、万用表、剥线钳、斜口钳、焊锡丝、电烙铁、烙铁架、剪刀、开孔器、管型端子压线钳、卫浴活口扳手、工程快接扳手、手套等</w:t>
            </w:r>
          </w:p>
        </w:tc>
        <w:tc>
          <w:tcPr>
            <w:tcW w:w="291" w:type="pct"/>
            <w:vAlign w:val="center"/>
          </w:tcPr>
          <w:p w14:paraId="1BA799F5">
            <w:pPr>
              <w:keepNext w:val="0"/>
              <w:keepLines w:val="0"/>
              <w:pageBreakBefore w:val="0"/>
              <w:tabs>
                <w:tab w:val="center" w:pos="4153"/>
                <w:tab w:val="right" w:pos="8306"/>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r>
      <w:tr w14:paraId="539A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10" w:type="dxa"/>
            <w:vAlign w:val="center"/>
          </w:tcPr>
          <w:p w14:paraId="39B72301">
            <w:pPr>
              <w:keepNext w:val="0"/>
              <w:keepLines w:val="0"/>
              <w:pageBreakBefore w:val="0"/>
              <w:tabs>
                <w:tab w:val="center" w:pos="4153"/>
                <w:tab w:val="right" w:pos="8306"/>
              </w:tabs>
              <w:kinsoku/>
              <w:wordWrap/>
              <w:overflowPunct/>
              <w:topLinePunct w:val="0"/>
              <w:autoSpaceDE/>
              <w:autoSpaceDN/>
              <w:bidi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操作台</w:t>
            </w:r>
          </w:p>
        </w:tc>
        <w:tc>
          <w:tcPr>
            <w:tcW w:w="8370" w:type="dxa"/>
            <w:vAlign w:val="center"/>
          </w:tcPr>
          <w:p w14:paraId="50777B59">
            <w:pPr>
              <w:keepNext w:val="0"/>
              <w:keepLines w:val="0"/>
              <w:pageBreakBefore w:val="0"/>
              <w:tabs>
                <w:tab w:val="center" w:pos="4153"/>
                <w:tab w:val="right" w:pos="8306"/>
              </w:tabs>
              <w:kinsoku/>
              <w:wordWrap/>
              <w:overflowPunct/>
              <w:topLinePunct w:val="0"/>
              <w:autoSpaceDE/>
              <w:autoSpaceDN/>
              <w:bidi w:val="0"/>
              <w:snapToGrid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2"/>
                <w:sz w:val="21"/>
                <w:szCs w:val="21"/>
                <w:highlight w:val="none"/>
                <w:lang w:val="en-US" w:eastAsia="zh-CN" w:bidi="ar-SA"/>
              </w:rPr>
              <w:t>外形尺寸</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color w:val="auto"/>
                <w:kern w:val="0"/>
                <w:sz w:val="21"/>
                <w:szCs w:val="21"/>
                <w:highlight w:val="none"/>
              </w:rPr>
              <w:t>1500mm×760mm×820mm</w:t>
            </w:r>
            <w:r>
              <w:rPr>
                <w:rFonts w:hint="eastAsia" w:ascii="宋体" w:hAnsi="宋体" w:eastAsia="宋体" w:cs="宋体"/>
                <w:b w:val="0"/>
                <w:bCs/>
                <w:color w:val="auto"/>
                <w:kern w:val="2"/>
                <w:sz w:val="21"/>
                <w:szCs w:val="21"/>
                <w:highlight w:val="none"/>
                <w:lang w:val="en-US" w:eastAsia="zh-CN" w:bidi="ar-SA"/>
              </w:rPr>
              <w:t>，桌架整体采用</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1.5mm厚50×50方钢管焊接组装而成，表面全自动脱脂、双面静电喷塑处理,桌体采用平光亚光带雪花深咖啡色喷塑，抽屉采用平光亮光橘黄色喷塑，桌面板采用</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43mm厚的高密度复合板材，尖角圆弧过渡处理，表面和边缘高温热压防火PVC，配两个抽屉，要求提供</w:t>
            </w:r>
            <w:r>
              <w:rPr>
                <w:rFonts w:hint="eastAsia" w:ascii="宋体" w:hAnsi="宋体" w:eastAsia="宋体" w:cs="宋体"/>
                <w:color w:val="auto"/>
                <w:spacing w:val="-2"/>
                <w:kern w:val="2"/>
                <w:sz w:val="21"/>
                <w:szCs w:val="21"/>
                <w:highlight w:val="none"/>
                <w:lang w:val="en-US" w:eastAsia="zh-CN" w:bidi="ar"/>
              </w:rPr>
              <w:t>由第三方检测机构出具的检测报告，</w:t>
            </w:r>
            <w:r>
              <w:rPr>
                <w:rFonts w:hint="eastAsia" w:ascii="宋体" w:hAnsi="宋体" w:eastAsia="宋体" w:cs="宋体"/>
                <w:b w:val="0"/>
                <w:bCs/>
                <w:color w:val="auto"/>
                <w:kern w:val="2"/>
                <w:sz w:val="21"/>
                <w:szCs w:val="21"/>
                <w:highlight w:val="none"/>
                <w:lang w:val="en-US" w:eastAsia="zh-CN" w:bidi="ar-SA"/>
              </w:rPr>
              <w:t>检测(验)内容须包括但不限于金属喷漆(塑)涂层耐腐蚀，木制件表面贴面层耐划痕和表面耐磨性。</w:t>
            </w:r>
          </w:p>
        </w:tc>
        <w:tc>
          <w:tcPr>
            <w:tcW w:w="291" w:type="pct"/>
            <w:vAlign w:val="center"/>
          </w:tcPr>
          <w:p w14:paraId="3A457B79">
            <w:pPr>
              <w:keepNext w:val="0"/>
              <w:keepLines w:val="0"/>
              <w:pageBreakBefore w:val="0"/>
              <w:tabs>
                <w:tab w:val="center" w:pos="4153"/>
                <w:tab w:val="right" w:pos="8306"/>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1张</w:t>
            </w:r>
          </w:p>
        </w:tc>
      </w:tr>
      <w:tr w14:paraId="5972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010" w:type="dxa"/>
            <w:vAlign w:val="center"/>
          </w:tcPr>
          <w:p w14:paraId="250D54F0">
            <w:pPr>
              <w:keepNext w:val="0"/>
              <w:keepLines w:val="0"/>
              <w:pageBreakBefore w:val="0"/>
              <w:tabs>
                <w:tab w:val="center" w:pos="4153"/>
                <w:tab w:val="right" w:pos="8306"/>
              </w:tabs>
              <w:kinsoku/>
              <w:wordWrap/>
              <w:overflowPunct/>
              <w:topLinePunct w:val="0"/>
              <w:autoSpaceDE/>
              <w:autoSpaceDN/>
              <w:bidi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钢木方凳</w:t>
            </w:r>
          </w:p>
        </w:tc>
        <w:tc>
          <w:tcPr>
            <w:tcW w:w="8370" w:type="dxa"/>
            <w:vAlign w:val="center"/>
          </w:tcPr>
          <w:p w14:paraId="7A8B8662">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2"/>
                <w:sz w:val="21"/>
                <w:szCs w:val="21"/>
                <w:highlight w:val="none"/>
                <w:lang w:val="en-US" w:eastAsia="zh-CN" w:bidi="ar-SA"/>
              </w:rPr>
              <w:t>外形尺寸</w:t>
            </w:r>
            <w:r>
              <w:rPr>
                <w:rFonts w:hint="eastAsia" w:ascii="宋体" w:hAnsi="宋体" w:cs="宋体"/>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360mm×260mm×450mm，凳框采用</w:t>
            </w:r>
            <w:r>
              <w:rPr>
                <w:rFonts w:hint="eastAsia" w:ascii="宋体" w:hAnsi="宋体" w:cs="宋体"/>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1.1mm厚的方钢管和冷轧钢板焊接而成，采用钣金圆弧压边包边木面板工艺，凳面采用</w:t>
            </w:r>
            <w:r>
              <w:rPr>
                <w:rFonts w:hint="eastAsia" w:ascii="宋体" w:hAnsi="宋体" w:cs="宋体"/>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18mm厚的高密度复合板材，安全环保。要求提供</w:t>
            </w:r>
            <w:r>
              <w:rPr>
                <w:rFonts w:hint="eastAsia" w:ascii="宋体" w:hAnsi="宋体" w:eastAsia="宋体" w:cs="宋体"/>
                <w:color w:val="auto"/>
                <w:spacing w:val="-2"/>
                <w:kern w:val="2"/>
                <w:sz w:val="21"/>
                <w:szCs w:val="21"/>
                <w:highlight w:val="none"/>
                <w:lang w:val="en-US" w:eastAsia="zh-CN" w:bidi="ar"/>
              </w:rPr>
              <w:t>由第三方检测机构出具的检测报告，</w:t>
            </w:r>
            <w:r>
              <w:rPr>
                <w:rFonts w:hint="eastAsia" w:ascii="宋体" w:hAnsi="宋体" w:eastAsia="宋体" w:cs="宋体"/>
                <w:b w:val="0"/>
                <w:bCs/>
                <w:color w:val="auto"/>
                <w:kern w:val="2"/>
                <w:sz w:val="21"/>
                <w:szCs w:val="21"/>
                <w:highlight w:val="none"/>
                <w:lang w:val="en-US" w:eastAsia="zh-CN" w:bidi="ar-SA"/>
              </w:rPr>
              <w:t>检测(验)内容须包括但不限于金属喷漆(塑)涂层附着力</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2级，木制件表面贴面层耐污染性能（丙酮试验时间16h）</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3级，人造板件封边条表面胶合强度</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0.4MPa）。</w:t>
            </w:r>
          </w:p>
        </w:tc>
        <w:tc>
          <w:tcPr>
            <w:tcW w:w="291" w:type="pct"/>
            <w:vAlign w:val="center"/>
          </w:tcPr>
          <w:p w14:paraId="19647B30">
            <w:pPr>
              <w:keepNext w:val="0"/>
              <w:keepLines w:val="0"/>
              <w:pageBreakBefore w:val="0"/>
              <w:tabs>
                <w:tab w:val="center" w:pos="4153"/>
                <w:tab w:val="right" w:pos="8306"/>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1张</w:t>
            </w:r>
          </w:p>
        </w:tc>
      </w:tr>
      <w:tr w14:paraId="7D1D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0" w:type="dxa"/>
            <w:vAlign w:val="center"/>
          </w:tcPr>
          <w:p w14:paraId="050B36A5">
            <w:pPr>
              <w:keepNext w:val="0"/>
              <w:keepLines w:val="0"/>
              <w:pageBreakBefore w:val="0"/>
              <w:tabs>
                <w:tab w:val="center" w:pos="4153"/>
                <w:tab w:val="right" w:pos="8306"/>
              </w:tabs>
              <w:kinsoku/>
              <w:wordWrap/>
              <w:overflowPunct/>
              <w:topLinePunct w:val="0"/>
              <w:autoSpaceDE/>
              <w:autoSpaceDN/>
              <w:bidi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钢木方椅</w:t>
            </w:r>
          </w:p>
        </w:tc>
        <w:tc>
          <w:tcPr>
            <w:tcW w:w="8370" w:type="dxa"/>
            <w:vAlign w:val="center"/>
          </w:tcPr>
          <w:p w14:paraId="54D88D6B">
            <w:pPr>
              <w:keepNext w:val="0"/>
              <w:keepLines w:val="0"/>
              <w:pageBreakBefore w:val="0"/>
              <w:widowControl/>
              <w:kinsoku/>
              <w:wordWrap/>
              <w:overflowPunct/>
              <w:topLinePunct w:val="0"/>
              <w:autoSpaceDE/>
              <w:autoSpaceDN/>
              <w:bidi w:val="0"/>
              <w:snapToGrid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2"/>
                <w:sz w:val="21"/>
                <w:szCs w:val="21"/>
                <w:highlight w:val="none"/>
                <w:lang w:val="en-US" w:eastAsia="zh-CN" w:bidi="ar-SA"/>
              </w:rPr>
              <w:t>外形尺寸</w:t>
            </w:r>
            <w:r>
              <w:rPr>
                <w:rFonts w:hint="eastAsia" w:ascii="宋体" w:hAnsi="宋体" w:cs="宋体"/>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395mm×470mm×850mm，框架采用</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1.5mm厚的方钢管和冷轧钢板焊接而成，凳面采用</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18mm厚的高密度复合板材，靠背自然向后倾斜8°角，采用一体弯管工艺，凳脚安装高分子树脂脚套。要求提供</w:t>
            </w:r>
            <w:r>
              <w:rPr>
                <w:rFonts w:hint="eastAsia" w:ascii="宋体" w:hAnsi="宋体" w:eastAsia="宋体" w:cs="宋体"/>
                <w:color w:val="auto"/>
                <w:spacing w:val="-2"/>
                <w:kern w:val="2"/>
                <w:sz w:val="21"/>
                <w:szCs w:val="21"/>
                <w:highlight w:val="none"/>
                <w:lang w:val="en-US" w:eastAsia="zh-CN" w:bidi="ar"/>
              </w:rPr>
              <w:t>由第三方检测机构出具的检测报告，</w:t>
            </w:r>
            <w:r>
              <w:rPr>
                <w:rFonts w:hint="eastAsia" w:ascii="宋体" w:hAnsi="宋体" w:eastAsia="宋体" w:cs="宋体"/>
                <w:b w:val="0"/>
                <w:bCs/>
                <w:color w:val="auto"/>
                <w:kern w:val="2"/>
                <w:sz w:val="21"/>
                <w:szCs w:val="21"/>
                <w:highlight w:val="none"/>
                <w:lang w:val="en-US" w:eastAsia="zh-CN" w:bidi="ar-SA"/>
              </w:rPr>
              <w:t>检测(验)内容须包括但不限于金属喷漆(塑)涂层附着力</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2级，木制件表面贴面层耐污染性能（丙酮试验时间16h）</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3级，人造板件封边条表面胶合强度</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0.4MPa）。</w:t>
            </w:r>
          </w:p>
        </w:tc>
        <w:tc>
          <w:tcPr>
            <w:tcW w:w="291" w:type="pct"/>
            <w:vAlign w:val="center"/>
          </w:tcPr>
          <w:p w14:paraId="24F9B3B7">
            <w:pPr>
              <w:keepNext w:val="0"/>
              <w:keepLines w:val="0"/>
              <w:pageBreakBefore w:val="0"/>
              <w:tabs>
                <w:tab w:val="center" w:pos="4153"/>
                <w:tab w:val="right" w:pos="8306"/>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1张</w:t>
            </w:r>
          </w:p>
        </w:tc>
      </w:tr>
      <w:tr w14:paraId="18FA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10" w:type="dxa"/>
            <w:vAlign w:val="center"/>
          </w:tcPr>
          <w:p w14:paraId="0C07219D">
            <w:pPr>
              <w:keepNext w:val="0"/>
              <w:keepLines w:val="0"/>
              <w:pageBreakBefore w:val="0"/>
              <w:tabs>
                <w:tab w:val="center" w:pos="4153"/>
                <w:tab w:val="right" w:pos="8306"/>
              </w:tabs>
              <w:kinsoku/>
              <w:wordWrap/>
              <w:overflowPunct/>
              <w:topLinePunct w:val="0"/>
              <w:autoSpaceDE/>
              <w:autoSpaceDN/>
              <w:bidi w:val="0"/>
              <w:snapToGrid w:val="0"/>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不锈钢人字梯</w:t>
            </w:r>
          </w:p>
        </w:tc>
        <w:tc>
          <w:tcPr>
            <w:tcW w:w="8370" w:type="dxa"/>
            <w:vAlign w:val="center"/>
          </w:tcPr>
          <w:p w14:paraId="2BDC6860">
            <w:pPr>
              <w:keepNext w:val="0"/>
              <w:keepLines w:val="0"/>
              <w:pageBreakBefore w:val="0"/>
              <w:widowControl/>
              <w:kinsoku/>
              <w:wordWrap/>
              <w:overflowPunct/>
              <w:topLinePunct w:val="0"/>
              <w:autoSpaceDE/>
              <w:autoSpaceDN/>
              <w:bidi w:val="0"/>
              <w:snapToGrid w:val="0"/>
              <w:spacing w:line="36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多功能折叠梯，台阶数4；地面到顶板距离96.5cm</w:t>
            </w:r>
          </w:p>
        </w:tc>
        <w:tc>
          <w:tcPr>
            <w:tcW w:w="291" w:type="pct"/>
            <w:vAlign w:val="center"/>
          </w:tcPr>
          <w:p w14:paraId="4AB49FB7">
            <w:pPr>
              <w:keepNext w:val="0"/>
              <w:keepLines w:val="0"/>
              <w:pageBreakBefore w:val="0"/>
              <w:tabs>
                <w:tab w:val="center" w:pos="4153"/>
                <w:tab w:val="right" w:pos="8306"/>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1张</w:t>
            </w:r>
          </w:p>
        </w:tc>
      </w:tr>
      <w:tr w14:paraId="7E6A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10" w:type="dxa"/>
            <w:vAlign w:val="center"/>
          </w:tcPr>
          <w:p w14:paraId="7F4BC06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电脑桌</w:t>
            </w:r>
          </w:p>
        </w:tc>
        <w:tc>
          <w:tcPr>
            <w:tcW w:w="8370" w:type="dxa"/>
            <w:vAlign w:val="center"/>
          </w:tcPr>
          <w:p w14:paraId="69096D80">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spacing w:val="-2"/>
                <w:sz w:val="21"/>
                <w:szCs w:val="21"/>
                <w:highlight w:val="none"/>
              </w:rPr>
            </w:pPr>
            <w:r>
              <w:rPr>
                <w:rFonts w:hint="eastAsia" w:ascii="宋体" w:hAnsi="宋体" w:eastAsia="宋体" w:cs="宋体"/>
                <w:b w:val="0"/>
                <w:bCs/>
                <w:color w:val="auto"/>
                <w:kern w:val="2"/>
                <w:sz w:val="21"/>
                <w:szCs w:val="21"/>
                <w:highlight w:val="none"/>
                <w:lang w:val="en-US" w:eastAsia="zh-CN" w:bidi="ar-SA"/>
              </w:rPr>
              <w:t>外形尺寸</w:t>
            </w:r>
            <w:r>
              <w:rPr>
                <w:rFonts w:hint="eastAsia" w:ascii="宋体" w:hAnsi="宋体" w:cs="宋体"/>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625mm×600mm×1045mm，立柱采用3060铝型材，底盘框架采用3030铝型材，立柱用一体成型的L型冷轧钢支撑架加固，桌面采用</w:t>
            </w:r>
            <w:r>
              <w:rPr>
                <w:rFonts w:hint="eastAsia" w:ascii="宋体" w:hAnsi="宋体" w:cs="宋体"/>
                <w:color w:val="auto"/>
                <w:sz w:val="21"/>
                <w:szCs w:val="21"/>
                <w:highlight w:val="none"/>
                <w:lang w:eastAsia="zh-CN"/>
              </w:rPr>
              <w:t>≥</w:t>
            </w:r>
            <w:r>
              <w:rPr>
                <w:rFonts w:hint="eastAsia" w:ascii="宋体" w:hAnsi="宋体" w:eastAsia="宋体" w:cs="宋体"/>
                <w:b w:val="0"/>
                <w:bCs/>
                <w:color w:val="auto"/>
                <w:kern w:val="2"/>
                <w:sz w:val="21"/>
                <w:szCs w:val="21"/>
                <w:highlight w:val="none"/>
                <w:lang w:val="en-US" w:eastAsia="zh-CN" w:bidi="ar-SA"/>
              </w:rPr>
              <w:t>12mm厚的实心抗贝特复合板材，边缘倒圆，键盘抽屉底部配可旋转收缩的鼠标托盘，桌体带防护板，配万向脚轮。要求提供</w:t>
            </w:r>
            <w:r>
              <w:rPr>
                <w:rFonts w:hint="eastAsia" w:ascii="宋体" w:hAnsi="宋体" w:eastAsia="宋体" w:cs="宋体"/>
                <w:color w:val="auto"/>
                <w:spacing w:val="-2"/>
                <w:kern w:val="2"/>
                <w:sz w:val="21"/>
                <w:szCs w:val="21"/>
                <w:highlight w:val="none"/>
                <w:lang w:val="en-US" w:eastAsia="zh-CN" w:bidi="ar"/>
              </w:rPr>
              <w:t>由第三方检测机构出具的检测报告，</w:t>
            </w:r>
            <w:r>
              <w:rPr>
                <w:rFonts w:hint="eastAsia" w:ascii="宋体" w:hAnsi="宋体" w:eastAsia="宋体" w:cs="宋体"/>
                <w:b w:val="0"/>
                <w:bCs/>
                <w:color w:val="auto"/>
                <w:kern w:val="2"/>
                <w:sz w:val="21"/>
                <w:szCs w:val="21"/>
                <w:highlight w:val="none"/>
                <w:lang w:val="en-US" w:eastAsia="zh-CN" w:bidi="ar-SA"/>
              </w:rPr>
              <w:t>检测内容包括但不限于金属喷漆(塑)涂层冲击强度（冲击高度400mm），木制件表面贴面层耐污染性能（丙酮试验时间16h）</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3级，人造板件封边条表面胶合强度</w:t>
            </w:r>
            <w:r>
              <w:rPr>
                <w:rFonts w:hint="eastAsia" w:ascii="宋体" w:hAnsi="宋体" w:cs="宋体"/>
                <w:b w:val="0"/>
                <w:bCs/>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0.4MPa）。</w:t>
            </w:r>
          </w:p>
        </w:tc>
        <w:tc>
          <w:tcPr>
            <w:tcW w:w="291" w:type="pct"/>
            <w:vAlign w:val="center"/>
          </w:tcPr>
          <w:p w14:paraId="3FC1F5C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1张</w:t>
            </w:r>
          </w:p>
        </w:tc>
      </w:tr>
    </w:tbl>
    <w:p w14:paraId="4DE5E0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p>
    <w:p w14:paraId="557ED651">
      <w:pPr>
        <w:pStyle w:val="4"/>
        <w:bidi w:val="0"/>
        <w:rPr>
          <w:rFonts w:hint="eastAsia"/>
          <w:color w:val="auto"/>
          <w:highlight w:val="none"/>
          <w:lang w:val="en-US" w:eastAsia="zh-CN"/>
        </w:rPr>
      </w:pPr>
      <w:r>
        <w:rPr>
          <w:rFonts w:hint="eastAsia"/>
          <w:color w:val="auto"/>
          <w:highlight w:val="none"/>
          <w:lang w:val="en-US" w:eastAsia="zh-CN"/>
        </w:rPr>
        <w:t>四、可提供的实训项目</w:t>
      </w:r>
    </w:p>
    <w:p w14:paraId="5DE859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1.智能节水灌溉系统认知实训</w:t>
      </w:r>
    </w:p>
    <w:p w14:paraId="3509C3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（1）设备：离心泵、潜水泵、自吸泵、搅拌机、比例泵、文丘里吸肥器</w:t>
      </w:r>
    </w:p>
    <w:p w14:paraId="214511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（2）过滤器：离心过滤器、管道过滤器、Y型过滤器、叠片过滤器、网式过滤器</w:t>
      </w:r>
    </w:p>
    <w:p w14:paraId="34E1D5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监测仪器：数字压力表、在线pH仪、物位仪、超声波水表、浮球液位开关、转速传感器、振动传感器、铂热电阻、电导率仪、大气四合一传感器（光照度、温度、湿度、大气压）、二氧化碳传感器、氧气传感器、土壤多参数传感器（氮磷钾、水分、温度、电导率、pH）</w:t>
      </w:r>
    </w:p>
    <w:p w14:paraId="4CE5AE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（4）阀门：球阀、隔膜阀、立式止回阀、翻板止回阀、电动调节阀、电动三通阀、电磁阀、泄压阀、减压阀</w:t>
      </w:r>
    </w:p>
    <w:p w14:paraId="108EA9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（5）灌水器：十字雾化喷头、框架旋转微喷头、转轮微喷头、折射微喷头、涌泉喷头、滴灌带、渗灌管</w:t>
      </w:r>
    </w:p>
    <w:p w14:paraId="384A74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2.智能节水灌溉系统的拆装</w:t>
      </w:r>
    </w:p>
    <w:p w14:paraId="38F4D2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（1）泵站供水单元的拆装</w:t>
      </w:r>
    </w:p>
    <w:p w14:paraId="05610E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（2）过滤施肥单元的拆装</w:t>
      </w:r>
    </w:p>
    <w:p w14:paraId="412734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（3）田间灌溉单元的设计与安装</w:t>
      </w:r>
    </w:p>
    <w:p w14:paraId="5717FC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（4）控制线路的设计与连接</w:t>
      </w:r>
    </w:p>
    <w:p w14:paraId="575A13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3.实训操作</w:t>
      </w:r>
    </w:p>
    <w:p w14:paraId="31621E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（1）离心泵规范启停</w:t>
      </w:r>
    </w:p>
    <w:p w14:paraId="332631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（2）水泵温度监控</w:t>
      </w:r>
    </w:p>
    <w:p w14:paraId="1E2398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（3）水泵性能曲线绘制</w:t>
      </w:r>
    </w:p>
    <w:p w14:paraId="509582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（4）灌溉系统的智能轮灌</w:t>
      </w:r>
    </w:p>
    <w:p w14:paraId="27692C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（5）水肥一体化系统智能运维</w:t>
      </w:r>
    </w:p>
    <w:p w14:paraId="3EDA24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4.节水系统调试与运行</w:t>
      </w:r>
    </w:p>
    <w:p w14:paraId="59ECB3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（1）系统启停机操作</w:t>
      </w:r>
    </w:p>
    <w:p w14:paraId="0F219C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（2）首部系统调试操作</w:t>
      </w:r>
    </w:p>
    <w:p w14:paraId="5796BF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（3）节水系统调试</w:t>
      </w:r>
    </w:p>
    <w:p w14:paraId="47BF9E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（4）系统逐级冲洗</w:t>
      </w:r>
    </w:p>
    <w:p w14:paraId="5309D4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（5）系统稳压运行</w:t>
      </w:r>
    </w:p>
    <w:p w14:paraId="75C4BB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（6）系统故障预警与排除</w:t>
      </w:r>
    </w:p>
    <w:p w14:paraId="485798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（7）系统智能控制运行</w:t>
      </w:r>
    </w:p>
    <w:p w14:paraId="04E3F8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（8）远程维护功能</w:t>
      </w:r>
    </w:p>
    <w:p w14:paraId="51C7A81D">
      <w:pPr>
        <w:pStyle w:val="4"/>
        <w:bidi w:val="0"/>
        <w:rPr>
          <w:color w:val="auto"/>
          <w:highlight w:val="none"/>
        </w:rPr>
      </w:pPr>
      <w:r>
        <w:rPr>
          <w:rFonts w:hint="eastAsia"/>
          <w:color w:val="auto"/>
          <w:highlight w:val="none"/>
          <w:lang w:val="en-US" w:eastAsia="zh-CN"/>
        </w:rPr>
        <w:t>五</w:t>
      </w:r>
      <w:r>
        <w:rPr>
          <w:rFonts w:hint="eastAsia"/>
          <w:color w:val="auto"/>
          <w:highlight w:val="none"/>
        </w:rPr>
        <w:t>、商务需求</w:t>
      </w:r>
    </w:p>
    <w:p w14:paraId="53BCF952">
      <w:pPr>
        <w:pStyle w:val="5"/>
        <w:bidi w:val="0"/>
        <w:rPr>
          <w:rFonts w:hint="eastAsia"/>
          <w:color w:val="auto"/>
          <w:highlight w:val="none"/>
          <w:lang w:val="en-US" w:eastAsia="zh-CN"/>
        </w:rPr>
      </w:pPr>
      <w:r>
        <w:rPr>
          <w:rFonts w:hint="eastAsia"/>
          <w:color w:val="auto"/>
          <w:highlight w:val="none"/>
          <w:lang w:val="en-US" w:eastAsia="zh-CN"/>
        </w:rPr>
        <w:t>（一）交货时间及地点</w:t>
      </w:r>
    </w:p>
    <w:p w14:paraId="444967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交货时间及期限：签订合同后30日内完成供货、安装、调试</w:t>
      </w:r>
      <w:r>
        <w:rPr>
          <w:rFonts w:hint="eastAsia" w:ascii="宋体" w:hAnsi="宋体" w:cs="宋体"/>
          <w:color w:val="auto"/>
          <w:sz w:val="24"/>
          <w:szCs w:val="24"/>
          <w:highlight w:val="none"/>
          <w:lang w:eastAsia="zh-CN"/>
        </w:rPr>
        <w:t>；</w:t>
      </w:r>
    </w:p>
    <w:p w14:paraId="16F1BD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交货地点</w:t>
      </w:r>
      <w:r>
        <w:rPr>
          <w:rFonts w:hint="eastAsia" w:ascii="宋体" w:hAnsi="宋体" w:eastAsia="宋体" w:cs="宋体"/>
          <w:color w:val="auto"/>
          <w:sz w:val="24"/>
          <w:szCs w:val="24"/>
          <w:highlight w:val="none"/>
          <w:lang w:eastAsia="zh-CN"/>
        </w:rPr>
        <w:t>：采购人指定</w:t>
      </w:r>
      <w:r>
        <w:rPr>
          <w:rFonts w:hint="eastAsia" w:ascii="宋体" w:hAnsi="宋体" w:eastAsia="宋体" w:cs="宋体"/>
          <w:color w:val="auto"/>
          <w:sz w:val="24"/>
          <w:szCs w:val="24"/>
          <w:highlight w:val="none"/>
          <w:lang w:val="en-US" w:eastAsia="zh-CN"/>
        </w:rPr>
        <w:t>地点</w:t>
      </w:r>
      <w:r>
        <w:rPr>
          <w:rFonts w:hint="eastAsia" w:ascii="宋体" w:hAnsi="宋体" w:eastAsia="宋体" w:cs="宋体"/>
          <w:color w:val="auto"/>
          <w:sz w:val="24"/>
          <w:szCs w:val="24"/>
          <w:highlight w:val="none"/>
          <w:lang w:eastAsia="zh-CN"/>
        </w:rPr>
        <w:t>。</w:t>
      </w:r>
    </w:p>
    <w:p w14:paraId="0FC21CC4">
      <w:pPr>
        <w:pStyle w:val="5"/>
        <w:bidi w:val="0"/>
        <w:rPr>
          <w:rFonts w:hint="eastAsia"/>
          <w:color w:val="auto"/>
          <w:highlight w:val="none"/>
          <w:lang w:val="en-US" w:eastAsia="zh-CN"/>
        </w:rPr>
      </w:pPr>
      <w:r>
        <w:rPr>
          <w:rFonts w:hint="eastAsia"/>
          <w:color w:val="auto"/>
          <w:highlight w:val="none"/>
          <w:lang w:val="en-US" w:eastAsia="zh-CN"/>
        </w:rPr>
        <w:t>（二）质保期</w:t>
      </w:r>
    </w:p>
    <w:p w14:paraId="6E6D56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产品全部验收合格后（以技术验收合格签字为标准），中标人向采购人免费提供</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1</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年质保期</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软件产品</w:t>
      </w:r>
      <w:r>
        <w:rPr>
          <w:rFonts w:hint="eastAsia" w:ascii="宋体" w:hAnsi="宋体" w:eastAsia="宋体" w:cs="宋体"/>
          <w:b w:val="0"/>
          <w:bCs w:val="0"/>
          <w:color w:val="auto"/>
          <w:sz w:val="24"/>
          <w:szCs w:val="24"/>
          <w:highlight w:val="none"/>
          <w:u w:val="single"/>
          <w:lang w:val="en-US" w:eastAsia="zh-CN"/>
        </w:rPr>
        <w:t xml:space="preserve"> 1 </w:t>
      </w:r>
      <w:r>
        <w:rPr>
          <w:rFonts w:hint="eastAsia" w:ascii="宋体" w:hAnsi="宋体" w:eastAsia="宋体" w:cs="宋体"/>
          <w:b w:val="0"/>
          <w:bCs w:val="0"/>
          <w:color w:val="auto"/>
          <w:sz w:val="24"/>
          <w:szCs w:val="24"/>
          <w:highlight w:val="none"/>
          <w:lang w:val="en-US" w:eastAsia="zh-CN"/>
        </w:rPr>
        <w:t>年免费升级服务</w:t>
      </w:r>
      <w:r>
        <w:rPr>
          <w:rFonts w:hint="eastAsia" w:ascii="宋体" w:hAnsi="宋体" w:eastAsia="宋体" w:cs="宋体"/>
          <w:color w:val="auto"/>
          <w:sz w:val="24"/>
          <w:szCs w:val="24"/>
          <w:highlight w:val="none"/>
        </w:rPr>
        <w:t>。</w:t>
      </w:r>
    </w:p>
    <w:p w14:paraId="2ED8A0F1">
      <w:pPr>
        <w:pStyle w:val="5"/>
        <w:bidi w:val="0"/>
        <w:rPr>
          <w:rFonts w:hint="eastAsia"/>
          <w:color w:val="auto"/>
          <w:highlight w:val="none"/>
          <w:lang w:val="en-US" w:eastAsia="zh-CN"/>
        </w:rPr>
      </w:pPr>
      <w:r>
        <w:rPr>
          <w:rFonts w:hint="eastAsia"/>
          <w:color w:val="auto"/>
          <w:highlight w:val="none"/>
          <w:lang w:val="en-US" w:eastAsia="zh-CN"/>
        </w:rPr>
        <w:t>（三）验收</w:t>
      </w:r>
    </w:p>
    <w:p w14:paraId="78959C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hAnsi="宋体" w:cs="宋体"/>
          <w:color w:val="auto"/>
          <w:sz w:val="24"/>
          <w:highlight w:val="none"/>
        </w:rPr>
        <w:t>中标人须按国家有关规定及标准完成本次</w:t>
      </w:r>
      <w:r>
        <w:rPr>
          <w:rFonts w:hint="eastAsia" w:hAnsi="宋体" w:cs="宋体"/>
          <w:color w:val="auto"/>
          <w:sz w:val="24"/>
          <w:highlight w:val="none"/>
          <w:lang w:val="en-US" w:eastAsia="zh-CN"/>
        </w:rPr>
        <w:t>采购</w:t>
      </w:r>
      <w:r>
        <w:rPr>
          <w:rFonts w:hint="eastAsia" w:hAnsi="宋体" w:cs="宋体"/>
          <w:color w:val="auto"/>
          <w:sz w:val="24"/>
          <w:highlight w:val="none"/>
        </w:rPr>
        <w:t>货物的供货、运输、检验等。如中标，中标人及制造商对中标产品使用的质量、安全性能与检测结果的可靠性负全部责任。</w:t>
      </w:r>
      <w:r>
        <w:rPr>
          <w:rFonts w:hint="eastAsia" w:hAnsi="宋体" w:cs="宋体"/>
          <w:color w:val="auto"/>
          <w:sz w:val="24"/>
          <w:highlight w:val="none"/>
          <w:lang w:eastAsia="zh-CN"/>
        </w:rPr>
        <w:t>采购人</w:t>
      </w:r>
      <w:r>
        <w:rPr>
          <w:rFonts w:hint="eastAsia" w:hAnsi="宋体" w:cs="宋体"/>
          <w:color w:val="auto"/>
          <w:sz w:val="24"/>
          <w:highlight w:val="none"/>
        </w:rPr>
        <w:t>对中标人提交的货物依据招标文件上的技术规格要求和国家有关质量标准进行现场初步验收，外观、说明书符合招标文件技术要求的，给予签收，初步验收不合格的不予签收。货到后，中标人根据</w:t>
      </w:r>
      <w:r>
        <w:rPr>
          <w:rFonts w:hint="eastAsia" w:hAnsi="宋体" w:cs="宋体"/>
          <w:color w:val="auto"/>
          <w:sz w:val="24"/>
          <w:highlight w:val="none"/>
          <w:lang w:eastAsia="zh-CN"/>
        </w:rPr>
        <w:t>采购人</w:t>
      </w:r>
      <w:r>
        <w:rPr>
          <w:rFonts w:hint="eastAsia" w:hAnsi="宋体" w:cs="宋体"/>
          <w:color w:val="auto"/>
          <w:sz w:val="24"/>
          <w:highlight w:val="none"/>
        </w:rPr>
        <w:t>指定的地点完成货物的安装，安装产生的所有费用由中标人负责。</w:t>
      </w:r>
      <w:r>
        <w:rPr>
          <w:rFonts w:hint="eastAsia" w:hAnsi="宋体" w:cs="宋体"/>
          <w:color w:val="auto"/>
          <w:sz w:val="24"/>
          <w:highlight w:val="none"/>
          <w:lang w:eastAsia="zh-CN"/>
        </w:rPr>
        <w:t>采购人</w:t>
      </w:r>
      <w:r>
        <w:rPr>
          <w:rFonts w:hint="eastAsia" w:hAnsi="宋体" w:cs="宋体"/>
          <w:color w:val="auto"/>
          <w:sz w:val="24"/>
          <w:highlight w:val="none"/>
        </w:rPr>
        <w:t>组织第三方验收，验收产生的所有费用由中标人全部承担</w:t>
      </w:r>
      <w:r>
        <w:rPr>
          <w:rFonts w:hint="eastAsia" w:hAnsi="宋体" w:cs="宋体"/>
          <w:color w:val="auto"/>
          <w:sz w:val="24"/>
          <w:highlight w:val="none"/>
          <w:lang w:eastAsia="zh-CN"/>
        </w:rPr>
        <w:t>。</w:t>
      </w:r>
    </w:p>
    <w:p w14:paraId="112DF4B8">
      <w:pPr>
        <w:pStyle w:val="5"/>
        <w:bidi w:val="0"/>
        <w:rPr>
          <w:rFonts w:hint="eastAsia"/>
          <w:color w:val="auto"/>
          <w:highlight w:val="none"/>
          <w:lang w:val="en-US" w:eastAsia="zh-CN"/>
        </w:rPr>
      </w:pPr>
      <w:r>
        <w:rPr>
          <w:rFonts w:hint="eastAsia"/>
          <w:color w:val="auto"/>
          <w:highlight w:val="none"/>
          <w:lang w:val="en-US" w:eastAsia="zh-CN"/>
        </w:rPr>
        <w:t>（四）售后服务</w:t>
      </w:r>
    </w:p>
    <w:p w14:paraId="1918B5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出现故障等问题后，需2小时内快速响应问题，收到保修要求后48小时内到场维护，如有特殊情况不能到场，需征求用户同意</w:t>
      </w:r>
      <w:r>
        <w:rPr>
          <w:rFonts w:hint="eastAsia" w:ascii="宋体" w:hAnsi="宋体" w:cs="宋体"/>
          <w:color w:val="auto"/>
          <w:sz w:val="24"/>
          <w:szCs w:val="24"/>
          <w:highlight w:val="none"/>
          <w:lang w:eastAsia="zh-CN"/>
        </w:rPr>
        <w:t>；</w:t>
      </w:r>
    </w:p>
    <w:p w14:paraId="5B946E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2.质保期后要求：质保期后，维修时只收取成本费，不得收取其他费用；</w:t>
      </w:r>
    </w:p>
    <w:p w14:paraId="0671F8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3.投标人须有能力提供完善的售后服务（包括技术人员、响应时间及备品、备件方面等）； </w:t>
      </w:r>
    </w:p>
    <w:p w14:paraId="00DD0C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4.投标人提供的设备、服务质量，必须符合招标文件及其投标文件规定的要求，如有不符，造成的损失由投标人承担；</w:t>
      </w:r>
    </w:p>
    <w:p w14:paraId="5552D6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5.投标人所提供的设备在制造、安装和调试时必须完全满足国家标准以及其他相关标准的要求。并确保现场施工安全，负一切安全责任</w:t>
      </w:r>
      <w:r>
        <w:rPr>
          <w:rFonts w:hint="eastAsia" w:ascii="宋体" w:hAnsi="宋体" w:cs="宋体"/>
          <w:color w:val="auto"/>
          <w:sz w:val="24"/>
          <w:szCs w:val="24"/>
          <w:highlight w:val="none"/>
          <w:lang w:eastAsia="zh-CN"/>
        </w:rPr>
        <w:t>。</w:t>
      </w:r>
    </w:p>
    <w:p w14:paraId="38E22504">
      <w:pPr>
        <w:pStyle w:val="5"/>
        <w:bidi w:val="0"/>
        <w:rPr>
          <w:rFonts w:hint="eastAsia"/>
          <w:color w:val="auto"/>
          <w:highlight w:val="none"/>
          <w:lang w:val="en-US" w:eastAsia="zh-CN"/>
        </w:rPr>
      </w:pPr>
      <w:r>
        <w:rPr>
          <w:rFonts w:hint="eastAsia"/>
          <w:color w:val="auto"/>
          <w:highlight w:val="none"/>
          <w:lang w:val="en-US" w:eastAsia="zh-CN"/>
        </w:rPr>
        <w:t>（五）培训</w:t>
      </w:r>
    </w:p>
    <w:p w14:paraId="7B2C2C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使用及技术培训要求：免费培训计划。设备运行后，按采购人指定时间对使用和管理人员进行免费培训，使其能够掌握设备的操作、使用方法以及必要的维护技能，同时能够提供相关的竞赛培训，培训教师具有一点的教学或竞赛经验，培训地点、人数、时间根据使用单位要求。</w:t>
      </w:r>
    </w:p>
    <w:p w14:paraId="48F81C3A">
      <w:pPr>
        <w:pStyle w:val="5"/>
        <w:bidi w:val="0"/>
        <w:rPr>
          <w:rFonts w:hint="eastAsia"/>
          <w:color w:val="auto"/>
          <w:highlight w:val="none"/>
          <w:lang w:val="en-US" w:eastAsia="zh-CN"/>
        </w:rPr>
      </w:pPr>
      <w:r>
        <w:rPr>
          <w:rFonts w:hint="eastAsia"/>
          <w:color w:val="auto"/>
          <w:highlight w:val="none"/>
          <w:lang w:val="en-US" w:eastAsia="zh-CN"/>
        </w:rPr>
        <w:t>（六）付款方式</w:t>
      </w:r>
    </w:p>
    <w:p w14:paraId="77C3B2C4">
      <w:pPr>
        <w:pageBreakBefore w:val="0"/>
        <w:widowControl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1.合同生效、具备支付条件后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个工作日内，</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val="zh-CN"/>
        </w:rPr>
        <w:t>凭</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lang w:val="zh-CN"/>
        </w:rPr>
        <w:t>开具的预付款发票</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lang w:val="zh-CN"/>
        </w:rPr>
        <w:t>提交</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zh-CN"/>
        </w:rPr>
        <w:t>银行、保险公司等金融机构出具的预付款保函或其他担保措施支付</w:t>
      </w:r>
      <w:r>
        <w:rPr>
          <w:rFonts w:hint="eastAsia" w:ascii="宋体" w:hAnsi="宋体" w:eastAsia="宋体" w:cs="宋体"/>
          <w:b/>
          <w:color w:val="auto"/>
          <w:sz w:val="24"/>
          <w:szCs w:val="24"/>
          <w:highlight w:val="none"/>
          <w:lang w:val="zh-CN"/>
        </w:rPr>
        <w:t>40%预付款</w:t>
      </w:r>
      <w:r>
        <w:rPr>
          <w:rFonts w:hint="eastAsia" w:ascii="宋体" w:hAnsi="宋体" w:eastAsia="宋体" w:cs="宋体"/>
          <w:color w:val="auto"/>
          <w:sz w:val="24"/>
          <w:szCs w:val="24"/>
          <w:highlight w:val="none"/>
          <w:lang w:val="zh-CN"/>
        </w:rPr>
        <w:t>给</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lang w:val="zh-CN"/>
        </w:rPr>
        <w:t>，若</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lang w:val="zh-CN"/>
        </w:rPr>
        <w:t>无需预付款的可选择在验收合格后一次性支付；预付款的支付进程不得影响合同的履行</w:t>
      </w:r>
      <w:r>
        <w:rPr>
          <w:rFonts w:hint="eastAsia" w:ascii="宋体" w:hAnsi="宋体" w:cs="宋体"/>
          <w:color w:val="auto"/>
          <w:sz w:val="24"/>
          <w:szCs w:val="24"/>
          <w:highlight w:val="none"/>
          <w:lang w:val="zh-CN"/>
        </w:rPr>
        <w:t>；</w:t>
      </w:r>
    </w:p>
    <w:p w14:paraId="3F51958E">
      <w:pPr>
        <w:pageBreakBefore w:val="0"/>
        <w:widowControl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lang w:val="zh-CN"/>
        </w:rPr>
        <w:t>按照</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val="zh-CN"/>
        </w:rPr>
        <w:t>要求将货物送至各个使用点；经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val="zh-CN"/>
        </w:rPr>
        <w:t>组织验收，送货时间、地点、产品规格、型号、数量、质量及参数要求完全符合合同约定</w:t>
      </w:r>
      <w:r>
        <w:rPr>
          <w:rFonts w:hint="eastAsia" w:ascii="宋体" w:hAnsi="宋体" w:cs="宋体"/>
          <w:color w:val="auto"/>
          <w:sz w:val="24"/>
          <w:szCs w:val="24"/>
          <w:highlight w:val="none"/>
          <w:lang w:val="zh-CN"/>
        </w:rPr>
        <w:t>；</w:t>
      </w:r>
    </w:p>
    <w:p w14:paraId="263D2732">
      <w:pPr>
        <w:pageBreakBefore w:val="0"/>
        <w:widowControl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lang w:val="zh-CN"/>
        </w:rPr>
        <w:t>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val="zh-CN"/>
        </w:rPr>
        <w:t>开具符合法律、法规规范及行业要求的真实、有效的增值税专用发票（进口免税产品须提供免表及报关单并符合税务部门的相关开票规定）</w:t>
      </w:r>
      <w:r>
        <w:rPr>
          <w:rFonts w:hint="eastAsia" w:ascii="宋体" w:hAnsi="宋体" w:cs="宋体"/>
          <w:color w:val="auto"/>
          <w:sz w:val="24"/>
          <w:szCs w:val="24"/>
          <w:highlight w:val="none"/>
          <w:lang w:val="zh-CN"/>
        </w:rPr>
        <w:t>；</w:t>
      </w:r>
    </w:p>
    <w:p w14:paraId="2B3A16C1">
      <w:pPr>
        <w:pageBreakBefore w:val="0"/>
        <w:widowControl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val="zh-CN"/>
        </w:rPr>
        <w:t>凭</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lang w:val="zh-CN"/>
        </w:rPr>
        <w:t>的供货发票，校内验收单、入库单等支付凭证办理相关支付手续，</w:t>
      </w:r>
      <w:r>
        <w:rPr>
          <w:rFonts w:hint="eastAsia" w:ascii="宋体" w:hAnsi="宋体" w:eastAsia="宋体" w:cs="宋体"/>
          <w:color w:val="auto"/>
          <w:sz w:val="24"/>
          <w:szCs w:val="24"/>
          <w:highlight w:val="none"/>
        </w:rPr>
        <w:t>满足合同约定的支付条件后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个工作日</w:t>
      </w:r>
      <w:r>
        <w:rPr>
          <w:rFonts w:hint="eastAsia" w:ascii="宋体" w:hAnsi="宋体" w:eastAsia="宋体" w:cs="宋体"/>
          <w:b/>
          <w:bCs/>
          <w:color w:val="auto"/>
          <w:sz w:val="24"/>
          <w:szCs w:val="24"/>
          <w:highlight w:val="none"/>
          <w:lang w:val="zh-CN"/>
        </w:rPr>
        <w:t>向</w:t>
      </w:r>
      <w:r>
        <w:rPr>
          <w:rFonts w:hint="eastAsia" w:ascii="宋体" w:hAnsi="宋体" w:eastAsia="宋体" w:cs="宋体"/>
          <w:b/>
          <w:bCs/>
          <w:color w:val="auto"/>
          <w:sz w:val="24"/>
          <w:szCs w:val="24"/>
          <w:highlight w:val="none"/>
          <w:lang w:eastAsia="zh-CN"/>
        </w:rPr>
        <w:t>中标人</w:t>
      </w:r>
      <w:r>
        <w:rPr>
          <w:rFonts w:hint="eastAsia" w:ascii="宋体" w:hAnsi="宋体" w:eastAsia="宋体" w:cs="宋体"/>
          <w:b/>
          <w:bCs/>
          <w:color w:val="auto"/>
          <w:sz w:val="24"/>
          <w:szCs w:val="24"/>
          <w:highlight w:val="none"/>
          <w:lang w:val="zh-CN"/>
        </w:rPr>
        <w:t>付清</w:t>
      </w:r>
      <w:r>
        <w:rPr>
          <w:rFonts w:hint="eastAsia" w:ascii="宋体" w:hAnsi="宋体" w:eastAsia="宋体" w:cs="宋体"/>
          <w:b/>
          <w:bCs/>
          <w:color w:val="auto"/>
          <w:sz w:val="24"/>
          <w:szCs w:val="24"/>
          <w:highlight w:val="none"/>
          <w:lang w:val="en-US" w:eastAsia="zh-CN"/>
        </w:rPr>
        <w:t>剩余货</w:t>
      </w:r>
      <w:r>
        <w:rPr>
          <w:rFonts w:hint="eastAsia" w:ascii="宋体" w:hAnsi="宋体" w:eastAsia="宋体" w:cs="宋体"/>
          <w:b/>
          <w:bCs/>
          <w:color w:val="auto"/>
          <w:sz w:val="24"/>
          <w:szCs w:val="24"/>
          <w:highlight w:val="none"/>
          <w:lang w:val="zh-CN"/>
        </w:rPr>
        <w:t>款。</w:t>
      </w:r>
    </w:p>
    <w:p w14:paraId="6EBCE182">
      <w:pPr>
        <w:pStyle w:val="4"/>
        <w:rPr>
          <w:rFonts w:hint="eastAsia" w:ascii="宋体" w:hAnsi="宋体" w:eastAsia="宋体" w:cs="Times New Roman"/>
          <w:color w:val="auto"/>
          <w:sz w:val="24"/>
          <w:highlight w:val="none"/>
          <w:lang w:val="en-US" w:eastAsia="zh-CN"/>
        </w:rPr>
      </w:pPr>
      <w:r>
        <w:rPr>
          <w:rFonts w:hint="eastAsia" w:cs="Times New Roman"/>
          <w:color w:val="auto"/>
          <w:sz w:val="24"/>
          <w:highlight w:val="none"/>
          <w:lang w:val="en-US" w:eastAsia="zh-CN"/>
        </w:rPr>
        <w:t>五</w:t>
      </w:r>
      <w:r>
        <w:rPr>
          <w:rFonts w:hint="eastAsia" w:ascii="宋体" w:hAnsi="宋体" w:cs="Times New Roman"/>
          <w:color w:val="auto"/>
          <w:sz w:val="24"/>
          <w:highlight w:val="none"/>
          <w:lang w:val="en-US" w:eastAsia="zh-CN"/>
        </w:rPr>
        <w:t>、本章未尽之处见合同主要条款中的相关要求。</w:t>
      </w:r>
    </w:p>
    <w:p w14:paraId="47AD086D">
      <w:pPr>
        <w:keepNext w:val="0"/>
        <w:keepLines w:val="0"/>
        <w:pageBreakBefore w:val="0"/>
        <w:kinsoku/>
        <w:wordWrap/>
        <w:overflowPunct/>
        <w:topLinePunct w:val="0"/>
        <w:autoSpaceDE/>
        <w:autoSpaceDN/>
        <w:bidi w:val="0"/>
        <w:snapToGrid w:val="0"/>
        <w:ind w:firstLine="482" w:firstLineChars="200"/>
        <w:rPr>
          <w:rFonts w:hint="eastAsia" w:ascii="宋体" w:hAnsi="宋体" w:eastAsia="宋体" w:cs="宋体"/>
          <w:b/>
          <w:bCs/>
          <w:color w:val="auto"/>
          <w:sz w:val="24"/>
          <w:szCs w:val="24"/>
          <w:highlight w:val="none"/>
          <w:lang w:val="en-US" w:eastAsia="zh-CN"/>
        </w:rPr>
      </w:pPr>
    </w:p>
    <w:p w14:paraId="75C496F8">
      <w:pPr>
        <w:pStyle w:val="5"/>
        <w:bidi w:val="0"/>
        <w:rPr>
          <w:rFonts w:hint="eastAsia"/>
          <w:color w:val="auto"/>
          <w:highlight w:val="none"/>
          <w:lang w:val="en-US" w:eastAsia="zh-CN"/>
        </w:rPr>
        <w:sectPr>
          <w:pgSz w:w="11906" w:h="16838"/>
          <w:pgMar w:top="1440" w:right="1080" w:bottom="1440" w:left="1080" w:header="851" w:footer="851" w:gutter="0"/>
          <w:cols w:space="720" w:num="1"/>
          <w:docGrid w:linePitch="312" w:charSpace="0"/>
        </w:sectPr>
      </w:pPr>
    </w:p>
    <w:p w14:paraId="5B18F030">
      <w:pPr>
        <w:pStyle w:val="3"/>
        <w:shd w:val="clear"/>
        <w:rPr>
          <w:rFonts w:ascii="宋体" w:hAnsi="宋体" w:cs="宋体"/>
          <w:color w:val="auto"/>
          <w:szCs w:val="36"/>
          <w:highlight w:val="none"/>
        </w:rPr>
      </w:pPr>
      <w:bookmarkStart w:id="30" w:name="_Toc184313275"/>
      <w:bookmarkEnd w:id="30"/>
      <w:bookmarkStart w:id="31" w:name="_Toc184313246"/>
      <w:bookmarkEnd w:id="31"/>
      <w:bookmarkStart w:id="32" w:name="_Toc184310324"/>
      <w:bookmarkEnd w:id="32"/>
      <w:bookmarkStart w:id="33" w:name="_Toc184313278"/>
      <w:bookmarkEnd w:id="33"/>
      <w:bookmarkStart w:id="34" w:name="_Toc184312093"/>
      <w:bookmarkEnd w:id="34"/>
      <w:bookmarkStart w:id="35" w:name="_Toc184310280"/>
      <w:bookmarkEnd w:id="35"/>
      <w:bookmarkStart w:id="36" w:name="_Toc184313241"/>
      <w:bookmarkEnd w:id="36"/>
      <w:bookmarkStart w:id="37" w:name="_Toc184314411"/>
      <w:bookmarkEnd w:id="37"/>
      <w:bookmarkStart w:id="38" w:name="_Toc184310290"/>
      <w:bookmarkEnd w:id="38"/>
      <w:bookmarkStart w:id="39" w:name="_Toc184310316"/>
      <w:bookmarkEnd w:id="39"/>
      <w:bookmarkStart w:id="40" w:name="_Toc184312067"/>
      <w:bookmarkEnd w:id="40"/>
      <w:bookmarkStart w:id="41" w:name="_Toc184313258"/>
      <w:bookmarkEnd w:id="41"/>
      <w:bookmarkStart w:id="42" w:name="_Toc184310283"/>
      <w:bookmarkEnd w:id="42"/>
      <w:bookmarkStart w:id="43" w:name="_Toc184312097"/>
      <w:bookmarkEnd w:id="43"/>
      <w:bookmarkStart w:id="44" w:name="_Toc184313295"/>
      <w:bookmarkEnd w:id="44"/>
      <w:bookmarkStart w:id="45" w:name="_Toc184308085"/>
      <w:bookmarkEnd w:id="45"/>
      <w:bookmarkStart w:id="46" w:name="_Toc184314468"/>
      <w:bookmarkEnd w:id="46"/>
      <w:bookmarkStart w:id="47" w:name="_Toc184313283"/>
      <w:bookmarkEnd w:id="47"/>
      <w:bookmarkStart w:id="48" w:name="_Toc184312081"/>
      <w:bookmarkEnd w:id="48"/>
      <w:bookmarkStart w:id="49" w:name="_Toc184312121"/>
      <w:bookmarkEnd w:id="49"/>
      <w:bookmarkStart w:id="50" w:name="_Toc184308038"/>
      <w:bookmarkEnd w:id="50"/>
      <w:bookmarkStart w:id="51" w:name="_Toc184308084"/>
      <w:bookmarkEnd w:id="51"/>
      <w:bookmarkStart w:id="52" w:name="_Toc184313270"/>
      <w:bookmarkEnd w:id="52"/>
      <w:bookmarkStart w:id="53" w:name="_Toc184308059"/>
      <w:bookmarkEnd w:id="53"/>
      <w:bookmarkStart w:id="54" w:name="_Toc184308069"/>
      <w:bookmarkEnd w:id="54"/>
      <w:bookmarkStart w:id="55" w:name="_Toc184312091"/>
      <w:bookmarkEnd w:id="55"/>
      <w:bookmarkStart w:id="56" w:name="_Toc184308100"/>
      <w:bookmarkEnd w:id="56"/>
      <w:bookmarkStart w:id="57" w:name="_Toc184308062"/>
      <w:bookmarkEnd w:id="57"/>
      <w:bookmarkStart w:id="58" w:name="_Toc184310339"/>
      <w:bookmarkEnd w:id="58"/>
      <w:bookmarkStart w:id="59" w:name="_Toc184313255"/>
      <w:bookmarkEnd w:id="59"/>
      <w:bookmarkStart w:id="60" w:name="_Toc184308088"/>
      <w:bookmarkEnd w:id="60"/>
      <w:bookmarkStart w:id="61" w:name="_Toc184310272"/>
      <w:bookmarkEnd w:id="61"/>
      <w:bookmarkStart w:id="62" w:name="_Toc184314412"/>
      <w:bookmarkEnd w:id="62"/>
      <w:bookmarkStart w:id="63" w:name="_Toc184310278"/>
      <w:bookmarkEnd w:id="63"/>
      <w:bookmarkStart w:id="64" w:name="_Toc184314472"/>
      <w:bookmarkEnd w:id="64"/>
      <w:bookmarkStart w:id="65" w:name="_Toc184308094"/>
      <w:bookmarkEnd w:id="65"/>
      <w:bookmarkStart w:id="66" w:name="_Toc184310282"/>
      <w:bookmarkEnd w:id="66"/>
      <w:bookmarkStart w:id="67" w:name="_Toc184312117"/>
      <w:bookmarkEnd w:id="67"/>
      <w:bookmarkStart w:id="68" w:name="_Toc184313298"/>
      <w:bookmarkEnd w:id="68"/>
      <w:bookmarkStart w:id="69" w:name="_Toc184310331"/>
      <w:bookmarkEnd w:id="69"/>
      <w:bookmarkStart w:id="70" w:name="_Toc184312113"/>
      <w:bookmarkEnd w:id="70"/>
      <w:bookmarkStart w:id="71" w:name="_Toc184314430"/>
      <w:bookmarkEnd w:id="71"/>
      <w:bookmarkStart w:id="72" w:name="_Toc184314429"/>
      <w:bookmarkEnd w:id="72"/>
      <w:bookmarkStart w:id="73" w:name="_Toc184313285"/>
      <w:bookmarkEnd w:id="73"/>
      <w:bookmarkStart w:id="74" w:name="_Toc184308036"/>
      <w:bookmarkEnd w:id="74"/>
      <w:bookmarkStart w:id="75" w:name="_Toc184312131"/>
      <w:bookmarkEnd w:id="75"/>
      <w:bookmarkStart w:id="76" w:name="_Toc184313279"/>
      <w:bookmarkEnd w:id="76"/>
      <w:bookmarkStart w:id="77" w:name="_Toc184308097"/>
      <w:bookmarkEnd w:id="77"/>
      <w:bookmarkStart w:id="78" w:name="_Toc184308092"/>
      <w:bookmarkEnd w:id="78"/>
      <w:bookmarkStart w:id="79" w:name="_Toc184308107"/>
      <w:bookmarkEnd w:id="79"/>
      <w:bookmarkStart w:id="80" w:name="_Toc184312087"/>
      <w:bookmarkEnd w:id="80"/>
      <w:bookmarkStart w:id="81" w:name="_Toc184308042"/>
      <w:bookmarkEnd w:id="81"/>
      <w:bookmarkStart w:id="82" w:name="_Toc184314466"/>
      <w:bookmarkEnd w:id="82"/>
      <w:bookmarkStart w:id="83" w:name="_Toc184310341"/>
      <w:bookmarkEnd w:id="83"/>
      <w:bookmarkStart w:id="84" w:name="_Toc184312083"/>
      <w:bookmarkEnd w:id="84"/>
      <w:bookmarkStart w:id="85" w:name="_Toc184312076"/>
      <w:bookmarkEnd w:id="85"/>
      <w:bookmarkStart w:id="86" w:name="_Toc184313259"/>
      <w:bookmarkEnd w:id="86"/>
      <w:bookmarkStart w:id="87" w:name="_Toc184313266"/>
      <w:bookmarkEnd w:id="87"/>
      <w:bookmarkStart w:id="88" w:name="_Toc184314427"/>
      <w:bookmarkEnd w:id="88"/>
      <w:bookmarkStart w:id="89" w:name="_Toc184308083"/>
      <w:bookmarkEnd w:id="89"/>
      <w:bookmarkStart w:id="90" w:name="_Toc184314434"/>
      <w:bookmarkEnd w:id="90"/>
      <w:bookmarkStart w:id="91" w:name="_Toc184313263"/>
      <w:bookmarkEnd w:id="91"/>
      <w:bookmarkStart w:id="92" w:name="_Toc184314419"/>
      <w:bookmarkEnd w:id="92"/>
      <w:bookmarkStart w:id="93" w:name="_Toc184313309"/>
      <w:bookmarkEnd w:id="93"/>
      <w:bookmarkStart w:id="94" w:name="_Toc184314441"/>
      <w:bookmarkEnd w:id="94"/>
      <w:bookmarkStart w:id="95" w:name="_Toc184310318"/>
      <w:bookmarkEnd w:id="95"/>
      <w:bookmarkStart w:id="96" w:name="_Toc184310296"/>
      <w:bookmarkEnd w:id="96"/>
      <w:bookmarkStart w:id="97" w:name="_Toc184308102"/>
      <w:bookmarkEnd w:id="97"/>
      <w:bookmarkStart w:id="98" w:name="_Toc184313277"/>
      <w:bookmarkEnd w:id="98"/>
      <w:bookmarkStart w:id="99" w:name="_Toc184308055"/>
      <w:bookmarkEnd w:id="99"/>
      <w:bookmarkStart w:id="100" w:name="_Toc184310284"/>
      <w:bookmarkEnd w:id="100"/>
      <w:bookmarkStart w:id="101" w:name="_Toc184310309"/>
      <w:bookmarkEnd w:id="101"/>
      <w:bookmarkStart w:id="102" w:name="_Toc184313240"/>
      <w:bookmarkEnd w:id="102"/>
      <w:bookmarkStart w:id="103" w:name="_Toc184313242"/>
      <w:bookmarkEnd w:id="103"/>
      <w:bookmarkStart w:id="104" w:name="_Toc184314425"/>
      <w:bookmarkEnd w:id="104"/>
      <w:bookmarkStart w:id="105" w:name="_Toc184308087"/>
      <w:bookmarkEnd w:id="105"/>
      <w:bookmarkStart w:id="106" w:name="_Toc184312099"/>
      <w:bookmarkEnd w:id="106"/>
      <w:bookmarkStart w:id="107" w:name="_Toc184313301"/>
      <w:bookmarkEnd w:id="107"/>
      <w:bookmarkStart w:id="108" w:name="_Toc184308079"/>
      <w:bookmarkEnd w:id="108"/>
      <w:bookmarkStart w:id="109" w:name="_Toc184312088"/>
      <w:bookmarkEnd w:id="109"/>
      <w:bookmarkStart w:id="110" w:name="_Toc184313276"/>
      <w:bookmarkEnd w:id="110"/>
      <w:bookmarkStart w:id="111" w:name="_Toc184310285"/>
      <w:bookmarkEnd w:id="111"/>
      <w:bookmarkStart w:id="112" w:name="_Toc184314415"/>
      <w:bookmarkEnd w:id="112"/>
      <w:bookmarkStart w:id="113" w:name="_Toc184310329"/>
      <w:bookmarkEnd w:id="113"/>
      <w:bookmarkStart w:id="114" w:name="_Toc184310299"/>
      <w:bookmarkEnd w:id="114"/>
      <w:bookmarkStart w:id="115" w:name="_Toc184314459"/>
      <w:bookmarkEnd w:id="115"/>
      <w:bookmarkStart w:id="116" w:name="_Toc184312069"/>
      <w:bookmarkEnd w:id="116"/>
      <w:bookmarkStart w:id="117" w:name="_Toc184313289"/>
      <w:bookmarkEnd w:id="117"/>
      <w:bookmarkStart w:id="118" w:name="_Toc184310330"/>
      <w:bookmarkEnd w:id="118"/>
      <w:bookmarkStart w:id="119" w:name="_Toc184313305"/>
      <w:bookmarkEnd w:id="119"/>
      <w:bookmarkStart w:id="120" w:name="_Toc184313294"/>
      <w:bookmarkEnd w:id="120"/>
      <w:bookmarkStart w:id="121" w:name="_Toc184313268"/>
      <w:bookmarkEnd w:id="121"/>
      <w:bookmarkStart w:id="122" w:name="_Toc184312090"/>
      <w:bookmarkEnd w:id="122"/>
      <w:bookmarkStart w:id="123" w:name="_Toc184310328"/>
      <w:bookmarkEnd w:id="123"/>
      <w:bookmarkStart w:id="124" w:name="_Toc184312074"/>
      <w:bookmarkEnd w:id="124"/>
      <w:bookmarkStart w:id="125" w:name="_Toc184312082"/>
      <w:bookmarkEnd w:id="125"/>
      <w:bookmarkStart w:id="126" w:name="_Toc184312085"/>
      <w:bookmarkEnd w:id="126"/>
      <w:bookmarkStart w:id="127" w:name="_Toc184310273"/>
      <w:bookmarkEnd w:id="127"/>
      <w:bookmarkStart w:id="128" w:name="_Toc184313306"/>
      <w:bookmarkEnd w:id="128"/>
      <w:bookmarkStart w:id="129" w:name="_Toc184308061"/>
      <w:bookmarkEnd w:id="129"/>
      <w:bookmarkStart w:id="130" w:name="_Toc184312079"/>
      <w:bookmarkEnd w:id="130"/>
      <w:bookmarkStart w:id="131" w:name="_Toc184313245"/>
      <w:bookmarkEnd w:id="131"/>
      <w:bookmarkStart w:id="132" w:name="_Toc184308071"/>
      <w:bookmarkEnd w:id="132"/>
      <w:bookmarkStart w:id="133" w:name="_Toc184308051"/>
      <w:bookmarkEnd w:id="133"/>
      <w:bookmarkStart w:id="134" w:name="_Toc184308048"/>
      <w:bookmarkEnd w:id="134"/>
      <w:bookmarkStart w:id="135" w:name="_Toc184314469"/>
      <w:bookmarkEnd w:id="135"/>
      <w:bookmarkStart w:id="136" w:name="_Toc184310277"/>
      <w:bookmarkEnd w:id="136"/>
      <w:bookmarkStart w:id="137" w:name="_Toc184310344"/>
      <w:bookmarkEnd w:id="137"/>
      <w:bookmarkStart w:id="138" w:name="_Toc184312118"/>
      <w:bookmarkEnd w:id="138"/>
      <w:bookmarkStart w:id="139" w:name="_Toc184313299"/>
      <w:bookmarkEnd w:id="139"/>
      <w:bookmarkStart w:id="140" w:name="_Toc184312102"/>
      <w:bookmarkEnd w:id="140"/>
      <w:bookmarkStart w:id="141" w:name="_Toc184310292"/>
      <w:bookmarkEnd w:id="141"/>
      <w:bookmarkStart w:id="142" w:name="_Toc184312132"/>
      <w:bookmarkEnd w:id="142"/>
      <w:bookmarkStart w:id="143" w:name="_Toc184308070"/>
      <w:bookmarkEnd w:id="143"/>
      <w:bookmarkStart w:id="144" w:name="_Toc184314421"/>
      <w:bookmarkEnd w:id="144"/>
      <w:bookmarkStart w:id="145" w:name="_Toc184312124"/>
      <w:bookmarkEnd w:id="145"/>
      <w:bookmarkStart w:id="146" w:name="_Toc184312120"/>
      <w:bookmarkEnd w:id="146"/>
      <w:bookmarkStart w:id="147" w:name="_Toc184313264"/>
      <w:bookmarkEnd w:id="147"/>
      <w:bookmarkStart w:id="148" w:name="_Toc184313288"/>
      <w:bookmarkEnd w:id="148"/>
      <w:bookmarkStart w:id="149" w:name="_Toc184308096"/>
      <w:bookmarkEnd w:id="149"/>
      <w:bookmarkStart w:id="150" w:name="_Toc184313249"/>
      <w:bookmarkEnd w:id="150"/>
      <w:bookmarkStart w:id="151" w:name="_Toc184314452"/>
      <w:bookmarkEnd w:id="151"/>
      <w:bookmarkStart w:id="152" w:name="_Toc184312125"/>
      <w:bookmarkEnd w:id="152"/>
      <w:bookmarkStart w:id="153" w:name="_Toc184312080"/>
      <w:bookmarkEnd w:id="153"/>
      <w:bookmarkStart w:id="154" w:name="_Toc184314479"/>
      <w:bookmarkEnd w:id="154"/>
      <w:bookmarkStart w:id="155" w:name="_Toc184313302"/>
      <w:bookmarkEnd w:id="155"/>
      <w:bookmarkStart w:id="156" w:name="_Toc184313290"/>
      <w:bookmarkEnd w:id="156"/>
      <w:bookmarkStart w:id="157" w:name="_Toc184310327"/>
      <w:bookmarkEnd w:id="157"/>
      <w:bookmarkStart w:id="158" w:name="_Toc184313281"/>
      <w:bookmarkEnd w:id="158"/>
      <w:bookmarkStart w:id="159" w:name="_Toc184314438"/>
      <w:bookmarkEnd w:id="159"/>
      <w:bookmarkStart w:id="160" w:name="_Toc184308082"/>
      <w:bookmarkEnd w:id="160"/>
      <w:bookmarkStart w:id="161" w:name="_Toc184313271"/>
      <w:bookmarkEnd w:id="161"/>
      <w:bookmarkStart w:id="162" w:name="_Toc184308105"/>
      <w:bookmarkEnd w:id="162"/>
      <w:bookmarkStart w:id="163" w:name="_Toc184313256"/>
      <w:bookmarkEnd w:id="163"/>
      <w:bookmarkStart w:id="164" w:name="_Toc184313293"/>
      <w:bookmarkEnd w:id="164"/>
      <w:bookmarkStart w:id="165" w:name="_Toc184313287"/>
      <w:bookmarkEnd w:id="165"/>
      <w:bookmarkStart w:id="166" w:name="_Toc184312111"/>
      <w:bookmarkEnd w:id="166"/>
      <w:bookmarkStart w:id="167" w:name="_Toc184314436"/>
      <w:bookmarkEnd w:id="167"/>
      <w:bookmarkStart w:id="168" w:name="_Toc184314455"/>
      <w:bookmarkEnd w:id="168"/>
      <w:bookmarkStart w:id="169" w:name="_Toc184308041"/>
      <w:bookmarkEnd w:id="169"/>
      <w:bookmarkStart w:id="170" w:name="_Toc184313307"/>
      <w:bookmarkEnd w:id="170"/>
      <w:bookmarkStart w:id="171" w:name="_Toc184308066"/>
      <w:bookmarkEnd w:id="171"/>
      <w:bookmarkStart w:id="172" w:name="_Toc184310301"/>
      <w:bookmarkEnd w:id="172"/>
      <w:bookmarkStart w:id="173" w:name="_Toc184308108"/>
      <w:bookmarkEnd w:id="173"/>
      <w:bookmarkStart w:id="174" w:name="_Toc184312136"/>
      <w:bookmarkEnd w:id="174"/>
      <w:bookmarkStart w:id="175" w:name="_Toc184308050"/>
      <w:bookmarkEnd w:id="175"/>
      <w:bookmarkStart w:id="176" w:name="_Toc184312107"/>
      <w:bookmarkEnd w:id="176"/>
      <w:bookmarkStart w:id="177" w:name="_Toc184313260"/>
      <w:bookmarkEnd w:id="177"/>
      <w:bookmarkStart w:id="178" w:name="_Toc184310306"/>
      <w:bookmarkEnd w:id="178"/>
      <w:bookmarkStart w:id="179" w:name="_Toc184313297"/>
      <w:bookmarkEnd w:id="179"/>
      <w:bookmarkStart w:id="180" w:name="_Toc184308080"/>
      <w:bookmarkEnd w:id="180"/>
      <w:bookmarkStart w:id="181" w:name="_Toc184313303"/>
      <w:bookmarkEnd w:id="181"/>
      <w:bookmarkStart w:id="182" w:name="_Toc184313239"/>
      <w:bookmarkEnd w:id="182"/>
      <w:bookmarkStart w:id="183" w:name="_Toc184312114"/>
      <w:bookmarkEnd w:id="183"/>
      <w:bookmarkStart w:id="184" w:name="_Toc184310319"/>
      <w:bookmarkEnd w:id="184"/>
      <w:bookmarkStart w:id="185" w:name="_Toc184310326"/>
      <w:bookmarkEnd w:id="185"/>
      <w:bookmarkStart w:id="186" w:name="_Toc184314440"/>
      <w:bookmarkEnd w:id="186"/>
      <w:bookmarkStart w:id="187" w:name="_Toc184314431"/>
      <w:bookmarkEnd w:id="187"/>
      <w:bookmarkStart w:id="188" w:name="_Toc184308067"/>
      <w:bookmarkEnd w:id="188"/>
      <w:bookmarkStart w:id="189" w:name="_Toc184314413"/>
      <w:bookmarkEnd w:id="189"/>
      <w:bookmarkStart w:id="190" w:name="_Toc184312084"/>
      <w:bookmarkEnd w:id="190"/>
      <w:bookmarkStart w:id="191" w:name="_Toc184308037"/>
      <w:bookmarkEnd w:id="191"/>
      <w:bookmarkStart w:id="192" w:name="_Toc184314462"/>
      <w:bookmarkEnd w:id="192"/>
      <w:bookmarkStart w:id="193" w:name="_Toc184308052"/>
      <w:bookmarkEnd w:id="193"/>
      <w:bookmarkStart w:id="194" w:name="_Toc184312139"/>
      <w:bookmarkEnd w:id="194"/>
      <w:bookmarkStart w:id="195" w:name="_Toc184310343"/>
      <w:bookmarkEnd w:id="195"/>
      <w:bookmarkStart w:id="196" w:name="_Toc184310298"/>
      <w:bookmarkEnd w:id="196"/>
      <w:bookmarkStart w:id="197" w:name="_Toc184310338"/>
      <w:bookmarkEnd w:id="197"/>
      <w:bookmarkStart w:id="198" w:name="_Toc184313284"/>
      <w:bookmarkEnd w:id="198"/>
      <w:bookmarkStart w:id="199" w:name="_Toc184308063"/>
      <w:bookmarkEnd w:id="199"/>
      <w:bookmarkStart w:id="200" w:name="_Toc184308040"/>
      <w:bookmarkEnd w:id="200"/>
      <w:bookmarkStart w:id="201" w:name="_Toc184308049"/>
      <w:bookmarkEnd w:id="201"/>
      <w:bookmarkStart w:id="202" w:name="_Toc184310322"/>
      <w:bookmarkEnd w:id="202"/>
      <w:bookmarkStart w:id="203" w:name="_Toc184310342"/>
      <w:bookmarkEnd w:id="203"/>
      <w:bookmarkStart w:id="204" w:name="_Toc184312115"/>
      <w:bookmarkEnd w:id="204"/>
      <w:bookmarkStart w:id="205" w:name="_Toc184314451"/>
      <w:bookmarkEnd w:id="205"/>
      <w:bookmarkStart w:id="206" w:name="_Toc184310286"/>
      <w:bookmarkEnd w:id="206"/>
      <w:bookmarkStart w:id="207" w:name="_Toc184314454"/>
      <w:bookmarkEnd w:id="207"/>
      <w:bookmarkStart w:id="208" w:name="_Toc184312092"/>
      <w:bookmarkEnd w:id="208"/>
      <w:bookmarkStart w:id="209" w:name="_Toc184313243"/>
      <w:bookmarkEnd w:id="209"/>
      <w:bookmarkStart w:id="210" w:name="_Toc184312130"/>
      <w:bookmarkEnd w:id="210"/>
      <w:bookmarkStart w:id="211" w:name="_Toc184312095"/>
      <w:bookmarkEnd w:id="211"/>
      <w:bookmarkStart w:id="212" w:name="_Toc184313248"/>
      <w:bookmarkEnd w:id="212"/>
      <w:bookmarkStart w:id="213" w:name="_Toc184312110"/>
      <w:bookmarkEnd w:id="213"/>
      <w:bookmarkStart w:id="214" w:name="_Toc184310297"/>
      <w:bookmarkEnd w:id="214"/>
      <w:bookmarkStart w:id="215" w:name="_Toc184313252"/>
      <w:bookmarkEnd w:id="215"/>
      <w:bookmarkStart w:id="216" w:name="_Toc184308074"/>
      <w:bookmarkEnd w:id="216"/>
      <w:bookmarkStart w:id="217" w:name="_Toc184312098"/>
      <w:bookmarkEnd w:id="217"/>
      <w:bookmarkStart w:id="218" w:name="_Toc184313273"/>
      <w:bookmarkEnd w:id="218"/>
      <w:bookmarkStart w:id="219" w:name="_Toc184308099"/>
      <w:bookmarkEnd w:id="219"/>
      <w:bookmarkStart w:id="220" w:name="_Toc184312089"/>
      <w:bookmarkEnd w:id="220"/>
      <w:bookmarkStart w:id="221" w:name="_Toc184310332"/>
      <w:bookmarkEnd w:id="221"/>
      <w:bookmarkStart w:id="222" w:name="_Toc184312138"/>
      <w:bookmarkEnd w:id="222"/>
      <w:bookmarkStart w:id="223" w:name="_Toc184314444"/>
      <w:bookmarkEnd w:id="223"/>
      <w:bookmarkStart w:id="224" w:name="_Toc184313280"/>
      <w:bookmarkEnd w:id="224"/>
      <w:bookmarkStart w:id="225" w:name="_Toc184312077"/>
      <w:bookmarkEnd w:id="225"/>
      <w:bookmarkStart w:id="226" w:name="_Toc184308046"/>
      <w:bookmarkEnd w:id="226"/>
      <w:bookmarkStart w:id="227" w:name="_Toc184308077"/>
      <w:bookmarkEnd w:id="227"/>
      <w:bookmarkStart w:id="228" w:name="_Toc184314478"/>
      <w:bookmarkEnd w:id="228"/>
      <w:bookmarkStart w:id="229" w:name="_Toc184312123"/>
      <w:bookmarkEnd w:id="229"/>
      <w:bookmarkStart w:id="230" w:name="_Toc184314437"/>
      <w:bookmarkEnd w:id="230"/>
      <w:bookmarkStart w:id="231" w:name="_Toc184310313"/>
      <w:bookmarkEnd w:id="231"/>
      <w:bookmarkStart w:id="232" w:name="_Toc184308091"/>
      <w:bookmarkEnd w:id="232"/>
      <w:bookmarkStart w:id="233" w:name="_Toc184310320"/>
      <w:bookmarkEnd w:id="233"/>
      <w:bookmarkStart w:id="234" w:name="_Toc184312068"/>
      <w:bookmarkEnd w:id="234"/>
      <w:bookmarkStart w:id="235" w:name="_Toc184314463"/>
      <w:bookmarkEnd w:id="235"/>
      <w:bookmarkStart w:id="236" w:name="_Toc184313304"/>
      <w:bookmarkEnd w:id="236"/>
      <w:bookmarkStart w:id="237" w:name="_Toc184313286"/>
      <w:bookmarkEnd w:id="237"/>
      <w:bookmarkStart w:id="238" w:name="_Toc184310325"/>
      <w:bookmarkEnd w:id="238"/>
      <w:bookmarkStart w:id="239" w:name="_Toc184313265"/>
      <w:bookmarkEnd w:id="239"/>
      <w:bookmarkStart w:id="240" w:name="_Toc184314447"/>
      <w:bookmarkEnd w:id="240"/>
      <w:bookmarkStart w:id="241" w:name="_Toc184308039"/>
      <w:bookmarkEnd w:id="241"/>
      <w:bookmarkStart w:id="242" w:name="_Toc184314461"/>
      <w:bookmarkEnd w:id="242"/>
      <w:bookmarkStart w:id="243" w:name="_Toc184310311"/>
      <w:bookmarkEnd w:id="243"/>
      <w:bookmarkStart w:id="244" w:name="_Toc184308068"/>
      <w:bookmarkEnd w:id="244"/>
      <w:bookmarkStart w:id="245" w:name="_Toc184314428"/>
      <w:bookmarkEnd w:id="245"/>
      <w:bookmarkStart w:id="246" w:name="_Toc184312105"/>
      <w:bookmarkEnd w:id="246"/>
      <w:bookmarkStart w:id="247" w:name="_Toc184314465"/>
      <w:bookmarkEnd w:id="247"/>
      <w:bookmarkStart w:id="248" w:name="_Toc184312075"/>
      <w:bookmarkEnd w:id="248"/>
      <w:bookmarkStart w:id="249" w:name="_Toc184314475"/>
      <w:bookmarkEnd w:id="249"/>
      <w:bookmarkStart w:id="250" w:name="_Toc184310315"/>
      <w:bookmarkEnd w:id="250"/>
      <w:bookmarkStart w:id="251" w:name="_Toc184314426"/>
      <w:bookmarkEnd w:id="251"/>
      <w:bookmarkStart w:id="252" w:name="_Toc184313282"/>
      <w:bookmarkEnd w:id="252"/>
      <w:bookmarkStart w:id="253" w:name="_Toc184314445"/>
      <w:bookmarkEnd w:id="253"/>
      <w:bookmarkStart w:id="254" w:name="_Toc184308076"/>
      <w:bookmarkEnd w:id="254"/>
      <w:bookmarkStart w:id="255" w:name="_Toc184314449"/>
      <w:bookmarkEnd w:id="255"/>
      <w:bookmarkStart w:id="256" w:name="_Toc184314477"/>
      <w:bookmarkEnd w:id="256"/>
      <w:bookmarkStart w:id="257" w:name="_Toc184308072"/>
      <w:bookmarkEnd w:id="257"/>
      <w:bookmarkStart w:id="258" w:name="_Toc184314476"/>
      <w:bookmarkEnd w:id="258"/>
      <w:bookmarkStart w:id="259" w:name="_Toc184312137"/>
      <w:bookmarkEnd w:id="259"/>
      <w:bookmarkStart w:id="260" w:name="_Toc184313254"/>
      <w:bookmarkEnd w:id="260"/>
      <w:bookmarkStart w:id="261" w:name="_Toc184314470"/>
      <w:bookmarkEnd w:id="261"/>
      <w:bookmarkStart w:id="262" w:name="_Toc184308060"/>
      <w:bookmarkEnd w:id="262"/>
      <w:bookmarkStart w:id="263" w:name="_Toc184314453"/>
      <w:bookmarkEnd w:id="263"/>
      <w:bookmarkStart w:id="264" w:name="_Toc184310317"/>
      <w:bookmarkEnd w:id="264"/>
      <w:bookmarkStart w:id="265" w:name="_Toc184310281"/>
      <w:bookmarkEnd w:id="265"/>
      <w:bookmarkStart w:id="266" w:name="_Toc184313272"/>
      <w:bookmarkEnd w:id="266"/>
      <w:bookmarkStart w:id="267" w:name="_Toc184310303"/>
      <w:bookmarkEnd w:id="267"/>
      <w:bookmarkStart w:id="268" w:name="_Toc184313247"/>
      <w:bookmarkEnd w:id="268"/>
      <w:bookmarkStart w:id="269" w:name="_Toc184314414"/>
      <w:bookmarkEnd w:id="269"/>
      <w:bookmarkStart w:id="270" w:name="_Toc184314443"/>
      <w:bookmarkEnd w:id="270"/>
      <w:bookmarkStart w:id="271" w:name="_Toc184312100"/>
      <w:bookmarkEnd w:id="271"/>
      <w:bookmarkStart w:id="272" w:name="_Toc184313292"/>
      <w:bookmarkEnd w:id="272"/>
      <w:bookmarkStart w:id="273" w:name="_Toc184308086"/>
      <w:bookmarkEnd w:id="273"/>
      <w:bookmarkStart w:id="274" w:name="_Toc184308103"/>
      <w:bookmarkEnd w:id="274"/>
      <w:bookmarkStart w:id="275" w:name="_Toc184310291"/>
      <w:bookmarkEnd w:id="275"/>
      <w:bookmarkStart w:id="276" w:name="_Toc184314433"/>
      <w:bookmarkEnd w:id="276"/>
      <w:bookmarkStart w:id="277" w:name="_Toc184308078"/>
      <w:bookmarkEnd w:id="277"/>
      <w:bookmarkStart w:id="278" w:name="_Toc184308095"/>
      <w:bookmarkEnd w:id="278"/>
      <w:bookmarkStart w:id="279" w:name="_Toc184310305"/>
      <w:bookmarkEnd w:id="279"/>
      <w:bookmarkStart w:id="280" w:name="_Toc184313262"/>
      <w:bookmarkEnd w:id="280"/>
      <w:bookmarkStart w:id="281" w:name="_Toc184314481"/>
      <w:bookmarkEnd w:id="281"/>
      <w:bookmarkStart w:id="282" w:name="_Toc184308054"/>
      <w:bookmarkEnd w:id="282"/>
      <w:bookmarkStart w:id="283" w:name="_Toc184310333"/>
      <w:bookmarkEnd w:id="283"/>
      <w:bookmarkStart w:id="284" w:name="_Toc184312112"/>
      <w:bookmarkEnd w:id="284"/>
      <w:bookmarkStart w:id="285" w:name="_Toc184310337"/>
      <w:bookmarkEnd w:id="285"/>
      <w:bookmarkStart w:id="286" w:name="_Toc184312096"/>
      <w:bookmarkEnd w:id="286"/>
      <w:bookmarkStart w:id="287" w:name="_Toc184312135"/>
      <w:bookmarkEnd w:id="287"/>
      <w:bookmarkStart w:id="288" w:name="_Toc184310336"/>
      <w:bookmarkEnd w:id="288"/>
      <w:bookmarkStart w:id="289" w:name="_Toc184314448"/>
      <w:bookmarkEnd w:id="289"/>
      <w:bookmarkStart w:id="290" w:name="_Toc184313253"/>
      <w:bookmarkEnd w:id="290"/>
      <w:bookmarkStart w:id="291" w:name="_Toc184312094"/>
      <w:bookmarkEnd w:id="291"/>
      <w:bookmarkStart w:id="292" w:name="_Toc184312133"/>
      <w:bookmarkEnd w:id="292"/>
      <w:bookmarkStart w:id="293" w:name="_Toc184310308"/>
      <w:bookmarkEnd w:id="293"/>
      <w:bookmarkStart w:id="294" w:name="_Toc184313251"/>
      <w:bookmarkEnd w:id="294"/>
      <w:bookmarkStart w:id="295" w:name="_Toc184314424"/>
      <w:bookmarkEnd w:id="295"/>
      <w:bookmarkStart w:id="296" w:name="_Toc184310287"/>
      <w:bookmarkEnd w:id="296"/>
      <w:bookmarkStart w:id="297" w:name="_Toc184312072"/>
      <w:bookmarkEnd w:id="297"/>
      <w:bookmarkStart w:id="298" w:name="_Toc184313308"/>
      <w:bookmarkEnd w:id="298"/>
      <w:bookmarkStart w:id="299" w:name="_Toc184314482"/>
      <w:bookmarkEnd w:id="299"/>
      <w:bookmarkStart w:id="300" w:name="_Toc184314439"/>
      <w:bookmarkEnd w:id="300"/>
      <w:bookmarkStart w:id="301" w:name="_Toc184310321"/>
      <w:bookmarkEnd w:id="301"/>
      <w:bookmarkStart w:id="302" w:name="_Toc184314460"/>
      <w:bookmarkEnd w:id="302"/>
      <w:bookmarkStart w:id="303" w:name="_Toc184310304"/>
      <w:bookmarkEnd w:id="303"/>
      <w:bookmarkStart w:id="304" w:name="_Toc184310312"/>
      <w:bookmarkEnd w:id="304"/>
      <w:bookmarkStart w:id="305" w:name="_Toc184314473"/>
      <w:bookmarkEnd w:id="305"/>
      <w:bookmarkStart w:id="306" w:name="_Toc184312128"/>
      <w:bookmarkEnd w:id="306"/>
      <w:bookmarkStart w:id="307" w:name="_Toc184310302"/>
      <w:bookmarkEnd w:id="307"/>
      <w:bookmarkStart w:id="308" w:name="_Toc184312127"/>
      <w:bookmarkEnd w:id="308"/>
      <w:bookmarkStart w:id="309" w:name="_Toc184314446"/>
      <w:bookmarkEnd w:id="309"/>
      <w:bookmarkStart w:id="310" w:name="_Toc184308064"/>
      <w:bookmarkEnd w:id="310"/>
      <w:bookmarkStart w:id="311" w:name="_Toc184310279"/>
      <w:bookmarkEnd w:id="311"/>
      <w:bookmarkStart w:id="312" w:name="_Toc184308045"/>
      <w:bookmarkEnd w:id="312"/>
      <w:bookmarkStart w:id="313" w:name="_Toc184308047"/>
      <w:bookmarkEnd w:id="313"/>
      <w:bookmarkStart w:id="314" w:name="_Toc184308057"/>
      <w:bookmarkEnd w:id="314"/>
      <w:bookmarkStart w:id="315" w:name="_Toc184314416"/>
      <w:bookmarkEnd w:id="315"/>
      <w:bookmarkStart w:id="316" w:name="_Toc184314432"/>
      <w:bookmarkEnd w:id="316"/>
      <w:bookmarkStart w:id="317" w:name="_Toc184313267"/>
      <w:bookmarkEnd w:id="317"/>
      <w:bookmarkStart w:id="318" w:name="_Toc184312071"/>
      <w:bookmarkEnd w:id="318"/>
      <w:bookmarkStart w:id="319" w:name="_Toc184312116"/>
      <w:bookmarkEnd w:id="319"/>
      <w:bookmarkStart w:id="320" w:name="_Toc184314435"/>
      <w:bookmarkEnd w:id="320"/>
      <w:bookmarkStart w:id="321" w:name="_Toc184314410"/>
      <w:bookmarkEnd w:id="321"/>
      <w:bookmarkStart w:id="322" w:name="_Toc184314423"/>
      <w:bookmarkEnd w:id="322"/>
      <w:bookmarkStart w:id="323" w:name="_Toc184312073"/>
      <w:bookmarkEnd w:id="323"/>
      <w:bookmarkStart w:id="324" w:name="_Toc184312109"/>
      <w:bookmarkEnd w:id="324"/>
      <w:bookmarkStart w:id="325" w:name="_Toc184310276"/>
      <w:bookmarkEnd w:id="325"/>
      <w:bookmarkStart w:id="326" w:name="_Toc184308053"/>
      <w:bookmarkEnd w:id="326"/>
      <w:bookmarkStart w:id="327" w:name="_Toc184310294"/>
      <w:bookmarkEnd w:id="327"/>
      <w:bookmarkStart w:id="328" w:name="_Toc184308089"/>
      <w:bookmarkEnd w:id="328"/>
      <w:bookmarkStart w:id="329" w:name="_Toc184313261"/>
      <w:bookmarkEnd w:id="329"/>
      <w:bookmarkStart w:id="330" w:name="_Toc184312106"/>
      <w:bookmarkEnd w:id="330"/>
      <w:bookmarkStart w:id="331" w:name="_Toc184313257"/>
      <w:bookmarkEnd w:id="331"/>
      <w:bookmarkStart w:id="332" w:name="_Toc184314456"/>
      <w:bookmarkEnd w:id="332"/>
      <w:bookmarkStart w:id="333" w:name="_Toc184310323"/>
      <w:bookmarkEnd w:id="333"/>
      <w:bookmarkStart w:id="334" w:name="_Toc184310300"/>
      <w:bookmarkEnd w:id="334"/>
      <w:bookmarkStart w:id="335" w:name="_Toc184312086"/>
      <w:bookmarkEnd w:id="335"/>
      <w:bookmarkStart w:id="336" w:name="_Toc184308081"/>
      <w:bookmarkEnd w:id="336"/>
      <w:bookmarkStart w:id="337" w:name="_Toc184314467"/>
      <w:bookmarkEnd w:id="337"/>
      <w:bookmarkStart w:id="338" w:name="_Toc184312108"/>
      <w:bookmarkEnd w:id="338"/>
      <w:bookmarkStart w:id="339" w:name="_Toc184314420"/>
      <w:bookmarkEnd w:id="339"/>
      <w:bookmarkStart w:id="340" w:name="_Toc184310288"/>
      <w:bookmarkEnd w:id="340"/>
      <w:bookmarkStart w:id="341" w:name="_Toc184308106"/>
      <w:bookmarkEnd w:id="341"/>
      <w:bookmarkStart w:id="342" w:name="_Toc184310310"/>
      <w:bookmarkEnd w:id="342"/>
      <w:bookmarkStart w:id="343" w:name="_Toc184310295"/>
      <w:bookmarkEnd w:id="343"/>
      <w:bookmarkStart w:id="344" w:name="_Toc184310334"/>
      <w:bookmarkEnd w:id="344"/>
      <w:bookmarkStart w:id="345" w:name="_Toc184308101"/>
      <w:bookmarkEnd w:id="345"/>
      <w:bookmarkStart w:id="346" w:name="_Toc184314450"/>
      <w:bookmarkEnd w:id="346"/>
      <w:bookmarkStart w:id="347" w:name="_Toc184312101"/>
      <w:bookmarkEnd w:id="347"/>
      <w:bookmarkStart w:id="348" w:name="_Toc184313291"/>
      <w:bookmarkEnd w:id="348"/>
      <w:bookmarkStart w:id="349" w:name="_Toc184308043"/>
      <w:bookmarkEnd w:id="349"/>
      <w:bookmarkStart w:id="350" w:name="_Toc184310335"/>
      <w:bookmarkEnd w:id="350"/>
      <w:bookmarkStart w:id="351" w:name="_Toc184308065"/>
      <w:bookmarkEnd w:id="351"/>
      <w:bookmarkStart w:id="352" w:name="_Toc184312122"/>
      <w:bookmarkEnd w:id="352"/>
      <w:bookmarkStart w:id="353" w:name="_Toc184313274"/>
      <w:bookmarkEnd w:id="353"/>
      <w:bookmarkStart w:id="354" w:name="_Toc184314417"/>
      <w:bookmarkEnd w:id="354"/>
      <w:bookmarkStart w:id="355" w:name="_Toc184312119"/>
      <w:bookmarkEnd w:id="355"/>
      <w:bookmarkStart w:id="356" w:name="_Toc184308090"/>
      <w:bookmarkEnd w:id="356"/>
      <w:bookmarkStart w:id="357" w:name="_Toc184312070"/>
      <w:bookmarkEnd w:id="357"/>
      <w:bookmarkStart w:id="358" w:name="_Toc184310274"/>
      <w:bookmarkEnd w:id="358"/>
      <w:bookmarkStart w:id="359" w:name="_Toc184312129"/>
      <w:bookmarkEnd w:id="359"/>
      <w:bookmarkStart w:id="360" w:name="_Toc184308044"/>
      <w:bookmarkEnd w:id="360"/>
      <w:bookmarkStart w:id="361" w:name="_Toc184314442"/>
      <w:bookmarkEnd w:id="361"/>
      <w:bookmarkStart w:id="362" w:name="_Toc184314471"/>
      <w:bookmarkEnd w:id="362"/>
      <w:bookmarkStart w:id="363" w:name="_Toc184314464"/>
      <w:bookmarkEnd w:id="363"/>
      <w:bookmarkStart w:id="364" w:name="_Toc184313244"/>
      <w:bookmarkEnd w:id="364"/>
      <w:bookmarkStart w:id="365" w:name="_Toc184308104"/>
      <w:bookmarkEnd w:id="365"/>
      <w:bookmarkStart w:id="366" w:name="_Toc184308098"/>
      <w:bookmarkEnd w:id="366"/>
      <w:bookmarkStart w:id="367" w:name="_Toc184310293"/>
      <w:bookmarkEnd w:id="367"/>
      <w:bookmarkStart w:id="368" w:name="_Toc184313269"/>
      <w:bookmarkEnd w:id="368"/>
      <w:bookmarkStart w:id="369" w:name="_Toc184314458"/>
      <w:bookmarkEnd w:id="369"/>
      <w:bookmarkStart w:id="370" w:name="_Toc184313250"/>
      <w:bookmarkEnd w:id="370"/>
      <w:bookmarkStart w:id="371" w:name="_Toc184312103"/>
      <w:bookmarkEnd w:id="371"/>
      <w:bookmarkStart w:id="372" w:name="_Toc184313238"/>
      <w:bookmarkEnd w:id="372"/>
      <w:bookmarkStart w:id="373" w:name="_Toc184308056"/>
      <w:bookmarkEnd w:id="373"/>
      <w:bookmarkStart w:id="374" w:name="_Toc184312126"/>
      <w:bookmarkEnd w:id="374"/>
      <w:bookmarkStart w:id="375" w:name="_Toc184310340"/>
      <w:bookmarkEnd w:id="375"/>
      <w:bookmarkStart w:id="376" w:name="_Toc184314457"/>
      <w:bookmarkEnd w:id="376"/>
      <w:bookmarkStart w:id="377" w:name="_Toc184308058"/>
      <w:bookmarkEnd w:id="377"/>
      <w:bookmarkStart w:id="378" w:name="_Toc184312078"/>
      <w:bookmarkEnd w:id="378"/>
      <w:bookmarkStart w:id="379" w:name="_Toc184313300"/>
      <w:bookmarkEnd w:id="379"/>
      <w:bookmarkStart w:id="380" w:name="_Toc184312104"/>
      <w:bookmarkEnd w:id="380"/>
      <w:bookmarkStart w:id="381" w:name="_Toc184310314"/>
      <w:bookmarkEnd w:id="381"/>
      <w:bookmarkStart w:id="382" w:name="_Toc184314480"/>
      <w:bookmarkEnd w:id="382"/>
      <w:bookmarkStart w:id="383" w:name="_Toc184312134"/>
      <w:bookmarkEnd w:id="383"/>
      <w:bookmarkStart w:id="384" w:name="_Toc184314418"/>
      <w:bookmarkEnd w:id="384"/>
      <w:bookmarkStart w:id="385" w:name="_Toc184313296"/>
      <w:bookmarkEnd w:id="385"/>
      <w:bookmarkStart w:id="386" w:name="_Toc184314474"/>
      <w:bookmarkEnd w:id="386"/>
      <w:bookmarkStart w:id="387" w:name="_Toc184310307"/>
      <w:bookmarkEnd w:id="387"/>
      <w:bookmarkStart w:id="388" w:name="_Toc184310275"/>
      <w:bookmarkEnd w:id="388"/>
      <w:bookmarkStart w:id="389" w:name="_Toc184308073"/>
      <w:bookmarkEnd w:id="389"/>
      <w:bookmarkStart w:id="390" w:name="_Toc184308093"/>
      <w:bookmarkEnd w:id="390"/>
      <w:bookmarkStart w:id="391" w:name="_Toc184308075"/>
      <w:bookmarkEnd w:id="391"/>
      <w:bookmarkStart w:id="392" w:name="_Toc184310289"/>
      <w:bookmarkEnd w:id="392"/>
      <w:bookmarkStart w:id="393" w:name="_Toc184313310"/>
      <w:bookmarkEnd w:id="393"/>
      <w:bookmarkStart w:id="394" w:name="_Toc184314422"/>
      <w:bookmarkEnd w:id="394"/>
      <w:r>
        <w:rPr>
          <w:rFonts w:hint="eastAsia" w:ascii="宋体" w:hAnsi="宋体" w:cs="宋体"/>
          <w:color w:val="auto"/>
          <w:szCs w:val="36"/>
          <w:highlight w:val="none"/>
        </w:rPr>
        <w:t>第四部分 评标办法</w:t>
      </w:r>
    </w:p>
    <w:p w14:paraId="42D944E7">
      <w:pPr>
        <w:pStyle w:val="4"/>
        <w:shd w:val="clear"/>
        <w:rPr>
          <w:color w:val="auto"/>
          <w:highlight w:val="none"/>
        </w:rPr>
      </w:pPr>
      <w:r>
        <w:rPr>
          <w:rFonts w:hint="eastAsia"/>
          <w:color w:val="auto"/>
          <w:highlight w:val="none"/>
        </w:rPr>
        <w:t>一、评标方法</w:t>
      </w:r>
    </w:p>
    <w:p w14:paraId="69830001">
      <w:pPr>
        <w:shd w:val="clear"/>
        <w:adjustRightInd/>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1C1D370">
      <w:pPr>
        <w:pStyle w:val="4"/>
        <w:bidi w:val="0"/>
        <w:rPr>
          <w:rFonts w:hint="default"/>
          <w:color w:val="auto"/>
          <w:highlight w:val="none"/>
          <w:lang w:val="en-US" w:eastAsia="zh-CN"/>
        </w:rPr>
      </w:pPr>
      <w:r>
        <w:rPr>
          <w:rFonts w:hint="eastAsia"/>
          <w:color w:val="auto"/>
          <w:highlight w:val="none"/>
          <w:lang w:val="en-US" w:eastAsia="zh-CN"/>
        </w:rPr>
        <w:t>二、评审标准</w:t>
      </w:r>
    </w:p>
    <w:p w14:paraId="154F90EC">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b/>
          <w:color w:val="auto"/>
          <w:sz w:val="24"/>
          <w:szCs w:val="24"/>
          <w:highlight w:val="none"/>
        </w:rPr>
      </w:pPr>
      <w:r>
        <w:rPr>
          <w:rFonts w:hint="eastAsia" w:ascii="宋体" w:hAnsi="宋体"/>
          <w:b/>
          <w:bCs/>
          <w:color w:val="auto"/>
          <w:sz w:val="24"/>
          <w:szCs w:val="24"/>
          <w:highlight w:val="none"/>
        </w:rPr>
        <w:t>（一）商务技术部分</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7</w:t>
      </w:r>
      <w:r>
        <w:rPr>
          <w:rFonts w:hint="eastAsia" w:ascii="宋体" w:hAnsi="宋体"/>
          <w:b/>
          <w:color w:val="auto"/>
          <w:sz w:val="24"/>
          <w:szCs w:val="24"/>
          <w:highlight w:val="none"/>
        </w:rPr>
        <w:t>0分）</w:t>
      </w:r>
    </w:p>
    <w:tbl>
      <w:tblPr>
        <w:tblStyle w:val="65"/>
        <w:tblpPr w:leftFromText="180" w:rightFromText="180" w:vertAnchor="text" w:horzAnchor="page" w:tblpX="1298" w:tblpY="467"/>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21"/>
        <w:gridCol w:w="7075"/>
      </w:tblGrid>
      <w:tr w14:paraId="76BE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noWrap w:val="0"/>
            <w:vAlign w:val="center"/>
          </w:tcPr>
          <w:p w14:paraId="7BCE939F">
            <w:pPr>
              <w:pStyle w:val="777"/>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评审因素</w:t>
            </w:r>
          </w:p>
        </w:tc>
        <w:tc>
          <w:tcPr>
            <w:tcW w:w="721" w:type="dxa"/>
            <w:noWrap w:val="0"/>
            <w:vAlign w:val="center"/>
          </w:tcPr>
          <w:p w14:paraId="1CB3FD7E">
            <w:pPr>
              <w:pStyle w:val="777"/>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分值</w:t>
            </w:r>
          </w:p>
        </w:tc>
        <w:tc>
          <w:tcPr>
            <w:tcW w:w="7075" w:type="dxa"/>
            <w:noWrap w:val="0"/>
            <w:vAlign w:val="center"/>
          </w:tcPr>
          <w:p w14:paraId="4D1D0A54">
            <w:pPr>
              <w:pStyle w:val="777"/>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评分细则</w:t>
            </w:r>
          </w:p>
        </w:tc>
      </w:tr>
      <w:tr w14:paraId="2A0E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3"/>
            <w:noWrap w:val="0"/>
            <w:vAlign w:val="center"/>
          </w:tcPr>
          <w:p w14:paraId="6E66432C">
            <w:pPr>
              <w:pStyle w:val="777"/>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商务分（</w:t>
            </w:r>
            <w:r>
              <w:rPr>
                <w:rFonts w:hint="eastAsia" w:ascii="宋体" w:hAnsi="宋体" w:eastAsia="宋体" w:cs="宋体"/>
                <w:b/>
                <w:color w:val="auto"/>
                <w:spacing w:val="-6"/>
                <w:sz w:val="21"/>
                <w:szCs w:val="21"/>
                <w:highlight w:val="none"/>
                <w:lang w:val="en-US" w:eastAsia="zh-CN"/>
              </w:rPr>
              <w:t>3</w:t>
            </w:r>
            <w:r>
              <w:rPr>
                <w:rFonts w:hint="eastAsia" w:ascii="宋体" w:hAnsi="宋体" w:eastAsia="宋体" w:cs="宋体"/>
                <w:b/>
                <w:color w:val="auto"/>
                <w:spacing w:val="-6"/>
                <w:sz w:val="21"/>
                <w:szCs w:val="21"/>
                <w:highlight w:val="none"/>
              </w:rPr>
              <w:t>分）</w:t>
            </w:r>
          </w:p>
        </w:tc>
      </w:tr>
      <w:tr w14:paraId="2C6C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02" w:type="dxa"/>
            <w:noWrap w:val="0"/>
            <w:vAlign w:val="center"/>
          </w:tcPr>
          <w:p w14:paraId="1B6F2DA4">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bCs/>
                <w:color w:val="auto"/>
                <w:sz w:val="21"/>
                <w:szCs w:val="21"/>
                <w:highlight w:val="none"/>
                <w:shd w:val="clear" w:color="auto" w:fill="FFFFFF"/>
              </w:rPr>
              <w:t>投标人业绩</w:t>
            </w:r>
          </w:p>
        </w:tc>
        <w:tc>
          <w:tcPr>
            <w:tcW w:w="721" w:type="dxa"/>
            <w:noWrap w:val="0"/>
            <w:vAlign w:val="center"/>
          </w:tcPr>
          <w:p w14:paraId="3FFF5E69">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lang w:val="en-US" w:eastAsia="zh-CN"/>
              </w:rPr>
              <w:t>3</w:t>
            </w:r>
          </w:p>
        </w:tc>
        <w:tc>
          <w:tcPr>
            <w:tcW w:w="7075" w:type="dxa"/>
            <w:noWrap w:val="0"/>
            <w:vAlign w:val="center"/>
          </w:tcPr>
          <w:p w14:paraId="50FA4851">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auto"/>
                <w:sz w:val="21"/>
                <w:szCs w:val="21"/>
                <w:highlight w:val="none"/>
              </w:rPr>
            </w:pPr>
            <w:r>
              <w:rPr>
                <w:rFonts w:hint="eastAsia" w:ascii="宋体" w:hAnsi="宋体" w:cs="宋体"/>
                <w:color w:val="auto"/>
                <w:spacing w:val="-6"/>
                <w:sz w:val="21"/>
                <w:szCs w:val="21"/>
                <w:highlight w:val="none"/>
                <w:lang w:eastAsia="zh-CN"/>
              </w:rPr>
              <w:t>【</w:t>
            </w:r>
            <w:r>
              <w:rPr>
                <w:rFonts w:hint="eastAsia" w:ascii="宋体" w:hAnsi="宋体" w:cs="宋体"/>
                <w:color w:val="auto"/>
                <w:spacing w:val="-6"/>
                <w:sz w:val="21"/>
                <w:szCs w:val="21"/>
                <w:highlight w:val="none"/>
                <w:lang w:val="en-US" w:eastAsia="zh-CN"/>
              </w:rPr>
              <w:t>客观分</w:t>
            </w:r>
            <w:r>
              <w:rPr>
                <w:rFonts w:hint="eastAsia" w:ascii="宋体" w:hAnsi="宋体" w:cs="宋体"/>
                <w:color w:val="auto"/>
                <w:spacing w:val="-6"/>
                <w:sz w:val="21"/>
                <w:szCs w:val="21"/>
                <w:highlight w:val="none"/>
                <w:lang w:eastAsia="zh-CN"/>
              </w:rPr>
              <w:t>】</w:t>
            </w:r>
            <w:r>
              <w:rPr>
                <w:rFonts w:hint="eastAsia" w:ascii="宋体" w:hAnsi="宋体" w:eastAsia="宋体" w:cs="宋体"/>
                <w:color w:val="auto"/>
                <w:spacing w:val="-8"/>
                <w:sz w:val="21"/>
                <w:szCs w:val="21"/>
                <w:highlight w:val="none"/>
                <w:lang w:val="en-US" w:eastAsia="zh-Hans"/>
              </w:rPr>
              <w:t>根据投标人202</w:t>
            </w:r>
            <w:r>
              <w:rPr>
                <w:rFonts w:hint="eastAsia" w:ascii="宋体" w:hAnsi="宋体" w:eastAsia="宋体" w:cs="宋体"/>
                <w:color w:val="auto"/>
                <w:spacing w:val="-8"/>
                <w:sz w:val="21"/>
                <w:szCs w:val="21"/>
                <w:highlight w:val="none"/>
                <w:lang w:val="en-US" w:eastAsia="zh-CN"/>
              </w:rPr>
              <w:t>3</w:t>
            </w:r>
            <w:r>
              <w:rPr>
                <w:rFonts w:hint="eastAsia" w:ascii="宋体" w:hAnsi="宋体" w:eastAsia="宋体" w:cs="宋体"/>
                <w:color w:val="auto"/>
                <w:spacing w:val="-8"/>
                <w:sz w:val="21"/>
                <w:szCs w:val="21"/>
                <w:highlight w:val="none"/>
                <w:lang w:val="en-US" w:eastAsia="zh-Hans"/>
              </w:rPr>
              <w:t>年1月1日至今（以合同签订日期为准）的同类（至少包含本次采购标的）项目进行评审，每提供一项符合要求的项目业绩得</w:t>
            </w:r>
            <w:r>
              <w:rPr>
                <w:rFonts w:hint="eastAsia" w:ascii="宋体" w:hAnsi="宋体" w:eastAsia="宋体" w:cs="宋体"/>
                <w:color w:val="auto"/>
                <w:spacing w:val="-8"/>
                <w:sz w:val="21"/>
                <w:szCs w:val="21"/>
                <w:highlight w:val="none"/>
                <w:lang w:val="en-US" w:eastAsia="zh-CN"/>
              </w:rPr>
              <w:t>0.5</w:t>
            </w:r>
            <w:r>
              <w:rPr>
                <w:rFonts w:hint="eastAsia" w:ascii="宋体" w:hAnsi="宋体" w:eastAsia="宋体" w:cs="宋体"/>
                <w:color w:val="auto"/>
                <w:spacing w:val="-8"/>
                <w:sz w:val="21"/>
                <w:szCs w:val="21"/>
                <w:highlight w:val="none"/>
                <w:lang w:val="en-US" w:eastAsia="zh-Hans"/>
              </w:rPr>
              <w:t>分，本项最高得</w:t>
            </w:r>
            <w:r>
              <w:rPr>
                <w:rFonts w:hint="eastAsia" w:ascii="宋体" w:hAnsi="宋体" w:eastAsia="宋体" w:cs="宋体"/>
                <w:color w:val="auto"/>
                <w:spacing w:val="-8"/>
                <w:sz w:val="21"/>
                <w:szCs w:val="21"/>
                <w:highlight w:val="none"/>
                <w:lang w:val="en-US" w:eastAsia="zh-CN"/>
              </w:rPr>
              <w:t>3</w:t>
            </w:r>
            <w:r>
              <w:rPr>
                <w:rFonts w:hint="eastAsia" w:ascii="宋体" w:hAnsi="宋体" w:eastAsia="宋体" w:cs="宋体"/>
                <w:color w:val="auto"/>
                <w:spacing w:val="-8"/>
                <w:sz w:val="21"/>
                <w:szCs w:val="21"/>
                <w:highlight w:val="none"/>
                <w:lang w:val="en-US" w:eastAsia="zh-Hans"/>
              </w:rPr>
              <w:t>分。 注：需提供合同关键页（含签订合同双方的单位名称、合同项目名称、采购内容与含签订合同双方的落款盖章、签订日期的关键页）及验收合格的相关证明文件复印件。</w:t>
            </w:r>
          </w:p>
        </w:tc>
      </w:tr>
      <w:tr w14:paraId="585E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498" w:type="dxa"/>
            <w:gridSpan w:val="3"/>
            <w:noWrap w:val="0"/>
            <w:vAlign w:val="center"/>
          </w:tcPr>
          <w:p w14:paraId="5E6E710F">
            <w:pPr>
              <w:pStyle w:val="25"/>
              <w:keepNext w:val="0"/>
              <w:keepLines w:val="0"/>
              <w:pageBreakBefore w:val="0"/>
              <w:kinsoku/>
              <w:wordWrap/>
              <w:overflowPunct/>
              <w:topLinePunct w:val="0"/>
              <w:bidi w:val="0"/>
              <w:adjustRightInd w:val="0"/>
              <w:snapToGrid w:val="0"/>
              <w:spacing w:before="0" w:line="360" w:lineRule="auto"/>
              <w:ind w:firstLine="0" w:firstLineChars="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b/>
                <w:color w:val="auto"/>
                <w:spacing w:val="-6"/>
                <w:sz w:val="21"/>
                <w:szCs w:val="21"/>
                <w:highlight w:val="none"/>
              </w:rPr>
              <w:t>技术分（6</w:t>
            </w:r>
            <w:r>
              <w:rPr>
                <w:rFonts w:hint="eastAsia" w:ascii="宋体" w:hAnsi="宋体" w:eastAsia="宋体" w:cs="宋体"/>
                <w:b/>
                <w:color w:val="auto"/>
                <w:spacing w:val="-6"/>
                <w:sz w:val="21"/>
                <w:szCs w:val="21"/>
                <w:highlight w:val="none"/>
                <w:lang w:val="en-US" w:eastAsia="zh-CN"/>
              </w:rPr>
              <w:t>7</w:t>
            </w:r>
            <w:r>
              <w:rPr>
                <w:rFonts w:hint="eastAsia" w:ascii="宋体" w:hAnsi="宋体" w:eastAsia="宋体" w:cs="宋体"/>
                <w:b/>
                <w:color w:val="auto"/>
                <w:spacing w:val="-6"/>
                <w:sz w:val="21"/>
                <w:szCs w:val="21"/>
                <w:highlight w:val="none"/>
              </w:rPr>
              <w:t>分）</w:t>
            </w:r>
          </w:p>
        </w:tc>
      </w:tr>
      <w:tr w14:paraId="3454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702" w:type="dxa"/>
            <w:noWrap w:val="0"/>
            <w:vAlign w:val="center"/>
          </w:tcPr>
          <w:p w14:paraId="4B4FDE24">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投标产品</w:t>
            </w:r>
            <w:r>
              <w:rPr>
                <w:rFonts w:hint="eastAsia" w:ascii="宋体" w:hAnsi="宋体" w:eastAsia="宋体" w:cs="宋体"/>
                <w:color w:val="auto"/>
                <w:sz w:val="21"/>
                <w:szCs w:val="21"/>
                <w:highlight w:val="none"/>
              </w:rPr>
              <w:t>技术响应情况</w:t>
            </w:r>
          </w:p>
        </w:tc>
        <w:tc>
          <w:tcPr>
            <w:tcW w:w="721" w:type="dxa"/>
            <w:noWrap w:val="0"/>
            <w:vAlign w:val="center"/>
          </w:tcPr>
          <w:p w14:paraId="128A123F">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2</w:t>
            </w:r>
            <w:r>
              <w:rPr>
                <w:rFonts w:hint="eastAsia" w:ascii="宋体" w:hAnsi="宋体" w:cs="宋体"/>
                <w:color w:val="auto"/>
                <w:spacing w:val="-6"/>
                <w:sz w:val="21"/>
                <w:szCs w:val="21"/>
                <w:highlight w:val="none"/>
                <w:lang w:val="en-US" w:eastAsia="zh-CN"/>
              </w:rPr>
              <w:t>0</w:t>
            </w:r>
          </w:p>
        </w:tc>
        <w:tc>
          <w:tcPr>
            <w:tcW w:w="7075" w:type="dxa"/>
            <w:noWrap w:val="0"/>
            <w:vAlign w:val="center"/>
          </w:tcPr>
          <w:p w14:paraId="32D97175">
            <w:pPr>
              <w:keepNext w:val="0"/>
              <w:keepLines w:val="0"/>
              <w:pageBreakBefore w:val="0"/>
              <w:widowControl/>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spacing w:val="-6"/>
                <w:sz w:val="21"/>
                <w:szCs w:val="21"/>
                <w:highlight w:val="none"/>
                <w:lang w:eastAsia="zh-CN"/>
              </w:rPr>
              <w:t>【</w:t>
            </w:r>
            <w:r>
              <w:rPr>
                <w:rFonts w:hint="eastAsia" w:ascii="宋体" w:hAnsi="宋体" w:cs="宋体"/>
                <w:color w:val="auto"/>
                <w:spacing w:val="-6"/>
                <w:sz w:val="21"/>
                <w:szCs w:val="21"/>
                <w:highlight w:val="none"/>
                <w:lang w:val="en-US" w:eastAsia="zh-CN"/>
              </w:rPr>
              <w:t>客观分</w:t>
            </w:r>
            <w:r>
              <w:rPr>
                <w:rFonts w:hint="eastAsia" w:ascii="宋体" w:hAnsi="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由评委根据</w:t>
            </w:r>
            <w:r>
              <w:rPr>
                <w:rFonts w:hint="eastAsia" w:ascii="宋体" w:hAnsi="宋体" w:eastAsia="宋体" w:cs="宋体"/>
                <w:color w:val="auto"/>
                <w:spacing w:val="-6"/>
                <w:sz w:val="21"/>
                <w:szCs w:val="21"/>
                <w:highlight w:val="none"/>
                <w:lang w:eastAsia="zh-CN"/>
              </w:rPr>
              <w:t>投标人</w:t>
            </w:r>
            <w:r>
              <w:rPr>
                <w:rFonts w:hint="eastAsia" w:ascii="宋体" w:hAnsi="宋体" w:eastAsia="宋体" w:cs="宋体"/>
                <w:color w:val="auto"/>
                <w:kern w:val="0"/>
                <w:sz w:val="21"/>
                <w:szCs w:val="21"/>
                <w:highlight w:val="none"/>
              </w:rPr>
              <w:t>所投产品的质量和性能等各项技术参数、技术性能、配置是否符合招标文件的要求及符合程度，所有技术参数响应采购项目需求的得2</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分，标“★”号的性能指标为重要指标，如每有一项负偏离的扣2分，其它技术要求每负偏离一项扣1分，扣完为止，扣完为止。</w:t>
            </w:r>
          </w:p>
          <w:p w14:paraId="12663E89">
            <w:pPr>
              <w:pStyle w:val="812"/>
              <w:keepNext w:val="0"/>
              <w:keepLines w:val="0"/>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b/>
                <w:bCs/>
                <w:color w:val="auto"/>
                <w:kern w:val="0"/>
                <w:sz w:val="21"/>
                <w:szCs w:val="21"/>
                <w:highlight w:val="none"/>
              </w:rPr>
              <w:t>注：商务技术偏离表技术要求中响应规格与技术资料不一致的（或要求提供证明材料但未提供的）经评标委员会讨论后可被认定为负偏离。</w:t>
            </w:r>
          </w:p>
        </w:tc>
      </w:tr>
      <w:tr w14:paraId="27B0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702" w:type="dxa"/>
            <w:noWrap w:val="0"/>
            <w:vAlign w:val="center"/>
          </w:tcPr>
          <w:p w14:paraId="5C064CCA">
            <w:pPr>
              <w:keepNext w:val="0"/>
              <w:keepLines w:val="0"/>
              <w:pageBreakBefore w:val="0"/>
              <w:widowControl w:val="0"/>
              <w:kinsoku/>
              <w:wordWrap/>
              <w:overflowPunct/>
              <w:topLinePunct w:val="0"/>
              <w:bidi w:val="0"/>
              <w:spacing w:line="400" w:lineRule="exact"/>
              <w:ind w:left="293" w:leftChars="0" w:right="153" w:rightChars="0" w:hanging="111" w:firstLineChars="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2"/>
                <w:sz w:val="21"/>
                <w:szCs w:val="21"/>
                <w:highlight w:val="none"/>
              </w:rPr>
              <w:t>产品保</w:t>
            </w:r>
            <w:r>
              <w:rPr>
                <w:rFonts w:hint="eastAsia" w:ascii="宋体" w:hAnsi="宋体" w:eastAsia="宋体" w:cs="宋体"/>
                <w:color w:val="auto"/>
                <w:spacing w:val="-1"/>
                <w:sz w:val="21"/>
                <w:szCs w:val="21"/>
                <w:highlight w:val="none"/>
              </w:rPr>
              <w:t>障</w:t>
            </w:r>
          </w:p>
        </w:tc>
        <w:tc>
          <w:tcPr>
            <w:tcW w:w="721" w:type="dxa"/>
            <w:noWrap w:val="0"/>
            <w:vAlign w:val="center"/>
          </w:tcPr>
          <w:p w14:paraId="0588B5B5">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8"/>
                <w:sz w:val="21"/>
                <w:szCs w:val="21"/>
                <w:highlight w:val="none"/>
                <w:lang w:val="en-US" w:eastAsia="zh-CN"/>
              </w:rPr>
              <w:t>2</w:t>
            </w:r>
          </w:p>
        </w:tc>
        <w:tc>
          <w:tcPr>
            <w:tcW w:w="7075" w:type="dxa"/>
            <w:noWrap w:val="0"/>
            <w:vAlign w:val="top"/>
          </w:tcPr>
          <w:p w14:paraId="3CC66EB6">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b/>
                <w:bCs/>
                <w:color w:val="auto"/>
                <w:kern w:val="0"/>
                <w:sz w:val="21"/>
                <w:szCs w:val="21"/>
                <w:highlight w:val="none"/>
              </w:rPr>
            </w:pPr>
            <w:r>
              <w:rPr>
                <w:rFonts w:hint="eastAsia" w:ascii="宋体" w:hAnsi="宋体" w:cs="宋体"/>
                <w:color w:val="auto"/>
                <w:spacing w:val="-6"/>
                <w:sz w:val="21"/>
                <w:szCs w:val="21"/>
                <w:highlight w:val="none"/>
                <w:lang w:eastAsia="zh-CN"/>
              </w:rPr>
              <w:t>【</w:t>
            </w:r>
            <w:r>
              <w:rPr>
                <w:rFonts w:hint="eastAsia" w:ascii="宋体" w:hAnsi="宋体" w:cs="宋体"/>
                <w:color w:val="auto"/>
                <w:spacing w:val="-6"/>
                <w:sz w:val="21"/>
                <w:szCs w:val="21"/>
                <w:highlight w:val="none"/>
                <w:lang w:val="en-US" w:eastAsia="zh-CN"/>
              </w:rPr>
              <w:t>客观分</w:t>
            </w:r>
            <w:r>
              <w:rPr>
                <w:rFonts w:hint="eastAsia" w:ascii="宋体" w:hAnsi="宋体" w:cs="宋体"/>
                <w:color w:val="auto"/>
                <w:spacing w:val="-6"/>
                <w:sz w:val="21"/>
                <w:szCs w:val="21"/>
                <w:highlight w:val="none"/>
                <w:lang w:eastAsia="zh-CN"/>
              </w:rPr>
              <w:t>】</w:t>
            </w:r>
            <w:r>
              <w:rPr>
                <w:rFonts w:hint="eastAsia" w:ascii="宋体" w:hAnsi="宋体" w:eastAsia="宋体" w:cs="宋体"/>
                <w:color w:val="auto"/>
                <w:spacing w:val="-8"/>
                <w:sz w:val="21"/>
                <w:szCs w:val="21"/>
                <w:highlight w:val="none"/>
                <w:lang w:val="en-US" w:eastAsia="zh-CN"/>
              </w:rPr>
              <w:t>投标产品满足“智能节水系统设计与安装”赛项训练的要求，提供对应的佐证材料，得2分；</w:t>
            </w:r>
          </w:p>
        </w:tc>
      </w:tr>
      <w:tr w14:paraId="2767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702" w:type="dxa"/>
            <w:noWrap w:val="0"/>
            <w:vAlign w:val="center"/>
          </w:tcPr>
          <w:p w14:paraId="270A7CD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投标演示</w:t>
            </w:r>
          </w:p>
        </w:tc>
        <w:tc>
          <w:tcPr>
            <w:tcW w:w="721" w:type="dxa"/>
            <w:noWrap w:val="0"/>
            <w:vAlign w:val="center"/>
          </w:tcPr>
          <w:p w14:paraId="0A3C4505">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p>
        </w:tc>
        <w:tc>
          <w:tcPr>
            <w:tcW w:w="7075" w:type="dxa"/>
            <w:noWrap w:val="0"/>
            <w:vAlign w:val="top"/>
          </w:tcPr>
          <w:p w14:paraId="373EBE88">
            <w:pPr>
              <w:keepNext w:val="0"/>
              <w:keepLines w:val="0"/>
              <w:pageBreakBefore w:val="0"/>
              <w:widowControl/>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pacing w:val="-8"/>
                <w:sz w:val="21"/>
                <w:szCs w:val="21"/>
                <w:highlight w:val="none"/>
                <w:lang w:val="en-US" w:eastAsia="zh-CN"/>
              </w:rPr>
            </w:pPr>
            <w:r>
              <w:rPr>
                <w:rFonts w:hint="eastAsia" w:ascii="宋体" w:hAnsi="宋体" w:cs="宋体"/>
                <w:color w:val="auto"/>
                <w:spacing w:val="-6"/>
                <w:sz w:val="21"/>
                <w:szCs w:val="21"/>
                <w:highlight w:val="none"/>
                <w:lang w:eastAsia="zh-CN"/>
              </w:rPr>
              <w:t>【</w:t>
            </w:r>
            <w:r>
              <w:rPr>
                <w:rFonts w:hint="eastAsia" w:ascii="宋体" w:hAnsi="宋体" w:cs="宋体"/>
                <w:color w:val="auto"/>
                <w:spacing w:val="-6"/>
                <w:sz w:val="21"/>
                <w:szCs w:val="21"/>
                <w:highlight w:val="none"/>
                <w:lang w:val="en-US" w:eastAsia="zh-CN"/>
              </w:rPr>
              <w:t>客观分</w:t>
            </w:r>
            <w:r>
              <w:rPr>
                <w:rFonts w:hint="eastAsia" w:ascii="宋体" w:hAnsi="宋体" w:cs="宋体"/>
                <w:color w:val="auto"/>
                <w:spacing w:val="-6"/>
                <w:sz w:val="21"/>
                <w:szCs w:val="21"/>
                <w:highlight w:val="none"/>
                <w:lang w:eastAsia="zh-CN"/>
              </w:rPr>
              <w:t>】</w:t>
            </w:r>
            <w:r>
              <w:rPr>
                <w:rFonts w:hint="eastAsia" w:ascii="宋体" w:hAnsi="宋体" w:eastAsia="宋体" w:cs="宋体"/>
                <w:color w:val="auto"/>
                <w:spacing w:val="-8"/>
                <w:sz w:val="21"/>
                <w:szCs w:val="21"/>
                <w:highlight w:val="none"/>
                <w:lang w:val="en-US" w:eastAsia="zh-CN"/>
              </w:rPr>
              <w:t>根据演示内容是否完全符合招标文件要求、功能点演示完整性、演示过程表述清晰度等进行综合评价，要求提供演示视频（具体要求详见招标文件第二部分 投标人须知前附表：7.方案讲解演示）。</w:t>
            </w:r>
          </w:p>
          <w:p w14:paraId="503BF212">
            <w:pPr>
              <w:keepNext w:val="0"/>
              <w:keepLines w:val="0"/>
              <w:pageBreakBefore w:val="0"/>
              <w:widowControl/>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1.PLC技术AR仿真实训教学软件:演示PLC技术实训装置的动画演示、可编程控制器的介绍、变频器的介绍、工业触摸屏的介绍、PLC控制LED仿真实训、PLC控制继电接触电路仿真实训、PLC控制变频调速仿真实训，满足要求得2分，每缺少一项演示内容扣0.3分，扣完为止</w:t>
            </w:r>
            <w:r>
              <w:rPr>
                <w:rFonts w:hint="eastAsia" w:ascii="宋体" w:hAnsi="宋体" w:eastAsia="宋体" w:cs="宋体"/>
                <w:color w:val="auto"/>
                <w:spacing w:val="-8"/>
                <w:sz w:val="21"/>
                <w:szCs w:val="21"/>
                <w:highlight w:val="none"/>
              </w:rPr>
              <w:t>；</w:t>
            </w:r>
          </w:p>
          <w:p w14:paraId="399661B5">
            <w:pPr>
              <w:keepNext w:val="0"/>
              <w:keepLines w:val="0"/>
              <w:pageBreakBefore w:val="0"/>
              <w:widowControl/>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2.传感器技术AR仿真实训教学软件：演示霍尔位移传感器、霍尔转速传感器、压电传感器、湿敏传感器、气敏传感器、电涡流传感器、磁电传感器、差动电容传感器、差动变压器、金属箔应变传感器、扩散硅压力传感器、光纤位移传感器、光电转速传感器、集成温度传感器、K型热电偶、E型热电偶、PT100铂电阻等17个工业技术常用的传感器的功能，满足要求得2分，每缺少一项演示内容扣0.1分，扣完为止</w:t>
            </w:r>
            <w:r>
              <w:rPr>
                <w:rFonts w:hint="eastAsia" w:ascii="宋体" w:hAnsi="宋体" w:eastAsia="宋体" w:cs="宋体"/>
                <w:color w:val="auto"/>
                <w:spacing w:val="-8"/>
                <w:sz w:val="21"/>
                <w:szCs w:val="21"/>
                <w:highlight w:val="none"/>
              </w:rPr>
              <w:t>；</w:t>
            </w:r>
          </w:p>
          <w:p w14:paraId="1BC1AA50">
            <w:pPr>
              <w:keepNext w:val="0"/>
              <w:keepLines w:val="0"/>
              <w:pageBreakBefore w:val="0"/>
              <w:widowControl/>
              <w:kinsoku/>
              <w:wordWrap/>
              <w:overflowPunct/>
              <w:topLinePunct w:val="0"/>
              <w:autoSpaceDE/>
              <w:autoSpaceDN/>
              <w:bidi w:val="0"/>
              <w:adjustRightInd/>
              <w:snapToGrid/>
              <w:spacing w:line="400" w:lineRule="exact"/>
              <w:ind w:left="0"/>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lang w:val="en-US" w:eastAsia="zh-CN"/>
              </w:rPr>
              <w:t>3.多种电机在环实时仿真实验系统：演示直流电机、异步电机、同步电机和变压器的工作特性曲线和机械特性曲线。直流电机不少于23组数据模，异步电机不少于20组数据模型，同步电机不少于6组数据模型，变压器不少于6组数据模型，直流电机数据模型覆盖串励、并励、他励三种电机类型，异步电机数据模型覆盖星型、三角两种接法，直流电机、异步电机特性实验能动态描绘电机工作特性、固有机械特性、人为机械特性曲线，满足要求得3分，每缺少一项演示内容扣1分，扣完为止</w:t>
            </w:r>
            <w:r>
              <w:rPr>
                <w:rFonts w:hint="eastAsia" w:ascii="宋体" w:hAnsi="宋体" w:eastAsia="宋体" w:cs="宋体"/>
                <w:color w:val="auto"/>
                <w:spacing w:val="-8"/>
                <w:sz w:val="21"/>
                <w:szCs w:val="21"/>
                <w:highlight w:val="none"/>
              </w:rPr>
              <w:t>；</w:t>
            </w:r>
          </w:p>
          <w:p w14:paraId="036962BF">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lang w:val="en-US" w:eastAsia="zh-CN"/>
              </w:rPr>
              <w:t>4.三维工业自动化设计软件：</w:t>
            </w:r>
            <w:r>
              <w:rPr>
                <w:rFonts w:hint="eastAsia" w:ascii="宋体" w:hAnsi="宋体" w:eastAsia="宋体" w:cs="宋体"/>
                <w:color w:val="auto"/>
                <w:spacing w:val="-8"/>
                <w:sz w:val="21"/>
                <w:szCs w:val="21"/>
                <w:highlight w:val="none"/>
              </w:rPr>
              <w:t>演示内容：软件PLC仿真技术、机器人仿真技术、电机仿真技术、装配体设计、工程图创建、钣金设计及优化、曲面设计及评估、结构仿真分析、动画和运动仿真、MBD基于模型的定义等10项功能，</w:t>
            </w:r>
            <w:r>
              <w:rPr>
                <w:rFonts w:hint="eastAsia" w:ascii="宋体" w:hAnsi="宋体" w:eastAsia="宋体" w:cs="宋体"/>
                <w:color w:val="auto"/>
                <w:spacing w:val="-8"/>
                <w:sz w:val="21"/>
                <w:szCs w:val="21"/>
                <w:highlight w:val="none"/>
                <w:lang w:val="en-US" w:eastAsia="zh-CN"/>
              </w:rPr>
              <w:t>满足要求得3分，每缺少一项演示内容扣0.5分，扣完为止</w:t>
            </w:r>
            <w:r>
              <w:rPr>
                <w:rFonts w:hint="eastAsia" w:ascii="宋体" w:hAnsi="宋体" w:eastAsia="宋体" w:cs="宋体"/>
                <w:color w:val="auto"/>
                <w:spacing w:val="-8"/>
                <w:sz w:val="21"/>
                <w:szCs w:val="21"/>
                <w:highlight w:val="none"/>
              </w:rPr>
              <w:t>；</w:t>
            </w:r>
          </w:p>
          <w:p w14:paraId="242F66EE">
            <w:pPr>
              <w:keepNext w:val="0"/>
              <w:keepLines w:val="0"/>
              <w:pageBreakBefore w:val="0"/>
              <w:widowControl/>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color w:val="auto"/>
                <w:spacing w:val="-8"/>
                <w:sz w:val="21"/>
                <w:szCs w:val="21"/>
                <w:highlight w:val="none"/>
                <w:lang w:val="en-US" w:eastAsia="zh-CN"/>
              </w:rPr>
            </w:pPr>
            <w:r>
              <w:rPr>
                <w:rFonts w:hint="eastAsia" w:ascii="宋体" w:hAnsi="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lang w:val="en-US" w:eastAsia="zh-CN"/>
              </w:rPr>
              <w:t>.</w:t>
            </w:r>
            <w:r>
              <w:rPr>
                <w:rFonts w:hint="eastAsia" w:ascii="宋体" w:hAnsi="宋体" w:cs="宋体"/>
                <w:color w:val="auto"/>
                <w:spacing w:val="-8"/>
                <w:sz w:val="21"/>
                <w:szCs w:val="21"/>
                <w:highlight w:val="none"/>
                <w:lang w:eastAsia="zh-CN"/>
              </w:rPr>
              <w:t>智能节水系统安装与运维综合实训平台</w:t>
            </w:r>
            <w:r>
              <w:rPr>
                <w:rFonts w:hint="eastAsia" w:ascii="宋体" w:hAnsi="宋体" w:eastAsia="宋体" w:cs="宋体"/>
                <w:color w:val="auto"/>
                <w:spacing w:val="-8"/>
                <w:sz w:val="21"/>
                <w:szCs w:val="21"/>
                <w:highlight w:val="none"/>
                <w:lang w:val="en-US" w:eastAsia="zh-CN"/>
              </w:rPr>
              <w:t>：</w:t>
            </w:r>
            <w:r>
              <w:rPr>
                <w:rFonts w:hint="eastAsia" w:ascii="宋体" w:hAnsi="宋体" w:eastAsia="宋体" w:cs="宋体"/>
                <w:b w:val="0"/>
                <w:bCs w:val="0"/>
                <w:color w:val="auto"/>
                <w:spacing w:val="-8"/>
                <w:sz w:val="21"/>
                <w:szCs w:val="21"/>
                <w:highlight w:val="none"/>
                <w:lang w:val="en-US" w:eastAsia="zh-CN"/>
              </w:rPr>
              <w:t>提供满足技术要求的响应产品实物演示视频及真人讲解，演示内容符合要求得5分，演示不符合要求或者不演示不得分。</w:t>
            </w:r>
          </w:p>
        </w:tc>
      </w:tr>
      <w:tr w14:paraId="620D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702" w:type="dxa"/>
            <w:noWrap w:val="0"/>
            <w:vAlign w:val="center"/>
          </w:tcPr>
          <w:p w14:paraId="159EF235">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总体建设方案</w:t>
            </w:r>
          </w:p>
        </w:tc>
        <w:tc>
          <w:tcPr>
            <w:tcW w:w="721" w:type="dxa"/>
            <w:noWrap w:val="0"/>
            <w:vAlign w:val="center"/>
          </w:tcPr>
          <w:p w14:paraId="77D981CF">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5</w:t>
            </w:r>
          </w:p>
        </w:tc>
        <w:tc>
          <w:tcPr>
            <w:tcW w:w="7075" w:type="dxa"/>
            <w:noWrap w:val="0"/>
            <w:vAlign w:val="center"/>
          </w:tcPr>
          <w:p w14:paraId="071B5758">
            <w:pPr>
              <w:keepNext w:val="0"/>
              <w:keepLines w:val="0"/>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pacing w:val="-6"/>
                <w:sz w:val="21"/>
                <w:szCs w:val="21"/>
                <w:highlight w:val="none"/>
                <w:lang w:eastAsia="zh-CN"/>
              </w:rPr>
              <w:t>【</w:t>
            </w:r>
            <w:r>
              <w:rPr>
                <w:rFonts w:hint="eastAsia" w:ascii="宋体" w:hAnsi="宋体" w:cs="宋体"/>
                <w:color w:val="auto"/>
                <w:spacing w:val="-6"/>
                <w:sz w:val="21"/>
                <w:szCs w:val="21"/>
                <w:highlight w:val="none"/>
                <w:lang w:val="en-US" w:eastAsia="zh-CN"/>
              </w:rPr>
              <w:t>主观分</w:t>
            </w:r>
            <w:r>
              <w:rPr>
                <w:rFonts w:hint="eastAsia" w:ascii="宋体" w:hAnsi="宋体" w:cs="宋体"/>
                <w:color w:val="auto"/>
                <w:spacing w:val="-6"/>
                <w:sz w:val="21"/>
                <w:szCs w:val="21"/>
                <w:highlight w:val="none"/>
                <w:lang w:eastAsia="zh-CN"/>
              </w:rPr>
              <w:t>】</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提供的项目总体建设方案，</w:t>
            </w:r>
            <w:r>
              <w:rPr>
                <w:rFonts w:hint="eastAsia" w:ascii="宋体" w:hAnsi="宋体" w:eastAsia="宋体" w:cs="宋体"/>
                <w:color w:val="auto"/>
                <w:sz w:val="21"/>
                <w:szCs w:val="21"/>
                <w:highlight w:val="none"/>
                <w:lang w:val="zh-CN"/>
              </w:rPr>
              <w:t>系统功能能够满足业务流程管理的需要</w:t>
            </w:r>
            <w:r>
              <w:rPr>
                <w:rFonts w:hint="eastAsia" w:ascii="宋体" w:hAnsi="宋体" w:eastAsia="宋体" w:cs="宋体"/>
                <w:color w:val="auto"/>
                <w:sz w:val="21"/>
                <w:szCs w:val="21"/>
                <w:highlight w:val="none"/>
              </w:rPr>
              <w:t>，明确计划，具有合理、实用及可操作性。</w:t>
            </w:r>
            <w:r>
              <w:rPr>
                <w:rFonts w:hint="eastAsia" w:ascii="宋体" w:hAnsi="宋体" w:eastAsia="宋体" w:cs="宋体"/>
                <w:color w:val="auto"/>
                <w:kern w:val="0"/>
                <w:sz w:val="21"/>
                <w:szCs w:val="21"/>
                <w:highlight w:val="none"/>
              </w:rPr>
              <w:t>（评分范围：0，1，2，3，4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w:t>
            </w:r>
          </w:p>
        </w:tc>
      </w:tr>
      <w:tr w14:paraId="0B5F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702" w:type="dxa"/>
            <w:vMerge w:val="restart"/>
            <w:noWrap w:val="0"/>
            <w:vAlign w:val="center"/>
          </w:tcPr>
          <w:p w14:paraId="74F9C214">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针对本项目的详细实施计划</w:t>
            </w:r>
          </w:p>
        </w:tc>
        <w:tc>
          <w:tcPr>
            <w:tcW w:w="721" w:type="dxa"/>
            <w:noWrap w:val="0"/>
            <w:vAlign w:val="center"/>
          </w:tcPr>
          <w:p w14:paraId="3CB8FA4A">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3</w:t>
            </w:r>
          </w:p>
        </w:tc>
        <w:tc>
          <w:tcPr>
            <w:tcW w:w="7075" w:type="dxa"/>
            <w:noWrap w:val="0"/>
            <w:vAlign w:val="center"/>
          </w:tcPr>
          <w:p w14:paraId="0DAE3044">
            <w:pPr>
              <w:keepNext w:val="0"/>
              <w:keepLines w:val="0"/>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pacing w:val="-6"/>
                <w:sz w:val="21"/>
                <w:szCs w:val="21"/>
                <w:highlight w:val="none"/>
                <w:lang w:eastAsia="zh-CN"/>
              </w:rPr>
              <w:t>【</w:t>
            </w:r>
            <w:r>
              <w:rPr>
                <w:rFonts w:hint="eastAsia" w:ascii="宋体" w:hAnsi="宋体" w:cs="宋体"/>
                <w:color w:val="auto"/>
                <w:spacing w:val="-6"/>
                <w:sz w:val="21"/>
                <w:szCs w:val="21"/>
                <w:highlight w:val="none"/>
                <w:lang w:val="en-US" w:eastAsia="zh-CN"/>
              </w:rPr>
              <w:t>主观分</w:t>
            </w:r>
            <w:r>
              <w:rPr>
                <w:rFonts w:hint="eastAsia" w:ascii="宋体" w:hAnsi="宋体" w:cs="宋体"/>
                <w:color w:val="auto"/>
                <w:spacing w:val="-6"/>
                <w:sz w:val="21"/>
                <w:szCs w:val="21"/>
                <w:highlight w:val="none"/>
                <w:lang w:eastAsia="zh-CN"/>
              </w:rPr>
              <w:t>】</w:t>
            </w:r>
            <w:r>
              <w:rPr>
                <w:rFonts w:hint="eastAsia" w:ascii="宋体" w:hAnsi="宋体" w:eastAsia="宋体" w:cs="宋体"/>
                <w:color w:val="auto"/>
                <w:sz w:val="21"/>
                <w:szCs w:val="21"/>
                <w:highlight w:val="none"/>
              </w:rPr>
              <w:t>运输方案保障措施有效、方案严密的最高得3分；措施及方案存在欠缺、影响或者可能影响供货期的，酌情扣分；</w:t>
            </w:r>
            <w:r>
              <w:rPr>
                <w:rFonts w:hint="eastAsia" w:ascii="宋体" w:hAnsi="宋体" w:eastAsia="宋体" w:cs="宋体"/>
                <w:color w:val="auto"/>
                <w:kern w:val="2"/>
                <w:sz w:val="21"/>
                <w:szCs w:val="21"/>
                <w:highlight w:val="none"/>
              </w:rPr>
              <w:t>（评分范围：0，1，2，3）</w:t>
            </w:r>
          </w:p>
        </w:tc>
      </w:tr>
      <w:tr w14:paraId="5084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702" w:type="dxa"/>
            <w:vMerge w:val="continue"/>
            <w:noWrap w:val="0"/>
            <w:vAlign w:val="center"/>
          </w:tcPr>
          <w:p w14:paraId="45CF46A3">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p>
        </w:tc>
        <w:tc>
          <w:tcPr>
            <w:tcW w:w="721" w:type="dxa"/>
            <w:noWrap w:val="0"/>
            <w:vAlign w:val="center"/>
          </w:tcPr>
          <w:p w14:paraId="571F89BF">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3</w:t>
            </w:r>
          </w:p>
        </w:tc>
        <w:tc>
          <w:tcPr>
            <w:tcW w:w="7075" w:type="dxa"/>
            <w:noWrap w:val="0"/>
            <w:vAlign w:val="center"/>
          </w:tcPr>
          <w:p w14:paraId="343CDDF0">
            <w:pPr>
              <w:keepNext w:val="0"/>
              <w:keepLines w:val="0"/>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pacing w:val="-6"/>
                <w:sz w:val="21"/>
                <w:szCs w:val="21"/>
                <w:highlight w:val="none"/>
                <w:lang w:eastAsia="zh-CN"/>
              </w:rPr>
              <w:t>【</w:t>
            </w:r>
            <w:r>
              <w:rPr>
                <w:rFonts w:hint="eastAsia" w:ascii="宋体" w:hAnsi="宋体" w:cs="宋体"/>
                <w:color w:val="auto"/>
                <w:spacing w:val="-6"/>
                <w:sz w:val="21"/>
                <w:szCs w:val="21"/>
                <w:highlight w:val="none"/>
                <w:lang w:val="en-US" w:eastAsia="zh-CN"/>
              </w:rPr>
              <w:t>主观分</w:t>
            </w:r>
            <w:r>
              <w:rPr>
                <w:rFonts w:hint="eastAsia" w:ascii="宋体" w:hAnsi="宋体" w:cs="宋体"/>
                <w:color w:val="auto"/>
                <w:spacing w:val="-6"/>
                <w:sz w:val="21"/>
                <w:szCs w:val="21"/>
                <w:highlight w:val="none"/>
                <w:lang w:eastAsia="zh-CN"/>
              </w:rPr>
              <w:t>】</w:t>
            </w:r>
            <w:r>
              <w:rPr>
                <w:rFonts w:hint="eastAsia" w:ascii="宋体" w:hAnsi="宋体" w:eastAsia="宋体" w:cs="宋体"/>
                <w:color w:val="auto"/>
                <w:sz w:val="21"/>
                <w:szCs w:val="21"/>
                <w:highlight w:val="none"/>
              </w:rPr>
              <w:t>安装、调试方案合理、严密的最高得3分，有缺漏的酌情扣分；</w:t>
            </w:r>
            <w:r>
              <w:rPr>
                <w:rFonts w:hint="eastAsia" w:ascii="宋体" w:hAnsi="宋体" w:eastAsia="宋体" w:cs="宋体"/>
                <w:color w:val="auto"/>
                <w:kern w:val="2"/>
                <w:sz w:val="21"/>
                <w:szCs w:val="21"/>
                <w:highlight w:val="none"/>
              </w:rPr>
              <w:t>（评分范围：0，1，2，3）</w:t>
            </w:r>
          </w:p>
        </w:tc>
      </w:tr>
      <w:tr w14:paraId="0C53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702" w:type="dxa"/>
            <w:vMerge w:val="continue"/>
            <w:noWrap w:val="0"/>
            <w:vAlign w:val="center"/>
          </w:tcPr>
          <w:p w14:paraId="5F1CFA02">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p>
        </w:tc>
        <w:tc>
          <w:tcPr>
            <w:tcW w:w="721" w:type="dxa"/>
            <w:noWrap w:val="0"/>
            <w:vAlign w:val="center"/>
          </w:tcPr>
          <w:p w14:paraId="1CF4ABD3">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3</w:t>
            </w:r>
          </w:p>
        </w:tc>
        <w:tc>
          <w:tcPr>
            <w:tcW w:w="7075" w:type="dxa"/>
            <w:noWrap w:val="0"/>
            <w:vAlign w:val="center"/>
          </w:tcPr>
          <w:p w14:paraId="14610A7A">
            <w:pPr>
              <w:keepNext w:val="0"/>
              <w:keepLines w:val="0"/>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pacing w:val="-6"/>
                <w:sz w:val="21"/>
                <w:szCs w:val="21"/>
                <w:highlight w:val="none"/>
                <w:lang w:eastAsia="zh-CN"/>
              </w:rPr>
              <w:t>【</w:t>
            </w:r>
            <w:r>
              <w:rPr>
                <w:rFonts w:hint="eastAsia" w:ascii="宋体" w:hAnsi="宋体" w:cs="宋体"/>
                <w:color w:val="auto"/>
                <w:spacing w:val="-6"/>
                <w:sz w:val="21"/>
                <w:szCs w:val="21"/>
                <w:highlight w:val="none"/>
                <w:lang w:val="en-US" w:eastAsia="zh-CN"/>
              </w:rPr>
              <w:t>主观分</w:t>
            </w:r>
            <w:r>
              <w:rPr>
                <w:rFonts w:hint="eastAsia" w:ascii="宋体" w:hAnsi="宋体" w:cs="宋体"/>
                <w:color w:val="auto"/>
                <w:spacing w:val="-6"/>
                <w:sz w:val="21"/>
                <w:szCs w:val="21"/>
                <w:highlight w:val="none"/>
                <w:lang w:eastAsia="zh-CN"/>
              </w:rPr>
              <w:t>】</w:t>
            </w:r>
            <w:r>
              <w:rPr>
                <w:rFonts w:hint="eastAsia" w:ascii="宋体" w:hAnsi="宋体" w:eastAsia="宋体" w:cs="宋体"/>
                <w:color w:val="auto"/>
                <w:sz w:val="21"/>
                <w:szCs w:val="21"/>
                <w:highlight w:val="none"/>
              </w:rPr>
              <w:t>验收方案合理、有效，能真实体现产品合格情况的最高得3分；</w:t>
            </w:r>
            <w:r>
              <w:rPr>
                <w:rFonts w:hint="eastAsia" w:ascii="宋体" w:hAnsi="宋体" w:eastAsia="宋体" w:cs="宋体"/>
                <w:color w:val="auto"/>
                <w:kern w:val="2"/>
                <w:sz w:val="21"/>
                <w:szCs w:val="21"/>
                <w:highlight w:val="none"/>
              </w:rPr>
              <w:t>（评分范围：0，1，2，3）</w:t>
            </w:r>
          </w:p>
        </w:tc>
      </w:tr>
      <w:tr w14:paraId="5A95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702" w:type="dxa"/>
            <w:vMerge w:val="continue"/>
            <w:noWrap w:val="0"/>
            <w:vAlign w:val="center"/>
          </w:tcPr>
          <w:p w14:paraId="4D7A4D52">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p>
        </w:tc>
        <w:tc>
          <w:tcPr>
            <w:tcW w:w="721" w:type="dxa"/>
            <w:noWrap w:val="0"/>
            <w:vAlign w:val="center"/>
          </w:tcPr>
          <w:p w14:paraId="4173070F">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3</w:t>
            </w:r>
          </w:p>
        </w:tc>
        <w:tc>
          <w:tcPr>
            <w:tcW w:w="7075" w:type="dxa"/>
            <w:noWrap w:val="0"/>
            <w:vAlign w:val="center"/>
          </w:tcPr>
          <w:p w14:paraId="65C4DD69">
            <w:pPr>
              <w:keepNext w:val="0"/>
              <w:keepLines w:val="0"/>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pacing w:val="-6"/>
                <w:sz w:val="21"/>
                <w:szCs w:val="21"/>
                <w:highlight w:val="none"/>
                <w:lang w:eastAsia="zh-CN"/>
              </w:rPr>
              <w:t>【</w:t>
            </w:r>
            <w:r>
              <w:rPr>
                <w:rFonts w:hint="eastAsia" w:ascii="宋体" w:hAnsi="宋体" w:cs="宋体"/>
                <w:color w:val="auto"/>
                <w:spacing w:val="-6"/>
                <w:sz w:val="21"/>
                <w:szCs w:val="21"/>
                <w:highlight w:val="none"/>
                <w:lang w:val="en-US" w:eastAsia="zh-CN"/>
              </w:rPr>
              <w:t>主观分</w:t>
            </w:r>
            <w:r>
              <w:rPr>
                <w:rFonts w:hint="eastAsia" w:ascii="宋体" w:hAnsi="宋体" w:cs="宋体"/>
                <w:color w:val="auto"/>
                <w:spacing w:val="-6"/>
                <w:sz w:val="21"/>
                <w:szCs w:val="21"/>
                <w:highlight w:val="none"/>
                <w:lang w:eastAsia="zh-CN"/>
              </w:rPr>
              <w:t>】</w:t>
            </w:r>
            <w:r>
              <w:rPr>
                <w:rFonts w:hint="eastAsia" w:ascii="宋体" w:hAnsi="宋体" w:eastAsia="宋体" w:cs="宋体"/>
                <w:color w:val="auto"/>
                <w:sz w:val="21"/>
                <w:szCs w:val="21"/>
                <w:highlight w:val="none"/>
              </w:rPr>
              <w:t>设备维护方式和时间：各</w:t>
            </w:r>
            <w:r>
              <w:rPr>
                <w:rFonts w:hint="eastAsia" w:ascii="宋体" w:hAnsi="宋体" w:eastAsia="宋体" w:cs="宋体"/>
                <w:color w:val="auto"/>
                <w:spacing w:val="0"/>
                <w:sz w:val="21"/>
                <w:szCs w:val="21"/>
                <w:highlight w:val="none"/>
                <w:lang w:eastAsia="zh-CN"/>
              </w:rPr>
              <w:t>投标人</w:t>
            </w:r>
            <w:r>
              <w:rPr>
                <w:rFonts w:hint="eastAsia" w:ascii="宋体" w:hAnsi="宋体" w:eastAsia="宋体" w:cs="宋体"/>
                <w:color w:val="auto"/>
                <w:sz w:val="21"/>
                <w:szCs w:val="21"/>
                <w:highlight w:val="none"/>
              </w:rPr>
              <w:t>需提供具体设备维护措施，措施合理有效的最高得3分。</w:t>
            </w:r>
            <w:r>
              <w:rPr>
                <w:rFonts w:hint="eastAsia" w:ascii="宋体" w:hAnsi="宋体" w:eastAsia="宋体" w:cs="宋体"/>
                <w:color w:val="auto"/>
                <w:kern w:val="2"/>
                <w:sz w:val="21"/>
                <w:szCs w:val="21"/>
                <w:highlight w:val="none"/>
              </w:rPr>
              <w:t>（评分范围：0，1，2，3）</w:t>
            </w:r>
          </w:p>
        </w:tc>
      </w:tr>
      <w:tr w14:paraId="15E9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702" w:type="dxa"/>
            <w:noWrap w:val="0"/>
            <w:vAlign w:val="center"/>
          </w:tcPr>
          <w:p w14:paraId="12C3D616">
            <w:pPr>
              <w:pStyle w:val="83"/>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质量保证措施</w:t>
            </w:r>
          </w:p>
        </w:tc>
        <w:tc>
          <w:tcPr>
            <w:tcW w:w="721" w:type="dxa"/>
            <w:noWrap w:val="0"/>
            <w:vAlign w:val="center"/>
          </w:tcPr>
          <w:p w14:paraId="0E86C21D">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5</w:t>
            </w:r>
          </w:p>
        </w:tc>
        <w:tc>
          <w:tcPr>
            <w:tcW w:w="7075" w:type="dxa"/>
            <w:noWrap w:val="0"/>
            <w:vAlign w:val="center"/>
          </w:tcPr>
          <w:p w14:paraId="2590D007">
            <w:pPr>
              <w:keepNext w:val="0"/>
              <w:keepLines w:val="0"/>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pacing w:val="-6"/>
                <w:sz w:val="21"/>
                <w:szCs w:val="21"/>
                <w:highlight w:val="none"/>
                <w:lang w:eastAsia="zh-CN"/>
              </w:rPr>
              <w:t>【</w:t>
            </w:r>
            <w:r>
              <w:rPr>
                <w:rFonts w:hint="eastAsia" w:ascii="宋体" w:hAnsi="宋体" w:cs="宋体"/>
                <w:color w:val="auto"/>
                <w:spacing w:val="-6"/>
                <w:sz w:val="21"/>
                <w:szCs w:val="21"/>
                <w:highlight w:val="none"/>
                <w:lang w:val="en-US" w:eastAsia="zh-CN"/>
              </w:rPr>
              <w:t>主观分</w:t>
            </w:r>
            <w:r>
              <w:rPr>
                <w:rFonts w:hint="eastAsia" w:ascii="宋体" w:hAnsi="宋体" w:cs="宋体"/>
                <w:color w:val="auto"/>
                <w:spacing w:val="-6"/>
                <w:sz w:val="21"/>
                <w:szCs w:val="21"/>
                <w:highlight w:val="none"/>
                <w:lang w:eastAsia="zh-CN"/>
              </w:rPr>
              <w:t>】</w:t>
            </w:r>
            <w:r>
              <w:rPr>
                <w:rFonts w:hint="eastAsia" w:ascii="宋体" w:hAnsi="宋体" w:eastAsia="宋体" w:cs="宋体"/>
                <w:color w:val="auto"/>
                <w:sz w:val="21"/>
                <w:szCs w:val="21"/>
                <w:highlight w:val="none"/>
              </w:rPr>
              <w:t>是否具有严密的质量监控措施和先进的质量检测设施；是否建立定期巡检制度和设备运行情况报告制度，定期出具巡检和设备运行情况报告；是否建立服务档案和解决方案资料库等。以及整体措施方案是否合理、可行（评分范围：0，1，2，3，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tc>
      </w:tr>
      <w:tr w14:paraId="722E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1702" w:type="dxa"/>
            <w:noWrap w:val="0"/>
            <w:vAlign w:val="center"/>
          </w:tcPr>
          <w:p w14:paraId="5391A5DD">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拟投入人员情况</w:t>
            </w:r>
          </w:p>
        </w:tc>
        <w:tc>
          <w:tcPr>
            <w:tcW w:w="721" w:type="dxa"/>
            <w:noWrap w:val="0"/>
            <w:vAlign w:val="center"/>
          </w:tcPr>
          <w:p w14:paraId="644B0EA9">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3</w:t>
            </w:r>
          </w:p>
        </w:tc>
        <w:tc>
          <w:tcPr>
            <w:tcW w:w="7075" w:type="dxa"/>
            <w:noWrap w:val="0"/>
            <w:vAlign w:val="center"/>
          </w:tcPr>
          <w:p w14:paraId="64A65EA5">
            <w:pPr>
              <w:keepNext w:val="0"/>
              <w:keepLines w:val="0"/>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pacing w:val="-6"/>
                <w:sz w:val="21"/>
                <w:szCs w:val="21"/>
                <w:highlight w:val="none"/>
                <w:lang w:eastAsia="zh-CN"/>
              </w:rPr>
              <w:t>【</w:t>
            </w:r>
            <w:r>
              <w:rPr>
                <w:rFonts w:hint="eastAsia" w:ascii="宋体" w:hAnsi="宋体" w:cs="宋体"/>
                <w:color w:val="auto"/>
                <w:spacing w:val="-6"/>
                <w:sz w:val="21"/>
                <w:szCs w:val="21"/>
                <w:highlight w:val="none"/>
                <w:lang w:val="en-US" w:eastAsia="zh-CN"/>
              </w:rPr>
              <w:t>客观分</w:t>
            </w:r>
            <w:r>
              <w:rPr>
                <w:rFonts w:hint="eastAsia" w:ascii="宋体" w:hAnsi="宋体" w:cs="宋体"/>
                <w:color w:val="auto"/>
                <w:spacing w:val="-6"/>
                <w:sz w:val="21"/>
                <w:szCs w:val="21"/>
                <w:highlight w:val="none"/>
                <w:lang w:eastAsia="zh-CN"/>
              </w:rPr>
              <w:t>】</w:t>
            </w:r>
            <w:r>
              <w:rPr>
                <w:rFonts w:hint="eastAsia" w:ascii="宋体" w:hAnsi="宋体" w:eastAsia="宋体" w:cs="宋体"/>
                <w:color w:val="auto"/>
                <w:sz w:val="21"/>
                <w:szCs w:val="21"/>
                <w:highlight w:val="none"/>
              </w:rPr>
              <w:t>拟派的项目实施</w:t>
            </w:r>
            <w:r>
              <w:rPr>
                <w:rFonts w:hint="eastAsia" w:ascii="宋体" w:hAnsi="宋体" w:eastAsia="宋体" w:cs="宋体"/>
                <w:color w:val="auto"/>
                <w:sz w:val="21"/>
                <w:szCs w:val="21"/>
                <w:highlight w:val="none"/>
              </w:rPr>
              <w:t>团队需配备有能力有针对性的、结合采购人实际进行设备安装调试、技术培训的技术团队。项目成员具有环境</w:t>
            </w:r>
            <w:r>
              <w:rPr>
                <w:rFonts w:hint="eastAsia" w:ascii="宋体" w:hAnsi="宋体" w:cs="宋体"/>
                <w:color w:val="auto"/>
                <w:sz w:val="21"/>
                <w:szCs w:val="21"/>
                <w:highlight w:val="none"/>
                <w:lang w:val="en-US" w:eastAsia="zh-CN"/>
              </w:rPr>
              <w:t>或水利</w:t>
            </w:r>
            <w:r>
              <w:rPr>
                <w:rFonts w:hint="eastAsia" w:ascii="宋体" w:hAnsi="宋体" w:eastAsia="宋体" w:cs="宋体"/>
                <w:color w:val="auto"/>
                <w:sz w:val="21"/>
                <w:szCs w:val="21"/>
                <w:highlight w:val="none"/>
              </w:rPr>
              <w:t>专业中级及以上职称的每个得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（提供相关证书及相关人员近三个月社保证明复印件并加盖单位公章）</w:t>
            </w:r>
          </w:p>
        </w:tc>
      </w:tr>
      <w:tr w14:paraId="6CE4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702" w:type="dxa"/>
            <w:vMerge w:val="restart"/>
            <w:noWrap w:val="0"/>
            <w:vAlign w:val="center"/>
          </w:tcPr>
          <w:p w14:paraId="31A1E945">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售后服务</w:t>
            </w:r>
          </w:p>
        </w:tc>
        <w:tc>
          <w:tcPr>
            <w:tcW w:w="721" w:type="dxa"/>
            <w:vMerge w:val="restart"/>
            <w:noWrap w:val="0"/>
            <w:vAlign w:val="center"/>
          </w:tcPr>
          <w:p w14:paraId="552B3450">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val="en-US" w:eastAsia="zh-CN"/>
              </w:rPr>
              <w:t>5</w:t>
            </w:r>
          </w:p>
        </w:tc>
        <w:tc>
          <w:tcPr>
            <w:tcW w:w="7075" w:type="dxa"/>
            <w:noWrap w:val="0"/>
            <w:vAlign w:val="center"/>
          </w:tcPr>
          <w:p w14:paraId="3E85ADEF">
            <w:pPr>
              <w:pStyle w:val="812"/>
              <w:keepNext w:val="0"/>
              <w:keepLines w:val="0"/>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pacing w:val="-6"/>
                <w:sz w:val="21"/>
                <w:szCs w:val="21"/>
                <w:highlight w:val="none"/>
                <w:lang w:eastAsia="zh-CN"/>
              </w:rPr>
              <w:t>【</w:t>
            </w:r>
            <w:r>
              <w:rPr>
                <w:rFonts w:hint="eastAsia" w:ascii="宋体" w:hAnsi="宋体" w:cs="宋体"/>
                <w:color w:val="auto"/>
                <w:spacing w:val="-6"/>
                <w:sz w:val="21"/>
                <w:szCs w:val="21"/>
                <w:highlight w:val="none"/>
                <w:lang w:val="en-US" w:eastAsia="zh-CN"/>
              </w:rPr>
              <w:t>客观分</w:t>
            </w:r>
            <w:r>
              <w:rPr>
                <w:rFonts w:hint="eastAsia" w:ascii="宋体" w:hAnsi="宋体" w:cs="宋体"/>
                <w:color w:val="auto"/>
                <w:spacing w:val="-6"/>
                <w:sz w:val="21"/>
                <w:szCs w:val="21"/>
                <w:highlight w:val="none"/>
                <w:lang w:eastAsia="zh-CN"/>
              </w:rPr>
              <w:t>】</w:t>
            </w:r>
            <w:r>
              <w:rPr>
                <w:rFonts w:hint="eastAsia" w:ascii="宋体" w:hAnsi="宋体" w:eastAsia="宋体" w:cs="宋体"/>
                <w:color w:val="auto"/>
                <w:sz w:val="21"/>
                <w:szCs w:val="21"/>
                <w:highlight w:val="none"/>
              </w:rPr>
              <w:t>（1）完全响应招标文件要求的得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pacing w:val="-6"/>
                <w:sz w:val="21"/>
                <w:szCs w:val="21"/>
                <w:highlight w:val="none"/>
              </w:rPr>
              <w:t>，不响应不得分。（评分范围：0，</w:t>
            </w:r>
            <w:r>
              <w:rPr>
                <w:rFonts w:hint="eastAsia" w:ascii="宋体" w:hAnsi="宋体"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rPr>
              <w:t>）</w:t>
            </w:r>
          </w:p>
        </w:tc>
      </w:tr>
      <w:tr w14:paraId="2C85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02" w:type="dxa"/>
            <w:vMerge w:val="continue"/>
            <w:noWrap w:val="0"/>
            <w:vAlign w:val="center"/>
          </w:tcPr>
          <w:p w14:paraId="0C2E62FA">
            <w:pPr>
              <w:pStyle w:val="812"/>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rPr>
            </w:pPr>
          </w:p>
        </w:tc>
        <w:tc>
          <w:tcPr>
            <w:tcW w:w="721" w:type="dxa"/>
            <w:vMerge w:val="continue"/>
            <w:noWrap w:val="0"/>
            <w:vAlign w:val="center"/>
          </w:tcPr>
          <w:p w14:paraId="4C2BFD70">
            <w:pPr>
              <w:pStyle w:val="812"/>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color w:val="auto"/>
                <w:spacing w:val="-6"/>
                <w:sz w:val="21"/>
                <w:szCs w:val="21"/>
                <w:highlight w:val="none"/>
              </w:rPr>
            </w:pPr>
          </w:p>
        </w:tc>
        <w:tc>
          <w:tcPr>
            <w:tcW w:w="7075" w:type="dxa"/>
            <w:noWrap w:val="0"/>
            <w:vAlign w:val="center"/>
          </w:tcPr>
          <w:p w14:paraId="07F55DFB">
            <w:pPr>
              <w:pStyle w:val="812"/>
              <w:keepNext w:val="0"/>
              <w:keepLines w:val="0"/>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pacing w:val="-6"/>
                <w:sz w:val="21"/>
                <w:szCs w:val="21"/>
                <w:highlight w:val="none"/>
                <w:lang w:eastAsia="zh-CN"/>
              </w:rPr>
              <w:t>【</w:t>
            </w:r>
            <w:r>
              <w:rPr>
                <w:rFonts w:hint="eastAsia" w:ascii="宋体" w:hAnsi="宋体" w:cs="宋体"/>
                <w:color w:val="auto"/>
                <w:spacing w:val="-6"/>
                <w:sz w:val="21"/>
                <w:szCs w:val="21"/>
                <w:highlight w:val="none"/>
                <w:lang w:val="en-US" w:eastAsia="zh-CN"/>
              </w:rPr>
              <w:t>主观分</w:t>
            </w:r>
            <w:r>
              <w:rPr>
                <w:rFonts w:hint="eastAsia" w:ascii="宋体" w:hAnsi="宋体" w:cs="宋体"/>
                <w:color w:val="auto"/>
                <w:spacing w:val="-6"/>
                <w:sz w:val="21"/>
                <w:szCs w:val="21"/>
                <w:highlight w:val="none"/>
                <w:lang w:eastAsia="zh-CN"/>
              </w:rPr>
              <w:t>】</w:t>
            </w:r>
            <w:r>
              <w:rPr>
                <w:rFonts w:hint="eastAsia" w:ascii="宋体" w:hAnsi="宋体" w:eastAsia="宋体" w:cs="宋体"/>
                <w:color w:val="auto"/>
                <w:sz w:val="21"/>
                <w:szCs w:val="21"/>
                <w:highlight w:val="none"/>
              </w:rPr>
              <w:t>（2）在满足招标文件的基础上，额外提供其它售后服务的，根据售后服务方案的合理性、有效性酌情打分，最高得3分，未提供不得分。（评分范围：0，1，2，3）</w:t>
            </w:r>
          </w:p>
        </w:tc>
      </w:tr>
    </w:tbl>
    <w:p w14:paraId="46F4E0A3">
      <w:pPr>
        <w:pStyle w:val="2"/>
        <w:rPr>
          <w:rFonts w:hint="eastAsia"/>
          <w:color w:val="auto"/>
          <w:highlight w:val="none"/>
        </w:rPr>
      </w:pPr>
    </w:p>
    <w:p w14:paraId="0AF45B66">
      <w:pPr>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（二）价格部分（</w:t>
      </w: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0分）</w:t>
      </w:r>
    </w:p>
    <w:p w14:paraId="37FB5715">
      <w:pPr>
        <w:pStyle w:val="25"/>
        <w:adjustRightInd w:val="0"/>
        <w:spacing w:line="360" w:lineRule="auto"/>
        <w:ind w:firstLine="480" w:firstLineChars="200"/>
        <w:rPr>
          <w:rFonts w:hint="eastAsia" w:hAnsi="宋体"/>
          <w:bCs/>
          <w:color w:val="auto"/>
          <w:sz w:val="24"/>
          <w:highlight w:val="none"/>
        </w:rPr>
      </w:pPr>
      <w:r>
        <w:rPr>
          <w:rFonts w:hint="eastAsia" w:hAnsi="宋体"/>
          <w:bCs/>
          <w:color w:val="auto"/>
          <w:sz w:val="24"/>
          <w:highlight w:val="none"/>
        </w:rPr>
        <w:t>价格分采用低价优先法计算，即满足采购文件要求且报价最低的报价为评审基准价，其价格分为满分。其他</w:t>
      </w:r>
      <w:r>
        <w:rPr>
          <w:rFonts w:hint="eastAsia" w:hAnsi="宋体"/>
          <w:bCs/>
          <w:color w:val="auto"/>
          <w:sz w:val="24"/>
          <w:highlight w:val="none"/>
          <w:lang w:eastAsia="zh-CN"/>
        </w:rPr>
        <w:t>投标人</w:t>
      </w:r>
      <w:r>
        <w:rPr>
          <w:rFonts w:hint="eastAsia" w:hAnsi="宋体"/>
          <w:bCs/>
          <w:color w:val="auto"/>
          <w:sz w:val="24"/>
          <w:highlight w:val="none"/>
        </w:rPr>
        <w:t>的价格分按照下列公式计算：</w:t>
      </w:r>
    </w:p>
    <w:p w14:paraId="5CE76084">
      <w:pPr>
        <w:pStyle w:val="25"/>
        <w:adjustRightInd w:val="0"/>
        <w:spacing w:line="360" w:lineRule="auto"/>
        <w:ind w:firstLine="480" w:firstLineChars="200"/>
        <w:rPr>
          <w:rFonts w:hint="eastAsia" w:hAnsi="宋体"/>
          <w:bCs/>
          <w:color w:val="auto"/>
          <w:sz w:val="24"/>
          <w:highlight w:val="none"/>
        </w:rPr>
      </w:pPr>
      <w:r>
        <w:rPr>
          <w:rFonts w:hint="eastAsia" w:hAnsi="宋体"/>
          <w:bCs/>
          <w:color w:val="auto"/>
          <w:sz w:val="24"/>
          <w:highlight w:val="none"/>
        </w:rPr>
        <w:t>价格分=（评审基准价/报价）×</w:t>
      </w:r>
      <w:r>
        <w:rPr>
          <w:rFonts w:hint="eastAsia"/>
          <w:bCs/>
          <w:color w:val="auto"/>
          <w:sz w:val="24"/>
          <w:highlight w:val="none"/>
          <w:lang w:val="en-US" w:eastAsia="zh-CN"/>
        </w:rPr>
        <w:t>3</w:t>
      </w:r>
      <w:r>
        <w:rPr>
          <w:rFonts w:hint="eastAsia" w:hAnsi="宋体"/>
          <w:bCs/>
          <w:color w:val="auto"/>
          <w:sz w:val="24"/>
          <w:highlight w:val="none"/>
        </w:rPr>
        <w:t>0%×100</w:t>
      </w:r>
    </w:p>
    <w:p w14:paraId="7960012D">
      <w:pPr>
        <w:adjustRightInd w:val="0"/>
        <w:ind w:firstLine="411" w:firstLineChars="196"/>
        <w:rPr>
          <w:rFonts w:hint="eastAsia" w:ascii="宋体" w:hAnsi="宋体" w:eastAsia="宋体" w:cs="宋体"/>
          <w:color w:val="auto"/>
          <w:highlight w:val="none"/>
        </w:rPr>
      </w:pPr>
    </w:p>
    <w:p w14:paraId="19DDFD88">
      <w:pPr>
        <w:pStyle w:val="4"/>
        <w:shd w:val="clear"/>
        <w:rPr>
          <w:color w:val="auto"/>
          <w:highlight w:val="none"/>
        </w:rPr>
      </w:pPr>
      <w:r>
        <w:rPr>
          <w:rFonts w:hint="eastAsia"/>
          <w:color w:val="auto"/>
          <w:highlight w:val="none"/>
        </w:rPr>
        <w:t>三、评标程序</w:t>
      </w:r>
    </w:p>
    <w:p w14:paraId="703E4F82">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3.1 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F3CFE53">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2D5DBA8">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3.3 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7C28F35">
      <w:pPr>
        <w:shd w:val="clea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3.4 报价评审。</w:t>
      </w:r>
    </w:p>
    <w:p w14:paraId="497D94BB">
      <w:pPr>
        <w:pStyle w:val="134"/>
        <w:shd w:val="clear"/>
        <w:spacing w:before="0"/>
        <w:ind w:firstLine="480"/>
        <w:rPr>
          <w:rFonts w:ascii="宋体" w:hAnsi="宋体" w:cs="宋体"/>
          <w:color w:val="auto"/>
          <w:kern w:val="0"/>
          <w:highlight w:val="none"/>
        </w:rPr>
      </w:pPr>
      <w:r>
        <w:rPr>
          <w:rFonts w:hint="eastAsia" w:ascii="宋体" w:hAnsi="宋体" w:cs="宋体"/>
          <w:color w:val="auto"/>
          <w:kern w:val="0"/>
          <w:highlight w:val="none"/>
        </w:rPr>
        <w:t>3.4.1 投标文件报价出现前后不一致的，按照下列规定修正：</w:t>
      </w:r>
    </w:p>
    <w:p w14:paraId="44C4E618">
      <w:pPr>
        <w:pStyle w:val="134"/>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 投标文件中开标一览表(报价表)内容与投标文件中相应内容不一致的，以开标一览表(报价表)为准;</w:t>
      </w:r>
    </w:p>
    <w:p w14:paraId="5C59A33E">
      <w:pPr>
        <w:pStyle w:val="134"/>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 大写金额和小写金额不一致的，以大写金额为准;</w:t>
      </w:r>
    </w:p>
    <w:p w14:paraId="5238B35A">
      <w:pPr>
        <w:pStyle w:val="134"/>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 单价金额小数点或者百分比有明显错位的，以开标一览表的总价为准，并修改单价;</w:t>
      </w:r>
    </w:p>
    <w:p w14:paraId="580E80F8">
      <w:pPr>
        <w:pStyle w:val="134"/>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 总价金额与按单价汇总金额不一致的，以单价金额计算结果为准。</w:t>
      </w:r>
    </w:p>
    <w:p w14:paraId="571018B6">
      <w:pPr>
        <w:pStyle w:val="134"/>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 同时出现两种以上不一致的，按照3.4.1规定的顺序修正。修正后的报价按照财政部第87号令 《政府采购货物和服务招标投标管理办法》第五十一条第二款的规定经投标人确认后产生约束力。</w:t>
      </w:r>
    </w:p>
    <w:p w14:paraId="69BBFBD1">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 投标文件出现不是唯一的、有选择性投标报价的，投标无效。</w:t>
      </w:r>
    </w:p>
    <w:p w14:paraId="1CF8856A">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 投标报价超过招标文件中规定的预算金额或者最高限价的，投标无效。</w:t>
      </w:r>
    </w:p>
    <w:p w14:paraId="34D9A7F0">
      <w:pPr>
        <w:pStyle w:val="134"/>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74D27AB">
      <w:pPr>
        <w:pStyle w:val="134"/>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 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FDEB00E">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 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B4DF8A">
      <w:pPr>
        <w:shd w:val="clea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5652E51">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3.6 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3CA4EA1">
      <w:pPr>
        <w:widowControl/>
        <w:shd w:val="clear" w:color="auto"/>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563B9BB">
      <w:pPr>
        <w:pStyle w:val="134"/>
        <w:shd w:val="clear"/>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 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496E53">
      <w:pPr>
        <w:pStyle w:val="25"/>
        <w:shd w:val="clear"/>
        <w:spacing w:line="360" w:lineRule="auto"/>
        <w:ind w:left="954" w:leftChars="226" w:hanging="479" w:firstLineChars="0"/>
        <w:rPr>
          <w:rFonts w:cs="宋体"/>
          <w:color w:val="auto"/>
          <w:szCs w:val="21"/>
          <w:highlight w:val="none"/>
        </w:rPr>
      </w:pPr>
      <w:r>
        <w:rPr>
          <w:rFonts w:hint="eastAsia" w:cs="宋体"/>
          <w:b/>
          <w:color w:val="auto"/>
          <w:kern w:val="0"/>
          <w:highlight w:val="none"/>
        </w:rPr>
        <w:t>4.2 投标无效。</w:t>
      </w:r>
      <w:r>
        <w:rPr>
          <w:rFonts w:hint="eastAsia" w:cs="宋体"/>
          <w:color w:val="auto"/>
          <w:szCs w:val="21"/>
          <w:highlight w:val="none"/>
        </w:rPr>
        <w:t>有下列情形之一的，投标无效：</w:t>
      </w:r>
    </w:p>
    <w:p w14:paraId="647D71F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 投标人不具备招标文件中规定的资格要求的（投标人未提供有效的资格文件的，视为投标人不具备招标文件中规定的资格要求）；</w:t>
      </w:r>
    </w:p>
    <w:p w14:paraId="595507C1">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 投标文件未按照招标文件要求签署、盖章的；</w:t>
      </w:r>
    </w:p>
    <w:p w14:paraId="4E9ABACA">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4.2.3 </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拟采购的产品属于政府强制采购的节能产品品目清单范围的，投标人相应的投标产品未获得国家确定的认证机构出具的、处于有效期之内的节能产品认证证书的；</w:t>
      </w:r>
    </w:p>
    <w:p w14:paraId="37FE78F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 投标文件含有</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不能接受的附加条件的；</w:t>
      </w:r>
    </w:p>
    <w:p w14:paraId="6393BC1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 投标文件中承诺的投标有效期少于招标文件中载明的投标有效期的；</w:t>
      </w:r>
    </w:p>
    <w:p w14:paraId="106742F4">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 投标文件出现不是唯一的、有选择性投标报价的;</w:t>
      </w:r>
    </w:p>
    <w:p w14:paraId="05F46DDB">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 投标报价超过招标文件中规定的预算金额或者最高限价的;</w:t>
      </w:r>
    </w:p>
    <w:p w14:paraId="0266EB9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 报价明显低于其他通过符合性审查投标人的报价，有可能影响产品质量或者不能诚信履约的，未能按要求提供书面说明或者提交相关证明材料，不能证明其报价合理性的;</w:t>
      </w:r>
    </w:p>
    <w:p w14:paraId="31E652F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 投标人对根据修正原则修正后的报价不确认的；</w:t>
      </w:r>
    </w:p>
    <w:p w14:paraId="76A76B7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 投标人提供虚假材料投标的；</w:t>
      </w:r>
    </w:p>
    <w:p w14:paraId="32C0F36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 投标人有恶意串通、妨碍其他投标人的竞争行为、损害采购人或者其他投标人的合法权益情形的。除政府采购法律法规规章规定的属于恶意串通、视为串通投标情形外，在不影响公平竞争的前提下，参与同一个采购包(标段)的供应商存在下列情形之一且无法合理解释的，其投标(响应)文件无效：（1）不同供应商的电子投标(响应)文件上传</w:t>
      </w:r>
      <w:r>
        <w:rPr>
          <w:rFonts w:hint="eastAsia" w:ascii="宋体" w:hAnsi="宋体" w:cs="宋体"/>
          <w:color w:val="auto"/>
          <w:kern w:val="0"/>
          <w:sz w:val="24"/>
          <w:highlight w:val="none"/>
          <w:lang w:val="en-US" w:eastAsia="zh-CN"/>
        </w:rPr>
        <w:t>IP地址相同；</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不同供应商的电子投标(响应)文件上传计算机的网卡MAC地址或硬盘序列号等硬件信息相同的；（</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）上传的电子投标(响应)文件若出现使用本项目其他投标(响应)供应商的数字证书加密的，或者加盖本项目其他投标(响应)供应商的电子印章的；（</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）不同供应商的投标(响应)文件的内容存在3处(含)以上错误一致的；（</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）不同供应商联系人为同一人或不同联系人的联系电话一致的；</w:t>
      </w:r>
    </w:p>
    <w:p w14:paraId="52B9822A">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 投标人仅提交备份投标文件，未在电子交易平台传输递交投标文件的，投标无效；</w:t>
      </w:r>
    </w:p>
    <w:p w14:paraId="066E20ED">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投标文件不满足招标文件的其它实质性要求的；</w:t>
      </w:r>
    </w:p>
    <w:p w14:paraId="2A8CAD3B">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 法律、法规、规章（适用本市的）及省级以上规范性文件（适用本市的）规定的其他无效情形。</w:t>
      </w:r>
    </w:p>
    <w:p w14:paraId="7EF043A8">
      <w:pPr>
        <w:pStyle w:val="25"/>
        <w:shd w:val="clear"/>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837E60A">
      <w:pPr>
        <w:pStyle w:val="25"/>
        <w:shd w:val="clear"/>
        <w:snapToGrid w:val="0"/>
        <w:spacing w:line="360" w:lineRule="auto"/>
        <w:rPr>
          <w:rFonts w:cs="宋体"/>
          <w:color w:val="auto"/>
          <w:highlight w:val="none"/>
        </w:rPr>
      </w:pPr>
      <w:r>
        <w:rPr>
          <w:rFonts w:hint="eastAsia" w:cs="宋体"/>
          <w:color w:val="auto"/>
          <w:highlight w:val="none"/>
        </w:rPr>
        <w:t>5.1 符合专业条件的供应商或者对招标文件作实质响应的供应商不足3家的；</w:t>
      </w:r>
    </w:p>
    <w:p w14:paraId="026713E8">
      <w:pPr>
        <w:pStyle w:val="25"/>
        <w:shd w:val="clear"/>
        <w:snapToGrid w:val="0"/>
        <w:spacing w:line="360" w:lineRule="auto"/>
        <w:rPr>
          <w:rFonts w:cs="宋体"/>
          <w:color w:val="auto"/>
          <w:highlight w:val="none"/>
        </w:rPr>
      </w:pPr>
      <w:r>
        <w:rPr>
          <w:rFonts w:hint="eastAsia" w:cs="宋体"/>
          <w:color w:val="auto"/>
          <w:highlight w:val="none"/>
        </w:rPr>
        <w:t>5.2 出现影响采购公正的违法、违规行为的；</w:t>
      </w:r>
    </w:p>
    <w:p w14:paraId="0FA01EE6">
      <w:pPr>
        <w:pStyle w:val="25"/>
        <w:shd w:val="clear"/>
        <w:snapToGrid w:val="0"/>
        <w:spacing w:line="360" w:lineRule="auto"/>
        <w:rPr>
          <w:rFonts w:cs="宋体"/>
          <w:color w:val="auto"/>
          <w:highlight w:val="none"/>
        </w:rPr>
      </w:pPr>
      <w:r>
        <w:rPr>
          <w:rFonts w:hint="eastAsia" w:cs="宋体"/>
          <w:color w:val="auto"/>
          <w:highlight w:val="none"/>
        </w:rPr>
        <w:t>5.3 投标人的报价均超过了采购预算，</w:t>
      </w:r>
      <w:r>
        <w:rPr>
          <w:rFonts w:hint="eastAsia" w:cs="宋体"/>
          <w:color w:val="auto"/>
          <w:highlight w:val="none"/>
          <w:lang w:eastAsia="zh-CN"/>
        </w:rPr>
        <w:t>采购人</w:t>
      </w:r>
      <w:r>
        <w:rPr>
          <w:rFonts w:hint="eastAsia" w:cs="宋体"/>
          <w:color w:val="auto"/>
          <w:highlight w:val="none"/>
        </w:rPr>
        <w:t>不能支付的；</w:t>
      </w:r>
    </w:p>
    <w:p w14:paraId="546072D9">
      <w:pPr>
        <w:pStyle w:val="25"/>
        <w:shd w:val="clear"/>
        <w:snapToGrid w:val="0"/>
        <w:spacing w:line="360" w:lineRule="auto"/>
        <w:rPr>
          <w:rFonts w:cs="宋体"/>
          <w:color w:val="auto"/>
          <w:highlight w:val="none"/>
        </w:rPr>
      </w:pPr>
      <w:r>
        <w:rPr>
          <w:rFonts w:hint="eastAsia" w:cs="宋体"/>
          <w:color w:val="auto"/>
          <w:highlight w:val="none"/>
        </w:rPr>
        <w:t>5.4 因重大变故，采购任务取消的。</w:t>
      </w:r>
    </w:p>
    <w:p w14:paraId="70E4A0D5">
      <w:pPr>
        <w:pStyle w:val="25"/>
        <w:shd w:val="clear"/>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109417BB">
      <w:pPr>
        <w:pStyle w:val="25"/>
        <w:shd w:val="clear"/>
        <w:snapToGrid w:val="0"/>
        <w:spacing w:line="360" w:lineRule="auto"/>
        <w:ind w:firstLine="472" w:firstLineChars="196"/>
        <w:rPr>
          <w:rFonts w:cs="宋体"/>
          <w:b/>
          <w:color w:val="auto"/>
          <w:highlight w:val="none"/>
        </w:rPr>
      </w:pPr>
      <w:r>
        <w:rPr>
          <w:rFonts w:hint="eastAsia" w:cs="宋体"/>
          <w:b/>
          <w:color w:val="auto"/>
          <w:highlight w:val="none"/>
        </w:rPr>
        <w:t>6.修改招标文件，重新组织采购活动。</w:t>
      </w:r>
      <w:r>
        <w:rPr>
          <w:rFonts w:hint="eastAsia" w:cs="宋体"/>
          <w:bCs/>
          <w:color w:val="auto"/>
          <w:highlight w:val="none"/>
        </w:rPr>
        <w:t>评标委员会发现招标文件存在歧义、重大缺陷导致评标工作无法进行，或者招标文件内容违反国家有关强制性规定的，将停止评标工作，并与</w:t>
      </w:r>
      <w:r>
        <w:rPr>
          <w:rFonts w:hint="eastAsia" w:cs="宋体"/>
          <w:bCs/>
          <w:color w:val="auto"/>
          <w:highlight w:val="none"/>
          <w:lang w:eastAsia="zh-CN"/>
        </w:rPr>
        <w:t>采购人</w:t>
      </w:r>
      <w:r>
        <w:rPr>
          <w:rFonts w:hint="eastAsia" w:cs="宋体"/>
          <w:bCs/>
          <w:color w:val="auto"/>
          <w:highlight w:val="none"/>
        </w:rPr>
        <w:t>、采购代理机构沟通并作书面记录。</w:t>
      </w:r>
      <w:r>
        <w:rPr>
          <w:rFonts w:hint="eastAsia" w:cs="宋体"/>
          <w:bCs/>
          <w:color w:val="auto"/>
          <w:highlight w:val="none"/>
          <w:lang w:eastAsia="zh-CN"/>
        </w:rPr>
        <w:t>采购人</w:t>
      </w:r>
      <w:r>
        <w:rPr>
          <w:rFonts w:hint="eastAsia" w:cs="宋体"/>
          <w:bCs/>
          <w:color w:val="auto"/>
          <w:highlight w:val="none"/>
        </w:rPr>
        <w:t>、采购代理机构确认后，将修改招标文件，重新组织采购活动。</w:t>
      </w:r>
    </w:p>
    <w:p w14:paraId="7FF9D606">
      <w:pPr>
        <w:pStyle w:val="25"/>
        <w:shd w:val="clear"/>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4AB9BDD">
      <w:pPr>
        <w:pStyle w:val="25"/>
        <w:shd w:val="clear"/>
        <w:snapToGrid w:val="0"/>
        <w:spacing w:line="360" w:lineRule="auto"/>
        <w:rPr>
          <w:rFonts w:cs="宋体"/>
          <w:color w:val="auto"/>
          <w:highlight w:val="none"/>
        </w:rPr>
      </w:pPr>
      <w:r>
        <w:rPr>
          <w:rFonts w:hint="eastAsia" w:cs="宋体"/>
          <w:color w:val="auto"/>
          <w:highlight w:val="none"/>
        </w:rPr>
        <w:t>7.1 未确定中标供应商的，终止本次政府采购活动，重新开展政府采购活动。</w:t>
      </w:r>
    </w:p>
    <w:p w14:paraId="5443C7DA">
      <w:pPr>
        <w:pStyle w:val="25"/>
        <w:shd w:val="clear"/>
        <w:snapToGrid w:val="0"/>
        <w:spacing w:line="360" w:lineRule="auto"/>
        <w:rPr>
          <w:rFonts w:cs="宋体"/>
          <w:color w:val="auto"/>
          <w:highlight w:val="none"/>
        </w:rPr>
      </w:pPr>
      <w:r>
        <w:rPr>
          <w:rFonts w:hint="eastAsia" w:cs="宋体"/>
          <w:color w:val="auto"/>
          <w:highlight w:val="none"/>
        </w:rPr>
        <w:t>7.2 已确定中标供应商但尚未签订政府采购合同的，中标结果无效，从合格的中标候选人中另行确定中标供应商；没有合格的中标候选人的，重新开展政府采购活动。</w:t>
      </w:r>
    </w:p>
    <w:p w14:paraId="250F971B">
      <w:pPr>
        <w:pStyle w:val="25"/>
        <w:shd w:val="clear"/>
        <w:snapToGrid w:val="0"/>
        <w:spacing w:line="360" w:lineRule="auto"/>
        <w:rPr>
          <w:rFonts w:cs="宋体"/>
          <w:color w:val="auto"/>
          <w:highlight w:val="none"/>
        </w:rPr>
      </w:pPr>
      <w:r>
        <w:rPr>
          <w:rFonts w:hint="eastAsia" w:cs="宋体"/>
          <w:color w:val="auto"/>
          <w:highlight w:val="none"/>
        </w:rPr>
        <w:t>7.3 政府采购合同已签订但尚未履行的，撤销合同，从合格的中标候选人中另行确定中标供应商；没有合格的中标候选人的，重新开展政府采购活动。</w:t>
      </w:r>
    </w:p>
    <w:p w14:paraId="1A7C4EB9">
      <w:pPr>
        <w:pStyle w:val="25"/>
        <w:shd w:val="clear"/>
        <w:snapToGrid w:val="0"/>
        <w:spacing w:line="360" w:lineRule="auto"/>
        <w:rPr>
          <w:rFonts w:cs="宋体"/>
          <w:color w:val="auto"/>
          <w:highlight w:val="none"/>
        </w:rPr>
      </w:pPr>
      <w:r>
        <w:rPr>
          <w:rFonts w:hint="eastAsia" w:cs="宋体"/>
          <w:color w:val="auto"/>
          <w:highlight w:val="none"/>
        </w:rPr>
        <w:t>7.4 政府采购合同已经履行，给</w:t>
      </w:r>
      <w:r>
        <w:rPr>
          <w:rFonts w:hint="eastAsia" w:cs="宋体"/>
          <w:color w:val="auto"/>
          <w:highlight w:val="none"/>
          <w:lang w:eastAsia="zh-CN"/>
        </w:rPr>
        <w:t>采购人</w:t>
      </w:r>
      <w:r>
        <w:rPr>
          <w:rFonts w:hint="eastAsia" w:cs="宋体"/>
          <w:color w:val="auto"/>
          <w:highlight w:val="none"/>
        </w:rPr>
        <w:t>、供应商造成损失的，由责任人承担赔偿责任。</w:t>
      </w:r>
    </w:p>
    <w:bookmarkEnd w:id="26"/>
    <w:p w14:paraId="3396E322">
      <w:pPr>
        <w:pStyle w:val="25"/>
        <w:shd w:val="clear"/>
        <w:snapToGrid w:val="0"/>
        <w:spacing w:line="360" w:lineRule="auto"/>
        <w:rPr>
          <w:rFonts w:cs="宋体"/>
          <w:color w:val="auto"/>
          <w:highlight w:val="none"/>
        </w:rPr>
        <w:sectPr>
          <w:footerReference r:id="rId8" w:type="default"/>
          <w:pgSz w:w="11907" w:h="16840"/>
          <w:pgMar w:top="1440" w:right="1080" w:bottom="1440" w:left="1080" w:header="851" w:footer="851" w:gutter="0"/>
          <w:cols w:space="720" w:num="1"/>
          <w:docGrid w:linePitch="0" w:charSpace="0"/>
        </w:sectPr>
      </w:pPr>
      <w:r>
        <w:rPr>
          <w:rFonts w:hint="eastAsia" w:cs="宋体"/>
          <w:color w:val="auto"/>
          <w:highlight w:val="none"/>
        </w:rPr>
        <w:t>7.5 政府采购当事人有其他违反政府采购法或者政府采购法实施条例等法律法规规定的行为，经改正后仍然影响或者可能影响中标结果或者依法被认定为中标无效的，依照7.1-7.4规定处理。</w:t>
      </w:r>
    </w:p>
    <w:p w14:paraId="56A6C7D9">
      <w:pPr>
        <w:pStyle w:val="3"/>
        <w:shd w:val="clear"/>
        <w:rPr>
          <w:color w:val="auto"/>
          <w:highlight w:val="none"/>
        </w:rPr>
      </w:pPr>
      <w:bookmarkStart w:id="395" w:name="_Toc86217003"/>
      <w:bookmarkStart w:id="396" w:name="第五部分"/>
      <w:r>
        <w:rPr>
          <w:rFonts w:hint="eastAsia"/>
          <w:color w:val="auto"/>
          <w:highlight w:val="none"/>
        </w:rPr>
        <w:t>第五部分 拟签订的合同文本</w:t>
      </w:r>
    </w:p>
    <w:p w14:paraId="46C058D1">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本章所述《合同格式及合同条款》为指引性文件。在合同签订时，</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有权合理修改本合同条款。若</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7DDCA20D">
      <w:pPr>
        <w:keepNext w:val="0"/>
        <w:keepLines w:val="0"/>
        <w:pageBreakBefore w:val="0"/>
        <w:widowControl w:val="0"/>
        <w:kinsoku/>
        <w:wordWrap/>
        <w:overflowPunct/>
        <w:topLinePunct w:val="0"/>
        <w:autoSpaceDE/>
        <w:autoSpaceDN/>
        <w:bidi w:val="0"/>
        <w:adjustRightInd w:val="0"/>
        <w:snapToGrid w:val="0"/>
        <w:ind w:firstLine="0"/>
        <w:jc w:val="center"/>
        <w:rPr>
          <w:rFonts w:cs="宋体"/>
          <w:b/>
          <w:bCs/>
          <w:color w:val="auto"/>
          <w:spacing w:val="20"/>
          <w:highlight w:val="none"/>
        </w:rPr>
      </w:pPr>
      <w:r>
        <w:rPr>
          <w:rFonts w:hint="eastAsia" w:cs="宋体"/>
          <w:b/>
          <w:bCs/>
          <w:color w:val="auto"/>
          <w:spacing w:val="20"/>
          <w:sz w:val="30"/>
          <w:szCs w:val="30"/>
          <w:highlight w:val="none"/>
        </w:rPr>
        <w:t>采 购 合 同</w:t>
      </w:r>
    </w:p>
    <w:p w14:paraId="4CF9E63E">
      <w:pPr>
        <w:pStyle w:val="83"/>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项目名称：</w:t>
      </w:r>
    </w:p>
    <w:p w14:paraId="6C435060">
      <w:pPr>
        <w:pStyle w:val="968"/>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项目编号：</w:t>
      </w:r>
    </w:p>
    <w:tbl>
      <w:tblPr>
        <w:tblStyle w:val="65"/>
        <w:tblW w:w="9828" w:type="dxa"/>
        <w:tblInd w:w="0" w:type="dxa"/>
        <w:tblLayout w:type="fixed"/>
        <w:tblCellMar>
          <w:top w:w="0" w:type="dxa"/>
          <w:left w:w="108" w:type="dxa"/>
          <w:bottom w:w="0" w:type="dxa"/>
          <w:right w:w="108" w:type="dxa"/>
        </w:tblCellMar>
      </w:tblPr>
      <w:tblGrid>
        <w:gridCol w:w="5571"/>
        <w:gridCol w:w="4257"/>
      </w:tblGrid>
      <w:tr w14:paraId="3A937F31">
        <w:tc>
          <w:tcPr>
            <w:tcW w:w="5571" w:type="dxa"/>
            <w:noWrap w:val="0"/>
            <w:vAlign w:val="top"/>
          </w:tcPr>
          <w:p w14:paraId="160DE72E">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甲方（需方）：</w:t>
            </w:r>
          </w:p>
        </w:tc>
        <w:tc>
          <w:tcPr>
            <w:tcW w:w="4257" w:type="dxa"/>
            <w:noWrap w:val="0"/>
            <w:vAlign w:val="top"/>
          </w:tcPr>
          <w:p w14:paraId="368A2E39">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r>
              <w:rPr>
                <w:rFonts w:hint="eastAsia" w:ascii="宋体" w:hAnsi="宋体" w:cs="宋体"/>
                <w:color w:val="auto"/>
                <w:sz w:val="24"/>
                <w:szCs w:val="24"/>
                <w:highlight w:val="none"/>
                <w:lang w:eastAsia="zh-CN"/>
              </w:rPr>
              <w:t>530000</w:t>
            </w:r>
            <w:r>
              <w:rPr>
                <w:rFonts w:hint="eastAsia" w:ascii="宋体" w:hAnsi="宋体" w:eastAsia="宋体" w:cs="宋体"/>
                <w:color w:val="auto"/>
                <w:sz w:val="24"/>
                <w:szCs w:val="24"/>
                <w:highlight w:val="none"/>
              </w:rPr>
              <w:t>XXXXX</w:t>
            </w:r>
          </w:p>
        </w:tc>
      </w:tr>
      <w:tr w14:paraId="05B7D928">
        <w:tblPrEx>
          <w:tblCellMar>
            <w:top w:w="0" w:type="dxa"/>
            <w:left w:w="108" w:type="dxa"/>
            <w:bottom w:w="0" w:type="dxa"/>
            <w:right w:w="108" w:type="dxa"/>
          </w:tblCellMar>
        </w:tblPrEx>
        <w:tc>
          <w:tcPr>
            <w:tcW w:w="5571" w:type="dxa"/>
            <w:noWrap w:val="0"/>
            <w:vAlign w:val="top"/>
          </w:tcPr>
          <w:p w14:paraId="16B43636">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乙方（供方）： </w:t>
            </w:r>
          </w:p>
        </w:tc>
        <w:tc>
          <w:tcPr>
            <w:tcW w:w="4257" w:type="dxa"/>
            <w:noWrap w:val="0"/>
            <w:vAlign w:val="top"/>
          </w:tcPr>
          <w:p w14:paraId="7F624C1C">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合同签约地：</w:t>
            </w:r>
          </w:p>
        </w:tc>
      </w:tr>
      <w:tr w14:paraId="7C01AA5C">
        <w:tblPrEx>
          <w:tblCellMar>
            <w:top w:w="0" w:type="dxa"/>
            <w:left w:w="108" w:type="dxa"/>
            <w:bottom w:w="0" w:type="dxa"/>
            <w:right w:w="108" w:type="dxa"/>
          </w:tblCellMar>
        </w:tblPrEx>
        <w:tc>
          <w:tcPr>
            <w:tcW w:w="5571" w:type="dxa"/>
            <w:noWrap w:val="0"/>
            <w:vAlign w:val="top"/>
          </w:tcPr>
          <w:p w14:paraId="48EA8771">
            <w:pPr>
              <w:keepNext w:val="0"/>
              <w:keepLines w:val="0"/>
              <w:pageBreakBefore w:val="0"/>
              <w:kinsoku/>
              <w:wordWrap w:val="0"/>
              <w:overflowPunct/>
              <w:bidi w:val="0"/>
              <w:adjustRightInd w:val="0"/>
              <w:snapToGrid w:val="0"/>
              <w:spacing w:line="360" w:lineRule="auto"/>
              <w:ind w:left="0" w:right="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鉴证方：                             </w:t>
            </w:r>
          </w:p>
        </w:tc>
        <w:tc>
          <w:tcPr>
            <w:tcW w:w="4257" w:type="dxa"/>
            <w:noWrap w:val="0"/>
            <w:vAlign w:val="top"/>
          </w:tcPr>
          <w:p w14:paraId="53B55C75">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签约日期：  </w:t>
            </w:r>
          </w:p>
        </w:tc>
      </w:tr>
    </w:tbl>
    <w:p w14:paraId="343F90EB">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（代理机构名称）受（</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名称）委托对XXX项目进行</w:t>
      </w:r>
      <w:r>
        <w:rPr>
          <w:rFonts w:hint="eastAsia" w:ascii="宋体" w:hAnsi="宋体" w:eastAsia="宋体" w:cs="宋体"/>
          <w:color w:val="auto"/>
          <w:sz w:val="24"/>
          <w:szCs w:val="24"/>
          <w:highlight w:val="none"/>
          <w:lang w:val="en-US" w:eastAsia="zh-CN"/>
        </w:rPr>
        <w:t>公开招标</w:t>
      </w:r>
      <w:r>
        <w:rPr>
          <w:rFonts w:hint="eastAsia" w:ascii="宋体" w:hAnsi="宋体" w:eastAsia="宋体" w:cs="宋体"/>
          <w:color w:val="auto"/>
          <w:sz w:val="24"/>
          <w:szCs w:val="24"/>
          <w:highlight w:val="none"/>
        </w:rPr>
        <w:t>，依据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编号：    ）的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结果，确定（</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人名称）为该项目的服务单位，甲、乙双方经协商一致达成以下合同条款：</w:t>
      </w:r>
    </w:p>
    <w:p w14:paraId="7BC06F42">
      <w:pPr>
        <w:pStyle w:val="33"/>
        <w:keepNext w:val="0"/>
        <w:keepLines w:val="0"/>
        <w:pageBreakBefore w:val="0"/>
        <w:kinsoku/>
        <w:overflowPunct/>
        <w:bidi w:val="0"/>
        <w:adjustRightInd w:val="0"/>
        <w:snapToGrid w:val="0"/>
        <w:spacing w:line="360" w:lineRule="auto"/>
        <w:ind w:left="0" w:right="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第一条：货物清单及合同价格 </w:t>
      </w:r>
      <w:r>
        <w:rPr>
          <w:rFonts w:hint="eastAsia" w:ascii="宋体" w:hAnsi="宋体" w:eastAsia="宋体" w:cs="宋体"/>
          <w:color w:val="auto"/>
          <w:sz w:val="24"/>
          <w:szCs w:val="24"/>
          <w:highlight w:val="none"/>
        </w:rPr>
        <w:t xml:space="preserve">                        金额单位：元人民币</w:t>
      </w:r>
    </w:p>
    <w:tbl>
      <w:tblPr>
        <w:tblStyle w:val="6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960"/>
        <w:gridCol w:w="890"/>
        <w:gridCol w:w="2236"/>
        <w:gridCol w:w="1268"/>
        <w:gridCol w:w="1268"/>
        <w:gridCol w:w="1268"/>
        <w:gridCol w:w="1277"/>
      </w:tblGrid>
      <w:tr w14:paraId="57C6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396" w:type="pct"/>
            <w:noWrap w:val="0"/>
            <w:vAlign w:val="center"/>
          </w:tcPr>
          <w:p w14:paraId="21D0F289">
            <w:pPr>
              <w:keepNext w:val="0"/>
              <w:keepLines w:val="0"/>
              <w:pageBreakBefore w:val="0"/>
              <w:kinsoku/>
              <w:wordWrap/>
              <w:overflowPunct/>
              <w:topLinePunct w:val="0"/>
              <w:autoSpaceDE/>
              <w:autoSpaceDN/>
              <w:bidi w:val="0"/>
              <w:adjustRightInd w:val="0"/>
              <w:snapToGrid w:val="0"/>
              <w:spacing w:line="36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82" w:type="pct"/>
            <w:noWrap w:val="0"/>
            <w:vAlign w:val="center"/>
          </w:tcPr>
          <w:p w14:paraId="54815AED">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w:t>
            </w:r>
          </w:p>
          <w:p w14:paraId="05DC90E9">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447" w:type="pct"/>
            <w:noWrap w:val="0"/>
            <w:vAlign w:val="center"/>
          </w:tcPr>
          <w:p w14:paraId="47DB5C14">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123" w:type="pct"/>
            <w:noWrap w:val="0"/>
            <w:vAlign w:val="center"/>
          </w:tcPr>
          <w:p w14:paraId="1FA2778A">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637" w:type="pct"/>
            <w:noWrap w:val="0"/>
            <w:vAlign w:val="center"/>
          </w:tcPr>
          <w:p w14:paraId="2AE34129">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637" w:type="pct"/>
            <w:noWrap w:val="0"/>
            <w:vAlign w:val="center"/>
          </w:tcPr>
          <w:p w14:paraId="3DCF74F1">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637" w:type="pct"/>
            <w:noWrap w:val="0"/>
            <w:vAlign w:val="center"/>
          </w:tcPr>
          <w:p w14:paraId="3CCF128C">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637" w:type="pct"/>
            <w:noWrap w:val="0"/>
            <w:vAlign w:val="center"/>
          </w:tcPr>
          <w:p w14:paraId="2B6085FB">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r>
      <w:tr w14:paraId="448D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396" w:type="pct"/>
            <w:noWrap w:val="0"/>
            <w:vAlign w:val="center"/>
          </w:tcPr>
          <w:p w14:paraId="3D76D30E">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1</w:t>
            </w:r>
          </w:p>
        </w:tc>
        <w:tc>
          <w:tcPr>
            <w:tcW w:w="482" w:type="pct"/>
            <w:noWrap w:val="0"/>
            <w:vAlign w:val="center"/>
          </w:tcPr>
          <w:p w14:paraId="3A043BF2">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kern w:val="0"/>
                <w:sz w:val="24"/>
                <w:szCs w:val="24"/>
                <w:highlight w:val="none"/>
              </w:rPr>
            </w:pPr>
          </w:p>
        </w:tc>
        <w:tc>
          <w:tcPr>
            <w:tcW w:w="447" w:type="pct"/>
            <w:noWrap w:val="0"/>
            <w:vAlign w:val="center"/>
          </w:tcPr>
          <w:p w14:paraId="2103428C">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kern w:val="0"/>
                <w:sz w:val="24"/>
                <w:szCs w:val="24"/>
                <w:highlight w:val="none"/>
              </w:rPr>
            </w:pPr>
          </w:p>
        </w:tc>
        <w:tc>
          <w:tcPr>
            <w:tcW w:w="1123" w:type="pct"/>
            <w:noWrap w:val="0"/>
            <w:vAlign w:val="center"/>
          </w:tcPr>
          <w:p w14:paraId="31F2FFC3">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kern w:val="0"/>
                <w:sz w:val="24"/>
                <w:szCs w:val="24"/>
                <w:highlight w:val="none"/>
              </w:rPr>
            </w:pPr>
          </w:p>
        </w:tc>
        <w:tc>
          <w:tcPr>
            <w:tcW w:w="637" w:type="pct"/>
            <w:noWrap w:val="0"/>
            <w:vAlign w:val="center"/>
          </w:tcPr>
          <w:p w14:paraId="2F51C9A2">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kern w:val="0"/>
                <w:sz w:val="24"/>
                <w:szCs w:val="24"/>
                <w:highlight w:val="none"/>
              </w:rPr>
            </w:pPr>
          </w:p>
        </w:tc>
        <w:tc>
          <w:tcPr>
            <w:tcW w:w="637" w:type="pct"/>
            <w:noWrap w:val="0"/>
            <w:vAlign w:val="center"/>
          </w:tcPr>
          <w:p w14:paraId="042C750E">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kern w:val="0"/>
                <w:sz w:val="24"/>
                <w:szCs w:val="24"/>
                <w:highlight w:val="none"/>
              </w:rPr>
            </w:pPr>
          </w:p>
        </w:tc>
        <w:tc>
          <w:tcPr>
            <w:tcW w:w="637" w:type="pct"/>
            <w:noWrap w:val="0"/>
            <w:vAlign w:val="center"/>
          </w:tcPr>
          <w:p w14:paraId="51091323">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kern w:val="0"/>
                <w:sz w:val="24"/>
                <w:szCs w:val="24"/>
                <w:highlight w:val="none"/>
              </w:rPr>
            </w:pPr>
          </w:p>
        </w:tc>
        <w:tc>
          <w:tcPr>
            <w:tcW w:w="637" w:type="pct"/>
            <w:noWrap w:val="0"/>
            <w:vAlign w:val="center"/>
          </w:tcPr>
          <w:p w14:paraId="239F9ADC">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kern w:val="0"/>
                <w:sz w:val="24"/>
                <w:szCs w:val="24"/>
                <w:highlight w:val="none"/>
              </w:rPr>
            </w:pPr>
          </w:p>
        </w:tc>
      </w:tr>
      <w:tr w14:paraId="337F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396" w:type="pct"/>
            <w:noWrap w:val="0"/>
            <w:vAlign w:val="center"/>
          </w:tcPr>
          <w:p w14:paraId="38FEFBFD">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2</w:t>
            </w:r>
          </w:p>
        </w:tc>
        <w:tc>
          <w:tcPr>
            <w:tcW w:w="482" w:type="pct"/>
            <w:noWrap w:val="0"/>
            <w:vAlign w:val="center"/>
          </w:tcPr>
          <w:p w14:paraId="50A14903">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kern w:val="0"/>
                <w:sz w:val="24"/>
                <w:szCs w:val="24"/>
                <w:highlight w:val="none"/>
              </w:rPr>
            </w:pPr>
          </w:p>
        </w:tc>
        <w:tc>
          <w:tcPr>
            <w:tcW w:w="447" w:type="pct"/>
            <w:noWrap w:val="0"/>
            <w:vAlign w:val="center"/>
          </w:tcPr>
          <w:p w14:paraId="39EE1FE8">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kern w:val="0"/>
                <w:sz w:val="24"/>
                <w:szCs w:val="24"/>
                <w:highlight w:val="none"/>
              </w:rPr>
            </w:pPr>
          </w:p>
        </w:tc>
        <w:tc>
          <w:tcPr>
            <w:tcW w:w="1123" w:type="pct"/>
            <w:noWrap w:val="0"/>
            <w:vAlign w:val="center"/>
          </w:tcPr>
          <w:p w14:paraId="55F16433">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kern w:val="0"/>
                <w:sz w:val="24"/>
                <w:szCs w:val="24"/>
                <w:highlight w:val="none"/>
              </w:rPr>
            </w:pPr>
          </w:p>
        </w:tc>
        <w:tc>
          <w:tcPr>
            <w:tcW w:w="637" w:type="pct"/>
            <w:noWrap w:val="0"/>
            <w:vAlign w:val="center"/>
          </w:tcPr>
          <w:p w14:paraId="672DD9F0">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kern w:val="0"/>
                <w:sz w:val="24"/>
                <w:szCs w:val="24"/>
                <w:highlight w:val="none"/>
              </w:rPr>
            </w:pPr>
          </w:p>
        </w:tc>
        <w:tc>
          <w:tcPr>
            <w:tcW w:w="637" w:type="pct"/>
            <w:noWrap w:val="0"/>
            <w:vAlign w:val="center"/>
          </w:tcPr>
          <w:p w14:paraId="42D7CB1F">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kern w:val="0"/>
                <w:sz w:val="24"/>
                <w:szCs w:val="24"/>
                <w:highlight w:val="none"/>
              </w:rPr>
            </w:pPr>
          </w:p>
        </w:tc>
        <w:tc>
          <w:tcPr>
            <w:tcW w:w="637" w:type="pct"/>
            <w:noWrap w:val="0"/>
            <w:vAlign w:val="center"/>
          </w:tcPr>
          <w:p w14:paraId="75ADF734">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kern w:val="0"/>
                <w:sz w:val="24"/>
                <w:szCs w:val="24"/>
                <w:highlight w:val="none"/>
              </w:rPr>
            </w:pPr>
          </w:p>
        </w:tc>
        <w:tc>
          <w:tcPr>
            <w:tcW w:w="637" w:type="pct"/>
            <w:noWrap w:val="0"/>
            <w:vAlign w:val="center"/>
          </w:tcPr>
          <w:p w14:paraId="195F4592">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kern w:val="0"/>
                <w:sz w:val="24"/>
                <w:szCs w:val="24"/>
                <w:highlight w:val="none"/>
              </w:rPr>
            </w:pPr>
          </w:p>
        </w:tc>
      </w:tr>
      <w:tr w14:paraId="4D43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396" w:type="pct"/>
            <w:noWrap w:val="0"/>
            <w:vAlign w:val="center"/>
          </w:tcPr>
          <w:p w14:paraId="5AC5BC86">
            <w:pPr>
              <w:keepNext w:val="0"/>
              <w:keepLines w:val="0"/>
              <w:pageBreakBefore w:val="0"/>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3</w:t>
            </w:r>
          </w:p>
        </w:tc>
        <w:tc>
          <w:tcPr>
            <w:tcW w:w="482" w:type="pct"/>
            <w:noWrap w:val="0"/>
            <w:vAlign w:val="center"/>
          </w:tcPr>
          <w:p w14:paraId="09CF8498">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kern w:val="0"/>
                <w:sz w:val="24"/>
                <w:szCs w:val="24"/>
                <w:highlight w:val="none"/>
              </w:rPr>
            </w:pPr>
          </w:p>
        </w:tc>
        <w:tc>
          <w:tcPr>
            <w:tcW w:w="447" w:type="pct"/>
            <w:noWrap w:val="0"/>
            <w:vAlign w:val="center"/>
          </w:tcPr>
          <w:p w14:paraId="6081A531">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kern w:val="0"/>
                <w:sz w:val="24"/>
                <w:szCs w:val="24"/>
                <w:highlight w:val="none"/>
              </w:rPr>
            </w:pPr>
          </w:p>
        </w:tc>
        <w:tc>
          <w:tcPr>
            <w:tcW w:w="1123" w:type="pct"/>
            <w:noWrap w:val="0"/>
            <w:vAlign w:val="center"/>
          </w:tcPr>
          <w:p w14:paraId="77C70C28">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kern w:val="0"/>
                <w:sz w:val="24"/>
                <w:szCs w:val="24"/>
                <w:highlight w:val="none"/>
              </w:rPr>
            </w:pPr>
          </w:p>
        </w:tc>
        <w:tc>
          <w:tcPr>
            <w:tcW w:w="637" w:type="pct"/>
            <w:noWrap w:val="0"/>
            <w:vAlign w:val="center"/>
          </w:tcPr>
          <w:p w14:paraId="23EEADED">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kern w:val="0"/>
                <w:sz w:val="24"/>
                <w:szCs w:val="24"/>
                <w:highlight w:val="none"/>
              </w:rPr>
            </w:pPr>
          </w:p>
        </w:tc>
        <w:tc>
          <w:tcPr>
            <w:tcW w:w="637" w:type="pct"/>
            <w:noWrap w:val="0"/>
            <w:vAlign w:val="center"/>
          </w:tcPr>
          <w:p w14:paraId="0A8DA740">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kern w:val="0"/>
                <w:sz w:val="24"/>
                <w:szCs w:val="24"/>
                <w:highlight w:val="none"/>
              </w:rPr>
            </w:pPr>
          </w:p>
        </w:tc>
        <w:tc>
          <w:tcPr>
            <w:tcW w:w="637" w:type="pct"/>
            <w:noWrap w:val="0"/>
            <w:vAlign w:val="center"/>
          </w:tcPr>
          <w:p w14:paraId="665AFA30">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kern w:val="0"/>
                <w:sz w:val="24"/>
                <w:szCs w:val="24"/>
                <w:highlight w:val="none"/>
              </w:rPr>
            </w:pPr>
          </w:p>
        </w:tc>
        <w:tc>
          <w:tcPr>
            <w:tcW w:w="637" w:type="pct"/>
            <w:noWrap w:val="0"/>
            <w:vAlign w:val="center"/>
          </w:tcPr>
          <w:p w14:paraId="43CAD488">
            <w:pPr>
              <w:keepNext w:val="0"/>
              <w:keepLines w:val="0"/>
              <w:pageBreakBefore w:val="0"/>
              <w:widowControl/>
              <w:kinsoku/>
              <w:wordWrap/>
              <w:overflowPunct/>
              <w:topLinePunct w:val="0"/>
              <w:autoSpaceDE/>
              <w:autoSpaceDN/>
              <w:bidi w:val="0"/>
              <w:adjustRightInd w:val="0"/>
              <w:snapToGrid w:val="0"/>
              <w:spacing w:line="360" w:lineRule="auto"/>
              <w:ind w:left="0" w:right="0" w:firstLine="0" w:firstLineChars="0"/>
              <w:jc w:val="center"/>
              <w:rPr>
                <w:rFonts w:hint="eastAsia" w:ascii="宋体" w:hAnsi="宋体" w:eastAsia="宋体" w:cs="宋体"/>
                <w:color w:val="auto"/>
                <w:kern w:val="0"/>
                <w:sz w:val="24"/>
                <w:szCs w:val="24"/>
                <w:highlight w:val="none"/>
              </w:rPr>
            </w:pPr>
          </w:p>
        </w:tc>
      </w:tr>
      <w:tr w14:paraId="0552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5000" w:type="pct"/>
            <w:gridSpan w:val="8"/>
            <w:noWrap w:val="0"/>
            <w:vAlign w:val="center"/>
          </w:tcPr>
          <w:p w14:paraId="45F7AEAA">
            <w:pPr>
              <w:keepNext w:val="0"/>
              <w:keepLines w:val="0"/>
              <w:pageBreakBefore w:val="0"/>
              <w:kinsoku/>
              <w:wordWrap/>
              <w:overflowPunct/>
              <w:topLinePunct w:val="0"/>
              <w:autoSpaceDE/>
              <w:autoSpaceDN/>
              <w:bidi w:val="0"/>
              <w:adjustRightInd w:val="0"/>
              <w:snapToGrid w:val="0"/>
              <w:spacing w:line="360" w:lineRule="auto"/>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w:t>
            </w:r>
          </w:p>
        </w:tc>
      </w:tr>
    </w:tbl>
    <w:p w14:paraId="55D4830C">
      <w:pPr>
        <w:pStyle w:val="807"/>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注：以上合同总价包括完成所有产品供货及履行所有规定服务所产生的人工、运抵甲方的运输、安装、调试、报验费、正常使用必备的附件价、材料、培训、税费等涉及此项目的全部费用。</w:t>
      </w:r>
    </w:p>
    <w:p w14:paraId="61810A77">
      <w:pPr>
        <w:keepNext w:val="0"/>
        <w:keepLines w:val="0"/>
        <w:pageBreakBefore w:val="0"/>
        <w:kinsoku/>
        <w:overflowPunct/>
        <w:bidi w:val="0"/>
        <w:adjustRightInd w:val="0"/>
        <w:snapToGrid w:val="0"/>
        <w:spacing w:line="360" w:lineRule="auto"/>
        <w:ind w:left="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第二条：质量保证</w:t>
      </w:r>
    </w:p>
    <w:p w14:paraId="1216FEFB">
      <w:pPr>
        <w:pStyle w:val="33"/>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1.质量功能标准需符合乙方提供的技术资料中所规定的质量标准和双方商定的技术指标。</w:t>
      </w:r>
    </w:p>
    <w:p w14:paraId="0598A08A">
      <w:pPr>
        <w:pStyle w:val="33"/>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保证本合同中所供应的商品是符合国家法律规定和技术规格、质量标准的出厂原装合格产品。如发生所供商品与合同（型号、指标、性能等）不符，甲方有权拒收或退货，由此产生的一切责任和后果由乙方承担。</w:t>
      </w:r>
    </w:p>
    <w:p w14:paraId="0F118A20">
      <w:pPr>
        <w:pStyle w:val="54"/>
        <w:keepNext w:val="0"/>
        <w:keepLines w:val="0"/>
        <w:pageBreakBefore w:val="0"/>
        <w:kinsoku/>
        <w:overflowPunct/>
        <w:bidi w:val="0"/>
        <w:adjustRightInd w:val="0"/>
        <w:snapToGrid w:val="0"/>
        <w:spacing w:line="36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第三条：交货时间、地点</w:t>
      </w:r>
    </w:p>
    <w:p w14:paraId="143F6222">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w:t>
      </w:r>
    </w:p>
    <w:p w14:paraId="0317A8CB">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.交货地点：</w:t>
      </w:r>
    </w:p>
    <w:p w14:paraId="4318890F">
      <w:pPr>
        <w:keepNext w:val="0"/>
        <w:keepLines w:val="0"/>
        <w:pageBreakBefore w:val="0"/>
        <w:kinsoku/>
        <w:overflowPunct/>
        <w:bidi w:val="0"/>
        <w:adjustRightInd w:val="0"/>
        <w:snapToGrid w:val="0"/>
        <w:spacing w:line="360" w:lineRule="auto"/>
        <w:ind w:left="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第四条：质保期及售后服务</w:t>
      </w:r>
    </w:p>
    <w:p w14:paraId="0563B9CC">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1.质保期：自验收通过之日起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p>
    <w:p w14:paraId="210BFC62">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2.售后服务：</w:t>
      </w:r>
    </w:p>
    <w:p w14:paraId="032FC348">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日常服务：如在使用过程中发生质量问题，</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在接到通知后维修响应时间为24小时以内；电话技术支持时间为24小时以内；若需上门维修，则在72小时内到达现场并进行维修；质保期满后，</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提供设备推荐保养维护周期清单，</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根据设备实际使用情况选择设备维护项目。若需上门维修，则需要提前5个工作日与</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联系。</w:t>
      </w:r>
    </w:p>
    <w:p w14:paraId="53BC3D23">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巡检服务：对于新购设备，</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需每年安排原厂工程师上门巡检设备，查看分析日志，升级固件软件，优化设备，调整不合理配置。</w:t>
      </w:r>
    </w:p>
    <w:p w14:paraId="4C403965">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紧急事件响应服务：</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和硬件厂商需在发生灾难性突发事件时共同提供服务及所需相关备件，响应时间为7*24。</w:t>
      </w:r>
    </w:p>
    <w:p w14:paraId="7F17E276">
      <w:pPr>
        <w:keepNext w:val="0"/>
        <w:keepLines w:val="0"/>
        <w:pageBreakBefore w:val="0"/>
        <w:kinsoku/>
        <w:overflowPunct/>
        <w:bidi w:val="0"/>
        <w:adjustRightInd w:val="0"/>
        <w:snapToGrid w:val="0"/>
        <w:spacing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第五条：安装、调试</w:t>
      </w:r>
    </w:p>
    <w:p w14:paraId="7DF5847F">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1.安装地点：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指定地点。</w:t>
      </w:r>
    </w:p>
    <w:p w14:paraId="42566DDC">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2.安装完成时间：接到</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通知后在一周内完成安装和调试，如在规定的时间内由于</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的原因不能完成安装和调试，</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应承担由此给</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造成的损失。</w:t>
      </w:r>
    </w:p>
    <w:p w14:paraId="6CE31E28">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3.安装标准：符合我国国家有关技术规范要求和技术标准，所有的软件和硬件必须保证同时安装到位。</w:t>
      </w:r>
    </w:p>
    <w:p w14:paraId="24410844">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免费提供合同货物的安装服务，必须仪器制造厂技术人员到现场安装仪器并在</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的实验室人员在场情况下完成仪器设备性能的证明文件。</w:t>
      </w:r>
    </w:p>
    <w:p w14:paraId="55000D6F">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中应提供安装调试计划、对安装场地和环境的要求。</w:t>
      </w:r>
    </w:p>
    <w:p w14:paraId="42858205">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6.交货前5天内，技术人员赴安装现场实地辅助准备工作。</w:t>
      </w:r>
    </w:p>
    <w:p w14:paraId="25E41574">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7.备品备件及耗材：</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应提供质保期满后主要零部件报价单、质保期满后维护费、软件升级及其相关服务内容。</w:t>
      </w:r>
    </w:p>
    <w:p w14:paraId="2B7F71CD">
      <w:pPr>
        <w:keepNext w:val="0"/>
        <w:keepLines w:val="0"/>
        <w:pageBreakBefore w:val="0"/>
        <w:kinsoku/>
        <w:overflowPunct/>
        <w:bidi w:val="0"/>
        <w:adjustRightInd w:val="0"/>
        <w:snapToGrid w:val="0"/>
        <w:spacing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第六条：验收</w:t>
      </w:r>
    </w:p>
    <w:p w14:paraId="6A1EAE2B">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1.验收由</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负责实施；</w:t>
      </w:r>
    </w:p>
    <w:p w14:paraId="41F1CDB5">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2.验收依据：</w:t>
      </w:r>
    </w:p>
    <w:p w14:paraId="0FB4D973">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）合同、采购文件、</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lang w:eastAsia="zh-CN"/>
        </w:rPr>
        <w:t>；</w:t>
      </w:r>
    </w:p>
    <w:p w14:paraId="3384F5C3">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提供的技术规格、经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认可的合同货物的有效检验文件；</w:t>
      </w:r>
    </w:p>
    <w:p w14:paraId="2B08AB17">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lang w:eastAsia="zh-CN"/>
        </w:rPr>
        <w:t>中提供的经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认可的合同货物的验收标准（符合中国有关的国家、地方、行业标准）和检测办法及相应检测手段。</w:t>
      </w:r>
    </w:p>
    <w:p w14:paraId="0EB67AF8">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）根据中华人民共和国现行技术标准，按采购文件以及合同规定的验收评定标准等规范，组织验收。</w:t>
      </w:r>
    </w:p>
    <w:p w14:paraId="771A671C">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应派员在所供货物到</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处时进行到货验收，有需要时能联系产品制造商到场共同验收，若发现任何损坏及质量问题，</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负责妥善处理直至采购人满意，由此产生的费用由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承担。</w:t>
      </w:r>
    </w:p>
    <w:p w14:paraId="1B484AD0">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4.验收合格的条件：</w:t>
      </w:r>
    </w:p>
    <w:p w14:paraId="37746F4C">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）所供货物符合产品标准和合同的要求；</w:t>
      </w:r>
    </w:p>
    <w:p w14:paraId="64EE0893">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）在进行测试和验收过程中发现的问题已被解决并得到</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的认可；</w:t>
      </w:r>
    </w:p>
    <w:p w14:paraId="7FBBA576">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）合同中规定的所有货物和材料均已交付；</w:t>
      </w:r>
    </w:p>
    <w:p w14:paraId="6B2774CB">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）所供货物已通过使用单位组织的验收；</w:t>
      </w:r>
    </w:p>
    <w:p w14:paraId="49C014EA">
      <w:pPr>
        <w:keepNext w:val="0"/>
        <w:keepLines w:val="0"/>
        <w:pageBreakBefore w:val="0"/>
        <w:kinsoku/>
        <w:wordWrap/>
        <w:overflowPunct/>
        <w:topLinePunct w:val="0"/>
        <w:autoSpaceDE/>
        <w:autoSpaceDN/>
        <w:bidi w:val="0"/>
        <w:adjustRightInd w:val="0"/>
        <w:snapToGrid w:val="0"/>
        <w:spacing w:line="360" w:lineRule="auto"/>
        <w:ind w:left="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）所有相关的技术文件及资料均已提交并得到接受。</w:t>
      </w:r>
    </w:p>
    <w:p w14:paraId="04C2D1AC">
      <w:pPr>
        <w:keepNext w:val="0"/>
        <w:keepLines w:val="0"/>
        <w:pageBreakBefore w:val="0"/>
        <w:widowControl/>
        <w:kinsoku/>
        <w:overflowPunct/>
        <w:bidi w:val="0"/>
        <w:adjustRightInd w:val="0"/>
        <w:snapToGrid w:val="0"/>
        <w:spacing w:line="360" w:lineRule="auto"/>
        <w:ind w:left="0" w:right="0" w:firstLine="482" w:firstLineChars="200"/>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第七条：履约保证</w:t>
      </w:r>
      <w:r>
        <w:rPr>
          <w:rFonts w:hint="eastAsia" w:ascii="宋体" w:hAnsi="宋体" w:eastAsia="宋体" w:cs="宋体"/>
          <w:b/>
          <w:color w:val="auto"/>
          <w:sz w:val="24"/>
          <w:szCs w:val="24"/>
          <w:highlight w:val="none"/>
          <w:lang w:val="en-US" w:eastAsia="zh-CN"/>
        </w:rPr>
        <w:t>金</w:t>
      </w:r>
    </w:p>
    <w:p w14:paraId="51C5AFD8">
      <w:pPr>
        <w:keepNext w:val="0"/>
        <w:keepLines w:val="0"/>
        <w:pageBreakBefore w:val="0"/>
        <w:widowControl/>
        <w:kinsoku/>
        <w:overflowPunct/>
        <w:bidi w:val="0"/>
        <w:adjustRightInd w:val="0"/>
        <w:snapToGrid w:val="0"/>
        <w:spacing w:line="360" w:lineRule="auto"/>
        <w:ind w:left="0" w:right="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无</w:t>
      </w:r>
    </w:p>
    <w:p w14:paraId="53ACD590">
      <w:pPr>
        <w:keepNext w:val="0"/>
        <w:keepLines w:val="0"/>
        <w:pageBreakBefore w:val="0"/>
        <w:widowControl/>
        <w:kinsoku/>
        <w:overflowPunct/>
        <w:bidi w:val="0"/>
        <w:adjustRightInd w:val="0"/>
        <w:snapToGrid w:val="0"/>
        <w:spacing w:line="360" w:lineRule="auto"/>
        <w:ind w:left="0" w:right="0"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第八条：结算方式</w:t>
      </w:r>
    </w:p>
    <w:p w14:paraId="64067126">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1.合同生效、具备支付条件后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个工作日内，</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lang w:val="zh-CN"/>
        </w:rPr>
        <w:t>凭</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zh-CN"/>
        </w:rPr>
        <w:t>开具的预付款发票</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zh-CN"/>
        </w:rPr>
        <w:t>提交</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zh-CN"/>
        </w:rPr>
        <w:t>银行、保险公司等金融机构出具的预付款保函或其他担保措施支付</w:t>
      </w:r>
      <w:r>
        <w:rPr>
          <w:rFonts w:hint="eastAsia" w:ascii="宋体" w:hAnsi="宋体" w:eastAsia="宋体" w:cs="宋体"/>
          <w:b/>
          <w:color w:val="auto"/>
          <w:sz w:val="24"/>
          <w:szCs w:val="24"/>
          <w:highlight w:val="none"/>
          <w:lang w:val="zh-CN"/>
        </w:rPr>
        <w:t>40%预付款</w:t>
      </w:r>
      <w:r>
        <w:rPr>
          <w:rFonts w:hint="eastAsia" w:ascii="宋体" w:hAnsi="宋体" w:eastAsia="宋体" w:cs="宋体"/>
          <w:color w:val="auto"/>
          <w:sz w:val="24"/>
          <w:szCs w:val="24"/>
          <w:highlight w:val="none"/>
          <w:lang w:val="zh-CN"/>
        </w:rPr>
        <w:t>给</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zh-CN"/>
        </w:rPr>
        <w:t>，若</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zh-CN"/>
        </w:rPr>
        <w:t>无需预付款的可选择在仪器设备验收合格后一次性支付；预付款的支付进程不得影响合同的履行。</w:t>
      </w:r>
    </w:p>
    <w:p w14:paraId="158F42FC">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zh-CN"/>
        </w:rPr>
        <w:t>按照</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lang w:val="zh-CN"/>
        </w:rPr>
        <w:t>要求将货物送至各个使用点；经</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lang w:val="zh-CN"/>
        </w:rPr>
        <w:t>组织验收，送货时间、地点、产品规格、型号、数量、质量及参数要求完全符合合同约定。</w:t>
      </w:r>
    </w:p>
    <w:p w14:paraId="53C955E0">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zh-CN"/>
        </w:rPr>
        <w:t>向</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lang w:val="zh-CN"/>
        </w:rPr>
        <w:t>开具符合法律、法规规范及行业要求的真实、有效的增值税专用发票（进口免税产品须提供免表及报关单并符合税务部门的相关开票规定）。</w:t>
      </w:r>
    </w:p>
    <w:p w14:paraId="321EB809">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lang w:val="zh-CN"/>
        </w:rPr>
        <w:t>凭</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zh-CN"/>
        </w:rPr>
        <w:t>的供货发票，校内验收单、入库单等支付凭证办理相关支付手续，</w:t>
      </w:r>
      <w:r>
        <w:rPr>
          <w:rFonts w:hint="eastAsia" w:ascii="宋体" w:hAnsi="宋体" w:eastAsia="宋体" w:cs="宋体"/>
          <w:color w:val="auto"/>
          <w:sz w:val="24"/>
          <w:szCs w:val="24"/>
          <w:highlight w:val="none"/>
        </w:rPr>
        <w:t>满足合同约定的支付条件后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个工作日</w:t>
      </w:r>
      <w:r>
        <w:rPr>
          <w:rFonts w:hint="eastAsia" w:ascii="宋体" w:hAnsi="宋体" w:eastAsia="宋体" w:cs="宋体"/>
          <w:b/>
          <w:bCs/>
          <w:color w:val="auto"/>
          <w:sz w:val="24"/>
          <w:szCs w:val="24"/>
          <w:highlight w:val="none"/>
          <w:lang w:val="en-US" w:eastAsia="zh-CN"/>
        </w:rPr>
        <w:t>根据实际采购数量</w:t>
      </w:r>
      <w:r>
        <w:rPr>
          <w:rFonts w:hint="eastAsia" w:ascii="宋体" w:hAnsi="宋体" w:eastAsia="宋体" w:cs="宋体"/>
          <w:b/>
          <w:bCs/>
          <w:color w:val="auto"/>
          <w:sz w:val="24"/>
          <w:szCs w:val="24"/>
          <w:highlight w:val="none"/>
          <w:lang w:val="zh-CN"/>
        </w:rPr>
        <w:t>向</w:t>
      </w:r>
      <w:r>
        <w:rPr>
          <w:rFonts w:hint="eastAsia" w:ascii="宋体" w:hAnsi="宋体" w:eastAsia="宋体" w:cs="宋体"/>
          <w:b/>
          <w:bCs/>
          <w:color w:val="auto"/>
          <w:sz w:val="24"/>
          <w:szCs w:val="24"/>
          <w:highlight w:val="none"/>
          <w:lang w:val="en-US" w:eastAsia="zh-CN"/>
        </w:rPr>
        <w:t>乙方</w:t>
      </w:r>
      <w:r>
        <w:rPr>
          <w:rFonts w:hint="eastAsia" w:ascii="宋体" w:hAnsi="宋体" w:eastAsia="宋体" w:cs="宋体"/>
          <w:b/>
          <w:bCs/>
          <w:color w:val="auto"/>
          <w:sz w:val="24"/>
          <w:szCs w:val="24"/>
          <w:highlight w:val="none"/>
          <w:lang w:val="zh-CN"/>
        </w:rPr>
        <w:t>付清</w:t>
      </w:r>
      <w:r>
        <w:rPr>
          <w:rFonts w:hint="eastAsia" w:ascii="宋体" w:hAnsi="宋体" w:eastAsia="宋体" w:cs="宋体"/>
          <w:b/>
          <w:bCs/>
          <w:color w:val="auto"/>
          <w:sz w:val="24"/>
          <w:szCs w:val="24"/>
          <w:highlight w:val="none"/>
          <w:lang w:val="en-US" w:eastAsia="zh-CN"/>
        </w:rPr>
        <w:t>剩余货</w:t>
      </w:r>
      <w:r>
        <w:rPr>
          <w:rFonts w:hint="eastAsia" w:ascii="宋体" w:hAnsi="宋体" w:eastAsia="宋体" w:cs="宋体"/>
          <w:b/>
          <w:bCs/>
          <w:color w:val="auto"/>
          <w:sz w:val="24"/>
          <w:szCs w:val="24"/>
          <w:highlight w:val="none"/>
          <w:lang w:val="zh-CN"/>
        </w:rPr>
        <w:t>款</w:t>
      </w:r>
      <w:r>
        <w:rPr>
          <w:rFonts w:hint="eastAsia" w:ascii="宋体" w:hAnsi="宋体" w:eastAsia="宋体" w:cs="宋体"/>
          <w:color w:val="auto"/>
          <w:sz w:val="24"/>
          <w:szCs w:val="24"/>
          <w:highlight w:val="none"/>
          <w:lang w:val="zh-CN"/>
        </w:rPr>
        <w:t>。</w:t>
      </w:r>
    </w:p>
    <w:p w14:paraId="1CB0369E">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第九条：违约责任</w:t>
      </w:r>
    </w:p>
    <w:p w14:paraId="34A22BA1">
      <w:pPr>
        <w:pStyle w:val="3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1.乙方具有不按合同要求供货、单方面不履行合同义务等违约行为的，乙方除退还甲方所付全部款项外，还应支付给甲方合同总货款20％的违约赔偿金。</w:t>
      </w:r>
    </w:p>
    <w:p w14:paraId="7BD9FFD6">
      <w:pPr>
        <w:pStyle w:val="3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2.乙方逾期履行合同义务的，应向甲方偿付合同总价万分之五每日的违约金。逾期超5天以上的，逾期部分应向甲方偿付合同总价千分之五每日的违约金。</w:t>
      </w:r>
    </w:p>
    <w:p w14:paraId="001AFC52">
      <w:pPr>
        <w:pStyle w:val="3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3.货物验收合格交付正常使用之日起一年内，乙方未能全面履行合同约定或有违约行为的，合同尾款暂停支付，且乙方按合同价款的20%支付违约金给甲方。</w:t>
      </w:r>
    </w:p>
    <w:p w14:paraId="06AD6FA7">
      <w:pPr>
        <w:pStyle w:val="3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4.本合同货物须由乙方直接供应，不得转让、转包、分包他人供应；否则，甲方有权解除合同、拒付（或要求退还）合同价款、没收履约保证金，并要求乙方支付合同价款20%的违约金。</w:t>
      </w:r>
    </w:p>
    <w:p w14:paraId="7330ACE8">
      <w:pPr>
        <w:pStyle w:val="807"/>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5.乙方所供货物侵犯第三方知识产权的，乙方应承担甲方由此造成的所有损失（包括但不限于侵权赔偿款、诉讼费、律师费、向甲方退还已收全款并按合同价款的20%支付违约金等）。</w:t>
      </w:r>
    </w:p>
    <w:p w14:paraId="1E73DCB6">
      <w:pPr>
        <w:pStyle w:val="807"/>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6.乙方所交的货物品种、型号、规格、技术参数、质量不符合合同规定及采购/</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规定标准的，甲方有权拒收该货物，乙方愿意更换货物但逾期交货的，按乙方逾期交货处理。乙方拒绝更换货物的，甲方可单方面解除合同。</w:t>
      </w:r>
    </w:p>
    <w:p w14:paraId="5325057D">
      <w:pPr>
        <w:keepNext w:val="0"/>
        <w:keepLines w:val="0"/>
        <w:pageBreakBefore w:val="0"/>
        <w:kinsoku/>
        <w:overflowPunct/>
        <w:bidi w:val="0"/>
        <w:adjustRightInd w:val="0"/>
        <w:snapToGrid w:val="0"/>
        <w:spacing w:line="360" w:lineRule="auto"/>
        <w:ind w:left="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第十条：争议的解决</w:t>
      </w:r>
    </w:p>
    <w:p w14:paraId="319C0FB2">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本合同纠纷由双方协商解决，协商不成，由甲方所在地人民法院诉讼解决。</w:t>
      </w:r>
    </w:p>
    <w:p w14:paraId="3188BA28">
      <w:pPr>
        <w:keepNext w:val="0"/>
        <w:keepLines w:val="0"/>
        <w:pageBreakBefore w:val="0"/>
        <w:kinsoku/>
        <w:overflowPunct/>
        <w:bidi w:val="0"/>
        <w:adjustRightInd w:val="0"/>
        <w:snapToGrid w:val="0"/>
        <w:spacing w:line="360" w:lineRule="auto"/>
        <w:ind w:left="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第十一条：合同的生效</w:t>
      </w:r>
    </w:p>
    <w:p w14:paraId="73D3D50C">
      <w:pPr>
        <w:pStyle w:val="970"/>
        <w:keepNext w:val="0"/>
        <w:keepLines w:val="0"/>
        <w:pageBreakBefore w:val="0"/>
        <w:kinsoku/>
        <w:overflowPunct/>
        <w:topLine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1.本合同经甲方、乙方、鉴证方三方法定代表人或其委托代理人签字并加盖公章后生效。</w:t>
      </w:r>
    </w:p>
    <w:p w14:paraId="112F7146">
      <w:pPr>
        <w:pStyle w:val="807"/>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2.本合同一式陆份，甲方执叁份，乙方执贰份，鉴证方执壹份，具有同等法律效力。</w:t>
      </w:r>
    </w:p>
    <w:p w14:paraId="167B14D5">
      <w:pPr>
        <w:keepNext w:val="0"/>
        <w:keepLines w:val="0"/>
        <w:pageBreakBefore w:val="0"/>
        <w:kinsoku/>
        <w:overflowPunct/>
        <w:bidi w:val="0"/>
        <w:adjustRightInd w:val="0"/>
        <w:snapToGrid w:val="0"/>
        <w:spacing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3.本合同附件及双方的</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询标纪要等系本合同的组成部分，与本合同同样具有法律效力。与本合同有冲突的以合同为准。下述所载双方联系人和联系地址，也视为双方收件地址。双方相关来往函件或司法文书寄送到下述地址后，视为函件或文书已经送达。</w:t>
      </w:r>
    </w:p>
    <w:p w14:paraId="192BADF0">
      <w:pPr>
        <w:pStyle w:val="807"/>
        <w:keepNext w:val="0"/>
        <w:keepLines w:val="0"/>
        <w:pageBreakBefore w:val="0"/>
        <w:shd w:val="clear"/>
        <w:kinsoku/>
        <w:overflowPunct/>
        <w:autoSpaceDE/>
        <w:autoSpaceDN/>
        <w:bidi w:val="0"/>
        <w:adjustRightInd w:val="0"/>
        <w:snapToGrid w:val="0"/>
        <w:spacing w:line="360" w:lineRule="auto"/>
        <w:ind w:firstLine="480"/>
        <w:rPr>
          <w:rFonts w:eastAsia="宋体"/>
          <w:color w:val="auto"/>
          <w:szCs w:val="24"/>
          <w:highlight w:val="none"/>
        </w:rPr>
      </w:pPr>
    </w:p>
    <w:p w14:paraId="5794E8B7">
      <w:pPr>
        <w:keepNext w:val="0"/>
        <w:keepLines w:val="0"/>
        <w:pageBreakBefore w:val="0"/>
        <w:shd w:val="clear"/>
        <w:kinsoku/>
        <w:overflowPunct/>
        <w:autoSpaceDE/>
        <w:autoSpaceDN/>
        <w:bidi w:val="0"/>
        <w:adjustRightInd w:val="0"/>
        <w:snapToGrid w:val="0"/>
        <w:spacing w:line="360" w:lineRule="auto"/>
        <w:ind w:firstLine="480"/>
        <w:rPr>
          <w:rFonts w:cs="宋体"/>
          <w:color w:val="auto"/>
          <w:highlight w:val="none"/>
        </w:rPr>
      </w:pPr>
      <w:r>
        <w:rPr>
          <w:rFonts w:hint="eastAsia" w:cs="宋体"/>
          <w:color w:val="auto"/>
          <w:highlight w:val="none"/>
        </w:rPr>
        <w:t>（以下无正文）</w:t>
      </w:r>
    </w:p>
    <w:tbl>
      <w:tblPr>
        <w:tblStyle w:val="6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0"/>
        <w:gridCol w:w="4856"/>
      </w:tblGrid>
      <w:tr w14:paraId="2D31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61" w:type="pct"/>
            <w:vMerge w:val="restart"/>
            <w:vAlign w:val="center"/>
          </w:tcPr>
          <w:p w14:paraId="5FB2BA4F">
            <w:pPr>
              <w:keepNext w:val="0"/>
              <w:keepLines w:val="0"/>
              <w:pageBreakBefore w:val="0"/>
              <w:shd w:val="clear"/>
              <w:kinsoku/>
              <w:overflowPunct/>
              <w:autoSpaceDE/>
              <w:autoSpaceDN/>
              <w:bidi w:val="0"/>
              <w:adjustRightInd w:val="0"/>
              <w:snapToGrid w:val="0"/>
              <w:spacing w:line="360" w:lineRule="auto"/>
              <w:rPr>
                <w:rFonts w:hint="eastAsia" w:eastAsia="宋体" w:cs="宋体"/>
                <w:color w:val="auto"/>
                <w:highlight w:val="none"/>
                <w:lang w:eastAsia="zh-CN"/>
              </w:rPr>
            </w:pPr>
            <w:r>
              <w:rPr>
                <w:rFonts w:hint="eastAsia" w:cs="宋体"/>
                <w:color w:val="auto"/>
                <w:highlight w:val="none"/>
              </w:rPr>
              <w:t>甲方（公章）：</w:t>
            </w:r>
            <w:r>
              <w:rPr>
                <w:rFonts w:hint="eastAsia" w:cs="宋体"/>
                <w:color w:val="auto"/>
                <w:highlight w:val="none"/>
                <w:lang w:eastAsia="zh-CN"/>
              </w:rPr>
              <w:t>浙江同济科技职业学院</w:t>
            </w:r>
          </w:p>
          <w:p w14:paraId="56F8D187">
            <w:pPr>
              <w:keepNext w:val="0"/>
              <w:keepLines w:val="0"/>
              <w:pageBreakBefore w:val="0"/>
              <w:shd w:val="clear"/>
              <w:kinsoku/>
              <w:overflowPunct/>
              <w:autoSpaceDE/>
              <w:autoSpaceDN/>
              <w:bidi w:val="0"/>
              <w:adjustRightInd w:val="0"/>
              <w:snapToGrid w:val="0"/>
              <w:spacing w:line="360" w:lineRule="auto"/>
              <w:rPr>
                <w:rFonts w:hint="eastAsia" w:eastAsia="宋体" w:cs="宋体"/>
                <w:color w:val="auto"/>
                <w:highlight w:val="none"/>
                <w:lang w:eastAsia="zh-CN"/>
              </w:rPr>
            </w:pPr>
            <w:r>
              <w:rPr>
                <w:rFonts w:hint="eastAsia" w:cs="宋体"/>
                <w:color w:val="auto"/>
                <w:highlight w:val="none"/>
              </w:rPr>
              <w:t>地址：</w:t>
            </w:r>
            <w:r>
              <w:rPr>
                <w:rFonts w:hint="eastAsia" w:cs="宋体"/>
                <w:color w:val="auto"/>
                <w:highlight w:val="none"/>
                <w:lang w:eastAsia="zh-CN"/>
              </w:rPr>
              <w:t>杭州市萧山高教园区耕文路418号</w:t>
            </w:r>
          </w:p>
          <w:p w14:paraId="50516E52">
            <w:pPr>
              <w:keepNext w:val="0"/>
              <w:keepLines w:val="0"/>
              <w:pageBreakBefore w:val="0"/>
              <w:shd w:val="clear"/>
              <w:kinsoku/>
              <w:overflowPunct/>
              <w:autoSpaceDE/>
              <w:autoSpaceDN/>
              <w:bidi w:val="0"/>
              <w:adjustRightInd w:val="0"/>
              <w:snapToGrid w:val="0"/>
              <w:spacing w:line="360" w:lineRule="auto"/>
              <w:rPr>
                <w:rFonts w:cs="宋体"/>
                <w:color w:val="auto"/>
                <w:highlight w:val="none"/>
              </w:rPr>
            </w:pPr>
            <w:r>
              <w:rPr>
                <w:rFonts w:hint="eastAsia" w:cs="宋体"/>
                <w:color w:val="auto"/>
                <w:highlight w:val="none"/>
              </w:rPr>
              <w:t>法定代表人：</w:t>
            </w:r>
          </w:p>
          <w:p w14:paraId="767AF137">
            <w:pPr>
              <w:keepNext w:val="0"/>
              <w:keepLines w:val="0"/>
              <w:pageBreakBefore w:val="0"/>
              <w:shd w:val="clear"/>
              <w:kinsoku/>
              <w:overflowPunct/>
              <w:autoSpaceDE/>
              <w:autoSpaceDN/>
              <w:bidi w:val="0"/>
              <w:adjustRightInd w:val="0"/>
              <w:snapToGrid w:val="0"/>
              <w:spacing w:line="360" w:lineRule="auto"/>
              <w:rPr>
                <w:rFonts w:cs="宋体"/>
                <w:color w:val="auto"/>
                <w:highlight w:val="none"/>
              </w:rPr>
            </w:pPr>
            <w:r>
              <w:rPr>
                <w:rFonts w:hint="eastAsia" w:cs="宋体"/>
                <w:color w:val="auto"/>
                <w:highlight w:val="none"/>
              </w:rPr>
              <w:t>或委托代理人（签字）：</w:t>
            </w:r>
          </w:p>
          <w:p w14:paraId="6571BF71">
            <w:pPr>
              <w:keepNext w:val="0"/>
              <w:keepLines w:val="0"/>
              <w:pageBreakBefore w:val="0"/>
              <w:shd w:val="clear"/>
              <w:kinsoku/>
              <w:overflowPunct/>
              <w:autoSpaceDE/>
              <w:autoSpaceDN/>
              <w:bidi w:val="0"/>
              <w:adjustRightInd w:val="0"/>
              <w:snapToGrid w:val="0"/>
              <w:spacing w:line="360" w:lineRule="auto"/>
              <w:rPr>
                <w:rFonts w:cs="宋体"/>
                <w:color w:val="auto"/>
                <w:highlight w:val="none"/>
              </w:rPr>
            </w:pPr>
            <w:r>
              <w:rPr>
                <w:rFonts w:hint="eastAsia" w:cs="宋体"/>
                <w:color w:val="auto"/>
                <w:highlight w:val="none"/>
              </w:rPr>
              <w:t>电话：</w:t>
            </w:r>
          </w:p>
          <w:p w14:paraId="1752AEF1">
            <w:pPr>
              <w:keepNext w:val="0"/>
              <w:keepLines w:val="0"/>
              <w:pageBreakBefore w:val="0"/>
              <w:shd w:val="clear"/>
              <w:kinsoku/>
              <w:overflowPunct/>
              <w:autoSpaceDE/>
              <w:autoSpaceDN/>
              <w:bidi w:val="0"/>
              <w:adjustRightInd w:val="0"/>
              <w:snapToGrid w:val="0"/>
              <w:spacing w:line="360" w:lineRule="auto"/>
              <w:rPr>
                <w:rFonts w:cs="宋体"/>
                <w:color w:val="auto"/>
                <w:highlight w:val="none"/>
              </w:rPr>
            </w:pPr>
            <w:r>
              <w:rPr>
                <w:rFonts w:hint="eastAsia" w:cs="宋体"/>
                <w:color w:val="auto"/>
                <w:highlight w:val="none"/>
              </w:rPr>
              <w:t>邮编：</w:t>
            </w:r>
          </w:p>
          <w:p w14:paraId="38F8333F">
            <w:pPr>
              <w:keepNext w:val="0"/>
              <w:keepLines w:val="0"/>
              <w:pageBreakBefore w:val="0"/>
              <w:shd w:val="clear"/>
              <w:kinsoku/>
              <w:overflowPunct/>
              <w:autoSpaceDE/>
              <w:autoSpaceDN/>
              <w:bidi w:val="0"/>
              <w:adjustRightInd w:val="0"/>
              <w:snapToGrid w:val="0"/>
              <w:spacing w:line="360" w:lineRule="auto"/>
              <w:rPr>
                <w:rFonts w:cs="宋体"/>
                <w:color w:val="auto"/>
                <w:highlight w:val="none"/>
              </w:rPr>
            </w:pPr>
            <w:r>
              <w:rPr>
                <w:rFonts w:hint="eastAsia" w:cs="宋体"/>
                <w:color w:val="auto"/>
                <w:highlight w:val="none"/>
              </w:rPr>
              <w:t xml:space="preserve">开户行： </w:t>
            </w:r>
          </w:p>
          <w:p w14:paraId="0DC5C54F">
            <w:pPr>
              <w:keepNext w:val="0"/>
              <w:keepLines w:val="0"/>
              <w:pageBreakBefore w:val="0"/>
              <w:shd w:val="clear"/>
              <w:kinsoku/>
              <w:overflowPunct/>
              <w:autoSpaceDE/>
              <w:autoSpaceDN/>
              <w:bidi w:val="0"/>
              <w:adjustRightInd w:val="0"/>
              <w:snapToGrid w:val="0"/>
              <w:spacing w:line="360" w:lineRule="auto"/>
              <w:rPr>
                <w:rFonts w:cs="宋体"/>
                <w:color w:val="auto"/>
                <w:highlight w:val="none"/>
              </w:rPr>
            </w:pPr>
            <w:r>
              <w:rPr>
                <w:rFonts w:hint="eastAsia" w:cs="宋体"/>
                <w:color w:val="auto"/>
                <w:highlight w:val="none"/>
              </w:rPr>
              <w:t>帐户：</w:t>
            </w:r>
          </w:p>
          <w:p w14:paraId="07089525">
            <w:pPr>
              <w:keepNext w:val="0"/>
              <w:keepLines w:val="0"/>
              <w:pageBreakBefore w:val="0"/>
              <w:shd w:val="clear"/>
              <w:kinsoku/>
              <w:overflowPunct/>
              <w:autoSpaceDE/>
              <w:autoSpaceDN/>
              <w:bidi w:val="0"/>
              <w:adjustRightInd w:val="0"/>
              <w:snapToGrid w:val="0"/>
              <w:spacing w:line="360" w:lineRule="auto"/>
              <w:rPr>
                <w:rFonts w:cs="宋体"/>
                <w:color w:val="auto"/>
                <w:highlight w:val="none"/>
              </w:rPr>
            </w:pPr>
            <w:r>
              <w:rPr>
                <w:rFonts w:hint="eastAsia" w:cs="宋体"/>
                <w:color w:val="auto"/>
                <w:highlight w:val="none"/>
              </w:rPr>
              <w:t>税号：</w:t>
            </w:r>
          </w:p>
          <w:p w14:paraId="2B92293E">
            <w:pPr>
              <w:keepNext w:val="0"/>
              <w:keepLines w:val="0"/>
              <w:pageBreakBefore w:val="0"/>
              <w:shd w:val="clear"/>
              <w:kinsoku/>
              <w:overflowPunct/>
              <w:autoSpaceDE/>
              <w:autoSpaceDN/>
              <w:bidi w:val="0"/>
              <w:adjustRightInd w:val="0"/>
              <w:snapToGrid w:val="0"/>
              <w:spacing w:line="360" w:lineRule="auto"/>
              <w:rPr>
                <w:rFonts w:cs="宋体"/>
                <w:color w:val="auto"/>
                <w:highlight w:val="none"/>
              </w:rPr>
            </w:pPr>
            <w:r>
              <w:rPr>
                <w:rFonts w:hint="eastAsia" w:cs="宋体"/>
                <w:color w:val="auto"/>
                <w:highlight w:val="none"/>
              </w:rPr>
              <w:t>联系人/手机：</w:t>
            </w:r>
          </w:p>
        </w:tc>
        <w:tc>
          <w:tcPr>
            <w:tcW w:w="2438" w:type="pct"/>
            <w:vMerge w:val="restart"/>
            <w:vAlign w:val="center"/>
          </w:tcPr>
          <w:p w14:paraId="6AA91AC9">
            <w:pPr>
              <w:keepNext w:val="0"/>
              <w:keepLines w:val="0"/>
              <w:pageBreakBefore w:val="0"/>
              <w:shd w:val="clear"/>
              <w:kinsoku/>
              <w:overflowPunct/>
              <w:autoSpaceDE/>
              <w:autoSpaceDN/>
              <w:bidi w:val="0"/>
              <w:adjustRightInd w:val="0"/>
              <w:snapToGrid w:val="0"/>
              <w:spacing w:line="360" w:lineRule="auto"/>
              <w:ind w:right="-107" w:rightChars="-51"/>
              <w:rPr>
                <w:rFonts w:cs="宋体"/>
                <w:color w:val="auto"/>
                <w:highlight w:val="none"/>
              </w:rPr>
            </w:pPr>
            <w:r>
              <w:rPr>
                <w:rFonts w:hint="eastAsia" w:cs="宋体"/>
                <w:color w:val="auto"/>
                <w:highlight w:val="none"/>
              </w:rPr>
              <w:t>乙方（公章）：</w:t>
            </w:r>
          </w:p>
          <w:p w14:paraId="743C4D78">
            <w:pPr>
              <w:keepNext w:val="0"/>
              <w:keepLines w:val="0"/>
              <w:pageBreakBefore w:val="0"/>
              <w:shd w:val="clear"/>
              <w:kinsoku/>
              <w:overflowPunct/>
              <w:autoSpaceDE/>
              <w:autoSpaceDN/>
              <w:bidi w:val="0"/>
              <w:adjustRightInd w:val="0"/>
              <w:snapToGrid w:val="0"/>
              <w:spacing w:line="360" w:lineRule="auto"/>
              <w:ind w:right="-107" w:rightChars="-51"/>
              <w:rPr>
                <w:rFonts w:cs="宋体"/>
                <w:color w:val="auto"/>
                <w:highlight w:val="none"/>
              </w:rPr>
            </w:pPr>
            <w:r>
              <w:rPr>
                <w:rFonts w:hint="eastAsia" w:cs="宋体"/>
                <w:color w:val="auto"/>
                <w:highlight w:val="none"/>
              </w:rPr>
              <w:t>地址：</w:t>
            </w:r>
          </w:p>
          <w:p w14:paraId="39F41C96">
            <w:pPr>
              <w:keepNext w:val="0"/>
              <w:keepLines w:val="0"/>
              <w:pageBreakBefore w:val="0"/>
              <w:shd w:val="clear"/>
              <w:kinsoku/>
              <w:overflowPunct/>
              <w:autoSpaceDE/>
              <w:autoSpaceDN/>
              <w:bidi w:val="0"/>
              <w:adjustRightInd w:val="0"/>
              <w:snapToGrid w:val="0"/>
              <w:spacing w:line="360" w:lineRule="auto"/>
              <w:ind w:right="-107" w:rightChars="-51"/>
              <w:rPr>
                <w:rFonts w:cs="宋体"/>
                <w:color w:val="auto"/>
                <w:highlight w:val="none"/>
              </w:rPr>
            </w:pPr>
            <w:r>
              <w:rPr>
                <w:rFonts w:hint="eastAsia" w:cs="宋体"/>
                <w:color w:val="auto"/>
                <w:highlight w:val="none"/>
              </w:rPr>
              <w:t xml:space="preserve">法定代表人： </w:t>
            </w:r>
          </w:p>
          <w:p w14:paraId="29892523">
            <w:pPr>
              <w:keepNext w:val="0"/>
              <w:keepLines w:val="0"/>
              <w:pageBreakBefore w:val="0"/>
              <w:shd w:val="clear"/>
              <w:kinsoku/>
              <w:overflowPunct/>
              <w:autoSpaceDE/>
              <w:autoSpaceDN/>
              <w:bidi w:val="0"/>
              <w:adjustRightInd w:val="0"/>
              <w:snapToGrid w:val="0"/>
              <w:spacing w:line="360" w:lineRule="auto"/>
              <w:ind w:right="-107" w:rightChars="-51"/>
              <w:rPr>
                <w:rFonts w:cs="宋体"/>
                <w:color w:val="auto"/>
                <w:highlight w:val="none"/>
              </w:rPr>
            </w:pPr>
            <w:r>
              <w:rPr>
                <w:rFonts w:hint="eastAsia" w:cs="宋体"/>
                <w:color w:val="auto"/>
                <w:highlight w:val="none"/>
              </w:rPr>
              <w:t>或委托代理人（签字）：</w:t>
            </w:r>
          </w:p>
          <w:p w14:paraId="2D07DD8A">
            <w:pPr>
              <w:keepNext w:val="0"/>
              <w:keepLines w:val="0"/>
              <w:pageBreakBefore w:val="0"/>
              <w:shd w:val="clear"/>
              <w:kinsoku/>
              <w:overflowPunct/>
              <w:autoSpaceDE/>
              <w:autoSpaceDN/>
              <w:bidi w:val="0"/>
              <w:adjustRightInd w:val="0"/>
              <w:snapToGrid w:val="0"/>
              <w:spacing w:line="360" w:lineRule="auto"/>
              <w:ind w:right="-107" w:rightChars="-51"/>
              <w:rPr>
                <w:rFonts w:cs="宋体"/>
                <w:color w:val="auto"/>
                <w:highlight w:val="none"/>
              </w:rPr>
            </w:pPr>
            <w:r>
              <w:rPr>
                <w:rFonts w:hint="eastAsia" w:cs="宋体"/>
                <w:color w:val="auto"/>
                <w:highlight w:val="none"/>
              </w:rPr>
              <w:t>电话：</w:t>
            </w:r>
          </w:p>
          <w:p w14:paraId="6CF35817">
            <w:pPr>
              <w:keepNext w:val="0"/>
              <w:keepLines w:val="0"/>
              <w:pageBreakBefore w:val="0"/>
              <w:shd w:val="clear"/>
              <w:kinsoku/>
              <w:overflowPunct/>
              <w:autoSpaceDE/>
              <w:autoSpaceDN/>
              <w:bidi w:val="0"/>
              <w:adjustRightInd w:val="0"/>
              <w:snapToGrid w:val="0"/>
              <w:spacing w:line="360" w:lineRule="auto"/>
              <w:ind w:right="-107" w:rightChars="-51"/>
              <w:rPr>
                <w:rFonts w:cs="宋体"/>
                <w:color w:val="auto"/>
                <w:highlight w:val="none"/>
              </w:rPr>
            </w:pPr>
            <w:r>
              <w:rPr>
                <w:rFonts w:hint="eastAsia" w:cs="宋体"/>
                <w:color w:val="auto"/>
                <w:highlight w:val="none"/>
              </w:rPr>
              <w:t>邮编：</w:t>
            </w:r>
          </w:p>
          <w:p w14:paraId="214E7455">
            <w:pPr>
              <w:keepNext w:val="0"/>
              <w:keepLines w:val="0"/>
              <w:pageBreakBefore w:val="0"/>
              <w:shd w:val="clear"/>
              <w:kinsoku/>
              <w:overflowPunct/>
              <w:autoSpaceDE/>
              <w:autoSpaceDN/>
              <w:bidi w:val="0"/>
              <w:adjustRightInd w:val="0"/>
              <w:snapToGrid w:val="0"/>
              <w:spacing w:line="360" w:lineRule="auto"/>
              <w:ind w:right="-107" w:rightChars="-51"/>
              <w:rPr>
                <w:rFonts w:cs="宋体"/>
                <w:color w:val="auto"/>
                <w:highlight w:val="none"/>
              </w:rPr>
            </w:pPr>
            <w:r>
              <w:rPr>
                <w:rFonts w:hint="eastAsia" w:cs="宋体"/>
                <w:color w:val="auto"/>
                <w:highlight w:val="none"/>
              </w:rPr>
              <w:t xml:space="preserve">开户行： </w:t>
            </w:r>
          </w:p>
          <w:p w14:paraId="59AACAE7">
            <w:pPr>
              <w:keepNext w:val="0"/>
              <w:keepLines w:val="0"/>
              <w:pageBreakBefore w:val="0"/>
              <w:shd w:val="clear"/>
              <w:kinsoku/>
              <w:overflowPunct/>
              <w:autoSpaceDE/>
              <w:autoSpaceDN/>
              <w:bidi w:val="0"/>
              <w:adjustRightInd w:val="0"/>
              <w:snapToGrid w:val="0"/>
              <w:spacing w:line="360" w:lineRule="auto"/>
              <w:rPr>
                <w:rFonts w:cs="宋体"/>
                <w:color w:val="auto"/>
                <w:highlight w:val="none"/>
              </w:rPr>
            </w:pPr>
            <w:r>
              <w:rPr>
                <w:rFonts w:hint="eastAsia" w:cs="宋体"/>
                <w:color w:val="auto"/>
                <w:highlight w:val="none"/>
              </w:rPr>
              <w:t>帐户：</w:t>
            </w:r>
          </w:p>
          <w:p w14:paraId="435564FC">
            <w:pPr>
              <w:keepNext w:val="0"/>
              <w:keepLines w:val="0"/>
              <w:pageBreakBefore w:val="0"/>
              <w:shd w:val="clear"/>
              <w:kinsoku/>
              <w:overflowPunct/>
              <w:autoSpaceDE/>
              <w:autoSpaceDN/>
              <w:bidi w:val="0"/>
              <w:adjustRightInd w:val="0"/>
              <w:snapToGrid w:val="0"/>
              <w:spacing w:line="360" w:lineRule="auto"/>
              <w:rPr>
                <w:rFonts w:cs="宋体"/>
                <w:color w:val="auto"/>
                <w:highlight w:val="none"/>
              </w:rPr>
            </w:pPr>
            <w:r>
              <w:rPr>
                <w:rFonts w:hint="eastAsia" w:cs="宋体"/>
                <w:color w:val="auto"/>
                <w:highlight w:val="none"/>
              </w:rPr>
              <w:t>税号：</w:t>
            </w:r>
          </w:p>
          <w:p w14:paraId="048105DD">
            <w:pPr>
              <w:keepNext w:val="0"/>
              <w:keepLines w:val="0"/>
              <w:pageBreakBefore w:val="0"/>
              <w:shd w:val="clear"/>
              <w:kinsoku/>
              <w:overflowPunct/>
              <w:autoSpaceDE/>
              <w:autoSpaceDN/>
              <w:bidi w:val="0"/>
              <w:adjustRightInd w:val="0"/>
              <w:snapToGrid w:val="0"/>
              <w:spacing w:line="360" w:lineRule="auto"/>
              <w:ind w:right="-107" w:rightChars="-51"/>
              <w:rPr>
                <w:rFonts w:cs="宋体"/>
                <w:color w:val="auto"/>
                <w:highlight w:val="none"/>
              </w:rPr>
            </w:pPr>
            <w:r>
              <w:rPr>
                <w:rFonts w:hint="eastAsia" w:cs="宋体"/>
                <w:color w:val="auto"/>
                <w:highlight w:val="none"/>
              </w:rPr>
              <w:t>联系人/手机：</w:t>
            </w:r>
          </w:p>
        </w:tc>
      </w:tr>
      <w:tr w14:paraId="6642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61" w:type="pct"/>
            <w:vMerge w:val="continue"/>
            <w:vAlign w:val="center"/>
          </w:tcPr>
          <w:p w14:paraId="2714E25E">
            <w:pPr>
              <w:keepNext w:val="0"/>
              <w:keepLines w:val="0"/>
              <w:pageBreakBefore w:val="0"/>
              <w:shd w:val="clear"/>
              <w:kinsoku/>
              <w:overflowPunct/>
              <w:autoSpaceDE/>
              <w:autoSpaceDN/>
              <w:bidi w:val="0"/>
              <w:adjustRightInd w:val="0"/>
              <w:snapToGrid w:val="0"/>
              <w:spacing w:line="360" w:lineRule="auto"/>
              <w:rPr>
                <w:rFonts w:cs="宋体"/>
                <w:color w:val="auto"/>
                <w:highlight w:val="none"/>
              </w:rPr>
            </w:pPr>
          </w:p>
        </w:tc>
        <w:tc>
          <w:tcPr>
            <w:tcW w:w="2438" w:type="pct"/>
            <w:vMerge w:val="continue"/>
            <w:vAlign w:val="center"/>
          </w:tcPr>
          <w:p w14:paraId="3086D9CF">
            <w:pPr>
              <w:keepNext w:val="0"/>
              <w:keepLines w:val="0"/>
              <w:pageBreakBefore w:val="0"/>
              <w:shd w:val="clear"/>
              <w:kinsoku/>
              <w:overflowPunct/>
              <w:autoSpaceDE/>
              <w:autoSpaceDN/>
              <w:bidi w:val="0"/>
              <w:adjustRightInd w:val="0"/>
              <w:snapToGrid w:val="0"/>
              <w:spacing w:line="360" w:lineRule="auto"/>
              <w:rPr>
                <w:rFonts w:cs="宋体"/>
                <w:color w:val="auto"/>
                <w:highlight w:val="none"/>
              </w:rPr>
            </w:pPr>
          </w:p>
        </w:tc>
      </w:tr>
      <w:tr w14:paraId="077A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61" w:type="pct"/>
            <w:vAlign w:val="center"/>
          </w:tcPr>
          <w:p w14:paraId="6B6429B8">
            <w:pPr>
              <w:keepNext w:val="0"/>
              <w:keepLines w:val="0"/>
              <w:pageBreakBefore w:val="0"/>
              <w:shd w:val="clear"/>
              <w:kinsoku/>
              <w:overflowPunct/>
              <w:autoSpaceDE/>
              <w:autoSpaceDN/>
              <w:bidi w:val="0"/>
              <w:adjustRightInd w:val="0"/>
              <w:snapToGrid w:val="0"/>
              <w:spacing w:line="360" w:lineRule="auto"/>
              <w:rPr>
                <w:rFonts w:hint="eastAsia" w:eastAsia="宋体" w:cs="宋体"/>
                <w:color w:val="auto"/>
                <w:highlight w:val="none"/>
                <w:lang w:eastAsia="zh-CN"/>
              </w:rPr>
            </w:pPr>
            <w:r>
              <w:rPr>
                <w:rFonts w:hint="eastAsia" w:cs="宋体"/>
                <w:color w:val="auto"/>
                <w:highlight w:val="none"/>
              </w:rPr>
              <w:t>代理单位名称（公章）：</w:t>
            </w:r>
            <w:r>
              <w:rPr>
                <w:rFonts w:hint="eastAsia" w:cs="宋体"/>
                <w:color w:val="auto"/>
                <w:highlight w:val="none"/>
                <w:lang w:eastAsia="zh-CN"/>
              </w:rPr>
              <w:t>浙江致信招标代理有限公司</w:t>
            </w:r>
          </w:p>
          <w:p w14:paraId="117A34FC">
            <w:pPr>
              <w:keepNext w:val="0"/>
              <w:keepLines w:val="0"/>
              <w:pageBreakBefore w:val="0"/>
              <w:shd w:val="clear"/>
              <w:kinsoku/>
              <w:overflowPunct/>
              <w:autoSpaceDE/>
              <w:autoSpaceDN/>
              <w:bidi w:val="0"/>
              <w:adjustRightInd w:val="0"/>
              <w:snapToGrid w:val="0"/>
              <w:spacing w:line="360" w:lineRule="auto"/>
              <w:rPr>
                <w:color w:val="auto"/>
                <w:highlight w:val="none"/>
              </w:rPr>
            </w:pPr>
          </w:p>
          <w:p w14:paraId="28648A6D">
            <w:pPr>
              <w:keepNext w:val="0"/>
              <w:keepLines w:val="0"/>
              <w:pageBreakBefore w:val="0"/>
              <w:shd w:val="clear"/>
              <w:kinsoku/>
              <w:overflowPunct/>
              <w:autoSpaceDE/>
              <w:autoSpaceDN/>
              <w:bidi w:val="0"/>
              <w:adjustRightInd w:val="0"/>
              <w:snapToGrid w:val="0"/>
              <w:spacing w:line="360" w:lineRule="auto"/>
              <w:rPr>
                <w:rFonts w:cs="宋体"/>
                <w:color w:val="auto"/>
                <w:highlight w:val="none"/>
              </w:rPr>
            </w:pPr>
            <w:r>
              <w:rPr>
                <w:rFonts w:hint="eastAsia" w:cs="宋体"/>
                <w:color w:val="auto"/>
                <w:highlight w:val="none"/>
              </w:rPr>
              <w:t xml:space="preserve">地址： </w:t>
            </w:r>
          </w:p>
          <w:p w14:paraId="1D5DB5B3">
            <w:pPr>
              <w:keepNext w:val="0"/>
              <w:keepLines w:val="0"/>
              <w:pageBreakBefore w:val="0"/>
              <w:shd w:val="clear"/>
              <w:kinsoku/>
              <w:overflowPunct/>
              <w:autoSpaceDE/>
              <w:autoSpaceDN/>
              <w:bidi w:val="0"/>
              <w:adjustRightInd w:val="0"/>
              <w:snapToGrid w:val="0"/>
              <w:spacing w:line="360" w:lineRule="auto"/>
              <w:rPr>
                <w:rFonts w:cs="宋体"/>
                <w:color w:val="auto"/>
                <w:highlight w:val="none"/>
              </w:rPr>
            </w:pPr>
            <w:r>
              <w:rPr>
                <w:rFonts w:hint="eastAsia" w:cs="宋体"/>
                <w:color w:val="auto"/>
                <w:highlight w:val="none"/>
              </w:rPr>
              <w:t>法定代表：</w:t>
            </w:r>
          </w:p>
          <w:p w14:paraId="51ADE9DC">
            <w:pPr>
              <w:keepNext w:val="0"/>
              <w:keepLines w:val="0"/>
              <w:pageBreakBefore w:val="0"/>
              <w:shd w:val="clear"/>
              <w:kinsoku/>
              <w:overflowPunct/>
              <w:autoSpaceDE/>
              <w:autoSpaceDN/>
              <w:bidi w:val="0"/>
              <w:adjustRightInd w:val="0"/>
              <w:snapToGrid w:val="0"/>
              <w:spacing w:line="360" w:lineRule="auto"/>
              <w:rPr>
                <w:rFonts w:cs="宋体"/>
                <w:color w:val="auto"/>
                <w:highlight w:val="none"/>
              </w:rPr>
            </w:pPr>
            <w:r>
              <w:rPr>
                <w:rFonts w:hint="eastAsia" w:cs="宋体"/>
                <w:color w:val="auto"/>
                <w:highlight w:val="none"/>
              </w:rPr>
              <w:t>或委托代理人（签字）：</w:t>
            </w:r>
          </w:p>
          <w:p w14:paraId="47745A13">
            <w:pPr>
              <w:keepNext w:val="0"/>
              <w:keepLines w:val="0"/>
              <w:pageBreakBefore w:val="0"/>
              <w:shd w:val="clear"/>
              <w:kinsoku/>
              <w:overflowPunct/>
              <w:autoSpaceDE/>
              <w:autoSpaceDN/>
              <w:bidi w:val="0"/>
              <w:adjustRightInd w:val="0"/>
              <w:snapToGrid w:val="0"/>
              <w:spacing w:line="360" w:lineRule="auto"/>
              <w:rPr>
                <w:rFonts w:cs="宋体"/>
                <w:color w:val="auto"/>
                <w:highlight w:val="none"/>
              </w:rPr>
            </w:pPr>
            <w:r>
              <w:rPr>
                <w:rFonts w:hint="eastAsia" w:cs="宋体"/>
                <w:color w:val="auto"/>
                <w:highlight w:val="none"/>
              </w:rPr>
              <w:t>公司电话：</w:t>
            </w:r>
          </w:p>
          <w:p w14:paraId="37C1DF9E">
            <w:pPr>
              <w:keepNext w:val="0"/>
              <w:keepLines w:val="0"/>
              <w:pageBreakBefore w:val="0"/>
              <w:shd w:val="clear"/>
              <w:kinsoku/>
              <w:overflowPunct/>
              <w:autoSpaceDE/>
              <w:autoSpaceDN/>
              <w:bidi w:val="0"/>
              <w:adjustRightInd w:val="0"/>
              <w:snapToGrid w:val="0"/>
              <w:spacing w:line="360" w:lineRule="auto"/>
              <w:rPr>
                <w:rFonts w:cs="宋体"/>
                <w:color w:val="auto"/>
                <w:highlight w:val="none"/>
              </w:rPr>
            </w:pPr>
            <w:r>
              <w:rPr>
                <w:rFonts w:hint="eastAsia" w:cs="宋体"/>
                <w:color w:val="auto"/>
                <w:highlight w:val="none"/>
              </w:rPr>
              <w:t>联系人/手机：</w:t>
            </w:r>
          </w:p>
        </w:tc>
        <w:tc>
          <w:tcPr>
            <w:tcW w:w="2438" w:type="pct"/>
            <w:vAlign w:val="center"/>
          </w:tcPr>
          <w:p w14:paraId="687D4C33">
            <w:pPr>
              <w:keepNext w:val="0"/>
              <w:keepLines w:val="0"/>
              <w:pageBreakBefore w:val="0"/>
              <w:shd w:val="clear"/>
              <w:kinsoku/>
              <w:overflowPunct/>
              <w:autoSpaceDE/>
              <w:autoSpaceDN/>
              <w:bidi w:val="0"/>
              <w:adjustRightInd w:val="0"/>
              <w:snapToGrid w:val="0"/>
              <w:spacing w:line="360" w:lineRule="auto"/>
              <w:jc w:val="right"/>
              <w:rPr>
                <w:rFonts w:cs="宋体"/>
                <w:color w:val="auto"/>
                <w:highlight w:val="none"/>
              </w:rPr>
            </w:pPr>
          </w:p>
        </w:tc>
      </w:tr>
    </w:tbl>
    <w:p w14:paraId="0EF3213D">
      <w:pPr>
        <w:keepNext w:val="0"/>
        <w:keepLines w:val="0"/>
        <w:pageBreakBefore w:val="0"/>
        <w:shd w:val="clear"/>
        <w:kinsoku/>
        <w:overflowPunct/>
        <w:autoSpaceDE/>
        <w:autoSpaceDN/>
        <w:bidi w:val="0"/>
        <w:adjustRightInd w:val="0"/>
        <w:snapToGrid w:val="0"/>
        <w:spacing w:line="360" w:lineRule="auto"/>
        <w:ind w:firstLine="420"/>
        <w:rPr>
          <w:color w:val="auto"/>
          <w:szCs w:val="21"/>
          <w:highlight w:val="none"/>
        </w:rPr>
      </w:pPr>
    </w:p>
    <w:p w14:paraId="741EE06B">
      <w:pPr>
        <w:keepNext w:val="0"/>
        <w:keepLines w:val="0"/>
        <w:pageBreakBefore w:val="0"/>
        <w:shd w:val="clear"/>
        <w:kinsoku/>
        <w:overflowPunct/>
        <w:autoSpaceDE/>
        <w:autoSpaceDN/>
        <w:bidi w:val="0"/>
        <w:adjustRightInd w:val="0"/>
        <w:snapToGrid w:val="0"/>
        <w:spacing w:line="360" w:lineRule="auto"/>
        <w:ind w:firstLine="420"/>
        <w:rPr>
          <w:color w:val="auto"/>
          <w:szCs w:val="21"/>
          <w:highlight w:val="none"/>
        </w:rPr>
      </w:pPr>
      <w:r>
        <w:rPr>
          <w:rFonts w:hint="eastAsia"/>
          <w:color w:val="auto"/>
          <w:szCs w:val="21"/>
          <w:highlight w:val="none"/>
        </w:rPr>
        <w:t>附件：</w:t>
      </w:r>
    </w:p>
    <w:p w14:paraId="5DA7F885">
      <w:pPr>
        <w:keepNext w:val="0"/>
        <w:keepLines w:val="0"/>
        <w:pageBreakBefore w:val="0"/>
        <w:shd w:val="clear"/>
        <w:kinsoku/>
        <w:overflowPunct/>
        <w:autoSpaceDE/>
        <w:autoSpaceDN/>
        <w:bidi w:val="0"/>
        <w:adjustRightInd w:val="0"/>
        <w:snapToGrid w:val="0"/>
        <w:spacing w:line="360" w:lineRule="auto"/>
        <w:ind w:firstLine="422"/>
        <w:rPr>
          <w:b/>
          <w:color w:val="auto"/>
          <w:szCs w:val="21"/>
          <w:highlight w:val="none"/>
        </w:rPr>
      </w:pPr>
      <w:bookmarkStart w:id="397" w:name="_Toc27825"/>
      <w:bookmarkEnd w:id="397"/>
      <w:r>
        <w:rPr>
          <w:rFonts w:hint="eastAsia"/>
          <w:b/>
          <w:color w:val="auto"/>
          <w:szCs w:val="21"/>
          <w:highlight w:val="none"/>
        </w:rPr>
        <w:t>1.配置清单</w:t>
      </w:r>
    </w:p>
    <w:p w14:paraId="5072D0EA">
      <w:pPr>
        <w:keepNext w:val="0"/>
        <w:keepLines w:val="0"/>
        <w:pageBreakBefore w:val="0"/>
        <w:shd w:val="clear"/>
        <w:kinsoku/>
        <w:overflowPunct/>
        <w:autoSpaceDE/>
        <w:autoSpaceDN/>
        <w:bidi w:val="0"/>
        <w:adjustRightInd w:val="0"/>
        <w:snapToGrid w:val="0"/>
        <w:spacing w:line="360" w:lineRule="auto"/>
        <w:ind w:firstLine="422"/>
        <w:rPr>
          <w:b/>
          <w:color w:val="auto"/>
          <w:szCs w:val="21"/>
          <w:highlight w:val="none"/>
        </w:rPr>
      </w:pPr>
      <w:bookmarkStart w:id="398" w:name="_Toc16974"/>
      <w:bookmarkEnd w:id="398"/>
      <w:r>
        <w:rPr>
          <w:rFonts w:hint="eastAsia"/>
          <w:b/>
          <w:color w:val="auto"/>
          <w:szCs w:val="21"/>
          <w:highlight w:val="none"/>
        </w:rPr>
        <w:t>2.服务承诺（注意：使用人、用户、</w:t>
      </w:r>
      <w:r>
        <w:rPr>
          <w:rFonts w:hint="eastAsia"/>
          <w:b/>
          <w:color w:val="auto"/>
          <w:szCs w:val="21"/>
          <w:highlight w:val="none"/>
          <w:lang w:eastAsia="zh-CN"/>
        </w:rPr>
        <w:t>采购人</w:t>
      </w:r>
      <w:r>
        <w:rPr>
          <w:rFonts w:hint="eastAsia"/>
          <w:b/>
          <w:color w:val="auto"/>
          <w:szCs w:val="21"/>
          <w:highlight w:val="none"/>
        </w:rPr>
        <w:t>等统一使用甲方，供货商、</w:t>
      </w:r>
      <w:r>
        <w:rPr>
          <w:rFonts w:hint="eastAsia"/>
          <w:b/>
          <w:color w:val="auto"/>
          <w:szCs w:val="21"/>
          <w:highlight w:val="none"/>
          <w:lang w:val="en-US" w:eastAsia="zh-CN"/>
        </w:rPr>
        <w:t>中标人</w:t>
      </w:r>
      <w:r>
        <w:rPr>
          <w:rFonts w:hint="eastAsia"/>
          <w:b/>
          <w:color w:val="auto"/>
          <w:szCs w:val="21"/>
          <w:highlight w:val="none"/>
        </w:rPr>
        <w:t>等统一使用乙方，该提醒不用出现在合同中）</w:t>
      </w:r>
    </w:p>
    <w:p w14:paraId="5AEFF889">
      <w:pPr>
        <w:shd w:val="clear"/>
        <w:rPr>
          <w:b/>
          <w:color w:val="auto"/>
          <w:szCs w:val="21"/>
          <w:highlight w:val="none"/>
        </w:rPr>
      </w:pPr>
      <w:r>
        <w:rPr>
          <w:rFonts w:hint="eastAsia"/>
          <w:b/>
          <w:color w:val="auto"/>
          <w:szCs w:val="21"/>
          <w:highlight w:val="none"/>
        </w:rPr>
        <w:br w:type="page"/>
      </w:r>
    </w:p>
    <w:bookmarkEnd w:id="395"/>
    <w:bookmarkEnd w:id="396"/>
    <w:p w14:paraId="22AFB525">
      <w:pPr>
        <w:pStyle w:val="3"/>
        <w:shd w:val="clear"/>
        <w:rPr>
          <w:color w:val="auto"/>
          <w:highlight w:val="none"/>
        </w:rPr>
      </w:pPr>
      <w:r>
        <w:rPr>
          <w:rFonts w:hint="eastAsia"/>
          <w:color w:val="auto"/>
          <w:highlight w:val="none"/>
        </w:rPr>
        <w:t>第六部分 应提交的有关格式范例</w:t>
      </w:r>
    </w:p>
    <w:p w14:paraId="588BDC94">
      <w:pPr>
        <w:shd w:val="clear"/>
        <w:rPr>
          <w:color w:val="auto"/>
          <w:highlight w:val="none"/>
        </w:rPr>
      </w:pPr>
    </w:p>
    <w:p w14:paraId="62705C42">
      <w:pPr>
        <w:pStyle w:val="64"/>
        <w:shd w:val="clear"/>
        <w:ind w:firstLine="420"/>
        <w:rPr>
          <w:color w:val="auto"/>
          <w:highlight w:val="none"/>
        </w:rPr>
      </w:pPr>
    </w:p>
    <w:p w14:paraId="1F78FD7A">
      <w:pPr>
        <w:pStyle w:val="4"/>
        <w:shd w:val="clear"/>
        <w:rPr>
          <w:color w:val="auto"/>
          <w:highlight w:val="none"/>
        </w:rPr>
      </w:pPr>
      <w:r>
        <w:rPr>
          <w:rFonts w:hint="eastAsia"/>
          <w:color w:val="auto"/>
          <w:highlight w:val="none"/>
        </w:rPr>
        <w:t>资格文件部分</w:t>
      </w:r>
    </w:p>
    <w:p w14:paraId="7D5F88D5">
      <w:pPr>
        <w:shd w:val="clear"/>
        <w:rPr>
          <w:color w:val="auto"/>
          <w:highlight w:val="none"/>
        </w:rPr>
      </w:pPr>
    </w:p>
    <w:p w14:paraId="6EE645DC">
      <w:pPr>
        <w:shd w:val="clea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目录</w:t>
      </w:r>
    </w:p>
    <w:p w14:paraId="64A55EAE">
      <w:pPr>
        <w:shd w:val="clear"/>
        <w:rPr>
          <w:color w:val="auto"/>
          <w:highlight w:val="none"/>
        </w:rPr>
      </w:pPr>
    </w:p>
    <w:p w14:paraId="6FEAEB6E">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7932886">
      <w:pPr>
        <w:shd w:val="clear"/>
        <w:snapToGrid w:val="0"/>
        <w:spacing w:line="360" w:lineRule="auto"/>
        <w:rPr>
          <w:rFonts w:ascii="宋体" w:hAnsi="宋体" w:cs="宋体"/>
          <w:color w:val="auto"/>
          <w:sz w:val="24"/>
          <w:highlight w:val="none"/>
        </w:rPr>
      </w:pPr>
      <w:r>
        <w:rPr>
          <w:rFonts w:hint="eastAsia" w:ascii="宋体" w:hAnsi="宋体" w:cs="宋体"/>
          <w:color w:val="auto"/>
          <w:kern w:val="28"/>
          <w:sz w:val="24"/>
          <w:szCs w:val="20"/>
          <w:highlight w:val="none"/>
        </w:rPr>
        <w:t>（2）联合协议</w:t>
      </w:r>
      <w:r>
        <w:rPr>
          <w:rFonts w:hint="eastAsia" w:ascii="宋体" w:hAnsi="宋体" w:cs="宋体"/>
          <w:color w:val="auto"/>
          <w:sz w:val="24"/>
          <w:highlight w:val="none"/>
        </w:rPr>
        <w:t>………………………………………………………………………（页码）</w:t>
      </w:r>
    </w:p>
    <w:p w14:paraId="170F9620">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E3EB33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5F0B55D">
      <w:pPr>
        <w:shd w:val="clear"/>
        <w:snapToGrid w:val="0"/>
        <w:spacing w:line="360" w:lineRule="auto"/>
        <w:ind w:firstLine="480" w:firstLineChars="200"/>
        <w:rPr>
          <w:rFonts w:ascii="宋体" w:hAnsi="宋体" w:cs="宋体"/>
          <w:color w:val="auto"/>
          <w:sz w:val="24"/>
          <w:highlight w:val="none"/>
        </w:rPr>
      </w:pPr>
    </w:p>
    <w:p w14:paraId="01985758">
      <w:pPr>
        <w:shd w:val="clear"/>
        <w:spacing w:line="360" w:lineRule="auto"/>
        <w:ind w:firstLine="480" w:firstLineChars="200"/>
        <w:rPr>
          <w:rFonts w:ascii="宋体" w:hAnsi="宋体" w:cs="宋体"/>
          <w:color w:val="auto"/>
          <w:sz w:val="24"/>
          <w:highlight w:val="none"/>
        </w:rPr>
      </w:pPr>
    </w:p>
    <w:p w14:paraId="0B62BE51">
      <w:pPr>
        <w:shd w:val="clear"/>
        <w:snapToGrid w:val="0"/>
        <w:spacing w:line="360" w:lineRule="auto"/>
        <w:ind w:right="480"/>
        <w:jc w:val="center"/>
        <w:rPr>
          <w:rFonts w:ascii="宋体" w:hAnsi="宋体" w:cs="宋体"/>
          <w:color w:val="auto"/>
          <w:kern w:val="0"/>
          <w:sz w:val="24"/>
          <w:highlight w:val="none"/>
        </w:rPr>
      </w:pPr>
      <w:r>
        <w:rPr>
          <w:rFonts w:hint="eastAsia" w:ascii="宋体" w:hAnsi="宋体" w:cs="宋体"/>
          <w:color w:val="auto"/>
          <w:kern w:val="0"/>
          <w:sz w:val="24"/>
          <w:highlight w:val="none"/>
        </w:rPr>
        <w:br w:type="page"/>
      </w:r>
    </w:p>
    <w:p w14:paraId="4534AD88">
      <w:pPr>
        <w:shd w:val="clear"/>
        <w:snapToGrid w:val="0"/>
        <w:spacing w:line="360" w:lineRule="auto"/>
        <w:ind w:right="480"/>
        <w:jc w:val="center"/>
        <w:rPr>
          <w:rFonts w:ascii="宋体" w:hAnsi="宋体" w:cs="宋体"/>
          <w:color w:val="auto"/>
          <w:kern w:val="0"/>
          <w:sz w:val="24"/>
          <w:highlight w:val="none"/>
        </w:rPr>
      </w:pPr>
    </w:p>
    <w:p w14:paraId="0A7F1D36">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 符合参加政府采购活动应当具备的一般条件的承诺函</w:t>
      </w:r>
    </w:p>
    <w:p w14:paraId="6EA555E0">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浙江同济科技职业学院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浙江致信招标代理有限公司</w:t>
      </w:r>
      <w:r>
        <w:rPr>
          <w:rFonts w:hint="eastAsia" w:ascii="宋体" w:hAnsi="宋体" w:cs="宋体"/>
          <w:color w:val="auto"/>
          <w:sz w:val="24"/>
          <w:highlight w:val="none"/>
        </w:rPr>
        <w:t>：</w:t>
      </w:r>
    </w:p>
    <w:p w14:paraId="0909AED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浙江同济科技职业学院智能节水系统安装与运维综合实训平台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ZXZB-TJ-2025004G</w:t>
      </w:r>
      <w:r>
        <w:rPr>
          <w:rFonts w:hint="eastAsia" w:ascii="宋体" w:hAnsi="宋体" w:cs="宋体"/>
          <w:color w:val="auto"/>
          <w:sz w:val="24"/>
          <w:highlight w:val="none"/>
        </w:rPr>
        <w:t>】政府采购活动，郑重承诺：</w:t>
      </w:r>
    </w:p>
    <w:p w14:paraId="3B01AAC9">
      <w:pPr>
        <w:shd w:val="clea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4BA214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A9FA3B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C1C203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B3485A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A6963A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715173D">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A7D3E60">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14891F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48B2CF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8ECD07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8D313B3">
      <w:pPr>
        <w:shd w:val="clear"/>
        <w:snapToGrid w:val="0"/>
        <w:spacing w:line="360" w:lineRule="auto"/>
        <w:ind w:firstLine="5520" w:firstLineChars="2300"/>
        <w:rPr>
          <w:rFonts w:ascii="宋体" w:hAnsi="宋体" w:cs="宋体"/>
          <w:color w:val="auto"/>
          <w:kern w:val="0"/>
          <w:sz w:val="24"/>
          <w:highlight w:val="none"/>
          <w:lang w:val="zh-CN"/>
        </w:rPr>
      </w:pPr>
    </w:p>
    <w:p w14:paraId="26398D7C">
      <w:pPr>
        <w:shd w:val="clea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22D0C16">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800EA34">
      <w:pPr>
        <w:shd w:val="clear"/>
        <w:snapToGrid w:val="0"/>
        <w:spacing w:line="360" w:lineRule="auto"/>
        <w:ind w:right="480"/>
        <w:jc w:val="center"/>
        <w:rPr>
          <w:rFonts w:ascii="宋体" w:hAnsi="宋体" w:cs="宋体"/>
          <w:b/>
          <w:color w:val="auto"/>
          <w:kern w:val="0"/>
          <w:sz w:val="32"/>
          <w:szCs w:val="32"/>
          <w:highlight w:val="none"/>
        </w:rPr>
      </w:pPr>
    </w:p>
    <w:p w14:paraId="56585E00">
      <w:pPr>
        <w:shd w:val="clear"/>
        <w:snapToGrid w:val="0"/>
        <w:spacing w:line="360" w:lineRule="auto"/>
        <w:ind w:right="480"/>
        <w:jc w:val="center"/>
        <w:rPr>
          <w:rFonts w:ascii="宋体" w:hAnsi="宋体" w:cs="宋体"/>
          <w:b/>
          <w:color w:val="auto"/>
          <w:kern w:val="0"/>
          <w:sz w:val="32"/>
          <w:szCs w:val="32"/>
          <w:highlight w:val="none"/>
        </w:rPr>
      </w:pPr>
    </w:p>
    <w:p w14:paraId="1282DAA6">
      <w:pPr>
        <w:shd w:val="clear"/>
        <w:snapToGrid w:val="0"/>
        <w:spacing w:line="360" w:lineRule="auto"/>
        <w:ind w:right="480"/>
        <w:jc w:val="center"/>
        <w:rPr>
          <w:rFonts w:ascii="宋体" w:hAnsi="宋体" w:cs="宋体"/>
          <w:b/>
          <w:color w:val="auto"/>
          <w:kern w:val="0"/>
          <w:sz w:val="32"/>
          <w:szCs w:val="32"/>
          <w:highlight w:val="none"/>
        </w:rPr>
      </w:pPr>
    </w:p>
    <w:p w14:paraId="732BCDE7">
      <w:pPr>
        <w:shd w:val="clear"/>
        <w:rPr>
          <w:rFonts w:ascii="宋体" w:hAnsi="宋体" w:cs="宋体"/>
          <w:color w:val="auto"/>
          <w:highlight w:val="none"/>
        </w:rPr>
      </w:pPr>
    </w:p>
    <w:p w14:paraId="3FEB21A3">
      <w:pPr>
        <w:shd w:val="clear"/>
        <w:snapToGrid w:val="0"/>
        <w:spacing w:line="360" w:lineRule="auto"/>
        <w:ind w:right="480"/>
        <w:jc w:val="center"/>
        <w:rPr>
          <w:rFonts w:ascii="宋体" w:hAnsi="宋体" w:cs="宋体"/>
          <w:b/>
          <w:color w:val="auto"/>
          <w:kern w:val="0"/>
          <w:sz w:val="32"/>
          <w:szCs w:val="32"/>
          <w:highlight w:val="none"/>
        </w:rPr>
      </w:pPr>
    </w:p>
    <w:p w14:paraId="10D3F63B">
      <w:pPr>
        <w:shd w:val="clear"/>
        <w:snapToGrid w:val="0"/>
        <w:spacing w:line="360" w:lineRule="auto"/>
        <w:ind w:right="480"/>
        <w:jc w:val="center"/>
        <w:rPr>
          <w:rFonts w:ascii="宋体" w:hAnsi="宋体" w:cs="宋体"/>
          <w:b/>
          <w:color w:val="auto"/>
          <w:kern w:val="0"/>
          <w:sz w:val="32"/>
          <w:szCs w:val="32"/>
          <w:highlight w:val="none"/>
        </w:rPr>
      </w:pPr>
    </w:p>
    <w:p w14:paraId="67A58B61">
      <w:pPr>
        <w:widowControl/>
        <w:shd w:val="clear"/>
        <w:spacing w:line="360" w:lineRule="auto"/>
        <w:ind w:firstLine="643" w:firstLineChars="200"/>
        <w:jc w:val="center"/>
        <w:rPr>
          <w:rFonts w:ascii="宋体" w:hAnsi="宋体" w:cs="宋体"/>
          <w:b/>
          <w:color w:val="auto"/>
          <w:kern w:val="0"/>
          <w:sz w:val="32"/>
          <w:szCs w:val="32"/>
          <w:highlight w:val="none"/>
        </w:rPr>
      </w:pPr>
    </w:p>
    <w:p w14:paraId="4C47E0A2">
      <w:pPr>
        <w:widowControl/>
        <w:shd w:val="clear"/>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4148AD9">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44681AC">
      <w:pPr>
        <w:shd w:val="clear"/>
        <w:snapToGrid w:val="0"/>
        <w:spacing w:line="360" w:lineRule="auto"/>
        <w:ind w:right="480"/>
        <w:jc w:val="center"/>
        <w:rPr>
          <w:rFonts w:ascii="宋体" w:hAnsi="宋体" w:cs="宋体"/>
          <w:b/>
          <w:color w:val="auto"/>
          <w:kern w:val="0"/>
          <w:sz w:val="32"/>
          <w:szCs w:val="32"/>
          <w:highlight w:val="none"/>
        </w:rPr>
      </w:pPr>
    </w:p>
    <w:p w14:paraId="62E85585">
      <w:pPr>
        <w:shd w:val="clear"/>
        <w:snapToGrid w:val="0"/>
        <w:spacing w:line="360" w:lineRule="auto"/>
        <w:ind w:right="480"/>
        <w:jc w:val="center"/>
        <w:rPr>
          <w:rFonts w:ascii="宋体" w:hAnsi="宋体" w:cs="宋体"/>
          <w:b/>
          <w:color w:val="auto"/>
          <w:kern w:val="0"/>
          <w:sz w:val="32"/>
          <w:szCs w:val="32"/>
          <w:highlight w:val="none"/>
        </w:rPr>
      </w:pPr>
    </w:p>
    <w:p w14:paraId="4C7756A1">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8494B9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CFF5209">
      <w:pPr>
        <w:shd w:val="clea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28C5379">
      <w:pPr>
        <w:widowControl/>
        <w:shd w:val="clear"/>
        <w:spacing w:line="360" w:lineRule="auto"/>
        <w:ind w:firstLine="480"/>
        <w:jc w:val="left"/>
        <w:rPr>
          <w:rFonts w:ascii="宋体" w:hAnsi="宋体" w:cs="宋体"/>
          <w:color w:val="auto"/>
          <w:sz w:val="24"/>
          <w:highlight w:val="none"/>
        </w:rPr>
      </w:pPr>
    </w:p>
    <w:p w14:paraId="7B4B389D">
      <w:pPr>
        <w:widowControl/>
        <w:shd w:val="clear"/>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FA053AA">
      <w:pPr>
        <w:shd w:val="clea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4392BBA">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A1D1DF8">
      <w:pPr>
        <w:widowControl/>
        <w:shd w:val="clear"/>
        <w:spacing w:line="360" w:lineRule="auto"/>
        <w:ind w:left="150"/>
        <w:jc w:val="center"/>
        <w:rPr>
          <w:rFonts w:ascii="宋体" w:hAnsi="宋体" w:cs="宋体"/>
          <w:b/>
          <w:color w:val="auto"/>
          <w:kern w:val="0"/>
          <w:sz w:val="32"/>
          <w:szCs w:val="32"/>
          <w:highlight w:val="none"/>
        </w:rPr>
      </w:pPr>
    </w:p>
    <w:p w14:paraId="7DD122DE">
      <w:pPr>
        <w:widowControl/>
        <w:shd w:val="clea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62D002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B003C57">
      <w:pPr>
        <w:shd w:val="clear"/>
        <w:rPr>
          <w:rFonts w:ascii="宋体" w:hAnsi="宋体" w:cs="宋体"/>
          <w:color w:val="auto"/>
          <w:highlight w:val="none"/>
        </w:rPr>
      </w:pPr>
    </w:p>
    <w:p w14:paraId="4F4BBD2A">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14CA2D1">
      <w:pPr>
        <w:pStyle w:val="4"/>
        <w:shd w:val="clear"/>
        <w:rPr>
          <w:color w:val="auto"/>
          <w:highlight w:val="none"/>
        </w:rPr>
      </w:pPr>
      <w:r>
        <w:rPr>
          <w:rFonts w:hint="eastAsia"/>
          <w:color w:val="auto"/>
          <w:highlight w:val="none"/>
        </w:rPr>
        <w:t>商务技术文件部分</w:t>
      </w:r>
    </w:p>
    <w:p w14:paraId="124A6B14">
      <w:pPr>
        <w:shd w:val="clea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目录</w:t>
      </w:r>
    </w:p>
    <w:p w14:paraId="44B983D2">
      <w:pPr>
        <w:shd w:val="clea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（1）投标函……………………………………………………………………………（页码）</w:t>
      </w:r>
    </w:p>
    <w:p w14:paraId="699A0552">
      <w:pPr>
        <w:shd w:val="clea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（2）授权委托书或法定代表人（单位负责人、自然人本人）身份证明…………（页码）</w:t>
      </w:r>
    </w:p>
    <w:p w14:paraId="5C88F1D2">
      <w:pPr>
        <w:shd w:val="clea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（3）分包意向协议……………………………………………………………………（页码）</w:t>
      </w:r>
    </w:p>
    <w:p w14:paraId="445E5FE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（4）符合性审查资料…………………………………………………………………（页码）</w:t>
      </w:r>
    </w:p>
    <w:p w14:paraId="38422518">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（5）评标标准相应的商务技术资料…………………………………………………（页码</w:t>
      </w:r>
    </w:p>
    <w:p w14:paraId="50CFA1AA">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（6）投标标的清单……………………………………………………………………（页码）</w:t>
      </w:r>
    </w:p>
    <w:p w14:paraId="7887856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（7）商务技术偏离表…………………………………………………………………（页码）</w:t>
      </w:r>
    </w:p>
    <w:p w14:paraId="4DC52F9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1AB93674">
      <w:pPr>
        <w:shd w:val="clea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（9）投标人股权信息表………………………………………………………………（页码）</w:t>
      </w:r>
    </w:p>
    <w:p w14:paraId="2F1F6ED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r>
        <w:rPr>
          <w:rFonts w:hint="eastAsia" w:ascii="宋体" w:hAnsi="宋体" w:cs="宋体"/>
          <w:color w:val="auto"/>
          <w:sz w:val="24"/>
          <w:highlight w:val="none"/>
        </w:rPr>
        <w:t>缴纳采购代理服务费承诺书</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…………………………………………………（页码）</w:t>
      </w:r>
    </w:p>
    <w:p w14:paraId="279D0427">
      <w:pPr>
        <w:shd w:val="clear"/>
        <w:snapToGrid w:val="0"/>
        <w:spacing w:line="360" w:lineRule="auto"/>
        <w:ind w:firstLine="480" w:firstLineChars="200"/>
        <w:rPr>
          <w:rFonts w:ascii="宋体" w:hAnsi="宋体" w:cs="宋体"/>
          <w:color w:val="auto"/>
          <w:sz w:val="24"/>
          <w:highlight w:val="none"/>
          <w:lang w:val="zh-CN"/>
        </w:rPr>
      </w:pPr>
    </w:p>
    <w:p w14:paraId="0111BEAA">
      <w:pPr>
        <w:shd w:val="clear"/>
        <w:snapToGrid w:val="0"/>
        <w:spacing w:line="360" w:lineRule="auto"/>
        <w:jc w:val="center"/>
        <w:rPr>
          <w:rFonts w:ascii="宋体" w:hAnsi="宋体" w:cs="宋体"/>
          <w:b/>
          <w:color w:val="auto"/>
          <w:kern w:val="0"/>
          <w:sz w:val="32"/>
          <w:szCs w:val="32"/>
          <w:highlight w:val="none"/>
          <w:lang w:val="zh-CN"/>
        </w:rPr>
      </w:pPr>
    </w:p>
    <w:p w14:paraId="3F3D674F">
      <w:pPr>
        <w:shd w:val="clear"/>
        <w:snapToGrid w:val="0"/>
        <w:spacing w:line="360" w:lineRule="auto"/>
        <w:jc w:val="center"/>
        <w:rPr>
          <w:rFonts w:ascii="宋体" w:hAnsi="宋体" w:cs="宋体"/>
          <w:b/>
          <w:color w:val="auto"/>
          <w:kern w:val="0"/>
          <w:sz w:val="32"/>
          <w:szCs w:val="32"/>
          <w:highlight w:val="none"/>
          <w:lang w:val="zh-CN"/>
        </w:rPr>
      </w:pPr>
    </w:p>
    <w:p w14:paraId="4B2FA5A7">
      <w:pPr>
        <w:shd w:val="clear"/>
        <w:snapToGrid w:val="0"/>
        <w:spacing w:line="360" w:lineRule="auto"/>
        <w:jc w:val="center"/>
        <w:rPr>
          <w:rFonts w:ascii="宋体" w:hAnsi="宋体" w:cs="宋体"/>
          <w:b/>
          <w:color w:val="auto"/>
          <w:kern w:val="0"/>
          <w:sz w:val="32"/>
          <w:szCs w:val="32"/>
          <w:highlight w:val="none"/>
          <w:lang w:val="zh-CN"/>
        </w:rPr>
      </w:pPr>
    </w:p>
    <w:p w14:paraId="668B9C66">
      <w:pPr>
        <w:shd w:val="clear"/>
        <w:rPr>
          <w:color w:val="auto"/>
          <w:highlight w:val="none"/>
          <w:lang w:val="zh-CN"/>
        </w:rPr>
      </w:pPr>
    </w:p>
    <w:p w14:paraId="5B987C1C">
      <w:pPr>
        <w:shd w:val="clear"/>
        <w:rPr>
          <w:color w:val="auto"/>
          <w:highlight w:val="none"/>
        </w:rPr>
      </w:pPr>
    </w:p>
    <w:p w14:paraId="0317B290">
      <w:pPr>
        <w:shd w:val="clear"/>
        <w:rPr>
          <w:color w:val="auto"/>
          <w:highlight w:val="none"/>
        </w:rPr>
      </w:pPr>
    </w:p>
    <w:p w14:paraId="381A65D8">
      <w:pPr>
        <w:shd w:val="clear"/>
        <w:rPr>
          <w:color w:val="auto"/>
          <w:highlight w:val="none"/>
        </w:rPr>
      </w:pPr>
    </w:p>
    <w:p w14:paraId="03A869CA">
      <w:pPr>
        <w:shd w:val="clear"/>
        <w:rPr>
          <w:color w:val="auto"/>
          <w:highlight w:val="none"/>
        </w:rPr>
      </w:pPr>
    </w:p>
    <w:p w14:paraId="4266EA2A">
      <w:pPr>
        <w:shd w:val="clear"/>
        <w:rPr>
          <w:color w:val="auto"/>
          <w:highlight w:val="none"/>
        </w:rPr>
      </w:pPr>
    </w:p>
    <w:p w14:paraId="78D12F70">
      <w:pPr>
        <w:shd w:val="clear"/>
        <w:rPr>
          <w:color w:val="auto"/>
          <w:highlight w:val="none"/>
        </w:rPr>
      </w:pPr>
    </w:p>
    <w:p w14:paraId="1E5F1354">
      <w:pPr>
        <w:shd w:val="clear"/>
        <w:rPr>
          <w:color w:val="auto"/>
          <w:highlight w:val="none"/>
        </w:rPr>
      </w:pPr>
    </w:p>
    <w:p w14:paraId="3063F67F">
      <w:pPr>
        <w:shd w:val="clear"/>
        <w:rPr>
          <w:color w:val="auto"/>
          <w:highlight w:val="none"/>
        </w:rPr>
      </w:pPr>
    </w:p>
    <w:p w14:paraId="51F779CC">
      <w:pPr>
        <w:shd w:val="clear"/>
        <w:rPr>
          <w:color w:val="auto"/>
          <w:highlight w:val="none"/>
        </w:rPr>
      </w:pPr>
    </w:p>
    <w:p w14:paraId="5F3CF8A5">
      <w:pPr>
        <w:shd w:val="clear"/>
        <w:rPr>
          <w:color w:val="auto"/>
          <w:highlight w:val="none"/>
        </w:rPr>
      </w:pPr>
    </w:p>
    <w:p w14:paraId="54FB61AA">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C4D87BA">
      <w:pPr>
        <w:shd w:val="clear"/>
        <w:snapToGrid w:val="0"/>
        <w:spacing w:line="360" w:lineRule="auto"/>
        <w:ind w:firstLine="3855" w:firstLineChars="120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97F046B">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浙江同济科技职业学院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浙江致信招标代理有限公司</w:t>
      </w:r>
      <w:r>
        <w:rPr>
          <w:rFonts w:hint="eastAsia" w:ascii="宋体" w:hAnsi="宋体" w:cs="宋体"/>
          <w:color w:val="auto"/>
          <w:sz w:val="24"/>
          <w:highlight w:val="none"/>
        </w:rPr>
        <w:t>：</w:t>
      </w:r>
    </w:p>
    <w:p w14:paraId="4F4288FB">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浙江同济科技职业学院智能节水系统安装与运维综合实训平台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ZXZB-TJ-2025004G</w:t>
      </w:r>
      <w:r>
        <w:rPr>
          <w:rFonts w:hint="eastAsia" w:ascii="宋体" w:hAnsi="宋体" w:cs="宋体"/>
          <w:color w:val="auto"/>
          <w:sz w:val="24"/>
          <w:highlight w:val="none"/>
        </w:rPr>
        <w:t>】招标的有关活动，并对此项目进行投标。为此：</w:t>
      </w:r>
    </w:p>
    <w:p w14:paraId="2EEAC4B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EA7683C">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FAE45DD">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F7CDFE0">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9125E9C">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color w:val="auto"/>
          <w:kern w:val="28"/>
          <w:sz w:val="24"/>
          <w:szCs w:val="20"/>
          <w:highlight w:val="none"/>
        </w:rPr>
        <w:t>联合协议（如果有)；</w:t>
      </w:r>
    </w:p>
    <w:p w14:paraId="1949F2E6">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color w:val="auto"/>
          <w:kern w:val="28"/>
          <w:sz w:val="24"/>
          <w:szCs w:val="20"/>
          <w:highlight w:val="none"/>
        </w:rPr>
        <w:t>（如果有）</w:t>
      </w:r>
      <w:r>
        <w:rPr>
          <w:rFonts w:hint="eastAsia" w:ascii="宋体" w:hAnsi="宋体" w:cs="宋体"/>
          <w:color w:val="auto"/>
          <w:sz w:val="24"/>
          <w:highlight w:val="none"/>
        </w:rPr>
        <w:t>；</w:t>
      </w:r>
    </w:p>
    <w:p w14:paraId="7F03C18F">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kern w:val="28"/>
          <w:sz w:val="24"/>
          <w:szCs w:val="20"/>
          <w:highlight w:val="none"/>
        </w:rPr>
        <w:t>（如果有）</w:t>
      </w:r>
      <w:r>
        <w:rPr>
          <w:rFonts w:hint="eastAsia" w:ascii="宋体" w:hAnsi="宋体" w:cs="宋体"/>
          <w:color w:val="auto"/>
          <w:sz w:val="24"/>
          <w:highlight w:val="none"/>
        </w:rPr>
        <w:t>。</w:t>
      </w:r>
    </w:p>
    <w:p w14:paraId="150D4D02">
      <w:pPr>
        <w:shd w:val="clea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14A099F">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5B13FF2">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972A644">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kern w:val="28"/>
          <w:sz w:val="24"/>
          <w:szCs w:val="20"/>
          <w:highlight w:val="none"/>
        </w:rPr>
        <w:t>（如果有）</w:t>
      </w:r>
      <w:r>
        <w:rPr>
          <w:rFonts w:hint="eastAsia" w:ascii="宋体" w:hAnsi="宋体" w:cs="宋体"/>
          <w:color w:val="auto"/>
          <w:sz w:val="24"/>
          <w:highlight w:val="none"/>
        </w:rPr>
        <w:t>；</w:t>
      </w:r>
    </w:p>
    <w:p w14:paraId="484E8E9E">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3603F50">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96B1B5C">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8EF1548">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6922DAD">
      <w:pPr>
        <w:shd w:val="clea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D53B4FE">
      <w:pPr>
        <w:shd w:val="clea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.2.9投标人股权信息表</w:t>
      </w:r>
      <w:r>
        <w:rPr>
          <w:rFonts w:hint="eastAsia" w:ascii="宋体" w:hAnsi="宋体" w:cs="宋体"/>
          <w:color w:val="auto"/>
          <w:sz w:val="24"/>
          <w:highlight w:val="none"/>
          <w:lang w:eastAsia="zh-CN"/>
        </w:rPr>
        <w:t>；</w:t>
      </w:r>
    </w:p>
    <w:p w14:paraId="25E75F58">
      <w:pPr>
        <w:shd w:val="clea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2.2.10缴纳代理服务费承诺书。</w:t>
      </w:r>
    </w:p>
    <w:p w14:paraId="2201A382">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7D4B2A9">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23B57F5F">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7473F3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C8737C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A8B4182">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D8A1D19">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CA97829">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04F122D">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3285151">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D0FC6B">
      <w:pPr>
        <w:shd w:val="clea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59EBF10">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31D46CF">
      <w:pPr>
        <w:shd w:val="clear"/>
        <w:snapToGrid w:val="0"/>
        <w:spacing w:line="360" w:lineRule="auto"/>
        <w:ind w:left="420" w:leftChars="200" w:firstLine="4200" w:firstLineChars="1750"/>
        <w:rPr>
          <w:rFonts w:ascii="宋体" w:hAnsi="宋体" w:cs="宋体"/>
          <w:color w:val="auto"/>
          <w:kern w:val="0"/>
          <w:sz w:val="24"/>
          <w:highlight w:val="none"/>
          <w:u w:val="single"/>
        </w:rPr>
      </w:pPr>
    </w:p>
    <w:p w14:paraId="46F27E9B">
      <w:pPr>
        <w:shd w:val="clear"/>
        <w:spacing w:line="360" w:lineRule="auto"/>
        <w:ind w:right="420"/>
        <w:rPr>
          <w:rFonts w:hint="eastAsia" w:ascii="宋体" w:hAnsi="宋体" w:cs="宋体"/>
          <w:color w:val="auto"/>
          <w:sz w:val="24"/>
          <w:highlight w:val="none"/>
        </w:rPr>
        <w:sectPr>
          <w:headerReference r:id="rId10" w:type="first"/>
          <w:footerReference r:id="rId12" w:type="first"/>
          <w:headerReference r:id="rId9" w:type="default"/>
          <w:footerReference r:id="rId11" w:type="default"/>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注：按本格式和要求提供。</w:t>
      </w:r>
    </w:p>
    <w:p w14:paraId="11D2AA2D">
      <w:pPr>
        <w:shd w:val="clea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44A63E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236303A">
      <w:pPr>
        <w:shd w:val="clea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F610401">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浙江同济科技职业学院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浙江致信招标代理有限公司</w:t>
      </w:r>
      <w:r>
        <w:rPr>
          <w:rFonts w:hint="eastAsia" w:ascii="宋体" w:hAnsi="宋体" w:cs="宋体"/>
          <w:color w:val="auto"/>
          <w:kern w:val="0"/>
          <w:sz w:val="24"/>
          <w:highlight w:val="none"/>
          <w:lang w:val="zh-CN"/>
        </w:rPr>
        <w:t>：</w:t>
      </w:r>
    </w:p>
    <w:p w14:paraId="15287BF6">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浙江同济科技职业学院智能节水系统安装与运维综合实训平台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ZXZB-TJ-2025004G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DA007CD">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18B2D79">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829669A">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5AF2C10">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182457C">
      <w:pPr>
        <w:shd w:val="clear"/>
        <w:snapToGrid w:val="0"/>
        <w:spacing w:line="360" w:lineRule="auto"/>
        <w:rPr>
          <w:rFonts w:ascii="宋体" w:hAnsi="宋体" w:cs="宋体"/>
          <w:color w:val="auto"/>
          <w:sz w:val="24"/>
          <w:highlight w:val="none"/>
        </w:rPr>
      </w:pPr>
    </w:p>
    <w:p w14:paraId="7FDF76E3">
      <w:pPr>
        <w:shd w:val="clear"/>
        <w:snapToGrid w:val="0"/>
        <w:spacing w:line="360" w:lineRule="auto"/>
        <w:rPr>
          <w:rFonts w:ascii="宋体" w:hAnsi="宋体" w:cs="宋体"/>
          <w:color w:val="auto"/>
          <w:sz w:val="24"/>
          <w:highlight w:val="none"/>
        </w:rPr>
      </w:pPr>
    </w:p>
    <w:p w14:paraId="3C891291">
      <w:pPr>
        <w:shd w:val="clear"/>
        <w:snapToGrid w:val="0"/>
        <w:spacing w:line="360" w:lineRule="auto"/>
        <w:rPr>
          <w:rFonts w:ascii="宋体" w:hAnsi="宋体" w:cs="宋体"/>
          <w:color w:val="auto"/>
          <w:sz w:val="24"/>
          <w:highlight w:val="none"/>
        </w:rPr>
      </w:pPr>
    </w:p>
    <w:p w14:paraId="3EB66B11">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F2465DC">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浙江同济科技职业学院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浙江致信招标代理有限公司</w:t>
      </w:r>
      <w:r>
        <w:rPr>
          <w:rFonts w:hint="eastAsia" w:ascii="宋体" w:hAnsi="宋体" w:cs="宋体"/>
          <w:color w:val="auto"/>
          <w:kern w:val="0"/>
          <w:sz w:val="24"/>
          <w:highlight w:val="none"/>
          <w:lang w:val="zh-CN"/>
        </w:rPr>
        <w:t>：</w:t>
      </w:r>
    </w:p>
    <w:p w14:paraId="0E9B4631">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浙江同济科技职业学院智能节水系统安装与运维综合实训平台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ZXZB-TJ-2025004G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93A15E4">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EC5E08B">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775E609">
      <w:pPr>
        <w:shd w:val="clear"/>
        <w:jc w:val="center"/>
        <w:rPr>
          <w:rFonts w:ascii="宋体" w:hAnsi="宋体" w:cs="宋体"/>
          <w:b/>
          <w:color w:val="auto"/>
          <w:kern w:val="0"/>
          <w:sz w:val="32"/>
          <w:szCs w:val="32"/>
          <w:highlight w:val="none"/>
        </w:rPr>
      </w:pPr>
    </w:p>
    <w:p w14:paraId="5A6518AF">
      <w:pPr>
        <w:shd w:val="clear"/>
        <w:jc w:val="center"/>
        <w:rPr>
          <w:rFonts w:ascii="宋体" w:hAnsi="宋体" w:cs="宋体"/>
          <w:b/>
          <w:color w:val="auto"/>
          <w:kern w:val="0"/>
          <w:sz w:val="32"/>
          <w:szCs w:val="32"/>
          <w:highlight w:val="none"/>
        </w:rPr>
      </w:pPr>
    </w:p>
    <w:p w14:paraId="00B14E52">
      <w:pPr>
        <w:shd w:val="clear"/>
        <w:jc w:val="center"/>
        <w:rPr>
          <w:rFonts w:ascii="宋体" w:hAnsi="宋体" w:cs="宋体"/>
          <w:b/>
          <w:color w:val="auto"/>
          <w:kern w:val="0"/>
          <w:sz w:val="32"/>
          <w:szCs w:val="32"/>
          <w:highlight w:val="none"/>
        </w:rPr>
      </w:pPr>
    </w:p>
    <w:p w14:paraId="7F39468F">
      <w:pPr>
        <w:shd w:val="clear"/>
        <w:rPr>
          <w:rFonts w:ascii="宋体" w:hAnsi="宋体" w:cs="宋体"/>
          <w:color w:val="auto"/>
          <w:highlight w:val="none"/>
        </w:rPr>
      </w:pPr>
    </w:p>
    <w:p w14:paraId="0CA83FD1">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13471A8">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F28290E">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E757F19">
      <w:pPr>
        <w:shd w:val="clear"/>
        <w:snapToGrid w:val="0"/>
        <w:spacing w:line="360" w:lineRule="auto"/>
        <w:rPr>
          <w:rFonts w:ascii="宋体" w:hAnsi="宋体" w:cs="宋体"/>
          <w:color w:val="auto"/>
          <w:kern w:val="0"/>
          <w:sz w:val="24"/>
          <w:highlight w:val="none"/>
          <w:lang w:val="zh-CN"/>
        </w:rPr>
        <w:sectPr>
          <w:pgSz w:w="11906" w:h="16838"/>
          <w:pgMar w:top="1440" w:right="1080" w:bottom="1440" w:left="1080" w:header="851" w:footer="992" w:gutter="0"/>
          <w:cols w:space="720" w:num="1"/>
          <w:titlePg/>
          <w:docGrid w:linePitch="312" w:charSpace="0"/>
        </w:sectPr>
      </w:pPr>
      <w:r>
        <w:rPr>
          <w:rFonts w:hint="eastAsia" w:ascii="宋体" w:hAnsi="宋体" w:cs="宋体"/>
          <w:color w:val="auto"/>
          <w:kern w:val="0"/>
          <w:sz w:val="24"/>
          <w:highlight w:val="none"/>
          <w:lang w:val="zh-CN"/>
        </w:rPr>
        <w:t xml:space="preserve">                                               日期：  年  月   日</w:t>
      </w:r>
    </w:p>
    <w:p w14:paraId="5AB8F1A1">
      <w:pPr>
        <w:pStyle w:val="64"/>
        <w:shd w:val="clear"/>
        <w:ind w:firstLine="420"/>
        <w:rPr>
          <w:color w:val="auto"/>
          <w:highlight w:val="none"/>
          <w:lang w:val="zh-CN"/>
        </w:rPr>
      </w:pPr>
    </w:p>
    <w:p w14:paraId="0EB56311">
      <w:pPr>
        <w:shd w:val="clea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EB5DC92">
      <w:pPr>
        <w:pStyle w:val="151"/>
        <w:shd w:val="clear"/>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15A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7A17DA2">
            <w:pPr>
              <w:pStyle w:val="151"/>
              <w:shd w:val="clear"/>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F79C6AD">
            <w:pPr>
              <w:pStyle w:val="151"/>
              <w:shd w:val="clear"/>
              <w:adjustRightInd w:val="0"/>
              <w:spacing w:line="360" w:lineRule="auto"/>
              <w:rPr>
                <w:rFonts w:hAnsi="宋体" w:cs="宋体"/>
                <w:bCs/>
                <w:color w:val="auto"/>
                <w:sz w:val="24"/>
                <w:highlight w:val="none"/>
              </w:rPr>
            </w:pPr>
          </w:p>
        </w:tc>
      </w:tr>
    </w:tbl>
    <w:p w14:paraId="320FFE8F">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D815EA1">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CA7A946">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EDC6101">
      <w:pPr>
        <w:shd w:val="clear"/>
        <w:jc w:val="center"/>
        <w:rPr>
          <w:rFonts w:ascii="宋体" w:hAnsi="宋体" w:cs="宋体"/>
          <w:b/>
          <w:color w:val="auto"/>
          <w:kern w:val="0"/>
          <w:sz w:val="32"/>
          <w:szCs w:val="32"/>
          <w:highlight w:val="none"/>
        </w:rPr>
      </w:pPr>
    </w:p>
    <w:p w14:paraId="748690D0">
      <w:pPr>
        <w:shd w:val="clear"/>
        <w:jc w:val="center"/>
        <w:rPr>
          <w:rFonts w:ascii="宋体" w:hAnsi="宋体" w:cs="宋体"/>
          <w:b/>
          <w:color w:val="auto"/>
          <w:kern w:val="0"/>
          <w:sz w:val="32"/>
          <w:szCs w:val="32"/>
          <w:highlight w:val="none"/>
        </w:rPr>
      </w:pPr>
    </w:p>
    <w:p w14:paraId="6CF799CF">
      <w:pPr>
        <w:shd w:val="clear"/>
        <w:jc w:val="center"/>
        <w:rPr>
          <w:rFonts w:ascii="宋体" w:hAnsi="宋体" w:cs="宋体"/>
          <w:b/>
          <w:color w:val="auto"/>
          <w:kern w:val="0"/>
          <w:sz w:val="32"/>
          <w:szCs w:val="32"/>
          <w:highlight w:val="none"/>
        </w:rPr>
      </w:pPr>
    </w:p>
    <w:p w14:paraId="1CB90870">
      <w:pPr>
        <w:shd w:val="clear"/>
        <w:jc w:val="center"/>
        <w:rPr>
          <w:rFonts w:ascii="宋体" w:hAnsi="宋体" w:cs="宋体"/>
          <w:b/>
          <w:color w:val="auto"/>
          <w:kern w:val="0"/>
          <w:sz w:val="32"/>
          <w:szCs w:val="32"/>
          <w:highlight w:val="none"/>
        </w:rPr>
      </w:pPr>
    </w:p>
    <w:p w14:paraId="00C415B0">
      <w:pPr>
        <w:shd w:val="clear"/>
        <w:jc w:val="center"/>
        <w:rPr>
          <w:rFonts w:ascii="宋体" w:hAnsi="宋体" w:cs="宋体"/>
          <w:b/>
          <w:color w:val="auto"/>
          <w:kern w:val="0"/>
          <w:sz w:val="32"/>
          <w:szCs w:val="32"/>
          <w:highlight w:val="none"/>
        </w:rPr>
      </w:pPr>
    </w:p>
    <w:p w14:paraId="6838026C">
      <w:pPr>
        <w:shd w:val="clear"/>
        <w:jc w:val="center"/>
        <w:rPr>
          <w:rFonts w:ascii="宋体" w:hAnsi="宋体" w:cs="宋体"/>
          <w:b/>
          <w:color w:val="auto"/>
          <w:kern w:val="0"/>
          <w:sz w:val="32"/>
          <w:szCs w:val="32"/>
          <w:highlight w:val="none"/>
        </w:rPr>
      </w:pPr>
    </w:p>
    <w:p w14:paraId="280BC1EF">
      <w:pPr>
        <w:shd w:val="clear"/>
        <w:jc w:val="center"/>
        <w:rPr>
          <w:rFonts w:ascii="宋体" w:hAnsi="宋体" w:cs="宋体"/>
          <w:b/>
          <w:color w:val="auto"/>
          <w:kern w:val="0"/>
          <w:sz w:val="32"/>
          <w:szCs w:val="32"/>
          <w:highlight w:val="none"/>
        </w:rPr>
      </w:pPr>
    </w:p>
    <w:p w14:paraId="0D7F5947">
      <w:pPr>
        <w:shd w:val="clear"/>
        <w:jc w:val="center"/>
        <w:rPr>
          <w:rFonts w:ascii="宋体" w:hAnsi="宋体" w:cs="宋体"/>
          <w:b/>
          <w:color w:val="auto"/>
          <w:kern w:val="0"/>
          <w:sz w:val="32"/>
          <w:szCs w:val="32"/>
          <w:highlight w:val="none"/>
        </w:rPr>
      </w:pPr>
    </w:p>
    <w:p w14:paraId="2FB06C50">
      <w:pPr>
        <w:shd w:val="clear"/>
        <w:jc w:val="center"/>
        <w:rPr>
          <w:rFonts w:ascii="宋体" w:hAnsi="宋体" w:cs="宋体"/>
          <w:b/>
          <w:color w:val="auto"/>
          <w:kern w:val="0"/>
          <w:sz w:val="32"/>
          <w:szCs w:val="32"/>
          <w:highlight w:val="none"/>
        </w:rPr>
      </w:pPr>
    </w:p>
    <w:p w14:paraId="6F337042">
      <w:pPr>
        <w:shd w:val="clear"/>
        <w:jc w:val="center"/>
        <w:rPr>
          <w:rFonts w:ascii="宋体" w:hAnsi="宋体" w:cs="宋体"/>
          <w:b/>
          <w:color w:val="auto"/>
          <w:kern w:val="0"/>
          <w:sz w:val="32"/>
          <w:szCs w:val="32"/>
          <w:highlight w:val="none"/>
        </w:rPr>
      </w:pPr>
    </w:p>
    <w:p w14:paraId="2B7D5F41">
      <w:pPr>
        <w:shd w:val="clea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03E65AF">
      <w:pPr>
        <w:shd w:val="clear"/>
        <w:snapToGrid w:val="0"/>
        <w:spacing w:line="360" w:lineRule="auto"/>
        <w:jc w:val="center"/>
        <w:rPr>
          <w:rFonts w:ascii="宋体" w:hAnsi="宋体" w:cs="宋体"/>
          <w:b/>
          <w:color w:val="auto"/>
          <w:kern w:val="0"/>
          <w:sz w:val="32"/>
          <w:szCs w:val="32"/>
          <w:highlight w:val="none"/>
        </w:rPr>
      </w:pPr>
    </w:p>
    <w:p w14:paraId="136D7A4E">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45465E9">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不同意分包或者投标人中标后不以分包方式履行合同的，则不需要提供。</w:t>
      </w:r>
      <w:r>
        <w:rPr>
          <w:rFonts w:hint="eastAsia" w:ascii="宋体" w:hAnsi="宋体" w:cs="宋体"/>
          <w:color w:val="auto"/>
          <w:sz w:val="24"/>
          <w:highlight w:val="none"/>
        </w:rPr>
        <w:t>]</w:t>
      </w:r>
    </w:p>
    <w:p w14:paraId="3AE1C898">
      <w:pPr>
        <w:shd w:val="clear"/>
        <w:snapToGrid w:val="0"/>
        <w:spacing w:line="360" w:lineRule="auto"/>
        <w:rPr>
          <w:rFonts w:ascii="宋体" w:hAnsi="宋体" w:cs="宋体"/>
          <w:color w:val="auto"/>
          <w:kern w:val="0"/>
          <w:sz w:val="24"/>
          <w:highlight w:val="none"/>
        </w:rPr>
      </w:pPr>
    </w:p>
    <w:p w14:paraId="7E718A6D">
      <w:pPr>
        <w:shd w:val="clear"/>
        <w:rPr>
          <w:color w:val="auto"/>
          <w:highlight w:val="none"/>
        </w:rPr>
      </w:pPr>
    </w:p>
    <w:p w14:paraId="72FE2E19">
      <w:pPr>
        <w:shd w:val="clear"/>
        <w:rPr>
          <w:color w:val="auto"/>
          <w:highlight w:val="none"/>
        </w:rPr>
      </w:pPr>
    </w:p>
    <w:p w14:paraId="6EAA7BC1">
      <w:pPr>
        <w:shd w:val="clear"/>
        <w:rPr>
          <w:color w:val="auto"/>
          <w:highlight w:val="none"/>
        </w:rPr>
      </w:pPr>
    </w:p>
    <w:p w14:paraId="56C7111D">
      <w:pPr>
        <w:shd w:val="clear"/>
        <w:rPr>
          <w:color w:val="auto"/>
          <w:highlight w:val="none"/>
        </w:rPr>
      </w:pPr>
    </w:p>
    <w:p w14:paraId="27AC02FF">
      <w:pPr>
        <w:shd w:val="clear"/>
        <w:jc w:val="center"/>
        <w:rPr>
          <w:rFonts w:ascii="宋体" w:hAnsi="宋体" w:cs="宋体"/>
          <w:b/>
          <w:color w:val="auto"/>
          <w:kern w:val="0"/>
          <w:sz w:val="32"/>
          <w:szCs w:val="32"/>
          <w:highlight w:val="none"/>
        </w:rPr>
      </w:pPr>
    </w:p>
    <w:p w14:paraId="0EEBE9C2">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57F1416">
      <w:pPr>
        <w:shd w:val="clear"/>
        <w:jc w:val="center"/>
        <w:rPr>
          <w:rFonts w:ascii="宋体" w:hAnsi="宋体" w:cs="宋体"/>
          <w:b/>
          <w:color w:val="auto"/>
          <w:kern w:val="0"/>
          <w:sz w:val="32"/>
          <w:szCs w:val="32"/>
          <w:highlight w:val="none"/>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214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24D76A8">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3DEC65C">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85B539B">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02BE042">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AAAC991">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70B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80563D">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44F89A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4C7C7D7">
            <w:pPr>
              <w:shd w:val="clea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D7D467C">
            <w:pPr>
              <w:shd w:val="clear"/>
              <w:rPr>
                <w:rFonts w:ascii="宋体" w:hAnsi="宋体" w:cs="宋体"/>
                <w:color w:val="auto"/>
                <w:sz w:val="24"/>
                <w:highlight w:val="none"/>
              </w:rPr>
            </w:pPr>
          </w:p>
          <w:p w14:paraId="3A23BFAF">
            <w:pPr>
              <w:shd w:val="clear"/>
              <w:rPr>
                <w:rFonts w:ascii="宋体" w:hAnsi="宋体" w:cs="宋体"/>
                <w:color w:val="auto"/>
                <w:sz w:val="24"/>
                <w:highlight w:val="none"/>
              </w:rPr>
            </w:pPr>
            <w:r>
              <w:rPr>
                <w:rFonts w:hint="eastAsia" w:ascii="宋体" w:hAnsi="宋体" w:cs="宋体"/>
                <w:color w:val="auto"/>
                <w:sz w:val="24"/>
                <w:highlight w:val="none"/>
              </w:rPr>
              <w:t>见投标文件</w:t>
            </w:r>
          </w:p>
          <w:p w14:paraId="148E63F8">
            <w:pPr>
              <w:shd w:val="clea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5B2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61D4B3">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784686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1C43F68">
            <w:pPr>
              <w:shd w:val="clea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39D3406">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623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2FF4B7">
            <w:pPr>
              <w:shd w:val="clea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7B5EAF5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48043025">
            <w:pPr>
              <w:shd w:val="clea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0D30082A">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D84141E">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0D0D01">
      <w:pPr>
        <w:shd w:val="clear"/>
        <w:jc w:val="center"/>
        <w:rPr>
          <w:rFonts w:ascii="宋体" w:hAnsi="宋体" w:cs="宋体"/>
          <w:b/>
          <w:color w:val="auto"/>
          <w:kern w:val="0"/>
          <w:sz w:val="32"/>
          <w:szCs w:val="32"/>
          <w:highlight w:val="none"/>
        </w:rPr>
      </w:pPr>
    </w:p>
    <w:p w14:paraId="14F1AADF">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7888445">
      <w:pPr>
        <w:shd w:val="clear"/>
        <w:jc w:val="center"/>
        <w:rPr>
          <w:rFonts w:ascii="宋体" w:hAnsi="宋体" w:cs="宋体"/>
          <w:b/>
          <w:color w:val="auto"/>
          <w:kern w:val="0"/>
          <w:sz w:val="32"/>
          <w:szCs w:val="32"/>
          <w:highlight w:val="none"/>
        </w:rPr>
      </w:pPr>
    </w:p>
    <w:p w14:paraId="732241BD">
      <w:pPr>
        <w:shd w:val="clear"/>
        <w:jc w:val="center"/>
        <w:rPr>
          <w:rFonts w:ascii="宋体" w:hAnsi="宋体" w:cs="宋体"/>
          <w:b/>
          <w:color w:val="auto"/>
          <w:kern w:val="0"/>
          <w:sz w:val="32"/>
          <w:szCs w:val="32"/>
          <w:highlight w:val="none"/>
        </w:rPr>
      </w:pPr>
    </w:p>
    <w:p w14:paraId="3614CF30">
      <w:pPr>
        <w:shd w:val="clear"/>
        <w:jc w:val="center"/>
        <w:rPr>
          <w:rFonts w:ascii="宋体" w:hAnsi="宋体" w:cs="宋体"/>
          <w:b/>
          <w:color w:val="auto"/>
          <w:kern w:val="0"/>
          <w:sz w:val="32"/>
          <w:szCs w:val="32"/>
          <w:highlight w:val="none"/>
        </w:rPr>
      </w:pPr>
    </w:p>
    <w:p w14:paraId="26ED71D9">
      <w:pPr>
        <w:shd w:val="clear"/>
        <w:jc w:val="center"/>
        <w:rPr>
          <w:rFonts w:ascii="宋体" w:hAnsi="宋体" w:cs="宋体"/>
          <w:b/>
          <w:color w:val="auto"/>
          <w:kern w:val="0"/>
          <w:sz w:val="32"/>
          <w:szCs w:val="32"/>
          <w:highlight w:val="none"/>
        </w:rPr>
      </w:pPr>
    </w:p>
    <w:p w14:paraId="2F94C052">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2C0EAAB">
      <w:pPr>
        <w:shd w:val="clea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3257583">
      <w:pPr>
        <w:shd w:val="clear"/>
        <w:snapToGrid w:val="0"/>
        <w:spacing w:line="360" w:lineRule="auto"/>
        <w:jc w:val="left"/>
        <w:rPr>
          <w:rFonts w:ascii="宋体" w:hAnsi="宋体" w:cs="宋体"/>
          <w:b/>
          <w:color w:val="auto"/>
          <w:sz w:val="24"/>
          <w:highlight w:val="none"/>
        </w:rPr>
      </w:pPr>
    </w:p>
    <w:p w14:paraId="114EAC9E">
      <w:pPr>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（按招标文件第四部分评标办法提供资料。）</w:t>
      </w:r>
    </w:p>
    <w:p w14:paraId="29CF94FD">
      <w:pPr>
        <w:shd w:val="clear"/>
        <w:jc w:val="center"/>
        <w:rPr>
          <w:rFonts w:ascii="宋体" w:hAnsi="宋体" w:cs="宋体"/>
          <w:b/>
          <w:color w:val="auto"/>
          <w:kern w:val="0"/>
          <w:sz w:val="32"/>
          <w:szCs w:val="32"/>
          <w:highlight w:val="none"/>
        </w:rPr>
      </w:pPr>
    </w:p>
    <w:p w14:paraId="1A88E59B">
      <w:pPr>
        <w:shd w:val="clear"/>
        <w:jc w:val="center"/>
        <w:rPr>
          <w:rFonts w:ascii="宋体" w:hAnsi="宋体" w:cs="宋体"/>
          <w:b/>
          <w:color w:val="auto"/>
          <w:kern w:val="0"/>
          <w:sz w:val="32"/>
          <w:szCs w:val="32"/>
          <w:highlight w:val="none"/>
        </w:rPr>
      </w:pPr>
    </w:p>
    <w:p w14:paraId="4930594A">
      <w:pPr>
        <w:shd w:val="clear"/>
        <w:jc w:val="center"/>
        <w:rPr>
          <w:rFonts w:ascii="宋体" w:hAnsi="宋体" w:cs="宋体"/>
          <w:b/>
          <w:color w:val="auto"/>
          <w:kern w:val="0"/>
          <w:sz w:val="32"/>
          <w:szCs w:val="32"/>
          <w:highlight w:val="none"/>
        </w:rPr>
      </w:pPr>
    </w:p>
    <w:p w14:paraId="5037EFDF">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p w14:paraId="383477FB">
      <w:pPr>
        <w:shd w:val="clear"/>
        <w:rPr>
          <w:color w:val="auto"/>
          <w:highlight w:val="none"/>
        </w:rPr>
      </w:pPr>
    </w:p>
    <w:tbl>
      <w:tblPr>
        <w:tblStyle w:val="6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526"/>
        <w:gridCol w:w="1244"/>
        <w:gridCol w:w="1405"/>
        <w:gridCol w:w="3097"/>
        <w:gridCol w:w="1865"/>
      </w:tblGrid>
      <w:tr w14:paraId="16EA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5770D11B">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66" w:type="pct"/>
            <w:tcBorders>
              <w:top w:val="single" w:color="auto" w:sz="4" w:space="0"/>
              <w:left w:val="single" w:color="auto" w:sz="4" w:space="0"/>
              <w:bottom w:val="single" w:color="auto" w:sz="4" w:space="0"/>
              <w:right w:val="single" w:color="auto" w:sz="4" w:space="0"/>
            </w:tcBorders>
            <w:vAlign w:val="center"/>
          </w:tcPr>
          <w:p w14:paraId="311B666A">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624" w:type="pct"/>
            <w:tcBorders>
              <w:top w:val="single" w:color="auto" w:sz="4" w:space="0"/>
              <w:left w:val="single" w:color="auto" w:sz="4" w:space="0"/>
              <w:bottom w:val="single" w:color="auto" w:sz="4" w:space="0"/>
              <w:right w:val="single" w:color="auto" w:sz="4" w:space="0"/>
            </w:tcBorders>
          </w:tcPr>
          <w:p w14:paraId="0476AFC9">
            <w:pPr>
              <w:shd w:val="clear"/>
              <w:spacing w:line="360" w:lineRule="auto"/>
              <w:jc w:val="center"/>
              <w:rPr>
                <w:rFonts w:ascii="宋体" w:hAnsi="宋体" w:cs="宋体"/>
                <w:b/>
                <w:color w:val="auto"/>
                <w:sz w:val="24"/>
                <w:highlight w:val="none"/>
              </w:rPr>
            </w:pPr>
          </w:p>
          <w:p w14:paraId="30585302">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14:paraId="4A4B38F7">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554" w:type="pct"/>
            <w:tcBorders>
              <w:top w:val="single" w:color="auto" w:sz="4" w:space="0"/>
              <w:left w:val="single" w:color="auto" w:sz="4" w:space="0"/>
              <w:bottom w:val="single" w:color="auto" w:sz="4" w:space="0"/>
              <w:right w:val="single" w:color="auto" w:sz="4" w:space="0"/>
            </w:tcBorders>
            <w:vAlign w:val="center"/>
          </w:tcPr>
          <w:p w14:paraId="14AFE0B5">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936" w:type="pct"/>
            <w:tcBorders>
              <w:top w:val="single" w:color="auto" w:sz="4" w:space="0"/>
              <w:left w:val="single" w:color="auto" w:sz="4" w:space="0"/>
              <w:bottom w:val="single" w:color="auto" w:sz="4" w:space="0"/>
              <w:right w:val="single" w:color="auto" w:sz="4" w:space="0"/>
            </w:tcBorders>
            <w:vAlign w:val="center"/>
          </w:tcPr>
          <w:p w14:paraId="7A02DB04">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BBC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1F33FF1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66" w:type="pct"/>
            <w:tcBorders>
              <w:top w:val="single" w:color="auto" w:sz="4" w:space="0"/>
              <w:left w:val="single" w:color="auto" w:sz="4" w:space="0"/>
              <w:bottom w:val="single" w:color="auto" w:sz="4" w:space="0"/>
              <w:right w:val="single" w:color="auto" w:sz="4" w:space="0"/>
            </w:tcBorders>
            <w:vAlign w:val="center"/>
          </w:tcPr>
          <w:p w14:paraId="262688A8">
            <w:pPr>
              <w:shd w:val="clear"/>
              <w:snapToGrid w:val="0"/>
              <w:spacing w:line="360" w:lineRule="auto"/>
              <w:jc w:val="center"/>
              <w:rPr>
                <w:rFonts w:ascii="宋体" w:hAnsi="宋体" w:cs="宋体"/>
                <w:color w:val="auto"/>
                <w:sz w:val="24"/>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14:paraId="68831DCA">
            <w:pPr>
              <w:shd w:val="clear"/>
              <w:snapToGrid w:val="0"/>
              <w:spacing w:line="360" w:lineRule="auto"/>
              <w:jc w:val="center"/>
              <w:rPr>
                <w:rFonts w:ascii="宋体" w:hAnsi="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45CFE6EC">
            <w:pPr>
              <w:shd w:val="clear"/>
              <w:snapToGrid w:val="0"/>
              <w:spacing w:line="360" w:lineRule="auto"/>
              <w:jc w:val="center"/>
              <w:rPr>
                <w:rFonts w:ascii="宋体" w:hAnsi="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5E6AD27D">
            <w:pPr>
              <w:shd w:val="clear"/>
              <w:spacing w:line="360" w:lineRule="auto"/>
              <w:jc w:val="center"/>
              <w:rPr>
                <w:rFonts w:ascii="宋体" w:hAnsi="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5C2CD154">
            <w:pPr>
              <w:shd w:val="clear"/>
              <w:spacing w:line="360" w:lineRule="auto"/>
              <w:jc w:val="center"/>
              <w:rPr>
                <w:rFonts w:ascii="宋体" w:hAnsi="宋体" w:cs="宋体"/>
                <w:color w:val="auto"/>
                <w:sz w:val="24"/>
                <w:highlight w:val="none"/>
              </w:rPr>
            </w:pPr>
          </w:p>
        </w:tc>
      </w:tr>
      <w:tr w14:paraId="4E0C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BB7DE4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66" w:type="pct"/>
            <w:tcBorders>
              <w:top w:val="single" w:color="auto" w:sz="4" w:space="0"/>
              <w:left w:val="single" w:color="auto" w:sz="4" w:space="0"/>
              <w:bottom w:val="single" w:color="auto" w:sz="4" w:space="0"/>
              <w:right w:val="single" w:color="auto" w:sz="4" w:space="0"/>
            </w:tcBorders>
            <w:vAlign w:val="center"/>
          </w:tcPr>
          <w:p w14:paraId="5B0A4A55">
            <w:pPr>
              <w:shd w:val="clear"/>
              <w:snapToGrid w:val="0"/>
              <w:spacing w:line="360" w:lineRule="auto"/>
              <w:jc w:val="center"/>
              <w:rPr>
                <w:rFonts w:ascii="宋体" w:hAnsi="宋体" w:cs="宋体"/>
                <w:color w:val="auto"/>
                <w:sz w:val="24"/>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14:paraId="5BCF7FF1">
            <w:pPr>
              <w:shd w:val="clear"/>
              <w:snapToGrid w:val="0"/>
              <w:spacing w:line="360" w:lineRule="auto"/>
              <w:jc w:val="center"/>
              <w:rPr>
                <w:rFonts w:ascii="宋体" w:hAnsi="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4F161952">
            <w:pPr>
              <w:shd w:val="clear"/>
              <w:snapToGrid w:val="0"/>
              <w:spacing w:line="360" w:lineRule="auto"/>
              <w:jc w:val="center"/>
              <w:rPr>
                <w:rFonts w:ascii="宋体" w:hAnsi="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7B63A475">
            <w:pPr>
              <w:shd w:val="clear"/>
              <w:spacing w:line="360" w:lineRule="auto"/>
              <w:jc w:val="center"/>
              <w:rPr>
                <w:rFonts w:ascii="宋体" w:hAnsi="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079B5D3F">
            <w:pPr>
              <w:shd w:val="clear"/>
              <w:spacing w:line="360" w:lineRule="auto"/>
              <w:jc w:val="center"/>
              <w:rPr>
                <w:rFonts w:ascii="宋体" w:hAnsi="宋体" w:cs="宋体"/>
                <w:color w:val="auto"/>
                <w:sz w:val="24"/>
                <w:highlight w:val="none"/>
              </w:rPr>
            </w:pPr>
          </w:p>
        </w:tc>
      </w:tr>
      <w:tr w14:paraId="0C41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3663868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766" w:type="pct"/>
            <w:tcBorders>
              <w:top w:val="single" w:color="auto" w:sz="4" w:space="0"/>
              <w:left w:val="single" w:color="auto" w:sz="4" w:space="0"/>
              <w:bottom w:val="single" w:color="auto" w:sz="4" w:space="0"/>
              <w:right w:val="single" w:color="auto" w:sz="4" w:space="0"/>
            </w:tcBorders>
            <w:vAlign w:val="center"/>
          </w:tcPr>
          <w:p w14:paraId="03AD419B">
            <w:pPr>
              <w:shd w:val="clear"/>
              <w:snapToGrid w:val="0"/>
              <w:spacing w:line="360" w:lineRule="auto"/>
              <w:jc w:val="center"/>
              <w:rPr>
                <w:rFonts w:ascii="宋体" w:hAnsi="宋体" w:cs="宋体"/>
                <w:color w:val="auto"/>
                <w:sz w:val="24"/>
                <w:highlight w:val="none"/>
              </w:rPr>
            </w:pPr>
          </w:p>
        </w:tc>
        <w:tc>
          <w:tcPr>
            <w:tcW w:w="624" w:type="pct"/>
            <w:tcBorders>
              <w:top w:val="single" w:color="auto" w:sz="4" w:space="0"/>
              <w:left w:val="single" w:color="auto" w:sz="4" w:space="0"/>
              <w:bottom w:val="single" w:color="auto" w:sz="4" w:space="0"/>
              <w:right w:val="single" w:color="auto" w:sz="4" w:space="0"/>
            </w:tcBorders>
            <w:vAlign w:val="center"/>
          </w:tcPr>
          <w:p w14:paraId="4C2CCF48">
            <w:pPr>
              <w:shd w:val="clear"/>
              <w:snapToGrid w:val="0"/>
              <w:spacing w:line="360" w:lineRule="auto"/>
              <w:jc w:val="center"/>
              <w:rPr>
                <w:rFonts w:ascii="宋体" w:hAnsi="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596517CC">
            <w:pPr>
              <w:shd w:val="clear"/>
              <w:snapToGrid w:val="0"/>
              <w:spacing w:line="360" w:lineRule="auto"/>
              <w:jc w:val="center"/>
              <w:rPr>
                <w:rFonts w:ascii="宋体" w:hAnsi="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3B26EAF5">
            <w:pPr>
              <w:shd w:val="clear"/>
              <w:spacing w:line="360" w:lineRule="auto"/>
              <w:jc w:val="center"/>
              <w:rPr>
                <w:rFonts w:ascii="宋体" w:hAnsi="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31574278">
            <w:pPr>
              <w:shd w:val="clear"/>
              <w:spacing w:line="360" w:lineRule="auto"/>
              <w:jc w:val="center"/>
              <w:rPr>
                <w:rFonts w:ascii="宋体" w:hAnsi="宋体" w:cs="宋体"/>
                <w:color w:val="auto"/>
                <w:sz w:val="24"/>
                <w:highlight w:val="none"/>
              </w:rPr>
            </w:pPr>
          </w:p>
        </w:tc>
      </w:tr>
    </w:tbl>
    <w:p w14:paraId="67C4FA62">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4D4437">
      <w:pPr>
        <w:shd w:val="clear"/>
        <w:jc w:val="center"/>
        <w:rPr>
          <w:rFonts w:ascii="宋体" w:hAnsi="宋体" w:cs="宋体"/>
          <w:b/>
          <w:color w:val="auto"/>
          <w:kern w:val="0"/>
          <w:sz w:val="32"/>
          <w:szCs w:val="32"/>
          <w:highlight w:val="none"/>
        </w:rPr>
      </w:pPr>
    </w:p>
    <w:p w14:paraId="5B700408">
      <w:pPr>
        <w:shd w:val="clear"/>
        <w:jc w:val="center"/>
        <w:rPr>
          <w:rFonts w:ascii="宋体" w:hAnsi="宋体" w:cs="宋体"/>
          <w:b/>
          <w:color w:val="auto"/>
          <w:kern w:val="0"/>
          <w:sz w:val="32"/>
          <w:szCs w:val="32"/>
          <w:highlight w:val="none"/>
        </w:rPr>
      </w:pPr>
    </w:p>
    <w:p w14:paraId="56C6F763">
      <w:pPr>
        <w:numPr>
          <w:ilvl w:val="0"/>
          <w:numId w:val="3"/>
        </w:num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商务技术偏离表</w:t>
      </w:r>
    </w:p>
    <w:p w14:paraId="036AA717">
      <w:pPr>
        <w:shd w:val="clear"/>
        <w:rPr>
          <w:color w:val="auto"/>
          <w:highlight w:val="none"/>
        </w:rPr>
      </w:pPr>
    </w:p>
    <w:tbl>
      <w:tblPr>
        <w:tblStyle w:val="6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3875"/>
        <w:gridCol w:w="3732"/>
        <w:gridCol w:w="1343"/>
      </w:tblGrid>
      <w:tr w14:paraId="1424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DDDB6E2">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945" w:type="pct"/>
          </w:tcPr>
          <w:p w14:paraId="4DBF15E3">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1873" w:type="pct"/>
          </w:tcPr>
          <w:p w14:paraId="34E8E8BC">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674" w:type="pct"/>
          </w:tcPr>
          <w:p w14:paraId="281C1838">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797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1527B525">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945" w:type="pct"/>
          </w:tcPr>
          <w:p w14:paraId="784F6D16">
            <w:pPr>
              <w:shd w:val="clear"/>
              <w:jc w:val="center"/>
              <w:rPr>
                <w:rFonts w:ascii="宋体" w:hAnsi="宋体" w:cs="宋体"/>
                <w:b/>
                <w:color w:val="auto"/>
                <w:kern w:val="0"/>
                <w:sz w:val="32"/>
                <w:szCs w:val="32"/>
                <w:highlight w:val="none"/>
              </w:rPr>
            </w:pPr>
          </w:p>
        </w:tc>
        <w:tc>
          <w:tcPr>
            <w:tcW w:w="1873" w:type="pct"/>
          </w:tcPr>
          <w:p w14:paraId="25C19A79">
            <w:pPr>
              <w:shd w:val="clear"/>
              <w:jc w:val="center"/>
              <w:rPr>
                <w:rFonts w:ascii="宋体" w:hAnsi="宋体" w:cs="宋体"/>
                <w:b/>
                <w:color w:val="auto"/>
                <w:kern w:val="0"/>
                <w:sz w:val="32"/>
                <w:szCs w:val="32"/>
                <w:highlight w:val="none"/>
              </w:rPr>
            </w:pPr>
          </w:p>
        </w:tc>
        <w:tc>
          <w:tcPr>
            <w:tcW w:w="674" w:type="pct"/>
          </w:tcPr>
          <w:p w14:paraId="0EB08426">
            <w:pPr>
              <w:shd w:val="clear"/>
              <w:jc w:val="center"/>
              <w:rPr>
                <w:rFonts w:ascii="宋体" w:hAnsi="宋体" w:cs="宋体"/>
                <w:b/>
                <w:color w:val="auto"/>
                <w:kern w:val="0"/>
                <w:sz w:val="32"/>
                <w:szCs w:val="32"/>
                <w:highlight w:val="none"/>
              </w:rPr>
            </w:pPr>
          </w:p>
        </w:tc>
      </w:tr>
      <w:tr w14:paraId="3241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A403EA9">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945" w:type="pct"/>
          </w:tcPr>
          <w:p w14:paraId="209C09A9">
            <w:pPr>
              <w:shd w:val="clear"/>
              <w:jc w:val="center"/>
              <w:rPr>
                <w:rFonts w:ascii="宋体" w:hAnsi="宋体" w:cs="宋体"/>
                <w:b/>
                <w:color w:val="auto"/>
                <w:kern w:val="0"/>
                <w:sz w:val="32"/>
                <w:szCs w:val="32"/>
                <w:highlight w:val="none"/>
              </w:rPr>
            </w:pPr>
          </w:p>
        </w:tc>
        <w:tc>
          <w:tcPr>
            <w:tcW w:w="1873" w:type="pct"/>
          </w:tcPr>
          <w:p w14:paraId="15FBEB49">
            <w:pPr>
              <w:shd w:val="clear"/>
              <w:jc w:val="center"/>
              <w:rPr>
                <w:rFonts w:ascii="宋体" w:hAnsi="宋体" w:cs="宋体"/>
                <w:b/>
                <w:color w:val="auto"/>
                <w:kern w:val="0"/>
                <w:sz w:val="32"/>
                <w:szCs w:val="32"/>
                <w:highlight w:val="none"/>
              </w:rPr>
            </w:pPr>
          </w:p>
        </w:tc>
        <w:tc>
          <w:tcPr>
            <w:tcW w:w="674" w:type="pct"/>
          </w:tcPr>
          <w:p w14:paraId="6966E6F2">
            <w:pPr>
              <w:shd w:val="clear"/>
              <w:jc w:val="center"/>
              <w:rPr>
                <w:rFonts w:ascii="宋体" w:hAnsi="宋体" w:cs="宋体"/>
                <w:b/>
                <w:color w:val="auto"/>
                <w:kern w:val="0"/>
                <w:sz w:val="32"/>
                <w:szCs w:val="32"/>
                <w:highlight w:val="none"/>
              </w:rPr>
            </w:pPr>
          </w:p>
        </w:tc>
      </w:tr>
      <w:tr w14:paraId="3730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F75C1D6">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945" w:type="pct"/>
          </w:tcPr>
          <w:p w14:paraId="3B8A3D14">
            <w:pPr>
              <w:shd w:val="clear"/>
              <w:jc w:val="center"/>
              <w:rPr>
                <w:rFonts w:ascii="宋体" w:hAnsi="宋体" w:cs="宋体"/>
                <w:b/>
                <w:color w:val="auto"/>
                <w:kern w:val="0"/>
                <w:sz w:val="32"/>
                <w:szCs w:val="32"/>
                <w:highlight w:val="none"/>
              </w:rPr>
            </w:pPr>
          </w:p>
        </w:tc>
        <w:tc>
          <w:tcPr>
            <w:tcW w:w="1873" w:type="pct"/>
          </w:tcPr>
          <w:p w14:paraId="1F81F892">
            <w:pPr>
              <w:shd w:val="clear"/>
              <w:jc w:val="center"/>
              <w:rPr>
                <w:rFonts w:ascii="宋体" w:hAnsi="宋体" w:cs="宋体"/>
                <w:b/>
                <w:color w:val="auto"/>
                <w:kern w:val="0"/>
                <w:sz w:val="32"/>
                <w:szCs w:val="32"/>
                <w:highlight w:val="none"/>
              </w:rPr>
            </w:pPr>
          </w:p>
        </w:tc>
        <w:tc>
          <w:tcPr>
            <w:tcW w:w="674" w:type="pct"/>
          </w:tcPr>
          <w:p w14:paraId="755BF92B">
            <w:pPr>
              <w:shd w:val="clear"/>
              <w:jc w:val="center"/>
              <w:rPr>
                <w:rFonts w:ascii="宋体" w:hAnsi="宋体" w:cs="宋体"/>
                <w:b/>
                <w:color w:val="auto"/>
                <w:kern w:val="0"/>
                <w:sz w:val="32"/>
                <w:szCs w:val="32"/>
                <w:highlight w:val="none"/>
              </w:rPr>
            </w:pPr>
          </w:p>
        </w:tc>
      </w:tr>
    </w:tbl>
    <w:p w14:paraId="65865C0E">
      <w:pPr>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382C0FF">
      <w:pPr>
        <w:shd w:val="clear"/>
        <w:jc w:val="center"/>
        <w:rPr>
          <w:rFonts w:ascii="宋体" w:hAnsi="宋体" w:cs="宋体"/>
          <w:b/>
          <w:color w:val="auto"/>
          <w:kern w:val="0"/>
          <w:sz w:val="32"/>
          <w:szCs w:val="32"/>
          <w:highlight w:val="none"/>
        </w:rPr>
      </w:pPr>
    </w:p>
    <w:p w14:paraId="4FF398F4">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88E71B">
      <w:pPr>
        <w:shd w:val="clear"/>
        <w:ind w:firstLine="1911" w:firstLineChars="595"/>
        <w:rPr>
          <w:rFonts w:ascii="宋体" w:hAnsi="宋体" w:cs="宋体"/>
          <w:b/>
          <w:bCs/>
          <w:color w:val="auto"/>
          <w:sz w:val="32"/>
          <w:szCs w:val="32"/>
          <w:highlight w:val="none"/>
        </w:rPr>
      </w:pPr>
    </w:p>
    <w:p w14:paraId="0D229212">
      <w:pPr>
        <w:shd w:val="clear"/>
        <w:ind w:firstLine="1911" w:firstLineChars="595"/>
        <w:rPr>
          <w:rFonts w:ascii="宋体" w:hAnsi="宋体" w:cs="宋体"/>
          <w:b/>
          <w:bCs/>
          <w:color w:val="auto"/>
          <w:sz w:val="32"/>
          <w:szCs w:val="32"/>
          <w:highlight w:val="none"/>
        </w:rPr>
      </w:pPr>
    </w:p>
    <w:p w14:paraId="6C0F1FE4">
      <w:pPr>
        <w:shd w:val="clear"/>
        <w:ind w:firstLine="1911" w:firstLineChars="595"/>
        <w:rPr>
          <w:rFonts w:ascii="宋体" w:hAnsi="宋体" w:cs="宋体"/>
          <w:b/>
          <w:bCs/>
          <w:color w:val="auto"/>
          <w:sz w:val="32"/>
          <w:szCs w:val="32"/>
          <w:highlight w:val="none"/>
        </w:rPr>
      </w:pPr>
    </w:p>
    <w:p w14:paraId="556C07E2">
      <w:pPr>
        <w:shd w:val="clear"/>
        <w:ind w:firstLine="1911" w:firstLineChars="595"/>
        <w:rPr>
          <w:rFonts w:ascii="宋体" w:hAnsi="宋体" w:cs="宋体"/>
          <w:b/>
          <w:bCs/>
          <w:color w:val="auto"/>
          <w:sz w:val="32"/>
          <w:szCs w:val="32"/>
          <w:highlight w:val="none"/>
        </w:rPr>
      </w:pPr>
    </w:p>
    <w:p w14:paraId="57F78A03">
      <w:pPr>
        <w:shd w:val="clear"/>
        <w:ind w:firstLine="1911" w:firstLineChars="595"/>
        <w:rPr>
          <w:rFonts w:ascii="宋体" w:hAnsi="宋体" w:cs="宋体"/>
          <w:b/>
          <w:bCs/>
          <w:color w:val="auto"/>
          <w:sz w:val="32"/>
          <w:szCs w:val="32"/>
          <w:highlight w:val="none"/>
        </w:rPr>
      </w:pPr>
    </w:p>
    <w:p w14:paraId="3247DA86">
      <w:pPr>
        <w:widowControl/>
        <w:shd w:val="clear"/>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B22C8D3">
      <w:pPr>
        <w:shd w:val="clear"/>
        <w:ind w:firstLine="1911" w:firstLineChars="595"/>
        <w:rPr>
          <w:rFonts w:ascii="宋体" w:hAnsi="宋体" w:cs="宋体"/>
          <w:b/>
          <w:bCs/>
          <w:color w:val="auto"/>
          <w:sz w:val="32"/>
          <w:szCs w:val="32"/>
          <w:highlight w:val="none"/>
        </w:rPr>
      </w:pPr>
    </w:p>
    <w:p w14:paraId="1ADB997D">
      <w:pPr>
        <w:shd w:val="clea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417270C">
      <w:pPr>
        <w:shd w:val="clear"/>
        <w:snapToGrid w:val="0"/>
        <w:spacing w:line="360" w:lineRule="auto"/>
        <w:rPr>
          <w:rFonts w:ascii="宋体" w:hAnsi="宋体" w:cs="宋体"/>
          <w:color w:val="auto"/>
          <w:sz w:val="24"/>
          <w:highlight w:val="none"/>
        </w:rPr>
      </w:pPr>
    </w:p>
    <w:p w14:paraId="3EA3BD1A">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浙江同济科技职业学院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浙江致信招标代理有限公司</w:t>
      </w:r>
      <w:r>
        <w:rPr>
          <w:rFonts w:hint="eastAsia" w:ascii="宋体" w:hAnsi="宋体" w:cs="宋体"/>
          <w:color w:val="auto"/>
          <w:kern w:val="0"/>
          <w:sz w:val="24"/>
          <w:highlight w:val="none"/>
          <w:lang w:val="zh-CN"/>
        </w:rPr>
        <w:t>：</w:t>
      </w:r>
    </w:p>
    <w:p w14:paraId="184CEEDF">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93F3BE1">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6431AA1">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12014D1">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B53FF42">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876D90A">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E472755">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4044134">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AE1E474">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36AD87D">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B746787">
      <w:pPr>
        <w:shd w:val="clear"/>
        <w:autoSpaceDE w:val="0"/>
        <w:autoSpaceDN w:val="0"/>
        <w:spacing w:line="360" w:lineRule="auto"/>
        <w:ind w:left="2"/>
        <w:jc w:val="left"/>
        <w:rPr>
          <w:rFonts w:ascii="宋体" w:hAnsi="宋体" w:cs="宋体"/>
          <w:color w:val="auto"/>
          <w:kern w:val="0"/>
          <w:sz w:val="24"/>
          <w:highlight w:val="none"/>
          <w:lang w:val="zh-CN"/>
        </w:rPr>
      </w:pPr>
    </w:p>
    <w:p w14:paraId="1B4C6C95">
      <w:pPr>
        <w:shd w:val="clear"/>
        <w:autoSpaceDE w:val="0"/>
        <w:autoSpaceDN w:val="0"/>
        <w:spacing w:line="360" w:lineRule="auto"/>
        <w:ind w:left="2"/>
        <w:jc w:val="left"/>
        <w:rPr>
          <w:rFonts w:ascii="宋体" w:hAnsi="宋体" w:cs="宋体"/>
          <w:color w:val="auto"/>
          <w:kern w:val="0"/>
          <w:sz w:val="24"/>
          <w:highlight w:val="none"/>
          <w:lang w:val="zh-CN"/>
        </w:rPr>
      </w:pPr>
    </w:p>
    <w:p w14:paraId="407FE35E">
      <w:pPr>
        <w:shd w:val="clear"/>
        <w:autoSpaceDE w:val="0"/>
        <w:autoSpaceDN w:val="0"/>
        <w:spacing w:line="360" w:lineRule="auto"/>
        <w:ind w:left="2"/>
        <w:jc w:val="left"/>
        <w:rPr>
          <w:rFonts w:ascii="宋体" w:hAnsi="宋体" w:cs="宋体"/>
          <w:color w:val="auto"/>
          <w:kern w:val="0"/>
          <w:sz w:val="24"/>
          <w:highlight w:val="none"/>
          <w:lang w:val="zh-CN"/>
        </w:rPr>
      </w:pPr>
    </w:p>
    <w:p w14:paraId="1492033F">
      <w:pPr>
        <w:shd w:val="clea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0DE5AAA">
      <w:pPr>
        <w:shd w:val="clea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5A80AD5">
      <w:pPr>
        <w:shd w:val="clear"/>
        <w:spacing w:line="360" w:lineRule="auto"/>
        <w:jc w:val="center"/>
        <w:rPr>
          <w:rFonts w:ascii="宋体" w:hAnsi="宋体" w:cs="宋体"/>
          <w:b/>
          <w:bCs/>
          <w:color w:val="auto"/>
          <w:sz w:val="24"/>
          <w:highlight w:val="none"/>
        </w:rPr>
      </w:pPr>
    </w:p>
    <w:p w14:paraId="358DF3A5">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CA6CDA8">
      <w:pPr>
        <w:shd w:val="clear"/>
        <w:rPr>
          <w:rFonts w:ascii="宋体" w:hAnsi="宋体" w:cs="宋体"/>
          <w:b/>
          <w:bCs/>
          <w:color w:val="auto"/>
          <w:sz w:val="24"/>
          <w:highlight w:val="none"/>
        </w:rPr>
      </w:pPr>
      <w:r>
        <w:rPr>
          <w:rFonts w:ascii="宋体" w:hAnsi="宋体" w:cs="宋体"/>
          <w:b/>
          <w:bCs/>
          <w:color w:val="auto"/>
          <w:sz w:val="24"/>
          <w:highlight w:val="none"/>
        </w:rPr>
        <w:br w:type="page"/>
      </w:r>
    </w:p>
    <w:p w14:paraId="2DB7BF90">
      <w:pPr>
        <w:shd w:val="clear"/>
        <w:jc w:val="center"/>
        <w:rPr>
          <w:rFonts w:ascii="宋体" w:hAnsi="宋体" w:cs="宋体"/>
          <w:b/>
          <w:bCs/>
          <w:color w:val="auto"/>
          <w:sz w:val="32"/>
          <w:szCs w:val="32"/>
          <w:highlight w:val="none"/>
        </w:rPr>
      </w:pPr>
    </w:p>
    <w:p w14:paraId="0A4F7EBF">
      <w:pPr>
        <w:shd w:val="clea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九、投标人股权信息表</w:t>
      </w:r>
    </w:p>
    <w:p w14:paraId="7AAA761B">
      <w:pPr>
        <w:shd w:val="clear"/>
        <w:rPr>
          <w:color w:val="auto"/>
          <w:highlight w:val="none"/>
        </w:rPr>
      </w:pPr>
    </w:p>
    <w:tbl>
      <w:tblPr>
        <w:tblStyle w:val="65"/>
        <w:tblW w:w="9515" w:type="dxa"/>
        <w:tblInd w:w="0" w:type="dxa"/>
        <w:tblLayout w:type="fixed"/>
        <w:tblCellMar>
          <w:top w:w="0" w:type="dxa"/>
          <w:left w:w="108" w:type="dxa"/>
          <w:bottom w:w="0" w:type="dxa"/>
          <w:right w:w="108" w:type="dxa"/>
        </w:tblCellMar>
      </w:tblPr>
      <w:tblGrid>
        <w:gridCol w:w="1060"/>
        <w:gridCol w:w="1551"/>
        <w:gridCol w:w="1404"/>
        <w:gridCol w:w="1905"/>
        <w:gridCol w:w="1155"/>
        <w:gridCol w:w="1085"/>
        <w:gridCol w:w="1355"/>
      </w:tblGrid>
      <w:tr w14:paraId="168708ED">
        <w:tblPrEx>
          <w:tblCellMar>
            <w:top w:w="0" w:type="dxa"/>
            <w:left w:w="108" w:type="dxa"/>
            <w:bottom w:w="0" w:type="dxa"/>
            <w:right w:w="108" w:type="dxa"/>
          </w:tblCellMar>
        </w:tblPrEx>
        <w:trPr>
          <w:trHeight w:val="495"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8BF9">
            <w:pPr>
              <w:widowControl/>
              <w:shd w:val="clear"/>
              <w:jc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投标人股权信息表</w:t>
            </w:r>
          </w:p>
        </w:tc>
      </w:tr>
      <w:tr w14:paraId="0D01678F">
        <w:tblPrEx>
          <w:tblCellMar>
            <w:top w:w="0" w:type="dxa"/>
            <w:left w:w="108" w:type="dxa"/>
            <w:bottom w:w="0" w:type="dxa"/>
            <w:right w:w="108" w:type="dxa"/>
          </w:tblCellMar>
        </w:tblPrEx>
        <w:trPr>
          <w:trHeight w:val="480"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E72D">
            <w:pPr>
              <w:widowControl/>
              <w:shd w:val="clear"/>
              <w:jc w:val="left"/>
              <w:rPr>
                <w:rFonts w:ascii="宋体" w:hAnsi="宋体" w:cs="宋体"/>
                <w:color w:val="auto"/>
                <w:sz w:val="24"/>
                <w:highlight w:val="none"/>
              </w:rPr>
            </w:pPr>
            <w:r>
              <w:rPr>
                <w:rFonts w:hint="eastAsia" w:ascii="宋体" w:hAnsi="宋体" w:cs="宋体"/>
                <w:color w:val="auto"/>
                <w:kern w:val="0"/>
                <w:sz w:val="24"/>
                <w:highlight w:val="none"/>
                <w:lang w:bidi="ar"/>
              </w:rPr>
              <w:t>项目编号：</w:t>
            </w:r>
          </w:p>
        </w:tc>
      </w:tr>
      <w:tr w14:paraId="6B9DA643">
        <w:tblPrEx>
          <w:tblCellMar>
            <w:top w:w="0" w:type="dxa"/>
            <w:left w:w="108" w:type="dxa"/>
            <w:bottom w:w="0" w:type="dxa"/>
            <w:right w:w="108" w:type="dxa"/>
          </w:tblCellMar>
        </w:tblPrEx>
        <w:trPr>
          <w:trHeight w:val="520"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41E3">
            <w:pPr>
              <w:shd w:val="clear"/>
              <w:jc w:val="left"/>
              <w:rPr>
                <w:rFonts w:ascii="宋体" w:hAnsi="宋体" w:cs="宋体"/>
                <w:color w:val="auto"/>
                <w:sz w:val="24"/>
                <w:highlight w:val="none"/>
              </w:rPr>
            </w:pPr>
            <w:r>
              <w:rPr>
                <w:rFonts w:hint="eastAsia" w:ascii="宋体" w:hAnsi="宋体" w:cs="宋体"/>
                <w:color w:val="auto"/>
                <w:kern w:val="0"/>
                <w:sz w:val="24"/>
                <w:highlight w:val="none"/>
                <w:lang w:bidi="ar"/>
              </w:rPr>
              <w:t>项目名称：</w:t>
            </w:r>
          </w:p>
        </w:tc>
      </w:tr>
      <w:tr w14:paraId="1E462832">
        <w:tblPrEx>
          <w:tblCellMar>
            <w:top w:w="0" w:type="dxa"/>
            <w:left w:w="108" w:type="dxa"/>
            <w:bottom w:w="0" w:type="dxa"/>
            <w:right w:w="108" w:type="dxa"/>
          </w:tblCellMar>
        </w:tblPrEx>
        <w:trPr>
          <w:trHeight w:val="28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A2F7">
            <w:pPr>
              <w:widowControl/>
              <w:shd w:val="clear"/>
              <w:jc w:val="center"/>
              <w:rPr>
                <w:rFonts w:ascii="宋体" w:hAnsi="宋体" w:cs="宋体"/>
                <w:color w:val="auto"/>
                <w:sz w:val="24"/>
                <w:highlight w:val="none"/>
              </w:rPr>
            </w:pPr>
            <w:r>
              <w:rPr>
                <w:rFonts w:hint="eastAsia" w:ascii="宋体" w:hAnsi="宋体" w:cs="宋体"/>
                <w:color w:val="auto"/>
                <w:kern w:val="0"/>
                <w:sz w:val="24"/>
                <w:highlight w:val="none"/>
                <w:lang w:bidi="ar"/>
              </w:rPr>
              <w:t>序号</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F127">
            <w:pPr>
              <w:widowControl/>
              <w:shd w:val="clear"/>
              <w:jc w:val="center"/>
              <w:rPr>
                <w:rFonts w:ascii="宋体" w:hAnsi="宋体" w:cs="宋体"/>
                <w:color w:val="auto"/>
                <w:sz w:val="24"/>
                <w:highlight w:val="none"/>
              </w:rPr>
            </w:pPr>
            <w:r>
              <w:rPr>
                <w:rFonts w:hint="eastAsia" w:ascii="宋体" w:hAnsi="宋体" w:cs="宋体"/>
                <w:color w:val="auto"/>
                <w:kern w:val="0"/>
                <w:sz w:val="24"/>
                <w:highlight w:val="none"/>
                <w:lang w:bidi="ar"/>
              </w:rPr>
              <w:t>投标人名称</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AB60">
            <w:pPr>
              <w:widowControl/>
              <w:shd w:val="clear"/>
              <w:jc w:val="center"/>
              <w:rPr>
                <w:rFonts w:ascii="宋体" w:hAnsi="宋体" w:cs="宋体"/>
                <w:color w:val="auto"/>
                <w:sz w:val="24"/>
                <w:highlight w:val="none"/>
              </w:rPr>
            </w:pPr>
            <w:r>
              <w:rPr>
                <w:rFonts w:hint="eastAsia" w:ascii="宋体" w:hAnsi="宋体" w:cs="宋体"/>
                <w:color w:val="auto"/>
                <w:kern w:val="0"/>
                <w:sz w:val="24"/>
                <w:highlight w:val="none"/>
                <w:lang w:bidi="ar"/>
              </w:rPr>
              <w:t>法定代表人</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CF38">
            <w:pPr>
              <w:widowControl/>
              <w:shd w:val="clear"/>
              <w:rPr>
                <w:rFonts w:ascii="宋体" w:hAnsi="宋体" w:cs="宋体"/>
                <w:color w:val="auto"/>
                <w:sz w:val="24"/>
                <w:highlight w:val="none"/>
              </w:rPr>
            </w:pPr>
            <w:r>
              <w:rPr>
                <w:rFonts w:hint="eastAsia" w:ascii="宋体" w:hAnsi="宋体" w:cs="宋体"/>
                <w:color w:val="auto"/>
                <w:kern w:val="0"/>
                <w:sz w:val="24"/>
                <w:highlight w:val="none"/>
                <w:lang w:bidi="ar"/>
              </w:rPr>
              <w:t>股东（股权比例）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41D3">
            <w:pPr>
              <w:widowControl/>
              <w:shd w:val="clear"/>
              <w:jc w:val="center"/>
              <w:rPr>
                <w:rFonts w:ascii="宋体" w:hAnsi="宋体" w:cs="宋体"/>
                <w:color w:val="auto"/>
                <w:sz w:val="24"/>
                <w:highlight w:val="none"/>
              </w:rPr>
            </w:pPr>
            <w:r>
              <w:rPr>
                <w:rFonts w:hint="eastAsia" w:ascii="宋体" w:hAnsi="宋体" w:cs="宋体"/>
                <w:color w:val="auto"/>
                <w:kern w:val="0"/>
                <w:sz w:val="24"/>
                <w:highlight w:val="none"/>
                <w:lang w:bidi="ar"/>
              </w:rPr>
              <w:t>董事</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4702">
            <w:pPr>
              <w:widowControl/>
              <w:shd w:val="clear"/>
              <w:jc w:val="center"/>
              <w:rPr>
                <w:rFonts w:ascii="宋体" w:hAnsi="宋体" w:cs="宋体"/>
                <w:color w:val="auto"/>
                <w:sz w:val="24"/>
                <w:highlight w:val="none"/>
              </w:rPr>
            </w:pPr>
            <w:r>
              <w:rPr>
                <w:rFonts w:hint="eastAsia" w:ascii="宋体" w:hAnsi="宋体" w:cs="宋体"/>
                <w:color w:val="auto"/>
                <w:kern w:val="0"/>
                <w:sz w:val="24"/>
                <w:highlight w:val="none"/>
                <w:lang w:bidi="ar"/>
              </w:rPr>
              <w:t>监事</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B4C3">
            <w:pPr>
              <w:widowControl/>
              <w:shd w:val="clear"/>
              <w:jc w:val="center"/>
              <w:rPr>
                <w:rFonts w:ascii="宋体" w:hAnsi="宋体" w:cs="宋体"/>
                <w:color w:val="auto"/>
                <w:sz w:val="24"/>
                <w:highlight w:val="none"/>
              </w:rPr>
            </w:pPr>
            <w:r>
              <w:rPr>
                <w:rFonts w:hint="eastAsia" w:ascii="宋体" w:hAnsi="宋体" w:cs="宋体"/>
                <w:color w:val="auto"/>
                <w:kern w:val="0"/>
                <w:sz w:val="24"/>
                <w:highlight w:val="none"/>
                <w:lang w:bidi="ar"/>
              </w:rPr>
              <w:t>授权代表</w:t>
            </w:r>
          </w:p>
        </w:tc>
      </w:tr>
      <w:tr w14:paraId="22F3F5E9">
        <w:tblPrEx>
          <w:tblCellMar>
            <w:top w:w="0" w:type="dxa"/>
            <w:left w:w="108" w:type="dxa"/>
            <w:bottom w:w="0" w:type="dxa"/>
            <w:right w:w="108" w:type="dxa"/>
          </w:tblCellMar>
        </w:tblPrEx>
        <w:trPr>
          <w:trHeight w:val="531"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7463">
            <w:pPr>
              <w:widowControl/>
              <w:shd w:val="clear"/>
              <w:jc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5ED8">
            <w:pPr>
              <w:shd w:val="clear"/>
              <w:jc w:val="center"/>
              <w:rPr>
                <w:rFonts w:ascii="宋体" w:hAnsi="宋体" w:cs="宋体"/>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F588">
            <w:pPr>
              <w:shd w:val="clear"/>
              <w:jc w:val="center"/>
              <w:rPr>
                <w:rFonts w:ascii="宋体" w:hAnsi="宋体" w:cs="宋体"/>
                <w:color w:val="auto"/>
                <w:sz w:val="24"/>
                <w:highlight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9691">
            <w:pPr>
              <w:shd w:val="clear"/>
              <w:jc w:val="center"/>
              <w:rPr>
                <w:rFonts w:ascii="宋体" w:hAnsi="宋体" w:cs="宋体"/>
                <w:color w:val="auto"/>
                <w:sz w:val="24"/>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0EBB">
            <w:pPr>
              <w:shd w:val="clear"/>
              <w:jc w:val="center"/>
              <w:rPr>
                <w:rFonts w:ascii="宋体" w:hAnsi="宋体" w:cs="宋体"/>
                <w:color w:val="auto"/>
                <w:sz w:val="24"/>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E22B">
            <w:pPr>
              <w:shd w:val="clear"/>
              <w:jc w:val="center"/>
              <w:rPr>
                <w:rFonts w:ascii="宋体" w:hAnsi="宋体" w:cs="宋体"/>
                <w:color w:val="auto"/>
                <w:sz w:val="24"/>
                <w:highlight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2F21">
            <w:pPr>
              <w:shd w:val="clear"/>
              <w:jc w:val="center"/>
              <w:rPr>
                <w:rFonts w:ascii="宋体" w:hAnsi="宋体" w:cs="宋体"/>
                <w:color w:val="auto"/>
                <w:sz w:val="24"/>
                <w:highlight w:val="none"/>
              </w:rPr>
            </w:pPr>
          </w:p>
        </w:tc>
      </w:tr>
      <w:tr w14:paraId="4A4B5660">
        <w:tblPrEx>
          <w:tblCellMar>
            <w:top w:w="0" w:type="dxa"/>
            <w:left w:w="108" w:type="dxa"/>
            <w:bottom w:w="0" w:type="dxa"/>
            <w:right w:w="108" w:type="dxa"/>
          </w:tblCellMar>
        </w:tblPrEx>
        <w:trPr>
          <w:trHeight w:val="705" w:hRule="atLeast"/>
        </w:trPr>
        <w:tc>
          <w:tcPr>
            <w:tcW w:w="951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6424">
            <w:pPr>
              <w:widowControl/>
              <w:shd w:val="clear"/>
              <w:jc w:val="left"/>
              <w:rPr>
                <w:rFonts w:ascii="宋体" w:hAnsi="宋体" w:cs="宋体"/>
                <w:color w:val="auto"/>
                <w:sz w:val="24"/>
                <w:highlight w:val="none"/>
              </w:rPr>
            </w:pPr>
            <w:r>
              <w:rPr>
                <w:rFonts w:hint="eastAsia" w:ascii="宋体" w:hAnsi="宋体" w:cs="宋体"/>
                <w:color w:val="auto"/>
                <w:sz w:val="24"/>
                <w:highlight w:val="none"/>
              </w:rPr>
              <w:t>投标人名称(电子签名):</w:t>
            </w:r>
          </w:p>
        </w:tc>
      </w:tr>
    </w:tbl>
    <w:p w14:paraId="56623F3E">
      <w:pPr>
        <w:pStyle w:val="63"/>
        <w:shd w:val="clear"/>
        <w:rPr>
          <w:color w:val="auto"/>
          <w:highlight w:val="none"/>
        </w:rPr>
        <w:sectPr>
          <w:headerReference r:id="rId14" w:type="first"/>
          <w:footerReference r:id="rId16" w:type="first"/>
          <w:headerReference r:id="rId13" w:type="default"/>
          <w:footerReference r:id="rId15" w:type="default"/>
          <w:pgSz w:w="11906" w:h="16838"/>
          <w:pgMar w:top="1440" w:right="1080" w:bottom="1440" w:left="1080" w:header="851" w:footer="992" w:gutter="0"/>
          <w:cols w:space="720" w:num="1"/>
          <w:titlePg/>
          <w:docGrid w:linePitch="312" w:charSpace="0"/>
        </w:sectPr>
      </w:pPr>
    </w:p>
    <w:p w14:paraId="0B2F7908">
      <w:pPr>
        <w:shd w:val="clea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十、</w:t>
      </w:r>
      <w:r>
        <w:rPr>
          <w:rFonts w:hint="eastAsia" w:ascii="宋体" w:hAnsi="宋体" w:eastAsia="宋体" w:cs="宋体"/>
          <w:b/>
          <w:bCs/>
          <w:color w:val="auto"/>
          <w:sz w:val="32"/>
          <w:szCs w:val="32"/>
          <w:highlight w:val="none"/>
        </w:rPr>
        <w:t>缴纳采购代理服务费承诺书</w:t>
      </w:r>
    </w:p>
    <w:p w14:paraId="30066E94">
      <w:pPr>
        <w:snapToGrid w:val="0"/>
        <w:spacing w:line="360" w:lineRule="auto"/>
        <w:ind w:firstLine="0" w:firstLineChars="0"/>
        <w:rPr>
          <w:rFonts w:hint="eastAsia" w:ascii="宋体" w:hAnsi="宋体" w:eastAsia="宋体" w:cs="宋体"/>
          <w:color w:val="auto"/>
          <w:sz w:val="24"/>
          <w:szCs w:val="24"/>
          <w:highlight w:val="none"/>
          <w:lang w:val="en-US" w:eastAsia="zh-CN"/>
        </w:rPr>
      </w:pPr>
    </w:p>
    <w:p w14:paraId="1B668A96">
      <w:pPr>
        <w:snapToGrid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浙江致信招标代理有限公司</w:t>
      </w:r>
      <w:r>
        <w:rPr>
          <w:rFonts w:hint="eastAsia" w:ascii="宋体" w:hAnsi="宋体" w:eastAsia="宋体" w:cs="宋体"/>
          <w:color w:val="auto"/>
          <w:sz w:val="24"/>
          <w:szCs w:val="24"/>
          <w:highlight w:val="none"/>
        </w:rPr>
        <w:t>：</w:t>
      </w:r>
    </w:p>
    <w:p w14:paraId="072BAACD">
      <w:pPr>
        <w:snapToGrid w:val="0"/>
        <w:spacing w:line="360" w:lineRule="auto"/>
        <w:ind w:firstLine="600"/>
        <w:rPr>
          <w:rFonts w:hint="eastAsia" w:ascii="宋体" w:hAnsi="宋体" w:eastAsia="宋体" w:cs="宋体"/>
          <w:color w:val="auto"/>
          <w:sz w:val="24"/>
          <w:szCs w:val="24"/>
          <w:highlight w:val="none"/>
        </w:rPr>
      </w:pPr>
    </w:p>
    <w:p w14:paraId="57369518">
      <w:pPr>
        <w:snapToGrid w:val="0"/>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我方在你公司组织的</w:t>
      </w:r>
      <w:r>
        <w:rPr>
          <w:rFonts w:hint="eastAsia" w:ascii="宋体" w:hAnsi="宋体" w:eastAsia="宋体" w:cs="宋体"/>
          <w:color w:val="auto"/>
          <w:sz w:val="24"/>
          <w:szCs w:val="24"/>
          <w:highlight w:val="none"/>
          <w:u w:val="single"/>
        </w:rPr>
        <w:t>【项目名称】（项目编号）</w:t>
      </w:r>
      <w:r>
        <w:rPr>
          <w:rFonts w:hint="eastAsia" w:ascii="宋体" w:hAnsi="宋体" w:eastAsia="宋体" w:cs="宋体"/>
          <w:color w:val="auto"/>
          <w:sz w:val="24"/>
          <w:szCs w:val="24"/>
          <w:highlight w:val="none"/>
        </w:rPr>
        <w:t>的采购活动中若获中标/成交，我方保证于中标/成交公告发布后</w:t>
      </w:r>
      <w:r>
        <w:rPr>
          <w:rFonts w:hint="eastAsia" w:ascii="宋体" w:hAnsi="宋体" w:eastAsia="宋体" w:cs="宋体"/>
          <w:color w:val="auto"/>
          <w:sz w:val="24"/>
          <w:szCs w:val="24"/>
          <w:highlight w:val="none"/>
          <w:u w:val="single"/>
        </w:rPr>
        <w:t>[具体时间]（不得超过15天）</w:t>
      </w:r>
      <w:r>
        <w:rPr>
          <w:rFonts w:hint="eastAsia" w:ascii="宋体" w:hAnsi="宋体" w:eastAsia="宋体" w:cs="宋体"/>
          <w:color w:val="auto"/>
          <w:sz w:val="24"/>
          <w:szCs w:val="24"/>
          <w:highlight w:val="none"/>
        </w:rPr>
        <w:t>，内按采购文件</w:t>
      </w: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val="en-US" w:eastAsia="zh-CN"/>
        </w:rPr>
        <w:t>二部分</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投标人</w:t>
      </w:r>
      <w:r>
        <w:rPr>
          <w:rFonts w:hint="eastAsia" w:ascii="宋体" w:hAnsi="宋体" w:eastAsia="宋体" w:cs="宋体"/>
          <w:b/>
          <w:color w:val="auto"/>
          <w:sz w:val="24"/>
          <w:szCs w:val="24"/>
          <w:highlight w:val="none"/>
        </w:rPr>
        <w:t>须知 前附表”</w:t>
      </w:r>
      <w:r>
        <w:rPr>
          <w:rFonts w:hint="eastAsia" w:ascii="宋体" w:hAnsi="宋体" w:eastAsia="宋体" w:cs="宋体"/>
          <w:color w:val="auto"/>
          <w:sz w:val="24"/>
          <w:szCs w:val="24"/>
          <w:highlight w:val="none"/>
        </w:rPr>
        <w:t>规定的采购代理服务费缴纳标准及方式，向你公司支付采购代理服务费。</w:t>
      </w:r>
    </w:p>
    <w:p w14:paraId="4285DDEF">
      <w:pPr>
        <w:snapToGrid w:val="0"/>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我方理解并承诺，若未能按时缴纳采购代理服务费，由此产生的法律责任我方自行承担。我方承诺，本承诺书一旦盖章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，即具有法律效力。</w:t>
      </w:r>
    </w:p>
    <w:p w14:paraId="566E48F5">
      <w:pPr>
        <w:pStyle w:val="321"/>
        <w:adjustRightInd w:val="0"/>
        <w:snapToGrid w:val="0"/>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45F4DAF">
      <w:pPr>
        <w:pStyle w:val="321"/>
        <w:adjustRightInd w:val="0"/>
        <w:snapToGrid w:val="0"/>
        <w:spacing w:line="360" w:lineRule="auto"/>
        <w:ind w:firstLine="600"/>
        <w:rPr>
          <w:rFonts w:hint="eastAsia" w:ascii="宋体" w:hAnsi="宋体" w:eastAsia="宋体" w:cs="宋体"/>
          <w:color w:val="auto"/>
          <w:sz w:val="24"/>
          <w:szCs w:val="24"/>
          <w:highlight w:val="none"/>
        </w:rPr>
      </w:pPr>
    </w:p>
    <w:p w14:paraId="2F728FD5">
      <w:pPr>
        <w:pStyle w:val="321"/>
        <w:adjustRightInd w:val="0"/>
        <w:snapToGrid w:val="0"/>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全称（盖章）：</w:t>
      </w:r>
    </w:p>
    <w:p w14:paraId="7C33FF2F">
      <w:pPr>
        <w:pStyle w:val="321"/>
        <w:adjustRightInd w:val="0"/>
        <w:snapToGrid w:val="0"/>
        <w:spacing w:line="360" w:lineRule="auto"/>
        <w:ind w:firstLine="600"/>
        <w:rPr>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06AE0087">
      <w:pPr>
        <w:pStyle w:val="51"/>
        <w:rPr>
          <w:color w:val="auto"/>
          <w:highlight w:val="none"/>
        </w:rPr>
        <w:sectPr>
          <w:pgSz w:w="11906" w:h="16838"/>
          <w:pgMar w:top="1440" w:right="1080" w:bottom="1440" w:left="1080" w:header="851" w:footer="992" w:gutter="0"/>
          <w:cols w:space="720" w:num="1"/>
          <w:titlePg/>
          <w:docGrid w:linePitch="312" w:charSpace="0"/>
        </w:sectPr>
      </w:pPr>
    </w:p>
    <w:p w14:paraId="2C75A805">
      <w:pPr>
        <w:pStyle w:val="4"/>
        <w:shd w:val="clear"/>
        <w:rPr>
          <w:color w:val="auto"/>
          <w:highlight w:val="none"/>
        </w:rPr>
      </w:pPr>
      <w:r>
        <w:rPr>
          <w:rFonts w:hint="eastAsia"/>
          <w:color w:val="auto"/>
          <w:highlight w:val="none"/>
        </w:rPr>
        <w:t>报价文件部分</w:t>
      </w:r>
    </w:p>
    <w:p w14:paraId="7823FC2F">
      <w:pPr>
        <w:shd w:val="clear"/>
        <w:rPr>
          <w:color w:val="auto"/>
          <w:highlight w:val="none"/>
        </w:rPr>
      </w:pPr>
    </w:p>
    <w:p w14:paraId="1972603F">
      <w:pPr>
        <w:shd w:val="clea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目录</w:t>
      </w:r>
    </w:p>
    <w:p w14:paraId="3B379C5D">
      <w:pPr>
        <w:shd w:val="clear"/>
        <w:rPr>
          <w:color w:val="auto"/>
          <w:highlight w:val="none"/>
        </w:rPr>
      </w:pPr>
    </w:p>
    <w:p w14:paraId="013B9AC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E2FC023">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5DE27822">
      <w:pPr>
        <w:shd w:val="clear"/>
        <w:snapToGrid w:val="0"/>
        <w:spacing w:line="360" w:lineRule="auto"/>
        <w:ind w:right="480"/>
        <w:jc w:val="center"/>
        <w:rPr>
          <w:rFonts w:ascii="宋体" w:hAnsi="宋体" w:cs="宋体"/>
          <w:b/>
          <w:color w:val="auto"/>
          <w:kern w:val="0"/>
          <w:sz w:val="32"/>
          <w:szCs w:val="32"/>
          <w:highlight w:val="none"/>
        </w:rPr>
      </w:pPr>
    </w:p>
    <w:p w14:paraId="3E7DCAF6">
      <w:pPr>
        <w:shd w:val="clear"/>
        <w:snapToGrid w:val="0"/>
        <w:spacing w:line="360" w:lineRule="auto"/>
        <w:ind w:right="480"/>
        <w:jc w:val="center"/>
        <w:rPr>
          <w:rFonts w:ascii="宋体" w:hAnsi="宋体" w:cs="宋体"/>
          <w:b/>
          <w:color w:val="auto"/>
          <w:kern w:val="0"/>
          <w:sz w:val="32"/>
          <w:szCs w:val="32"/>
          <w:highlight w:val="none"/>
        </w:rPr>
      </w:pPr>
    </w:p>
    <w:p w14:paraId="31AF9044">
      <w:pPr>
        <w:shd w:val="clear"/>
        <w:snapToGrid w:val="0"/>
        <w:spacing w:line="360" w:lineRule="auto"/>
        <w:ind w:right="480"/>
        <w:jc w:val="center"/>
        <w:rPr>
          <w:rFonts w:ascii="宋体" w:hAnsi="宋体" w:cs="宋体"/>
          <w:b/>
          <w:color w:val="auto"/>
          <w:kern w:val="0"/>
          <w:sz w:val="32"/>
          <w:szCs w:val="32"/>
          <w:highlight w:val="none"/>
        </w:rPr>
      </w:pPr>
    </w:p>
    <w:p w14:paraId="6EF9A844">
      <w:pPr>
        <w:shd w:val="clear"/>
        <w:snapToGrid w:val="0"/>
        <w:spacing w:line="360" w:lineRule="auto"/>
        <w:ind w:right="480"/>
        <w:jc w:val="center"/>
        <w:rPr>
          <w:rFonts w:ascii="宋体" w:hAnsi="宋体" w:cs="宋体"/>
          <w:b/>
          <w:color w:val="auto"/>
          <w:kern w:val="0"/>
          <w:sz w:val="32"/>
          <w:szCs w:val="32"/>
          <w:highlight w:val="none"/>
        </w:rPr>
      </w:pPr>
    </w:p>
    <w:p w14:paraId="69ADD76D">
      <w:pPr>
        <w:shd w:val="clear"/>
        <w:snapToGrid w:val="0"/>
        <w:spacing w:line="360" w:lineRule="auto"/>
        <w:ind w:right="480"/>
        <w:jc w:val="center"/>
        <w:rPr>
          <w:rFonts w:ascii="宋体" w:hAnsi="宋体" w:cs="宋体"/>
          <w:b/>
          <w:color w:val="auto"/>
          <w:kern w:val="0"/>
          <w:sz w:val="32"/>
          <w:szCs w:val="32"/>
          <w:highlight w:val="none"/>
        </w:rPr>
      </w:pPr>
    </w:p>
    <w:p w14:paraId="2137ECD3">
      <w:pPr>
        <w:shd w:val="clear"/>
        <w:snapToGrid w:val="0"/>
        <w:spacing w:line="360" w:lineRule="auto"/>
        <w:ind w:right="480"/>
        <w:jc w:val="center"/>
        <w:rPr>
          <w:rFonts w:ascii="宋体" w:hAnsi="宋体" w:cs="宋体"/>
          <w:b/>
          <w:color w:val="auto"/>
          <w:kern w:val="0"/>
          <w:sz w:val="32"/>
          <w:szCs w:val="32"/>
          <w:highlight w:val="none"/>
        </w:rPr>
      </w:pPr>
    </w:p>
    <w:p w14:paraId="261B4696">
      <w:pPr>
        <w:shd w:val="clear"/>
        <w:snapToGrid w:val="0"/>
        <w:spacing w:line="360" w:lineRule="auto"/>
        <w:ind w:right="480"/>
        <w:jc w:val="center"/>
        <w:rPr>
          <w:rFonts w:ascii="宋体" w:hAnsi="宋体" w:cs="宋体"/>
          <w:b/>
          <w:color w:val="auto"/>
          <w:kern w:val="0"/>
          <w:sz w:val="32"/>
          <w:szCs w:val="32"/>
          <w:highlight w:val="none"/>
        </w:rPr>
      </w:pPr>
    </w:p>
    <w:p w14:paraId="2008D8A2">
      <w:pPr>
        <w:shd w:val="clear"/>
        <w:snapToGrid w:val="0"/>
        <w:spacing w:line="360" w:lineRule="auto"/>
        <w:ind w:right="480"/>
        <w:jc w:val="center"/>
        <w:rPr>
          <w:rFonts w:ascii="宋体" w:hAnsi="宋体" w:cs="宋体"/>
          <w:b/>
          <w:color w:val="auto"/>
          <w:kern w:val="0"/>
          <w:sz w:val="32"/>
          <w:szCs w:val="32"/>
          <w:highlight w:val="none"/>
        </w:rPr>
      </w:pPr>
    </w:p>
    <w:p w14:paraId="531554BE">
      <w:pPr>
        <w:shd w:val="clear"/>
        <w:snapToGrid w:val="0"/>
        <w:spacing w:line="360" w:lineRule="auto"/>
        <w:ind w:right="480"/>
        <w:jc w:val="center"/>
        <w:rPr>
          <w:rFonts w:ascii="宋体" w:hAnsi="宋体" w:cs="宋体"/>
          <w:b/>
          <w:color w:val="auto"/>
          <w:kern w:val="0"/>
          <w:sz w:val="32"/>
          <w:szCs w:val="32"/>
          <w:highlight w:val="none"/>
        </w:rPr>
      </w:pPr>
    </w:p>
    <w:p w14:paraId="18C60433">
      <w:pPr>
        <w:shd w:val="clear"/>
        <w:snapToGrid w:val="0"/>
        <w:spacing w:line="360" w:lineRule="auto"/>
        <w:ind w:right="480"/>
        <w:jc w:val="center"/>
        <w:rPr>
          <w:rFonts w:ascii="宋体" w:hAnsi="宋体" w:cs="宋体"/>
          <w:b/>
          <w:color w:val="auto"/>
          <w:kern w:val="0"/>
          <w:sz w:val="32"/>
          <w:szCs w:val="32"/>
          <w:highlight w:val="none"/>
        </w:rPr>
      </w:pPr>
    </w:p>
    <w:p w14:paraId="4ACD48D8">
      <w:pPr>
        <w:shd w:val="clear"/>
        <w:snapToGrid w:val="0"/>
        <w:spacing w:line="360" w:lineRule="auto"/>
        <w:ind w:right="480"/>
        <w:jc w:val="center"/>
        <w:rPr>
          <w:rFonts w:ascii="宋体" w:hAnsi="宋体" w:cs="宋体"/>
          <w:b/>
          <w:color w:val="auto"/>
          <w:kern w:val="0"/>
          <w:sz w:val="32"/>
          <w:szCs w:val="32"/>
          <w:highlight w:val="none"/>
        </w:rPr>
      </w:pPr>
    </w:p>
    <w:p w14:paraId="099986AC">
      <w:pPr>
        <w:shd w:val="clear"/>
        <w:snapToGrid w:val="0"/>
        <w:spacing w:line="360" w:lineRule="auto"/>
        <w:ind w:right="480"/>
        <w:jc w:val="center"/>
        <w:rPr>
          <w:rFonts w:ascii="宋体" w:hAnsi="宋体" w:cs="宋体"/>
          <w:b/>
          <w:color w:val="auto"/>
          <w:kern w:val="0"/>
          <w:sz w:val="32"/>
          <w:szCs w:val="32"/>
          <w:highlight w:val="none"/>
        </w:rPr>
      </w:pPr>
    </w:p>
    <w:p w14:paraId="285F2F7D">
      <w:pPr>
        <w:shd w:val="clear"/>
        <w:snapToGrid w:val="0"/>
        <w:spacing w:line="360" w:lineRule="auto"/>
        <w:ind w:right="480"/>
        <w:jc w:val="center"/>
        <w:rPr>
          <w:rFonts w:ascii="宋体" w:hAnsi="宋体" w:cs="宋体"/>
          <w:b/>
          <w:color w:val="auto"/>
          <w:kern w:val="0"/>
          <w:sz w:val="32"/>
          <w:szCs w:val="32"/>
          <w:highlight w:val="none"/>
        </w:rPr>
      </w:pPr>
    </w:p>
    <w:p w14:paraId="31574211">
      <w:pPr>
        <w:shd w:val="clear"/>
        <w:snapToGrid w:val="0"/>
        <w:spacing w:line="360" w:lineRule="auto"/>
        <w:ind w:right="480"/>
        <w:jc w:val="center"/>
        <w:rPr>
          <w:rFonts w:ascii="宋体" w:hAnsi="宋体" w:cs="宋体"/>
          <w:b/>
          <w:color w:val="auto"/>
          <w:kern w:val="0"/>
          <w:sz w:val="32"/>
          <w:szCs w:val="32"/>
          <w:highlight w:val="none"/>
        </w:rPr>
      </w:pPr>
    </w:p>
    <w:p w14:paraId="4CEA40A8">
      <w:pPr>
        <w:shd w:val="clear"/>
        <w:snapToGrid w:val="0"/>
        <w:spacing w:line="360" w:lineRule="auto"/>
        <w:ind w:right="480"/>
        <w:jc w:val="center"/>
        <w:rPr>
          <w:rFonts w:ascii="宋体" w:hAnsi="宋体" w:cs="宋体"/>
          <w:b/>
          <w:color w:val="auto"/>
          <w:kern w:val="0"/>
          <w:sz w:val="32"/>
          <w:szCs w:val="32"/>
          <w:highlight w:val="none"/>
        </w:rPr>
      </w:pPr>
    </w:p>
    <w:p w14:paraId="6F3E3087">
      <w:pPr>
        <w:pStyle w:val="694"/>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440" w:right="1080" w:bottom="1440" w:left="1080" w:header="851" w:footer="992" w:gutter="0"/>
          <w:cols w:space="720" w:num="1"/>
          <w:titlePg/>
          <w:docGrid w:linePitch="312" w:charSpace="0"/>
        </w:sectPr>
      </w:pPr>
    </w:p>
    <w:p w14:paraId="4D1CD26A">
      <w:pPr>
        <w:pStyle w:val="694"/>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7FA1D58">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浙江同济科技职业学院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浙江致信招标代理有限公司</w:t>
      </w:r>
      <w:r>
        <w:rPr>
          <w:rFonts w:hint="eastAsia" w:ascii="宋体" w:hAnsi="宋体" w:cs="宋体"/>
          <w:color w:val="auto"/>
          <w:kern w:val="0"/>
          <w:sz w:val="24"/>
          <w:highlight w:val="none"/>
          <w:lang w:val="zh-CN"/>
        </w:rPr>
        <w:t>：</w:t>
      </w:r>
    </w:p>
    <w:p w14:paraId="1D4D0B43">
      <w:pPr>
        <w:shd w:val="clea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浙江同济科技职业学院智能节水系统安装与运维综合实训平台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ZXZB-TJ-2025004G</w:t>
      </w:r>
      <w:r>
        <w:rPr>
          <w:rFonts w:hint="eastAsia" w:ascii="宋体" w:hAnsi="宋体" w:cs="宋体"/>
          <w:color w:val="auto"/>
          <w:sz w:val="24"/>
          <w:highlight w:val="none"/>
        </w:rPr>
        <w:t>】标项___的实施</w:t>
      </w:r>
      <w:r>
        <w:rPr>
          <w:rFonts w:hint="eastAsia" w:ascii="宋体" w:hAnsi="宋体" w:cs="宋体"/>
          <w:color w:val="auto"/>
          <w:kern w:val="0"/>
          <w:sz w:val="24"/>
          <w:highlight w:val="none"/>
          <w:lang w:val="zh-CN"/>
        </w:rPr>
        <w:t>。</w:t>
      </w:r>
    </w:p>
    <w:p w14:paraId="4E5CA743">
      <w:pPr>
        <w:shd w:val="clear" w:color="auto" w:fill="auto"/>
        <w:spacing w:line="360" w:lineRule="auto"/>
        <w:ind w:left="240"/>
        <w:jc w:val="center"/>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开标一览表（报价表）(单位均为人民币元)</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ACA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14:paraId="0890431B">
            <w:pPr>
              <w:shd w:val="clear" w:color="auto" w:fill="auto"/>
              <w:spacing w:line="360" w:lineRule="auto"/>
              <w:ind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17" w:type="dxa"/>
            <w:noWrap w:val="0"/>
            <w:vAlign w:val="center"/>
          </w:tcPr>
          <w:p w14:paraId="3C7DCFD1">
            <w:pPr>
              <w:shd w:val="clear" w:color="auto" w:fill="auto"/>
              <w:spacing w:line="360" w:lineRule="auto"/>
              <w:ind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1843" w:type="dxa"/>
            <w:noWrap w:val="0"/>
            <w:vAlign w:val="top"/>
          </w:tcPr>
          <w:p w14:paraId="2A5A22FB">
            <w:pPr>
              <w:shd w:val="clear" w:color="auto" w:fill="auto"/>
              <w:spacing w:line="360" w:lineRule="auto"/>
              <w:ind w:leftChars="0"/>
              <w:jc w:val="center"/>
              <w:rPr>
                <w:rFonts w:hint="eastAsia" w:ascii="宋体" w:hAnsi="宋体" w:eastAsia="宋体" w:cs="宋体"/>
                <w:b/>
                <w:color w:val="auto"/>
                <w:sz w:val="24"/>
                <w:szCs w:val="24"/>
                <w:highlight w:val="none"/>
              </w:rPr>
            </w:pPr>
          </w:p>
          <w:p w14:paraId="0257A7C7">
            <w:pPr>
              <w:shd w:val="clear" w:color="auto" w:fill="auto"/>
              <w:spacing w:line="360" w:lineRule="auto"/>
              <w:ind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品牌（如果有）</w:t>
            </w:r>
          </w:p>
        </w:tc>
        <w:tc>
          <w:tcPr>
            <w:tcW w:w="3118" w:type="dxa"/>
            <w:noWrap w:val="0"/>
            <w:vAlign w:val="center"/>
          </w:tcPr>
          <w:p w14:paraId="181BB6D3">
            <w:pPr>
              <w:shd w:val="clear" w:color="auto" w:fill="auto"/>
              <w:spacing w:line="360" w:lineRule="auto"/>
              <w:ind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规格型号</w:t>
            </w:r>
          </w:p>
        </w:tc>
        <w:tc>
          <w:tcPr>
            <w:tcW w:w="993" w:type="dxa"/>
            <w:noWrap w:val="0"/>
            <w:vAlign w:val="center"/>
          </w:tcPr>
          <w:p w14:paraId="3DF7B50A">
            <w:pPr>
              <w:shd w:val="clear" w:color="auto" w:fill="auto"/>
              <w:spacing w:line="360" w:lineRule="auto"/>
              <w:ind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559" w:type="dxa"/>
            <w:noWrap w:val="0"/>
            <w:vAlign w:val="center"/>
          </w:tcPr>
          <w:p w14:paraId="79F6F924">
            <w:pPr>
              <w:shd w:val="clear" w:color="auto" w:fill="auto"/>
              <w:spacing w:line="360" w:lineRule="auto"/>
              <w:ind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w:t>
            </w:r>
          </w:p>
        </w:tc>
        <w:tc>
          <w:tcPr>
            <w:tcW w:w="1984" w:type="dxa"/>
            <w:noWrap w:val="0"/>
            <w:vAlign w:val="center"/>
          </w:tcPr>
          <w:p w14:paraId="4A4B3FF5">
            <w:pPr>
              <w:shd w:val="clear" w:color="auto" w:fill="auto"/>
              <w:spacing w:line="360" w:lineRule="auto"/>
              <w:ind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合计</w:t>
            </w:r>
          </w:p>
        </w:tc>
        <w:tc>
          <w:tcPr>
            <w:tcW w:w="3119" w:type="dxa"/>
            <w:noWrap w:val="0"/>
            <w:vAlign w:val="center"/>
          </w:tcPr>
          <w:p w14:paraId="05A80C78">
            <w:pPr>
              <w:shd w:val="clear" w:color="auto" w:fill="auto"/>
              <w:spacing w:line="360" w:lineRule="auto"/>
              <w:ind w:leftChars="0"/>
              <w:jc w:val="center"/>
              <w:rPr>
                <w:rFonts w:hint="eastAsia" w:ascii="宋体" w:hAnsi="宋体" w:eastAsia="宋体" w:cs="宋体"/>
                <w:b/>
                <w:color w:val="auto"/>
                <w:sz w:val="24"/>
                <w:szCs w:val="24"/>
                <w:highlight w:val="none"/>
              </w:rPr>
            </w:pPr>
          </w:p>
          <w:p w14:paraId="01EA1D6F">
            <w:pPr>
              <w:shd w:val="clear" w:color="auto" w:fill="auto"/>
              <w:spacing w:line="360" w:lineRule="auto"/>
              <w:ind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备注（如果有）</w:t>
            </w:r>
          </w:p>
          <w:p w14:paraId="3D10EC4F">
            <w:pPr>
              <w:shd w:val="clear" w:color="auto" w:fill="auto"/>
              <w:spacing w:line="360" w:lineRule="auto"/>
              <w:ind w:leftChars="0"/>
              <w:jc w:val="center"/>
              <w:rPr>
                <w:rFonts w:hint="eastAsia" w:ascii="宋体" w:hAnsi="宋体" w:eastAsia="宋体" w:cs="宋体"/>
                <w:b/>
                <w:color w:val="auto"/>
                <w:sz w:val="24"/>
                <w:szCs w:val="24"/>
                <w:highlight w:val="none"/>
              </w:rPr>
            </w:pPr>
          </w:p>
        </w:tc>
      </w:tr>
      <w:tr w14:paraId="4F0E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20D6CBD2">
            <w:pPr>
              <w:shd w:val="clear" w:color="auto" w:fill="auto"/>
              <w:spacing w:line="360" w:lineRule="auto"/>
              <w:ind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7" w:type="dxa"/>
            <w:noWrap w:val="0"/>
            <w:vAlign w:val="center"/>
          </w:tcPr>
          <w:p w14:paraId="52381D7C">
            <w:pPr>
              <w:shd w:val="clear" w:color="auto" w:fill="auto"/>
              <w:snapToGrid w:val="0"/>
              <w:spacing w:line="360" w:lineRule="auto"/>
              <w:ind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w:t>
            </w:r>
          </w:p>
        </w:tc>
        <w:tc>
          <w:tcPr>
            <w:tcW w:w="1843" w:type="dxa"/>
            <w:noWrap w:val="0"/>
            <w:vAlign w:val="center"/>
          </w:tcPr>
          <w:p w14:paraId="1CBF4019">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3118" w:type="dxa"/>
            <w:noWrap w:val="0"/>
            <w:vAlign w:val="center"/>
          </w:tcPr>
          <w:p w14:paraId="488945E0">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993" w:type="dxa"/>
            <w:noWrap w:val="0"/>
            <w:vAlign w:val="center"/>
          </w:tcPr>
          <w:p w14:paraId="6B9F16DE">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1559" w:type="dxa"/>
            <w:noWrap w:val="0"/>
            <w:vAlign w:val="center"/>
          </w:tcPr>
          <w:p w14:paraId="7F565030">
            <w:pPr>
              <w:shd w:val="clear" w:color="auto" w:fill="auto"/>
              <w:spacing w:line="360" w:lineRule="auto"/>
              <w:ind w:leftChars="0"/>
              <w:jc w:val="center"/>
              <w:rPr>
                <w:rFonts w:hint="eastAsia" w:ascii="宋体" w:hAnsi="宋体" w:eastAsia="宋体" w:cs="宋体"/>
                <w:color w:val="auto"/>
                <w:sz w:val="24"/>
                <w:szCs w:val="24"/>
                <w:highlight w:val="none"/>
              </w:rPr>
            </w:pPr>
          </w:p>
        </w:tc>
        <w:tc>
          <w:tcPr>
            <w:tcW w:w="1984" w:type="dxa"/>
            <w:noWrap w:val="0"/>
            <w:vAlign w:val="center"/>
          </w:tcPr>
          <w:p w14:paraId="5F410E0E">
            <w:pPr>
              <w:shd w:val="clear" w:color="auto" w:fill="auto"/>
              <w:spacing w:line="360" w:lineRule="auto"/>
              <w:ind w:leftChars="0"/>
              <w:jc w:val="center"/>
              <w:rPr>
                <w:rFonts w:hint="eastAsia" w:ascii="宋体" w:hAnsi="宋体" w:eastAsia="宋体" w:cs="宋体"/>
                <w:color w:val="auto"/>
                <w:sz w:val="24"/>
                <w:szCs w:val="24"/>
                <w:highlight w:val="none"/>
              </w:rPr>
            </w:pPr>
          </w:p>
        </w:tc>
        <w:tc>
          <w:tcPr>
            <w:tcW w:w="3119" w:type="dxa"/>
            <w:noWrap w:val="0"/>
            <w:vAlign w:val="center"/>
          </w:tcPr>
          <w:p w14:paraId="1EAFF7FE">
            <w:pPr>
              <w:shd w:val="clear" w:color="auto" w:fill="auto"/>
              <w:spacing w:line="360" w:lineRule="auto"/>
              <w:ind w:leftChars="0"/>
              <w:jc w:val="center"/>
              <w:rPr>
                <w:rFonts w:hint="eastAsia" w:ascii="宋体" w:hAnsi="宋体" w:eastAsia="宋体" w:cs="宋体"/>
                <w:color w:val="auto"/>
                <w:sz w:val="24"/>
                <w:szCs w:val="24"/>
                <w:highlight w:val="none"/>
              </w:rPr>
            </w:pPr>
          </w:p>
        </w:tc>
      </w:tr>
      <w:tr w14:paraId="689B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10308E1E">
            <w:pPr>
              <w:shd w:val="clear" w:color="auto" w:fill="auto"/>
              <w:spacing w:line="360" w:lineRule="auto"/>
              <w:ind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17" w:type="dxa"/>
            <w:noWrap w:val="0"/>
            <w:vAlign w:val="center"/>
          </w:tcPr>
          <w:p w14:paraId="5EA996D6">
            <w:pPr>
              <w:shd w:val="clear" w:color="auto" w:fill="auto"/>
              <w:snapToGrid w:val="0"/>
              <w:spacing w:line="360" w:lineRule="auto"/>
              <w:ind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XX</w:t>
            </w:r>
          </w:p>
        </w:tc>
        <w:tc>
          <w:tcPr>
            <w:tcW w:w="1843" w:type="dxa"/>
            <w:noWrap w:val="0"/>
            <w:vAlign w:val="center"/>
          </w:tcPr>
          <w:p w14:paraId="5A817206">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3118" w:type="dxa"/>
            <w:noWrap w:val="0"/>
            <w:vAlign w:val="center"/>
          </w:tcPr>
          <w:p w14:paraId="67B5F5B4">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993" w:type="dxa"/>
            <w:noWrap w:val="0"/>
            <w:vAlign w:val="center"/>
          </w:tcPr>
          <w:p w14:paraId="776DF9A6">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1559" w:type="dxa"/>
            <w:noWrap w:val="0"/>
            <w:vAlign w:val="center"/>
          </w:tcPr>
          <w:p w14:paraId="45A020C9">
            <w:pPr>
              <w:shd w:val="clear" w:color="auto" w:fill="auto"/>
              <w:spacing w:line="360" w:lineRule="auto"/>
              <w:ind w:leftChars="0"/>
              <w:jc w:val="center"/>
              <w:rPr>
                <w:rFonts w:hint="eastAsia" w:ascii="宋体" w:hAnsi="宋体" w:eastAsia="宋体" w:cs="宋体"/>
                <w:color w:val="auto"/>
                <w:sz w:val="24"/>
                <w:szCs w:val="24"/>
                <w:highlight w:val="none"/>
              </w:rPr>
            </w:pPr>
          </w:p>
        </w:tc>
        <w:tc>
          <w:tcPr>
            <w:tcW w:w="1984" w:type="dxa"/>
            <w:noWrap w:val="0"/>
            <w:vAlign w:val="center"/>
          </w:tcPr>
          <w:p w14:paraId="57935277">
            <w:pPr>
              <w:shd w:val="clear" w:color="auto" w:fill="auto"/>
              <w:spacing w:line="360" w:lineRule="auto"/>
              <w:ind w:leftChars="0"/>
              <w:jc w:val="center"/>
              <w:rPr>
                <w:rFonts w:hint="eastAsia" w:ascii="宋体" w:hAnsi="宋体" w:eastAsia="宋体" w:cs="宋体"/>
                <w:color w:val="auto"/>
                <w:sz w:val="24"/>
                <w:szCs w:val="24"/>
                <w:highlight w:val="none"/>
              </w:rPr>
            </w:pPr>
          </w:p>
        </w:tc>
        <w:tc>
          <w:tcPr>
            <w:tcW w:w="3119" w:type="dxa"/>
            <w:noWrap w:val="0"/>
            <w:vAlign w:val="center"/>
          </w:tcPr>
          <w:p w14:paraId="2AE88461">
            <w:pPr>
              <w:shd w:val="clear" w:color="auto" w:fill="auto"/>
              <w:spacing w:line="360" w:lineRule="auto"/>
              <w:ind w:leftChars="0"/>
              <w:jc w:val="center"/>
              <w:rPr>
                <w:rFonts w:hint="eastAsia" w:ascii="宋体" w:hAnsi="宋体" w:eastAsia="宋体" w:cs="宋体"/>
                <w:color w:val="auto"/>
                <w:sz w:val="24"/>
                <w:szCs w:val="24"/>
                <w:highlight w:val="none"/>
              </w:rPr>
            </w:pPr>
          </w:p>
        </w:tc>
      </w:tr>
      <w:tr w14:paraId="5BEC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555C9489">
            <w:pPr>
              <w:shd w:val="clear" w:color="auto" w:fill="auto"/>
              <w:spacing w:line="360" w:lineRule="auto"/>
              <w:ind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17" w:type="dxa"/>
            <w:noWrap w:val="0"/>
            <w:vAlign w:val="center"/>
          </w:tcPr>
          <w:p w14:paraId="09EE1CCC">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1843" w:type="dxa"/>
            <w:noWrap w:val="0"/>
            <w:vAlign w:val="center"/>
          </w:tcPr>
          <w:p w14:paraId="26C70B24">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3118" w:type="dxa"/>
            <w:noWrap w:val="0"/>
            <w:vAlign w:val="center"/>
          </w:tcPr>
          <w:p w14:paraId="0808240D">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993" w:type="dxa"/>
            <w:noWrap w:val="0"/>
            <w:vAlign w:val="center"/>
          </w:tcPr>
          <w:p w14:paraId="4E69D05C">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1559" w:type="dxa"/>
            <w:noWrap w:val="0"/>
            <w:vAlign w:val="center"/>
          </w:tcPr>
          <w:p w14:paraId="2ACCC417">
            <w:pPr>
              <w:shd w:val="clear" w:color="auto" w:fill="auto"/>
              <w:spacing w:line="360" w:lineRule="auto"/>
              <w:ind w:leftChars="0"/>
              <w:jc w:val="center"/>
              <w:rPr>
                <w:rFonts w:hint="eastAsia" w:ascii="宋体" w:hAnsi="宋体" w:eastAsia="宋体" w:cs="宋体"/>
                <w:color w:val="auto"/>
                <w:sz w:val="24"/>
                <w:szCs w:val="24"/>
                <w:highlight w:val="none"/>
              </w:rPr>
            </w:pPr>
          </w:p>
        </w:tc>
        <w:tc>
          <w:tcPr>
            <w:tcW w:w="1984" w:type="dxa"/>
            <w:noWrap w:val="0"/>
            <w:vAlign w:val="center"/>
          </w:tcPr>
          <w:p w14:paraId="7331E6B3">
            <w:pPr>
              <w:shd w:val="clear" w:color="auto" w:fill="auto"/>
              <w:spacing w:line="360" w:lineRule="auto"/>
              <w:ind w:leftChars="0"/>
              <w:jc w:val="center"/>
              <w:rPr>
                <w:rFonts w:hint="eastAsia" w:ascii="宋体" w:hAnsi="宋体" w:eastAsia="宋体" w:cs="宋体"/>
                <w:color w:val="auto"/>
                <w:sz w:val="24"/>
                <w:szCs w:val="24"/>
                <w:highlight w:val="none"/>
              </w:rPr>
            </w:pPr>
          </w:p>
        </w:tc>
        <w:tc>
          <w:tcPr>
            <w:tcW w:w="3119" w:type="dxa"/>
            <w:noWrap w:val="0"/>
            <w:vAlign w:val="center"/>
          </w:tcPr>
          <w:p w14:paraId="1F788B37">
            <w:pPr>
              <w:shd w:val="clear" w:color="auto" w:fill="auto"/>
              <w:spacing w:line="360" w:lineRule="auto"/>
              <w:ind w:leftChars="0"/>
              <w:jc w:val="center"/>
              <w:rPr>
                <w:rFonts w:hint="eastAsia" w:ascii="宋体" w:hAnsi="宋体" w:eastAsia="宋体" w:cs="宋体"/>
                <w:color w:val="auto"/>
                <w:sz w:val="24"/>
                <w:szCs w:val="24"/>
                <w:highlight w:val="none"/>
              </w:rPr>
            </w:pPr>
          </w:p>
        </w:tc>
      </w:tr>
      <w:tr w14:paraId="0C14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1B4085B3">
            <w:pPr>
              <w:shd w:val="clear" w:color="auto" w:fill="auto"/>
              <w:spacing w:line="360" w:lineRule="auto"/>
              <w:ind w:leftChars="0"/>
              <w:jc w:val="center"/>
              <w:rPr>
                <w:rFonts w:hint="eastAsia" w:ascii="宋体" w:hAnsi="宋体" w:eastAsia="宋体" w:cs="宋体"/>
                <w:color w:val="auto"/>
                <w:sz w:val="24"/>
                <w:szCs w:val="24"/>
                <w:highlight w:val="none"/>
              </w:rPr>
            </w:pPr>
          </w:p>
        </w:tc>
        <w:tc>
          <w:tcPr>
            <w:tcW w:w="1417" w:type="dxa"/>
            <w:noWrap w:val="0"/>
            <w:vAlign w:val="center"/>
          </w:tcPr>
          <w:p w14:paraId="3D7B43F5">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1843" w:type="dxa"/>
            <w:noWrap w:val="0"/>
            <w:vAlign w:val="center"/>
          </w:tcPr>
          <w:p w14:paraId="0D277F8B">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3118" w:type="dxa"/>
            <w:noWrap w:val="0"/>
            <w:vAlign w:val="center"/>
          </w:tcPr>
          <w:p w14:paraId="7D9952F6">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993" w:type="dxa"/>
            <w:noWrap w:val="0"/>
            <w:vAlign w:val="center"/>
          </w:tcPr>
          <w:p w14:paraId="616B152E">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1559" w:type="dxa"/>
            <w:noWrap w:val="0"/>
            <w:vAlign w:val="center"/>
          </w:tcPr>
          <w:p w14:paraId="0734D1F7">
            <w:pPr>
              <w:shd w:val="clear" w:color="auto" w:fill="auto"/>
              <w:spacing w:line="360" w:lineRule="auto"/>
              <w:ind w:leftChars="0"/>
              <w:jc w:val="center"/>
              <w:rPr>
                <w:rFonts w:hint="eastAsia" w:ascii="宋体" w:hAnsi="宋体" w:eastAsia="宋体" w:cs="宋体"/>
                <w:color w:val="auto"/>
                <w:sz w:val="24"/>
                <w:szCs w:val="24"/>
                <w:highlight w:val="none"/>
              </w:rPr>
            </w:pPr>
          </w:p>
        </w:tc>
        <w:tc>
          <w:tcPr>
            <w:tcW w:w="1984" w:type="dxa"/>
            <w:noWrap w:val="0"/>
            <w:vAlign w:val="center"/>
          </w:tcPr>
          <w:p w14:paraId="2F1901ED">
            <w:pPr>
              <w:shd w:val="clear" w:color="auto" w:fill="auto"/>
              <w:spacing w:line="360" w:lineRule="auto"/>
              <w:ind w:leftChars="0"/>
              <w:jc w:val="center"/>
              <w:rPr>
                <w:rFonts w:hint="eastAsia" w:ascii="宋体" w:hAnsi="宋体" w:eastAsia="宋体" w:cs="宋体"/>
                <w:color w:val="auto"/>
                <w:sz w:val="24"/>
                <w:szCs w:val="24"/>
                <w:highlight w:val="none"/>
              </w:rPr>
            </w:pPr>
          </w:p>
        </w:tc>
        <w:tc>
          <w:tcPr>
            <w:tcW w:w="3119" w:type="dxa"/>
            <w:noWrap w:val="0"/>
            <w:vAlign w:val="center"/>
          </w:tcPr>
          <w:p w14:paraId="548907B3">
            <w:pPr>
              <w:shd w:val="clear" w:color="auto" w:fill="auto"/>
              <w:spacing w:line="360" w:lineRule="auto"/>
              <w:ind w:leftChars="0"/>
              <w:jc w:val="center"/>
              <w:rPr>
                <w:rFonts w:hint="eastAsia" w:ascii="宋体" w:hAnsi="宋体" w:eastAsia="宋体" w:cs="宋体"/>
                <w:color w:val="auto"/>
                <w:sz w:val="24"/>
                <w:szCs w:val="24"/>
                <w:highlight w:val="none"/>
              </w:rPr>
            </w:pPr>
          </w:p>
        </w:tc>
      </w:tr>
      <w:tr w14:paraId="7A92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3F0CD1B2">
            <w:pPr>
              <w:shd w:val="clear" w:color="auto" w:fill="auto"/>
              <w:spacing w:line="360" w:lineRule="auto"/>
              <w:ind w:leftChars="0"/>
              <w:jc w:val="center"/>
              <w:rPr>
                <w:rFonts w:hint="eastAsia" w:ascii="宋体" w:hAnsi="宋体" w:eastAsia="宋体" w:cs="宋体"/>
                <w:color w:val="auto"/>
                <w:sz w:val="24"/>
                <w:szCs w:val="24"/>
                <w:highlight w:val="none"/>
              </w:rPr>
            </w:pPr>
          </w:p>
        </w:tc>
        <w:tc>
          <w:tcPr>
            <w:tcW w:w="1417" w:type="dxa"/>
            <w:noWrap w:val="0"/>
            <w:vAlign w:val="center"/>
          </w:tcPr>
          <w:p w14:paraId="0A130C05">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1843" w:type="dxa"/>
            <w:noWrap w:val="0"/>
            <w:vAlign w:val="center"/>
          </w:tcPr>
          <w:p w14:paraId="60CC8FED">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3118" w:type="dxa"/>
            <w:noWrap w:val="0"/>
            <w:vAlign w:val="center"/>
          </w:tcPr>
          <w:p w14:paraId="31457B68">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993" w:type="dxa"/>
            <w:noWrap w:val="0"/>
            <w:vAlign w:val="center"/>
          </w:tcPr>
          <w:p w14:paraId="01C72AF1">
            <w:pPr>
              <w:shd w:val="clear" w:color="auto" w:fill="auto"/>
              <w:snapToGrid w:val="0"/>
              <w:spacing w:line="360" w:lineRule="auto"/>
              <w:ind w:leftChars="0"/>
              <w:jc w:val="center"/>
              <w:rPr>
                <w:rFonts w:hint="eastAsia" w:ascii="宋体" w:hAnsi="宋体" w:eastAsia="宋体" w:cs="宋体"/>
                <w:color w:val="auto"/>
                <w:sz w:val="24"/>
                <w:szCs w:val="24"/>
                <w:highlight w:val="none"/>
              </w:rPr>
            </w:pPr>
          </w:p>
        </w:tc>
        <w:tc>
          <w:tcPr>
            <w:tcW w:w="1559" w:type="dxa"/>
            <w:noWrap w:val="0"/>
            <w:vAlign w:val="center"/>
          </w:tcPr>
          <w:p w14:paraId="6324168B">
            <w:pPr>
              <w:shd w:val="clear" w:color="auto" w:fill="auto"/>
              <w:spacing w:line="360" w:lineRule="auto"/>
              <w:ind w:leftChars="0"/>
              <w:jc w:val="center"/>
              <w:rPr>
                <w:rFonts w:hint="eastAsia" w:ascii="宋体" w:hAnsi="宋体" w:eastAsia="宋体" w:cs="宋体"/>
                <w:color w:val="auto"/>
                <w:sz w:val="24"/>
                <w:szCs w:val="24"/>
                <w:highlight w:val="none"/>
              </w:rPr>
            </w:pPr>
          </w:p>
        </w:tc>
        <w:tc>
          <w:tcPr>
            <w:tcW w:w="1984" w:type="dxa"/>
            <w:noWrap w:val="0"/>
            <w:vAlign w:val="center"/>
          </w:tcPr>
          <w:p w14:paraId="0B4A4465">
            <w:pPr>
              <w:shd w:val="clear" w:color="auto" w:fill="auto"/>
              <w:spacing w:line="360" w:lineRule="auto"/>
              <w:ind w:leftChars="0"/>
              <w:jc w:val="center"/>
              <w:rPr>
                <w:rFonts w:hint="eastAsia" w:ascii="宋体" w:hAnsi="宋体" w:eastAsia="宋体" w:cs="宋体"/>
                <w:color w:val="auto"/>
                <w:sz w:val="24"/>
                <w:szCs w:val="24"/>
                <w:highlight w:val="none"/>
              </w:rPr>
            </w:pPr>
          </w:p>
        </w:tc>
        <w:tc>
          <w:tcPr>
            <w:tcW w:w="3119" w:type="dxa"/>
            <w:noWrap w:val="0"/>
            <w:vAlign w:val="center"/>
          </w:tcPr>
          <w:p w14:paraId="775370E5">
            <w:pPr>
              <w:shd w:val="clear" w:color="auto" w:fill="auto"/>
              <w:spacing w:line="360" w:lineRule="auto"/>
              <w:ind w:leftChars="0"/>
              <w:jc w:val="center"/>
              <w:rPr>
                <w:rFonts w:hint="eastAsia" w:ascii="宋体" w:hAnsi="宋体" w:eastAsia="宋体" w:cs="宋体"/>
                <w:color w:val="auto"/>
                <w:sz w:val="24"/>
                <w:szCs w:val="24"/>
                <w:highlight w:val="none"/>
              </w:rPr>
            </w:pPr>
          </w:p>
        </w:tc>
      </w:tr>
      <w:tr w14:paraId="0839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14:paraId="7A8359DB">
            <w:pPr>
              <w:shd w:val="clear" w:color="auto" w:fill="auto"/>
              <w:spacing w:line="360" w:lineRule="auto"/>
              <w:ind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投标报价（小写）</w:t>
            </w:r>
          </w:p>
        </w:tc>
        <w:tc>
          <w:tcPr>
            <w:tcW w:w="7655" w:type="dxa"/>
            <w:gridSpan w:val="4"/>
            <w:noWrap w:val="0"/>
            <w:vAlign w:val="center"/>
          </w:tcPr>
          <w:p w14:paraId="64FC9B8F">
            <w:pPr>
              <w:shd w:val="clear" w:color="auto" w:fill="auto"/>
              <w:spacing w:line="360" w:lineRule="auto"/>
              <w:ind w:leftChars="0"/>
              <w:jc w:val="center"/>
              <w:rPr>
                <w:rFonts w:hint="eastAsia" w:ascii="宋体" w:hAnsi="宋体" w:eastAsia="宋体" w:cs="宋体"/>
                <w:color w:val="auto"/>
                <w:sz w:val="24"/>
                <w:szCs w:val="24"/>
                <w:highlight w:val="none"/>
              </w:rPr>
            </w:pPr>
          </w:p>
        </w:tc>
      </w:tr>
      <w:tr w14:paraId="0D3A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14:paraId="05EC38F9">
            <w:pPr>
              <w:shd w:val="clear" w:color="auto" w:fill="auto"/>
              <w:spacing w:line="360" w:lineRule="auto"/>
              <w:ind w:lef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投标报价（大写）</w:t>
            </w:r>
          </w:p>
        </w:tc>
        <w:tc>
          <w:tcPr>
            <w:tcW w:w="7655" w:type="dxa"/>
            <w:gridSpan w:val="4"/>
            <w:noWrap w:val="0"/>
            <w:vAlign w:val="center"/>
          </w:tcPr>
          <w:p w14:paraId="185BC65B">
            <w:pPr>
              <w:shd w:val="clear" w:color="auto" w:fill="auto"/>
              <w:spacing w:line="360" w:lineRule="auto"/>
              <w:ind w:leftChars="0"/>
              <w:jc w:val="center"/>
              <w:rPr>
                <w:rFonts w:hint="eastAsia" w:ascii="宋体" w:hAnsi="宋体" w:eastAsia="宋体" w:cs="宋体"/>
                <w:color w:val="auto"/>
                <w:sz w:val="24"/>
                <w:szCs w:val="24"/>
                <w:highlight w:val="none"/>
              </w:rPr>
            </w:pPr>
          </w:p>
        </w:tc>
      </w:tr>
    </w:tbl>
    <w:p w14:paraId="29DF3368">
      <w:pPr>
        <w:shd w:val="clea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3AE3AAF">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不能接受的附加条件，投标无效</w:t>
      </w:r>
      <w:r>
        <w:rPr>
          <w:rFonts w:hint="eastAsia" w:ascii="宋体" w:hAnsi="宋体" w:cs="宋体"/>
          <w:color w:val="auto"/>
          <w:kern w:val="0"/>
          <w:sz w:val="24"/>
          <w:highlight w:val="none"/>
          <w:lang w:val="zh-CN"/>
        </w:rPr>
        <w:t>。</w:t>
      </w:r>
    </w:p>
    <w:p w14:paraId="5719D482">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不能接受的附加条件的，投标无效。</w:t>
      </w:r>
    </w:p>
    <w:p w14:paraId="07D691DF">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51079E6">
      <w:pPr>
        <w:shd w:val="clear"/>
        <w:snapToGrid w:val="0"/>
        <w:spacing w:line="360" w:lineRule="auto"/>
        <w:ind w:firstLine="480" w:firstLineChars="200"/>
        <w:jc w:val="left"/>
        <w:rPr>
          <w:rFonts w:ascii="宋体" w:hAnsi="宋体" w:eastAsia="宋体" w:cs="宋体"/>
          <w:color w:val="auto"/>
          <w:kern w:val="2"/>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52AF6E3">
      <w:pPr>
        <w:pStyle w:val="694"/>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60BBEF43">
      <w:pPr>
        <w:shd w:val="clear"/>
        <w:rPr>
          <w:color w:val="auto"/>
          <w:highlight w:val="none"/>
        </w:rPr>
      </w:pPr>
    </w:p>
    <w:p w14:paraId="3A960E86">
      <w:pPr>
        <w:pStyle w:val="694"/>
        <w:keepNext w:val="0"/>
        <w:pageBreakBefore w:val="0"/>
        <w:shd w:val="clear"/>
        <w:tabs>
          <w:tab w:val="clear" w:pos="720"/>
        </w:tabs>
        <w:snapToGrid w:val="0"/>
        <w:spacing w:before="120" w:after="120"/>
        <w:ind w:firstLine="643"/>
        <w:outlineLvl w:val="9"/>
        <w:rPr>
          <w:rFonts w:ascii="宋体" w:hAnsi="宋体" w:eastAsia="宋体" w:cs="宋体"/>
          <w:color w:val="auto"/>
          <w:sz w:val="32"/>
          <w:szCs w:val="32"/>
          <w:highlight w:val="none"/>
        </w:rPr>
      </w:pPr>
      <w:bookmarkStart w:id="399" w:name="_Hlk101259491"/>
      <w:bookmarkEnd w:id="399"/>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78C4DD0E">
      <w:pPr>
        <w:widowControl/>
        <w:shd w:val="clear"/>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8EE3035">
      <w:pPr>
        <w:pStyle w:val="694"/>
        <w:keepNext w:val="0"/>
        <w:pageBreakBefore w:val="0"/>
        <w:shd w:val="clear"/>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C681F4F">
      <w:pPr>
        <w:shd w:val="clear"/>
        <w:spacing w:line="360" w:lineRule="auto"/>
        <w:ind w:right="420" w:firstLine="3614" w:firstLineChars="1000"/>
        <w:rPr>
          <w:rFonts w:ascii="宋体" w:hAnsi="宋体" w:cs="宋体"/>
          <w:b/>
          <w:color w:val="auto"/>
          <w:kern w:val="0"/>
          <w:sz w:val="36"/>
          <w:szCs w:val="36"/>
          <w:highlight w:val="none"/>
        </w:rPr>
      </w:pPr>
    </w:p>
    <w:p w14:paraId="62C5B567">
      <w:pPr>
        <w:shd w:val="clear"/>
        <w:spacing w:line="360" w:lineRule="auto"/>
        <w:ind w:right="420" w:firstLine="3614" w:firstLineChars="1000"/>
        <w:rPr>
          <w:rFonts w:ascii="宋体" w:hAnsi="宋体" w:cs="宋体"/>
          <w:b/>
          <w:color w:val="auto"/>
          <w:kern w:val="0"/>
          <w:sz w:val="36"/>
          <w:szCs w:val="36"/>
          <w:highlight w:val="none"/>
        </w:rPr>
      </w:pPr>
    </w:p>
    <w:p w14:paraId="34AC4317">
      <w:pPr>
        <w:shd w:val="clear"/>
        <w:spacing w:line="360" w:lineRule="auto"/>
        <w:ind w:right="420" w:firstLine="3614" w:firstLineChars="1000"/>
        <w:rPr>
          <w:rFonts w:ascii="宋体" w:hAnsi="宋体" w:cs="宋体"/>
          <w:b/>
          <w:color w:val="auto"/>
          <w:kern w:val="0"/>
          <w:sz w:val="36"/>
          <w:szCs w:val="36"/>
          <w:highlight w:val="none"/>
        </w:rPr>
      </w:pPr>
    </w:p>
    <w:p w14:paraId="586601F0">
      <w:pPr>
        <w:shd w:val="clear"/>
        <w:spacing w:line="360" w:lineRule="auto"/>
        <w:ind w:right="420" w:firstLine="3614" w:firstLineChars="1000"/>
        <w:rPr>
          <w:rFonts w:ascii="宋体" w:hAnsi="宋体" w:cs="宋体"/>
          <w:b/>
          <w:color w:val="auto"/>
          <w:kern w:val="0"/>
          <w:sz w:val="36"/>
          <w:szCs w:val="36"/>
          <w:highlight w:val="none"/>
        </w:rPr>
      </w:pPr>
    </w:p>
    <w:p w14:paraId="5DD82E36">
      <w:pPr>
        <w:shd w:val="clear"/>
        <w:spacing w:line="360" w:lineRule="auto"/>
        <w:ind w:right="420" w:firstLine="3614" w:firstLineChars="1000"/>
        <w:rPr>
          <w:rFonts w:ascii="宋体" w:hAnsi="宋体" w:cs="宋体"/>
          <w:b/>
          <w:color w:val="auto"/>
          <w:kern w:val="0"/>
          <w:sz w:val="36"/>
          <w:szCs w:val="36"/>
          <w:highlight w:val="none"/>
        </w:rPr>
      </w:pPr>
    </w:p>
    <w:p w14:paraId="767EDAE9">
      <w:pPr>
        <w:shd w:val="clear"/>
        <w:spacing w:line="360" w:lineRule="auto"/>
        <w:ind w:right="420" w:firstLine="3614" w:firstLineChars="1000"/>
        <w:rPr>
          <w:rFonts w:ascii="宋体" w:hAnsi="宋体" w:cs="宋体"/>
          <w:b/>
          <w:color w:val="auto"/>
          <w:kern w:val="0"/>
          <w:sz w:val="36"/>
          <w:szCs w:val="36"/>
          <w:highlight w:val="none"/>
        </w:rPr>
      </w:pPr>
    </w:p>
    <w:p w14:paraId="2BAA9CA5">
      <w:pPr>
        <w:shd w:val="clear"/>
        <w:spacing w:line="360" w:lineRule="auto"/>
        <w:ind w:right="420" w:firstLine="3614" w:firstLineChars="1000"/>
        <w:rPr>
          <w:rFonts w:ascii="宋体" w:hAnsi="宋体" w:cs="宋体"/>
          <w:b/>
          <w:color w:val="auto"/>
          <w:kern w:val="0"/>
          <w:sz w:val="36"/>
          <w:szCs w:val="36"/>
          <w:highlight w:val="none"/>
        </w:rPr>
      </w:pPr>
    </w:p>
    <w:p w14:paraId="4A774775">
      <w:pPr>
        <w:shd w:val="clear"/>
        <w:spacing w:line="360" w:lineRule="auto"/>
        <w:ind w:right="420" w:firstLine="3614" w:firstLineChars="1000"/>
        <w:rPr>
          <w:rFonts w:ascii="宋体" w:hAnsi="宋体" w:cs="宋体"/>
          <w:b/>
          <w:color w:val="auto"/>
          <w:kern w:val="0"/>
          <w:sz w:val="36"/>
          <w:szCs w:val="36"/>
          <w:highlight w:val="none"/>
        </w:rPr>
      </w:pPr>
    </w:p>
    <w:p w14:paraId="3B349545">
      <w:pPr>
        <w:shd w:val="clear"/>
        <w:spacing w:line="360" w:lineRule="auto"/>
        <w:ind w:right="420" w:firstLine="3614" w:firstLineChars="1000"/>
        <w:rPr>
          <w:rFonts w:ascii="宋体" w:hAnsi="宋体" w:cs="宋体"/>
          <w:b/>
          <w:color w:val="auto"/>
          <w:kern w:val="0"/>
          <w:sz w:val="36"/>
          <w:szCs w:val="36"/>
          <w:highlight w:val="none"/>
        </w:rPr>
      </w:pPr>
    </w:p>
    <w:p w14:paraId="71312DFB">
      <w:pPr>
        <w:shd w:val="clear"/>
        <w:spacing w:line="360" w:lineRule="auto"/>
        <w:ind w:right="420" w:firstLine="3614" w:firstLineChars="1000"/>
        <w:rPr>
          <w:rFonts w:ascii="宋体" w:hAnsi="宋体" w:cs="宋体"/>
          <w:b/>
          <w:color w:val="auto"/>
          <w:kern w:val="0"/>
          <w:sz w:val="36"/>
          <w:szCs w:val="36"/>
          <w:highlight w:val="none"/>
        </w:rPr>
      </w:pPr>
    </w:p>
    <w:p w14:paraId="27BB1947">
      <w:pPr>
        <w:shd w:val="clear"/>
        <w:spacing w:line="360" w:lineRule="auto"/>
        <w:ind w:right="420" w:firstLine="3614" w:firstLineChars="1000"/>
        <w:rPr>
          <w:rFonts w:ascii="宋体" w:hAnsi="宋体" w:cs="宋体"/>
          <w:b/>
          <w:color w:val="auto"/>
          <w:kern w:val="0"/>
          <w:sz w:val="36"/>
          <w:szCs w:val="36"/>
          <w:highlight w:val="none"/>
        </w:rPr>
      </w:pPr>
    </w:p>
    <w:p w14:paraId="6EDD562D">
      <w:pPr>
        <w:shd w:val="clear"/>
        <w:spacing w:line="360" w:lineRule="auto"/>
        <w:ind w:right="420" w:firstLine="3614" w:firstLineChars="1000"/>
        <w:rPr>
          <w:rFonts w:ascii="宋体" w:hAnsi="宋体" w:cs="宋体"/>
          <w:b/>
          <w:color w:val="auto"/>
          <w:kern w:val="0"/>
          <w:sz w:val="36"/>
          <w:szCs w:val="36"/>
          <w:highlight w:val="none"/>
        </w:rPr>
      </w:pPr>
    </w:p>
    <w:p w14:paraId="271EA6D8">
      <w:pPr>
        <w:shd w:val="clear"/>
        <w:spacing w:line="360" w:lineRule="auto"/>
        <w:ind w:right="420" w:firstLine="3614" w:firstLineChars="1000"/>
        <w:rPr>
          <w:rFonts w:ascii="宋体" w:hAnsi="宋体" w:cs="宋体"/>
          <w:b/>
          <w:color w:val="auto"/>
          <w:kern w:val="0"/>
          <w:sz w:val="36"/>
          <w:szCs w:val="36"/>
          <w:highlight w:val="none"/>
        </w:rPr>
      </w:pPr>
    </w:p>
    <w:p w14:paraId="5381080D">
      <w:pPr>
        <w:shd w:val="clear"/>
        <w:spacing w:line="360" w:lineRule="auto"/>
        <w:ind w:right="420" w:firstLine="3614" w:firstLineChars="1000"/>
        <w:rPr>
          <w:rFonts w:ascii="宋体" w:hAnsi="宋体" w:cs="宋体"/>
          <w:b/>
          <w:color w:val="auto"/>
          <w:kern w:val="0"/>
          <w:sz w:val="36"/>
          <w:szCs w:val="36"/>
          <w:highlight w:val="none"/>
        </w:rPr>
      </w:pPr>
    </w:p>
    <w:p w14:paraId="137CB405">
      <w:pPr>
        <w:shd w:val="clear"/>
        <w:spacing w:line="360" w:lineRule="auto"/>
        <w:ind w:right="420" w:firstLine="3614" w:firstLineChars="1000"/>
        <w:rPr>
          <w:rFonts w:ascii="宋体" w:hAnsi="宋体" w:cs="宋体"/>
          <w:b/>
          <w:color w:val="auto"/>
          <w:kern w:val="0"/>
          <w:sz w:val="36"/>
          <w:szCs w:val="36"/>
          <w:highlight w:val="none"/>
        </w:rPr>
      </w:pPr>
    </w:p>
    <w:p w14:paraId="56D9B003">
      <w:pPr>
        <w:pStyle w:val="4"/>
        <w:shd w:val="clear"/>
        <w:rPr>
          <w:color w:val="auto"/>
          <w:highlight w:val="none"/>
        </w:rPr>
      </w:pPr>
      <w:bookmarkStart w:id="400" w:name="_Toc465665161"/>
      <w:bookmarkEnd w:id="400"/>
      <w:r>
        <w:rPr>
          <w:rFonts w:hint="eastAsia"/>
          <w:color w:val="auto"/>
          <w:highlight w:val="none"/>
        </w:rPr>
        <w:t>附件</w:t>
      </w:r>
    </w:p>
    <w:p w14:paraId="3A47B587">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CFE199C">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7783449B">
      <w:pPr>
        <w:shd w:val="clear"/>
        <w:spacing w:line="360" w:lineRule="auto"/>
        <w:rPr>
          <w:rFonts w:ascii="宋体" w:hAnsi="宋体" w:cs="宋体"/>
          <w:b/>
          <w:color w:val="auto"/>
          <w:spacing w:val="6"/>
          <w:sz w:val="30"/>
          <w:szCs w:val="30"/>
          <w:highlight w:val="none"/>
        </w:rPr>
      </w:pPr>
    </w:p>
    <w:p w14:paraId="0E708C6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浙江同济科技职业学院</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浙江同济科技职业学院智能节水系统安装与运维综合实训平台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5CA884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68E35F1">
      <w:pPr>
        <w:shd w:val="clear"/>
        <w:spacing w:line="360" w:lineRule="auto"/>
        <w:ind w:firstLine="480" w:firstLineChars="200"/>
        <w:rPr>
          <w:rFonts w:ascii="宋体" w:hAnsi="宋体" w:cs="宋体"/>
          <w:color w:val="auto"/>
          <w:sz w:val="24"/>
          <w:highlight w:val="none"/>
        </w:rPr>
      </w:pPr>
    </w:p>
    <w:p w14:paraId="233C1E03">
      <w:pPr>
        <w:shd w:val="clear"/>
        <w:spacing w:line="360" w:lineRule="auto"/>
        <w:ind w:firstLine="480" w:firstLineChars="200"/>
        <w:jc w:val="left"/>
        <w:rPr>
          <w:rFonts w:ascii="宋体" w:hAnsi="宋体" w:cs="宋体"/>
          <w:color w:val="auto"/>
          <w:sz w:val="24"/>
          <w:highlight w:val="none"/>
        </w:rPr>
      </w:pPr>
    </w:p>
    <w:p w14:paraId="63EF8147">
      <w:pPr>
        <w:shd w:val="clear"/>
        <w:tabs>
          <w:tab w:val="left" w:pos="4860"/>
        </w:tabs>
        <w:spacing w:line="360" w:lineRule="auto"/>
        <w:ind w:right="1560" w:firstLine="480" w:firstLineChars="200"/>
        <w:jc w:val="left"/>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BBE45F2">
      <w:pPr>
        <w:shd w:val="clear"/>
        <w:tabs>
          <w:tab w:val="left" w:pos="4860"/>
        </w:tabs>
        <w:spacing w:line="360" w:lineRule="auto"/>
        <w:ind w:right="1560" w:firstLine="480" w:firstLineChars="200"/>
        <w:jc w:val="left"/>
        <w:rPr>
          <w:rFonts w:ascii="宋体" w:hAnsi="宋体" w:cs="宋体"/>
          <w:color w:val="auto"/>
          <w:sz w:val="24"/>
          <w:highlight w:val="none"/>
        </w:rPr>
      </w:pPr>
      <w:r>
        <w:rPr>
          <w:rFonts w:hint="eastAsia" w:ascii="宋体" w:hAnsi="宋体" w:cs="宋体"/>
          <w:color w:val="auto"/>
          <w:sz w:val="24"/>
          <w:highlight w:val="none"/>
        </w:rPr>
        <w:t>日  期：</w:t>
      </w:r>
    </w:p>
    <w:p w14:paraId="633076A4">
      <w:pPr>
        <w:shd w:val="clear"/>
        <w:spacing w:line="360" w:lineRule="auto"/>
        <w:ind w:firstLine="480" w:firstLineChars="200"/>
        <w:rPr>
          <w:rFonts w:ascii="宋体" w:hAnsi="宋体" w:cs="宋体"/>
          <w:color w:val="auto"/>
          <w:sz w:val="24"/>
          <w:highlight w:val="none"/>
        </w:rPr>
      </w:pPr>
    </w:p>
    <w:p w14:paraId="266C6298">
      <w:pPr>
        <w:shd w:val="clear"/>
        <w:spacing w:line="360" w:lineRule="auto"/>
        <w:ind w:firstLine="420" w:firstLineChars="200"/>
        <w:rPr>
          <w:rFonts w:ascii="宋体" w:hAnsi="宋体" w:cs="宋体"/>
          <w:color w:val="auto"/>
          <w:highlight w:val="none"/>
        </w:rPr>
      </w:pPr>
    </w:p>
    <w:p w14:paraId="33607796">
      <w:pPr>
        <w:shd w:val="clear"/>
        <w:spacing w:line="360" w:lineRule="auto"/>
        <w:ind w:firstLine="420" w:firstLineChars="200"/>
        <w:rPr>
          <w:rFonts w:ascii="宋体" w:hAnsi="宋体" w:cs="宋体"/>
          <w:color w:val="auto"/>
          <w:highlight w:val="none"/>
        </w:rPr>
      </w:pPr>
    </w:p>
    <w:p w14:paraId="087FBD94">
      <w:pPr>
        <w:shd w:val="clear"/>
        <w:spacing w:line="360" w:lineRule="auto"/>
        <w:ind w:firstLine="420" w:firstLineChars="200"/>
        <w:rPr>
          <w:rFonts w:ascii="宋体" w:hAnsi="宋体" w:cs="宋体"/>
          <w:color w:val="auto"/>
          <w:highlight w:val="none"/>
        </w:rPr>
      </w:pPr>
    </w:p>
    <w:p w14:paraId="1FA8A2F7">
      <w:pPr>
        <w:shd w:val="clear"/>
        <w:spacing w:line="360" w:lineRule="auto"/>
        <w:ind w:firstLine="420" w:firstLineChars="200"/>
        <w:rPr>
          <w:rFonts w:ascii="宋体" w:hAnsi="宋体" w:cs="宋体"/>
          <w:color w:val="auto"/>
          <w:highlight w:val="none"/>
        </w:rPr>
      </w:pPr>
    </w:p>
    <w:p w14:paraId="7CD91D91">
      <w:pPr>
        <w:shd w:val="clear"/>
        <w:spacing w:line="360" w:lineRule="auto"/>
        <w:rPr>
          <w:rFonts w:ascii="宋体" w:hAnsi="宋体" w:cs="宋体"/>
          <w:b/>
          <w:color w:val="auto"/>
          <w:sz w:val="24"/>
          <w:highlight w:val="none"/>
        </w:rPr>
      </w:pPr>
    </w:p>
    <w:p w14:paraId="7B22B569">
      <w:pPr>
        <w:shd w:val="clear"/>
        <w:spacing w:line="360" w:lineRule="auto"/>
        <w:rPr>
          <w:rFonts w:ascii="宋体" w:hAnsi="宋体" w:cs="宋体"/>
          <w:b/>
          <w:color w:val="auto"/>
          <w:sz w:val="24"/>
          <w:highlight w:val="none"/>
        </w:rPr>
      </w:pPr>
    </w:p>
    <w:p w14:paraId="58D27D8A">
      <w:pPr>
        <w:shd w:val="clear"/>
        <w:spacing w:line="360" w:lineRule="auto"/>
        <w:rPr>
          <w:rFonts w:ascii="宋体" w:hAnsi="宋体" w:cs="宋体"/>
          <w:b/>
          <w:color w:val="auto"/>
          <w:sz w:val="24"/>
          <w:highlight w:val="none"/>
        </w:rPr>
      </w:pPr>
    </w:p>
    <w:p w14:paraId="571B9F76">
      <w:pPr>
        <w:shd w:val="clear"/>
        <w:spacing w:line="360" w:lineRule="auto"/>
        <w:rPr>
          <w:rFonts w:ascii="宋体" w:hAnsi="宋体" w:cs="宋体"/>
          <w:b/>
          <w:color w:val="auto"/>
          <w:sz w:val="24"/>
          <w:highlight w:val="none"/>
        </w:rPr>
      </w:pPr>
    </w:p>
    <w:p w14:paraId="232B50C3">
      <w:pPr>
        <w:shd w:val="clear"/>
        <w:spacing w:line="360" w:lineRule="auto"/>
        <w:rPr>
          <w:rFonts w:ascii="宋体" w:hAnsi="宋体" w:cs="宋体"/>
          <w:b/>
          <w:color w:val="auto"/>
          <w:sz w:val="24"/>
          <w:highlight w:val="none"/>
        </w:rPr>
      </w:pPr>
    </w:p>
    <w:p w14:paraId="00BCB917">
      <w:pPr>
        <w:shd w:val="clear"/>
        <w:spacing w:line="360" w:lineRule="auto"/>
        <w:rPr>
          <w:rFonts w:ascii="宋体" w:hAnsi="宋体" w:cs="宋体"/>
          <w:b/>
          <w:color w:val="auto"/>
          <w:sz w:val="24"/>
          <w:highlight w:val="none"/>
        </w:rPr>
      </w:pPr>
    </w:p>
    <w:p w14:paraId="13997254">
      <w:pPr>
        <w:shd w:val="clear"/>
        <w:spacing w:line="360" w:lineRule="auto"/>
        <w:rPr>
          <w:rFonts w:ascii="宋体" w:hAnsi="宋体" w:cs="宋体"/>
          <w:b/>
          <w:color w:val="auto"/>
          <w:sz w:val="24"/>
          <w:highlight w:val="none"/>
        </w:rPr>
      </w:pPr>
    </w:p>
    <w:p w14:paraId="4F7E11B0">
      <w:pPr>
        <w:shd w:val="clear"/>
        <w:spacing w:line="360" w:lineRule="auto"/>
        <w:rPr>
          <w:rFonts w:ascii="宋体" w:hAnsi="宋体" w:cs="宋体"/>
          <w:b/>
          <w:color w:val="auto"/>
          <w:sz w:val="24"/>
          <w:highlight w:val="none"/>
        </w:rPr>
      </w:pPr>
    </w:p>
    <w:p w14:paraId="6C5A286B">
      <w:pPr>
        <w:shd w:val="clear"/>
        <w:spacing w:line="360" w:lineRule="auto"/>
        <w:rPr>
          <w:rFonts w:ascii="宋体" w:hAnsi="宋体" w:cs="宋体"/>
          <w:b/>
          <w:color w:val="auto"/>
          <w:sz w:val="24"/>
          <w:highlight w:val="none"/>
        </w:rPr>
      </w:pPr>
    </w:p>
    <w:p w14:paraId="563DE5C6">
      <w:pPr>
        <w:shd w:val="clea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90D0D8C">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24C2295">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5D56A87">
      <w:pPr>
        <w:shd w:val="clea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7E64B04">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C093436">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3E47496">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231C65A">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482B791">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B0C4D5">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2BDC24B">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FC129BB">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31D6ACA">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2397A23">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名称：</w:t>
      </w:r>
      <w:r>
        <w:rPr>
          <w:rFonts w:hint="eastAsia" w:ascii="宋体" w:hAnsi="宋体" w:cs="宋体"/>
          <w:color w:val="auto"/>
          <w:sz w:val="24"/>
          <w:highlight w:val="none"/>
          <w:u w:val="dotted"/>
        </w:rPr>
        <w:t xml:space="preserve">                                         </w:t>
      </w:r>
    </w:p>
    <w:p w14:paraId="622C871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D328E92">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1589B8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9D45AD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6C809DC">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AE8AB69">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12A0A36">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5B694A9">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7ADE700">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A888145">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D2F733C">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BEF48B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3C5934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4C49C94">
      <w:pPr>
        <w:shd w:val="clear"/>
        <w:spacing w:line="360" w:lineRule="auto"/>
        <w:rPr>
          <w:rFonts w:ascii="宋体" w:hAnsi="宋体" w:cs="宋体"/>
          <w:b/>
          <w:color w:val="auto"/>
          <w:sz w:val="24"/>
          <w:highlight w:val="none"/>
        </w:rPr>
      </w:pPr>
    </w:p>
    <w:p w14:paraId="5882F443">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BC56A51">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EA81B3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99E4583">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A45458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2C16333">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583CA4E">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2BB765D">
      <w:pPr>
        <w:widowControl/>
        <w:shd w:val="clear"/>
        <w:spacing w:line="360" w:lineRule="auto"/>
        <w:ind w:firstLine="600" w:firstLineChars="200"/>
        <w:jc w:val="left"/>
        <w:rPr>
          <w:rFonts w:ascii="宋体" w:hAnsi="宋体" w:cs="宋体"/>
          <w:color w:val="auto"/>
          <w:sz w:val="30"/>
          <w:szCs w:val="30"/>
          <w:highlight w:val="none"/>
        </w:rPr>
      </w:pPr>
    </w:p>
    <w:p w14:paraId="5A93F2CE">
      <w:pPr>
        <w:shd w:val="clear"/>
        <w:spacing w:line="360" w:lineRule="auto"/>
        <w:jc w:val="center"/>
        <w:rPr>
          <w:rFonts w:ascii="宋体" w:hAnsi="宋体" w:cs="宋体"/>
          <w:b/>
          <w:color w:val="auto"/>
          <w:spacing w:val="6"/>
          <w:sz w:val="32"/>
          <w:szCs w:val="32"/>
          <w:highlight w:val="none"/>
        </w:rPr>
      </w:pPr>
    </w:p>
    <w:p w14:paraId="33355DA2">
      <w:pPr>
        <w:shd w:val="clear"/>
        <w:spacing w:line="360" w:lineRule="auto"/>
        <w:jc w:val="center"/>
        <w:rPr>
          <w:rFonts w:ascii="宋体" w:hAnsi="宋体" w:cs="宋体"/>
          <w:b/>
          <w:color w:val="auto"/>
          <w:spacing w:val="6"/>
          <w:sz w:val="32"/>
          <w:szCs w:val="32"/>
          <w:highlight w:val="none"/>
        </w:rPr>
      </w:pPr>
    </w:p>
    <w:p w14:paraId="70B77140">
      <w:pPr>
        <w:shd w:val="clear"/>
        <w:spacing w:line="360" w:lineRule="auto"/>
        <w:jc w:val="center"/>
        <w:rPr>
          <w:rFonts w:ascii="宋体" w:hAnsi="宋体" w:cs="宋体"/>
          <w:b/>
          <w:color w:val="auto"/>
          <w:spacing w:val="6"/>
          <w:sz w:val="32"/>
          <w:szCs w:val="32"/>
          <w:highlight w:val="none"/>
        </w:rPr>
      </w:pPr>
    </w:p>
    <w:p w14:paraId="56AC1570">
      <w:pPr>
        <w:shd w:val="clear"/>
        <w:spacing w:line="360" w:lineRule="auto"/>
        <w:jc w:val="center"/>
        <w:rPr>
          <w:rFonts w:ascii="宋体" w:hAnsi="宋体" w:cs="宋体"/>
          <w:b/>
          <w:color w:val="auto"/>
          <w:spacing w:val="6"/>
          <w:sz w:val="32"/>
          <w:szCs w:val="32"/>
          <w:highlight w:val="none"/>
        </w:rPr>
      </w:pPr>
    </w:p>
    <w:p w14:paraId="5FE6C701">
      <w:pPr>
        <w:shd w:val="clear"/>
        <w:spacing w:line="360" w:lineRule="auto"/>
        <w:jc w:val="center"/>
        <w:rPr>
          <w:rFonts w:ascii="宋体" w:hAnsi="宋体" w:cs="宋体"/>
          <w:b/>
          <w:color w:val="auto"/>
          <w:spacing w:val="6"/>
          <w:sz w:val="32"/>
          <w:szCs w:val="32"/>
          <w:highlight w:val="none"/>
        </w:rPr>
      </w:pPr>
    </w:p>
    <w:p w14:paraId="3B08A861">
      <w:pPr>
        <w:shd w:val="clear"/>
        <w:spacing w:line="360" w:lineRule="auto"/>
        <w:jc w:val="center"/>
        <w:rPr>
          <w:rFonts w:ascii="宋体" w:hAnsi="宋体" w:cs="宋体"/>
          <w:b/>
          <w:color w:val="auto"/>
          <w:spacing w:val="6"/>
          <w:sz w:val="32"/>
          <w:szCs w:val="32"/>
          <w:highlight w:val="none"/>
        </w:rPr>
      </w:pPr>
    </w:p>
    <w:p w14:paraId="70AD70A6">
      <w:pPr>
        <w:shd w:val="clear"/>
        <w:spacing w:line="360" w:lineRule="auto"/>
        <w:jc w:val="center"/>
        <w:rPr>
          <w:rFonts w:ascii="宋体" w:hAnsi="宋体" w:cs="宋体"/>
          <w:b/>
          <w:color w:val="auto"/>
          <w:spacing w:val="6"/>
          <w:sz w:val="32"/>
          <w:szCs w:val="32"/>
          <w:highlight w:val="none"/>
        </w:rPr>
      </w:pPr>
    </w:p>
    <w:p w14:paraId="1EFC862C">
      <w:pPr>
        <w:shd w:val="clear"/>
        <w:spacing w:line="360" w:lineRule="auto"/>
        <w:jc w:val="center"/>
        <w:rPr>
          <w:rFonts w:ascii="宋体" w:hAnsi="宋体" w:cs="宋体"/>
          <w:b/>
          <w:color w:val="auto"/>
          <w:spacing w:val="6"/>
          <w:sz w:val="32"/>
          <w:szCs w:val="32"/>
          <w:highlight w:val="none"/>
        </w:rPr>
      </w:pPr>
    </w:p>
    <w:p w14:paraId="678F7ACE">
      <w:pPr>
        <w:shd w:val="clear"/>
        <w:spacing w:line="360" w:lineRule="auto"/>
        <w:jc w:val="center"/>
        <w:rPr>
          <w:rFonts w:ascii="宋体" w:hAnsi="宋体" w:cs="宋体"/>
          <w:b/>
          <w:color w:val="auto"/>
          <w:spacing w:val="6"/>
          <w:sz w:val="32"/>
          <w:szCs w:val="32"/>
          <w:highlight w:val="none"/>
        </w:rPr>
      </w:pPr>
    </w:p>
    <w:p w14:paraId="790B2075">
      <w:pPr>
        <w:shd w:val="clear"/>
        <w:spacing w:line="360" w:lineRule="auto"/>
        <w:jc w:val="center"/>
        <w:rPr>
          <w:rFonts w:ascii="宋体" w:hAnsi="宋体" w:cs="宋体"/>
          <w:b/>
          <w:color w:val="auto"/>
          <w:spacing w:val="6"/>
          <w:sz w:val="32"/>
          <w:szCs w:val="32"/>
          <w:highlight w:val="none"/>
        </w:rPr>
      </w:pPr>
    </w:p>
    <w:p w14:paraId="4F333312">
      <w:pPr>
        <w:shd w:val="clear"/>
        <w:spacing w:line="360" w:lineRule="auto"/>
        <w:jc w:val="center"/>
        <w:rPr>
          <w:rFonts w:ascii="宋体" w:hAnsi="宋体" w:cs="宋体"/>
          <w:b/>
          <w:color w:val="auto"/>
          <w:spacing w:val="6"/>
          <w:sz w:val="32"/>
          <w:szCs w:val="32"/>
          <w:highlight w:val="none"/>
        </w:rPr>
      </w:pPr>
    </w:p>
    <w:p w14:paraId="60D5C043">
      <w:pPr>
        <w:shd w:val="clear"/>
        <w:spacing w:line="360" w:lineRule="auto"/>
        <w:jc w:val="center"/>
        <w:rPr>
          <w:rFonts w:ascii="宋体" w:hAnsi="宋体" w:cs="宋体"/>
          <w:b/>
          <w:color w:val="auto"/>
          <w:spacing w:val="6"/>
          <w:sz w:val="32"/>
          <w:szCs w:val="32"/>
          <w:highlight w:val="none"/>
        </w:rPr>
      </w:pPr>
    </w:p>
    <w:p w14:paraId="7DC14627">
      <w:pPr>
        <w:shd w:val="clear"/>
        <w:spacing w:line="360" w:lineRule="auto"/>
        <w:jc w:val="left"/>
        <w:rPr>
          <w:rFonts w:ascii="宋体" w:hAnsi="宋体" w:cs="宋体"/>
          <w:b/>
          <w:color w:val="auto"/>
          <w:spacing w:val="6"/>
          <w:sz w:val="32"/>
          <w:szCs w:val="32"/>
          <w:highlight w:val="none"/>
        </w:rPr>
      </w:pPr>
    </w:p>
    <w:p w14:paraId="58928004">
      <w:pPr>
        <w:shd w:val="clear"/>
        <w:spacing w:line="360" w:lineRule="auto"/>
        <w:jc w:val="left"/>
        <w:rPr>
          <w:rFonts w:ascii="宋体" w:hAnsi="宋体" w:cs="宋体"/>
          <w:b/>
          <w:color w:val="auto"/>
          <w:spacing w:val="6"/>
          <w:sz w:val="32"/>
          <w:szCs w:val="32"/>
          <w:highlight w:val="none"/>
        </w:rPr>
      </w:pPr>
    </w:p>
    <w:p w14:paraId="49C2238C">
      <w:pPr>
        <w:shd w:val="clea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7BD8614">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58DD44BE">
      <w:pPr>
        <w:shd w:val="clear"/>
        <w:spacing w:line="360" w:lineRule="auto"/>
        <w:jc w:val="center"/>
        <w:rPr>
          <w:rFonts w:ascii="宋体" w:hAnsi="宋体" w:cs="宋体"/>
          <w:b/>
          <w:color w:val="auto"/>
          <w:sz w:val="24"/>
          <w:highlight w:val="none"/>
        </w:rPr>
      </w:pPr>
    </w:p>
    <w:p w14:paraId="14A26E4D">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25A664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F714351">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54B6437">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E6D2E6">
      <w:pPr>
        <w:shd w:val="clea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CD1FCB8">
      <w:pPr>
        <w:shd w:val="clea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340C20F">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D31C362">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A0C24D2">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A22BB4">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8AA2AE">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6FB25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2E86DFB">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E59E4A7">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AE72A1">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33C4A3">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F9538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6CA1F2E">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BA8CE2F">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8811A1D">
      <w:pPr>
        <w:shd w:val="clea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采购人</w:t>
      </w:r>
      <w:r>
        <w:rPr>
          <w:rFonts w:hint="eastAsia" w:ascii="宋体" w:hAnsi="宋体" w:cs="宋体"/>
          <w:color w:val="auto"/>
          <w:sz w:val="24"/>
          <w:highlight w:val="none"/>
        </w:rPr>
        <w:t>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076072">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83F70C1">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B7DAF07">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9155E1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A855C7B">
      <w:pPr>
        <w:shd w:val="clea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2B75393">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03658EC">
      <w:pPr>
        <w:shd w:val="clea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lang w:eastAsia="zh-CN"/>
        </w:rPr>
        <w:t>采购人</w:t>
      </w:r>
      <w:r>
        <w:rPr>
          <w:rFonts w:hint="eastAsia" w:ascii="宋体" w:hAnsi="宋体" w:cs="宋体"/>
          <w:color w:val="auto"/>
          <w:sz w:val="24"/>
          <w:highlight w:val="none"/>
          <w:u w:val="dotted"/>
        </w:rPr>
        <w:t>/代理机构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C4E405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B804171">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BD1B5C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012B03E">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58D06B">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CED495A">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403D334">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88941FF">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84C7FD3">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BEB8BC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7D5F26">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4F6443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C4DAB3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0C03122">
      <w:pPr>
        <w:shd w:val="clear"/>
        <w:spacing w:line="360" w:lineRule="auto"/>
        <w:rPr>
          <w:rFonts w:ascii="宋体" w:hAnsi="宋体" w:cs="宋体"/>
          <w:b/>
          <w:color w:val="auto"/>
          <w:sz w:val="24"/>
          <w:highlight w:val="none"/>
        </w:rPr>
      </w:pPr>
    </w:p>
    <w:p w14:paraId="5C73E7BB">
      <w:pPr>
        <w:shd w:val="clear"/>
        <w:spacing w:line="360" w:lineRule="auto"/>
        <w:rPr>
          <w:rFonts w:ascii="宋体" w:hAnsi="宋体" w:cs="宋体"/>
          <w:b/>
          <w:color w:val="auto"/>
          <w:sz w:val="24"/>
          <w:highlight w:val="none"/>
        </w:rPr>
      </w:pPr>
    </w:p>
    <w:p w14:paraId="5C07F73D">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5B7FF69">
      <w:pPr>
        <w:widowControl/>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B9F540B">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BF4483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34FC35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8306BB1">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62B17AC">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B9B0869">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FF6CADE">
      <w:pPr>
        <w:shd w:val="clear"/>
        <w:spacing w:line="360" w:lineRule="auto"/>
        <w:rPr>
          <w:rFonts w:ascii="宋体" w:hAnsi="宋体" w:cs="宋体"/>
          <w:b/>
          <w:color w:val="auto"/>
          <w:sz w:val="24"/>
          <w:highlight w:val="none"/>
        </w:rPr>
      </w:pPr>
    </w:p>
    <w:p w14:paraId="311C0254">
      <w:pPr>
        <w:shd w:val="clea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FB55221">
      <w:pPr>
        <w:shd w:val="clea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87C6C37">
      <w:pPr>
        <w:shd w:val="clear"/>
        <w:spacing w:line="360" w:lineRule="auto"/>
        <w:rPr>
          <w:rFonts w:ascii="宋体" w:hAnsi="宋体" w:cs="宋体"/>
          <w:color w:val="auto"/>
          <w:sz w:val="24"/>
          <w:highlight w:val="none"/>
          <w:u w:val="single"/>
        </w:rPr>
      </w:pPr>
    </w:p>
    <w:p w14:paraId="3C90410E">
      <w:pPr>
        <w:shd w:val="clea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浙江同济科技职业学院</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浙江致信招标代理有限公司</w:t>
      </w:r>
      <w:r>
        <w:rPr>
          <w:rFonts w:hint="eastAsia" w:ascii="宋体" w:hAnsi="宋体" w:cs="宋体"/>
          <w:color w:val="auto"/>
          <w:sz w:val="24"/>
          <w:highlight w:val="none"/>
          <w:u w:val="single"/>
        </w:rPr>
        <w:t>：</w:t>
      </w:r>
    </w:p>
    <w:p w14:paraId="7B4A995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浙江同济科技职业学院智能节水系统安装与运维综合实训平台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ZXZB-TJ-2025004G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AD2860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9266B23">
      <w:pPr>
        <w:shd w:val="clear"/>
        <w:spacing w:line="360" w:lineRule="auto"/>
        <w:ind w:firstLine="494"/>
        <w:rPr>
          <w:rFonts w:ascii="宋体" w:hAnsi="宋体" w:cs="宋体"/>
          <w:color w:val="auto"/>
          <w:sz w:val="24"/>
          <w:highlight w:val="none"/>
        </w:rPr>
      </w:pPr>
    </w:p>
    <w:p w14:paraId="5F2F9CDB">
      <w:pPr>
        <w:shd w:val="clear"/>
        <w:spacing w:line="360" w:lineRule="auto"/>
        <w:ind w:firstLine="494"/>
        <w:rPr>
          <w:rFonts w:ascii="宋体" w:hAnsi="宋体" w:cs="宋体"/>
          <w:color w:val="auto"/>
          <w:sz w:val="24"/>
          <w:highlight w:val="none"/>
        </w:rPr>
      </w:pPr>
    </w:p>
    <w:p w14:paraId="66F7A1C9">
      <w:pPr>
        <w:shd w:val="clear"/>
        <w:spacing w:line="360" w:lineRule="auto"/>
        <w:ind w:firstLine="494"/>
        <w:rPr>
          <w:rFonts w:ascii="宋体" w:hAnsi="宋体" w:cs="宋体"/>
          <w:color w:val="auto"/>
          <w:sz w:val="24"/>
          <w:highlight w:val="none"/>
        </w:rPr>
      </w:pPr>
    </w:p>
    <w:p w14:paraId="055EFE82">
      <w:pPr>
        <w:shd w:val="clea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DA6578A">
      <w:pPr>
        <w:shd w:val="clea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A5B1026">
      <w:pPr>
        <w:shd w:val="clear"/>
        <w:rPr>
          <w:rFonts w:ascii="宋体" w:hAnsi="宋体" w:cs="宋体"/>
          <w:color w:val="auto"/>
          <w:sz w:val="24"/>
          <w:highlight w:val="none"/>
        </w:rPr>
      </w:pPr>
      <w:r>
        <w:rPr>
          <w:rFonts w:hint="eastAsia" w:ascii="宋体" w:hAnsi="宋体" w:cs="宋体"/>
          <w:b/>
          <w:bCs/>
          <w:color w:val="auto"/>
          <w:sz w:val="24"/>
          <w:highlight w:val="none"/>
        </w:rPr>
        <w:t>附：</w:t>
      </w:r>
    </w:p>
    <w:p w14:paraId="6BD7455B">
      <w:pPr>
        <w:shd w:val="clea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1" name="Rectangle 17"/>
                <wp:cNvGraphicFramePr/>
                <a:graphic xmlns:a="http://schemas.openxmlformats.org/drawingml/2006/main">
                  <a:graphicData uri="http://schemas.microsoft.com/office/word/2010/wordprocessingShape">
                    <wps:wsp>
                      <wps:cNvSpPr>
                        <a:spLocks noChangeArrowheads="1"/>
                      </wps:cNvSpPr>
                      <wps:spPr>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ZAPP9gAAAAKAQAADwAA&#10;AAAAAAABACAAAAAiAAAAZHJzL2Rvd25yZXYueG1sUEsBAhQAFAAAAAgAh07iQLslT6kWAgAAWgQA&#10;AA4AAAAAAAAAAQAgAAAAJwEAAGRycy9lMm9Eb2MueG1sUEsFBgAAAAAGAAYAWQEAAK8FA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2" name="Rectangle 16"/>
                <wp:cNvGraphicFramePr/>
                <a:graphic xmlns:a="http://schemas.openxmlformats.org/drawingml/2006/main">
                  <a:graphicData uri="http://schemas.microsoft.com/office/word/2010/wordprocessingShape">
                    <wps:wsp>
                      <wps:cNvSpPr>
                        <a:spLocks noChangeArrowheads="1"/>
                      </wps:cNvSpPr>
                      <wps:spPr>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YxHptgAAAAKAQAADwAA&#10;AAAAAAABACAAAAAiAAAAZHJzL2Rvd25yZXYueG1sUEsBAhQAFAAAAAgAh07iQKnJLowWAgAAWgQA&#10;AA4AAAAAAAAAAQAgAAAAJwEAAGRycy9lMm9Eb2MueG1sUEsFBgAAAAAGAAYAWQEAAK8FA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EAF13B7">
      <w:pPr>
        <w:shd w:val="clear"/>
        <w:autoSpaceDE w:val="0"/>
        <w:autoSpaceDN w:val="0"/>
        <w:jc w:val="center"/>
        <w:rPr>
          <w:rFonts w:ascii="宋体" w:hAnsi="宋体" w:cs="宋体"/>
          <w:b/>
          <w:color w:val="auto"/>
          <w:spacing w:val="6"/>
          <w:sz w:val="32"/>
          <w:szCs w:val="32"/>
          <w:highlight w:val="none"/>
        </w:rPr>
      </w:pPr>
    </w:p>
    <w:p w14:paraId="2329DF46">
      <w:pPr>
        <w:shd w:val="clear"/>
        <w:autoSpaceDE w:val="0"/>
        <w:autoSpaceDN w:val="0"/>
        <w:jc w:val="center"/>
        <w:rPr>
          <w:rFonts w:ascii="宋体" w:hAnsi="宋体" w:cs="宋体"/>
          <w:b/>
          <w:color w:val="auto"/>
          <w:spacing w:val="6"/>
          <w:sz w:val="32"/>
          <w:szCs w:val="32"/>
          <w:highlight w:val="none"/>
        </w:rPr>
      </w:pPr>
    </w:p>
    <w:p w14:paraId="285E6AC1">
      <w:pPr>
        <w:shd w:val="clear"/>
        <w:autoSpaceDE w:val="0"/>
        <w:autoSpaceDN w:val="0"/>
        <w:jc w:val="center"/>
        <w:rPr>
          <w:rFonts w:ascii="宋体" w:hAnsi="宋体" w:cs="宋体"/>
          <w:b/>
          <w:color w:val="auto"/>
          <w:spacing w:val="6"/>
          <w:sz w:val="32"/>
          <w:szCs w:val="32"/>
          <w:highlight w:val="none"/>
        </w:rPr>
      </w:pPr>
    </w:p>
    <w:p w14:paraId="64724F63">
      <w:pPr>
        <w:shd w:val="clear"/>
        <w:autoSpaceDE w:val="0"/>
        <w:autoSpaceDN w:val="0"/>
        <w:jc w:val="center"/>
        <w:rPr>
          <w:rFonts w:ascii="宋体" w:hAnsi="宋体" w:cs="宋体"/>
          <w:b/>
          <w:color w:val="auto"/>
          <w:spacing w:val="6"/>
          <w:sz w:val="32"/>
          <w:szCs w:val="32"/>
          <w:highlight w:val="none"/>
        </w:rPr>
      </w:pPr>
    </w:p>
    <w:p w14:paraId="574E93C2">
      <w:pPr>
        <w:shd w:val="clear"/>
        <w:autoSpaceDE w:val="0"/>
        <w:autoSpaceDN w:val="0"/>
        <w:jc w:val="center"/>
        <w:rPr>
          <w:rFonts w:ascii="宋体" w:hAnsi="宋体" w:cs="宋体"/>
          <w:b/>
          <w:color w:val="auto"/>
          <w:spacing w:val="6"/>
          <w:sz w:val="32"/>
          <w:szCs w:val="32"/>
          <w:highlight w:val="none"/>
        </w:rPr>
      </w:pPr>
    </w:p>
    <w:p w14:paraId="1C5D41FC">
      <w:pPr>
        <w:shd w:val="clear"/>
        <w:autoSpaceDE w:val="0"/>
        <w:autoSpaceDN w:val="0"/>
        <w:jc w:val="center"/>
        <w:rPr>
          <w:rFonts w:ascii="宋体" w:hAnsi="宋体" w:cs="宋体"/>
          <w:b/>
          <w:color w:val="auto"/>
          <w:spacing w:val="6"/>
          <w:sz w:val="32"/>
          <w:szCs w:val="32"/>
          <w:highlight w:val="none"/>
        </w:rPr>
      </w:pPr>
    </w:p>
    <w:p w14:paraId="7B2E4AF2">
      <w:pPr>
        <w:shd w:val="clear"/>
        <w:autoSpaceDE w:val="0"/>
        <w:autoSpaceDN w:val="0"/>
        <w:jc w:val="center"/>
        <w:rPr>
          <w:rFonts w:ascii="宋体" w:hAnsi="宋体" w:cs="宋体"/>
          <w:b/>
          <w:color w:val="auto"/>
          <w:spacing w:val="6"/>
          <w:sz w:val="32"/>
          <w:szCs w:val="32"/>
          <w:highlight w:val="none"/>
        </w:rPr>
      </w:pPr>
    </w:p>
    <w:p w14:paraId="18F1CDC3">
      <w:pPr>
        <w:shd w:val="clear"/>
        <w:autoSpaceDE w:val="0"/>
        <w:autoSpaceDN w:val="0"/>
        <w:jc w:val="center"/>
        <w:rPr>
          <w:rFonts w:ascii="宋体" w:hAnsi="宋体" w:cs="宋体"/>
          <w:b/>
          <w:color w:val="auto"/>
          <w:spacing w:val="6"/>
          <w:sz w:val="32"/>
          <w:szCs w:val="32"/>
          <w:highlight w:val="none"/>
        </w:rPr>
      </w:pPr>
    </w:p>
    <w:p w14:paraId="1F4953F0">
      <w:pPr>
        <w:shd w:val="clear"/>
        <w:autoSpaceDE w:val="0"/>
        <w:autoSpaceDN w:val="0"/>
        <w:jc w:val="center"/>
        <w:rPr>
          <w:rFonts w:ascii="宋体" w:hAnsi="宋体" w:cs="宋体"/>
          <w:b/>
          <w:color w:val="auto"/>
          <w:spacing w:val="6"/>
          <w:sz w:val="32"/>
          <w:szCs w:val="32"/>
          <w:highlight w:val="none"/>
        </w:rPr>
      </w:pPr>
    </w:p>
    <w:p w14:paraId="2EC62371">
      <w:pPr>
        <w:shd w:val="clear"/>
        <w:autoSpaceDE w:val="0"/>
        <w:autoSpaceDN w:val="0"/>
        <w:jc w:val="center"/>
        <w:rPr>
          <w:rFonts w:ascii="宋体" w:hAnsi="宋体" w:cs="宋体"/>
          <w:b/>
          <w:color w:val="auto"/>
          <w:spacing w:val="6"/>
          <w:sz w:val="32"/>
          <w:szCs w:val="32"/>
          <w:highlight w:val="none"/>
        </w:rPr>
      </w:pPr>
    </w:p>
    <w:p w14:paraId="061B1105">
      <w:pPr>
        <w:shd w:val="clear"/>
        <w:autoSpaceDE w:val="0"/>
        <w:autoSpaceDN w:val="0"/>
        <w:jc w:val="center"/>
        <w:rPr>
          <w:rFonts w:ascii="宋体" w:hAnsi="宋体" w:cs="宋体"/>
          <w:b/>
          <w:color w:val="auto"/>
          <w:spacing w:val="6"/>
          <w:sz w:val="32"/>
          <w:szCs w:val="32"/>
          <w:highlight w:val="none"/>
        </w:rPr>
      </w:pPr>
    </w:p>
    <w:p w14:paraId="7C3C86A3">
      <w:pPr>
        <w:shd w:val="clear"/>
        <w:autoSpaceDE w:val="0"/>
        <w:autoSpaceDN w:val="0"/>
        <w:jc w:val="center"/>
        <w:rPr>
          <w:rFonts w:ascii="宋体" w:hAnsi="宋体" w:cs="宋体"/>
          <w:b/>
          <w:color w:val="auto"/>
          <w:spacing w:val="6"/>
          <w:sz w:val="32"/>
          <w:szCs w:val="32"/>
          <w:highlight w:val="none"/>
        </w:rPr>
      </w:pPr>
    </w:p>
    <w:p w14:paraId="5BFC3A46">
      <w:pPr>
        <w:shd w:val="clear"/>
        <w:autoSpaceDE w:val="0"/>
        <w:autoSpaceDN w:val="0"/>
        <w:jc w:val="center"/>
        <w:rPr>
          <w:rFonts w:ascii="宋体" w:hAnsi="宋体" w:cs="宋体"/>
          <w:b/>
          <w:color w:val="auto"/>
          <w:spacing w:val="6"/>
          <w:sz w:val="32"/>
          <w:szCs w:val="32"/>
          <w:highlight w:val="none"/>
        </w:rPr>
      </w:pPr>
    </w:p>
    <w:p w14:paraId="4E9B5394">
      <w:pPr>
        <w:shd w:val="clear"/>
        <w:autoSpaceDE w:val="0"/>
        <w:autoSpaceDN w:val="0"/>
        <w:jc w:val="center"/>
        <w:rPr>
          <w:rFonts w:ascii="宋体" w:hAnsi="宋体" w:cs="宋体"/>
          <w:b/>
          <w:color w:val="auto"/>
          <w:spacing w:val="6"/>
          <w:sz w:val="32"/>
          <w:szCs w:val="32"/>
          <w:highlight w:val="none"/>
        </w:rPr>
      </w:pPr>
    </w:p>
    <w:p w14:paraId="2AD295FF">
      <w:pPr>
        <w:shd w:val="clear"/>
        <w:autoSpaceDE w:val="0"/>
        <w:autoSpaceDN w:val="0"/>
        <w:jc w:val="center"/>
        <w:rPr>
          <w:rFonts w:ascii="宋体" w:hAnsi="宋体" w:cs="宋体"/>
          <w:b/>
          <w:color w:val="auto"/>
          <w:spacing w:val="6"/>
          <w:sz w:val="32"/>
          <w:szCs w:val="32"/>
          <w:highlight w:val="none"/>
        </w:rPr>
      </w:pPr>
    </w:p>
    <w:p w14:paraId="0C36F885">
      <w:pPr>
        <w:shd w:val="clear"/>
        <w:autoSpaceDE w:val="0"/>
        <w:autoSpaceDN w:val="0"/>
        <w:jc w:val="center"/>
        <w:rPr>
          <w:rFonts w:ascii="宋体" w:hAnsi="宋体" w:cs="宋体"/>
          <w:b/>
          <w:color w:val="auto"/>
          <w:spacing w:val="6"/>
          <w:sz w:val="32"/>
          <w:szCs w:val="32"/>
          <w:highlight w:val="none"/>
        </w:rPr>
      </w:pPr>
    </w:p>
    <w:p w14:paraId="70FD78CD">
      <w:pPr>
        <w:shd w:val="clea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3B51E58">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25AC8763">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28F8AD0">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浙江同济科技职业学院智能节水系统安装与运维综合实训平台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ZXZB-TJ-2025004G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A3FBE0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CD1A0B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A1391B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BE49CF4">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DF49D0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E926BD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4FAF2843">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7034DA2">
      <w:pPr>
        <w:shd w:val="clea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2DBD3C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5611B2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签订合同，并就采购合同约定的事项对</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承担连带责任。</w:t>
      </w:r>
    </w:p>
    <w:p w14:paraId="334976E4">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F08911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C61181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48C913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7608F2C">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A4F79AA">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538C8D">
      <w:pPr>
        <w:shd w:val="clea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847D30A">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CFEC00C">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14400D1">
      <w:pPr>
        <w:shd w:val="clear"/>
        <w:autoSpaceDE w:val="0"/>
        <w:autoSpaceDN w:val="0"/>
        <w:jc w:val="center"/>
        <w:rPr>
          <w:rFonts w:ascii="宋体" w:hAnsi="宋体" w:cs="宋体"/>
          <w:b/>
          <w:color w:val="auto"/>
          <w:spacing w:val="6"/>
          <w:sz w:val="32"/>
          <w:szCs w:val="32"/>
          <w:highlight w:val="none"/>
        </w:rPr>
      </w:pPr>
    </w:p>
    <w:p w14:paraId="293013A4">
      <w:pPr>
        <w:shd w:val="clear"/>
        <w:autoSpaceDE w:val="0"/>
        <w:autoSpaceDN w:val="0"/>
        <w:jc w:val="center"/>
        <w:rPr>
          <w:rFonts w:ascii="宋体" w:hAnsi="宋体" w:cs="宋体"/>
          <w:b/>
          <w:color w:val="auto"/>
          <w:spacing w:val="6"/>
          <w:sz w:val="32"/>
          <w:szCs w:val="32"/>
          <w:highlight w:val="none"/>
        </w:rPr>
      </w:pPr>
    </w:p>
    <w:p w14:paraId="34C33641">
      <w:pPr>
        <w:shd w:val="clear"/>
        <w:autoSpaceDE w:val="0"/>
        <w:autoSpaceDN w:val="0"/>
        <w:jc w:val="center"/>
        <w:rPr>
          <w:rFonts w:ascii="宋体" w:hAnsi="宋体" w:cs="宋体"/>
          <w:b/>
          <w:color w:val="auto"/>
          <w:spacing w:val="6"/>
          <w:sz w:val="32"/>
          <w:szCs w:val="32"/>
          <w:highlight w:val="none"/>
        </w:rPr>
      </w:pPr>
    </w:p>
    <w:p w14:paraId="743B352B">
      <w:pPr>
        <w:shd w:val="clear"/>
        <w:autoSpaceDE w:val="0"/>
        <w:autoSpaceDN w:val="0"/>
        <w:jc w:val="center"/>
        <w:rPr>
          <w:rFonts w:ascii="宋体" w:hAnsi="宋体" w:cs="宋体"/>
          <w:b/>
          <w:color w:val="auto"/>
          <w:spacing w:val="6"/>
          <w:sz w:val="32"/>
          <w:szCs w:val="32"/>
          <w:highlight w:val="none"/>
        </w:rPr>
      </w:pPr>
    </w:p>
    <w:p w14:paraId="18031181">
      <w:pPr>
        <w:shd w:val="clear"/>
        <w:autoSpaceDE w:val="0"/>
        <w:autoSpaceDN w:val="0"/>
        <w:jc w:val="center"/>
        <w:rPr>
          <w:rFonts w:ascii="宋体" w:hAnsi="宋体" w:cs="宋体"/>
          <w:b/>
          <w:color w:val="auto"/>
          <w:spacing w:val="6"/>
          <w:sz w:val="32"/>
          <w:szCs w:val="32"/>
          <w:highlight w:val="none"/>
        </w:rPr>
      </w:pPr>
    </w:p>
    <w:p w14:paraId="7C87AB33">
      <w:pPr>
        <w:shd w:val="clear"/>
        <w:autoSpaceDE w:val="0"/>
        <w:autoSpaceDN w:val="0"/>
        <w:jc w:val="center"/>
        <w:rPr>
          <w:rFonts w:ascii="宋体" w:hAnsi="宋体" w:cs="宋体"/>
          <w:b/>
          <w:color w:val="auto"/>
          <w:spacing w:val="6"/>
          <w:sz w:val="32"/>
          <w:szCs w:val="32"/>
          <w:highlight w:val="none"/>
        </w:rPr>
      </w:pPr>
    </w:p>
    <w:p w14:paraId="34F8593B">
      <w:pPr>
        <w:shd w:val="clear"/>
        <w:autoSpaceDE w:val="0"/>
        <w:autoSpaceDN w:val="0"/>
        <w:jc w:val="center"/>
        <w:rPr>
          <w:rFonts w:ascii="宋体" w:hAnsi="宋体" w:cs="宋体"/>
          <w:b/>
          <w:color w:val="auto"/>
          <w:spacing w:val="6"/>
          <w:sz w:val="32"/>
          <w:szCs w:val="32"/>
          <w:highlight w:val="none"/>
        </w:rPr>
      </w:pPr>
    </w:p>
    <w:p w14:paraId="7B913EC4">
      <w:pPr>
        <w:shd w:val="clear"/>
        <w:autoSpaceDE w:val="0"/>
        <w:autoSpaceDN w:val="0"/>
        <w:jc w:val="center"/>
        <w:rPr>
          <w:rFonts w:ascii="宋体" w:hAnsi="宋体" w:cs="宋体"/>
          <w:b/>
          <w:color w:val="auto"/>
          <w:spacing w:val="6"/>
          <w:sz w:val="32"/>
          <w:szCs w:val="32"/>
          <w:highlight w:val="none"/>
        </w:rPr>
      </w:pPr>
    </w:p>
    <w:p w14:paraId="64414C2C">
      <w:pPr>
        <w:shd w:val="clear"/>
        <w:autoSpaceDE w:val="0"/>
        <w:autoSpaceDN w:val="0"/>
        <w:jc w:val="center"/>
        <w:rPr>
          <w:rFonts w:ascii="宋体" w:hAnsi="宋体" w:cs="宋体"/>
          <w:b/>
          <w:color w:val="auto"/>
          <w:spacing w:val="6"/>
          <w:sz w:val="32"/>
          <w:szCs w:val="32"/>
          <w:highlight w:val="none"/>
        </w:rPr>
      </w:pPr>
    </w:p>
    <w:p w14:paraId="5ACF6CBC">
      <w:pPr>
        <w:shd w:val="clear"/>
        <w:autoSpaceDE w:val="0"/>
        <w:autoSpaceDN w:val="0"/>
        <w:jc w:val="center"/>
        <w:rPr>
          <w:rFonts w:ascii="宋体" w:hAnsi="宋体" w:cs="宋体"/>
          <w:b/>
          <w:color w:val="auto"/>
          <w:spacing w:val="6"/>
          <w:sz w:val="32"/>
          <w:szCs w:val="32"/>
          <w:highlight w:val="none"/>
        </w:rPr>
      </w:pPr>
    </w:p>
    <w:p w14:paraId="49D7BA3B">
      <w:pPr>
        <w:shd w:val="clear"/>
        <w:autoSpaceDE w:val="0"/>
        <w:autoSpaceDN w:val="0"/>
        <w:jc w:val="center"/>
        <w:rPr>
          <w:rFonts w:ascii="宋体" w:hAnsi="宋体" w:cs="宋体"/>
          <w:b/>
          <w:color w:val="auto"/>
          <w:spacing w:val="6"/>
          <w:sz w:val="32"/>
          <w:szCs w:val="32"/>
          <w:highlight w:val="none"/>
        </w:rPr>
      </w:pPr>
    </w:p>
    <w:p w14:paraId="2C1FE880">
      <w:pPr>
        <w:shd w:val="clear"/>
        <w:autoSpaceDE w:val="0"/>
        <w:autoSpaceDN w:val="0"/>
        <w:jc w:val="center"/>
        <w:rPr>
          <w:rFonts w:ascii="宋体" w:hAnsi="宋体" w:cs="宋体"/>
          <w:b/>
          <w:color w:val="auto"/>
          <w:spacing w:val="6"/>
          <w:sz w:val="32"/>
          <w:szCs w:val="32"/>
          <w:highlight w:val="none"/>
        </w:rPr>
      </w:pPr>
    </w:p>
    <w:p w14:paraId="423C403D">
      <w:pPr>
        <w:shd w:val="clear"/>
        <w:autoSpaceDE w:val="0"/>
        <w:autoSpaceDN w:val="0"/>
        <w:jc w:val="center"/>
        <w:rPr>
          <w:rFonts w:ascii="宋体" w:hAnsi="宋体" w:cs="宋体"/>
          <w:b/>
          <w:color w:val="auto"/>
          <w:spacing w:val="6"/>
          <w:sz w:val="32"/>
          <w:szCs w:val="32"/>
          <w:highlight w:val="none"/>
        </w:rPr>
      </w:pPr>
    </w:p>
    <w:p w14:paraId="7199C077">
      <w:pPr>
        <w:shd w:val="clear"/>
        <w:autoSpaceDE w:val="0"/>
        <w:autoSpaceDN w:val="0"/>
        <w:jc w:val="center"/>
        <w:rPr>
          <w:rFonts w:ascii="宋体" w:hAnsi="宋体" w:cs="宋体"/>
          <w:b/>
          <w:color w:val="auto"/>
          <w:spacing w:val="6"/>
          <w:sz w:val="32"/>
          <w:szCs w:val="32"/>
          <w:highlight w:val="none"/>
        </w:rPr>
      </w:pPr>
    </w:p>
    <w:p w14:paraId="2BA75483">
      <w:pPr>
        <w:shd w:val="clear"/>
        <w:autoSpaceDE w:val="0"/>
        <w:autoSpaceDN w:val="0"/>
        <w:jc w:val="center"/>
        <w:rPr>
          <w:rFonts w:ascii="宋体" w:hAnsi="宋体" w:cs="宋体"/>
          <w:b/>
          <w:color w:val="auto"/>
          <w:spacing w:val="6"/>
          <w:sz w:val="32"/>
          <w:szCs w:val="32"/>
          <w:highlight w:val="none"/>
        </w:rPr>
      </w:pPr>
    </w:p>
    <w:p w14:paraId="084FBB1B">
      <w:pPr>
        <w:shd w:val="clear"/>
        <w:autoSpaceDE w:val="0"/>
        <w:autoSpaceDN w:val="0"/>
        <w:jc w:val="center"/>
        <w:rPr>
          <w:rFonts w:ascii="宋体" w:hAnsi="宋体" w:cs="宋体"/>
          <w:b/>
          <w:color w:val="auto"/>
          <w:spacing w:val="6"/>
          <w:sz w:val="32"/>
          <w:szCs w:val="32"/>
          <w:highlight w:val="none"/>
        </w:rPr>
      </w:pPr>
    </w:p>
    <w:p w14:paraId="14BECA67">
      <w:pPr>
        <w:shd w:val="clear"/>
        <w:autoSpaceDE w:val="0"/>
        <w:autoSpaceDN w:val="0"/>
        <w:jc w:val="center"/>
        <w:rPr>
          <w:rFonts w:ascii="宋体" w:hAnsi="宋体" w:cs="宋体"/>
          <w:b/>
          <w:color w:val="auto"/>
          <w:spacing w:val="6"/>
          <w:sz w:val="32"/>
          <w:szCs w:val="32"/>
          <w:highlight w:val="none"/>
        </w:rPr>
      </w:pPr>
    </w:p>
    <w:p w14:paraId="122EB2AD">
      <w:pPr>
        <w:shd w:val="clear"/>
        <w:autoSpaceDE w:val="0"/>
        <w:autoSpaceDN w:val="0"/>
        <w:jc w:val="center"/>
        <w:rPr>
          <w:rFonts w:ascii="宋体" w:hAnsi="宋体" w:cs="宋体"/>
          <w:b/>
          <w:color w:val="auto"/>
          <w:spacing w:val="6"/>
          <w:sz w:val="32"/>
          <w:szCs w:val="32"/>
          <w:highlight w:val="none"/>
        </w:rPr>
      </w:pPr>
    </w:p>
    <w:p w14:paraId="37CDB8B4">
      <w:pPr>
        <w:shd w:val="clear"/>
        <w:autoSpaceDE w:val="0"/>
        <w:autoSpaceDN w:val="0"/>
        <w:jc w:val="center"/>
        <w:rPr>
          <w:rFonts w:ascii="宋体" w:hAnsi="宋体" w:cs="宋体"/>
          <w:b/>
          <w:color w:val="auto"/>
          <w:spacing w:val="6"/>
          <w:sz w:val="32"/>
          <w:szCs w:val="32"/>
          <w:highlight w:val="none"/>
        </w:rPr>
      </w:pPr>
    </w:p>
    <w:p w14:paraId="0872C8F7">
      <w:pPr>
        <w:shd w:val="clear"/>
        <w:autoSpaceDE w:val="0"/>
        <w:autoSpaceDN w:val="0"/>
        <w:jc w:val="center"/>
        <w:rPr>
          <w:rFonts w:ascii="宋体" w:hAnsi="宋体" w:cs="宋体"/>
          <w:b/>
          <w:color w:val="auto"/>
          <w:spacing w:val="6"/>
          <w:sz w:val="32"/>
          <w:szCs w:val="32"/>
          <w:highlight w:val="none"/>
        </w:rPr>
      </w:pPr>
    </w:p>
    <w:p w14:paraId="64F8FA7D">
      <w:pPr>
        <w:shd w:val="clear"/>
        <w:autoSpaceDE w:val="0"/>
        <w:autoSpaceDN w:val="0"/>
        <w:jc w:val="center"/>
        <w:rPr>
          <w:rFonts w:ascii="宋体" w:hAnsi="宋体" w:cs="宋体"/>
          <w:b/>
          <w:color w:val="auto"/>
          <w:spacing w:val="6"/>
          <w:sz w:val="32"/>
          <w:szCs w:val="32"/>
          <w:highlight w:val="none"/>
        </w:rPr>
      </w:pPr>
    </w:p>
    <w:p w14:paraId="618CEFD4">
      <w:pPr>
        <w:shd w:val="clear"/>
        <w:autoSpaceDE w:val="0"/>
        <w:autoSpaceDN w:val="0"/>
        <w:jc w:val="center"/>
        <w:rPr>
          <w:rFonts w:ascii="宋体" w:hAnsi="宋体" w:cs="宋体"/>
          <w:b/>
          <w:color w:val="auto"/>
          <w:spacing w:val="6"/>
          <w:sz w:val="32"/>
          <w:szCs w:val="32"/>
          <w:highlight w:val="none"/>
        </w:rPr>
      </w:pPr>
    </w:p>
    <w:p w14:paraId="273AE37E">
      <w:pPr>
        <w:shd w:val="clear"/>
        <w:autoSpaceDE w:val="0"/>
        <w:autoSpaceDN w:val="0"/>
        <w:jc w:val="center"/>
        <w:rPr>
          <w:rFonts w:ascii="宋体" w:hAnsi="宋体" w:cs="宋体"/>
          <w:b/>
          <w:color w:val="auto"/>
          <w:spacing w:val="6"/>
          <w:sz w:val="32"/>
          <w:szCs w:val="32"/>
          <w:highlight w:val="none"/>
        </w:rPr>
      </w:pPr>
    </w:p>
    <w:p w14:paraId="59AA5F9A">
      <w:pPr>
        <w:shd w:val="clear"/>
        <w:autoSpaceDE w:val="0"/>
        <w:autoSpaceDN w:val="0"/>
        <w:jc w:val="center"/>
        <w:rPr>
          <w:rFonts w:ascii="宋体" w:hAnsi="宋体" w:cs="宋体"/>
          <w:b/>
          <w:color w:val="auto"/>
          <w:spacing w:val="6"/>
          <w:sz w:val="32"/>
          <w:szCs w:val="32"/>
          <w:highlight w:val="none"/>
        </w:rPr>
      </w:pPr>
    </w:p>
    <w:p w14:paraId="65B5FB4E">
      <w:pPr>
        <w:shd w:val="clea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B25CBE4">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10783224">
      <w:pPr>
        <w:widowControl/>
        <w:shd w:val="clear"/>
        <w:snapToGrid w:val="0"/>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采购人</w:t>
      </w:r>
      <w:r>
        <w:rPr>
          <w:rFonts w:hint="eastAsia" w:ascii="宋体" w:hAnsi="宋体" w:cs="宋体"/>
          <w:b/>
          <w:color w:val="auto"/>
          <w:sz w:val="24"/>
          <w:highlight w:val="none"/>
        </w:rPr>
        <w:t>不同意分包或者投标人中标后不以分包方式履行合同的，则不需要提供。</w:t>
      </w:r>
      <w:r>
        <w:rPr>
          <w:rFonts w:hint="eastAsia" w:ascii="宋体" w:hAnsi="宋体" w:cs="宋体"/>
          <w:color w:val="auto"/>
          <w:sz w:val="24"/>
          <w:highlight w:val="none"/>
        </w:rPr>
        <w:t>）</w:t>
      </w:r>
    </w:p>
    <w:p w14:paraId="03045F6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浙江同济科技职业学院智能节水系统安装与运维综合实训平台</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ZXZB-TJ-2025004G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DF5F50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57D3403">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BB87B18">
      <w:pPr>
        <w:shd w:val="clear"/>
        <w:snapToGrid w:val="0"/>
        <w:spacing w:line="360" w:lineRule="auto"/>
        <w:ind w:firstLine="576"/>
        <w:rPr>
          <w:color w:val="auto"/>
          <w:highlight w:val="none"/>
        </w:rPr>
      </w:pPr>
      <w:r>
        <w:rPr>
          <w:rFonts w:hint="eastAsia"/>
          <w:color w:val="auto"/>
          <w:highlight w:val="none"/>
        </w:rPr>
        <w:t>……</w:t>
      </w:r>
    </w:p>
    <w:p w14:paraId="297F9549">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2B5AF6F">
      <w:pPr>
        <w:shd w:val="clea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7037D61">
      <w:pPr>
        <w:shd w:val="clear"/>
        <w:snapToGrid w:val="0"/>
        <w:spacing w:line="360" w:lineRule="auto"/>
        <w:ind w:firstLine="480" w:firstLineChars="200"/>
        <w:rPr>
          <w:rFonts w:ascii="宋体" w:hAnsi="宋体" w:cs="宋体"/>
          <w:b/>
          <w:bCs/>
          <w:color w:val="auto"/>
          <w:kern w:val="0"/>
          <w:sz w:val="24"/>
          <w:highlight w:val="none"/>
          <w:lang w:val="zh-CN"/>
        </w:rPr>
      </w:pPr>
      <w:bookmarkStart w:id="401" w:name="_Hlk101133173"/>
      <w:bookmarkEnd w:id="401"/>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86179F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4616020">
      <w:pPr>
        <w:shd w:val="clear"/>
        <w:snapToGrid w:val="0"/>
        <w:spacing w:line="360" w:lineRule="auto"/>
        <w:ind w:firstLine="576"/>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1FFF860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053AD0E">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14:paraId="45BF37E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F2E1526">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14:paraId="3915F970">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8B3439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14:paraId="308CA24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2229E5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u w:val="single"/>
        </w:rPr>
        <w:t xml:space="preserve">                                                                                  </w:t>
      </w:r>
    </w:p>
    <w:p w14:paraId="39162CB4">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588224F8">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3E46BC9">
      <w:pPr>
        <w:shd w:val="clear"/>
        <w:snapToGrid w:val="0"/>
        <w:spacing w:line="360" w:lineRule="auto"/>
        <w:ind w:firstLine="5760" w:firstLineChars="2400"/>
        <w:rPr>
          <w:rFonts w:ascii="宋体" w:hAnsi="宋体" w:cs="宋体"/>
          <w:color w:val="auto"/>
          <w:sz w:val="24"/>
          <w:highlight w:val="none"/>
        </w:rPr>
      </w:pPr>
      <w:r>
        <w:rPr>
          <w:rFonts w:hint="eastAsia" w:ascii="宋体" w:hAnsi="宋体" w:cs="宋体"/>
          <w:color w:val="auto"/>
          <w:kern w:val="0"/>
          <w:sz w:val="24"/>
          <w:highlight w:val="none"/>
          <w:lang w:val="zh-CN"/>
        </w:rPr>
        <w:t>……</w:t>
      </w:r>
    </w:p>
    <w:p w14:paraId="13826D25">
      <w:pPr>
        <w:shd w:val="clear"/>
        <w:snapToGrid w:val="0"/>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04374B4">
      <w:pPr>
        <w:shd w:val="clear"/>
        <w:snapToGrid w:val="0"/>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CEEAB50">
      <w:pPr>
        <w:shd w:val="clear"/>
        <w:autoSpaceDE w:val="0"/>
        <w:autoSpaceDN w:val="0"/>
        <w:jc w:val="center"/>
        <w:rPr>
          <w:rFonts w:ascii="宋体" w:hAnsi="宋体" w:cs="宋体"/>
          <w:b/>
          <w:color w:val="auto"/>
          <w:spacing w:val="6"/>
          <w:sz w:val="32"/>
          <w:szCs w:val="32"/>
          <w:highlight w:val="none"/>
        </w:rPr>
      </w:pPr>
    </w:p>
    <w:p w14:paraId="3A3FE33F">
      <w:pPr>
        <w:shd w:val="clear"/>
        <w:autoSpaceDE w:val="0"/>
        <w:autoSpaceDN w:val="0"/>
        <w:jc w:val="center"/>
        <w:rPr>
          <w:rFonts w:ascii="宋体" w:hAnsi="宋体" w:cs="宋体"/>
          <w:b/>
          <w:color w:val="auto"/>
          <w:spacing w:val="6"/>
          <w:sz w:val="32"/>
          <w:szCs w:val="32"/>
          <w:highlight w:val="none"/>
        </w:rPr>
      </w:pPr>
    </w:p>
    <w:p w14:paraId="2DE7EFEA">
      <w:pPr>
        <w:shd w:val="clear"/>
        <w:autoSpaceDE w:val="0"/>
        <w:autoSpaceDN w:val="0"/>
        <w:jc w:val="center"/>
        <w:rPr>
          <w:rFonts w:ascii="宋体" w:hAnsi="宋体" w:cs="宋体"/>
          <w:b/>
          <w:color w:val="auto"/>
          <w:spacing w:val="6"/>
          <w:sz w:val="32"/>
          <w:szCs w:val="32"/>
          <w:highlight w:val="none"/>
        </w:rPr>
      </w:pPr>
    </w:p>
    <w:p w14:paraId="65306FE6">
      <w:pPr>
        <w:shd w:val="clear"/>
        <w:autoSpaceDE w:val="0"/>
        <w:autoSpaceDN w:val="0"/>
        <w:jc w:val="center"/>
        <w:rPr>
          <w:rFonts w:ascii="宋体" w:hAnsi="宋体" w:cs="宋体"/>
          <w:b/>
          <w:color w:val="auto"/>
          <w:spacing w:val="6"/>
          <w:sz w:val="32"/>
          <w:szCs w:val="32"/>
          <w:highlight w:val="none"/>
        </w:rPr>
      </w:pPr>
    </w:p>
    <w:p w14:paraId="218BDF46">
      <w:pPr>
        <w:shd w:val="clear"/>
        <w:autoSpaceDE w:val="0"/>
        <w:autoSpaceDN w:val="0"/>
        <w:jc w:val="center"/>
        <w:rPr>
          <w:rFonts w:ascii="宋体" w:hAnsi="宋体" w:cs="宋体"/>
          <w:b/>
          <w:color w:val="auto"/>
          <w:spacing w:val="6"/>
          <w:sz w:val="32"/>
          <w:szCs w:val="32"/>
          <w:highlight w:val="none"/>
        </w:rPr>
      </w:pPr>
    </w:p>
    <w:p w14:paraId="0C164DC8">
      <w:pPr>
        <w:shd w:val="clear"/>
        <w:autoSpaceDE w:val="0"/>
        <w:autoSpaceDN w:val="0"/>
        <w:jc w:val="center"/>
        <w:rPr>
          <w:rFonts w:ascii="宋体" w:hAnsi="宋体" w:cs="宋体"/>
          <w:b/>
          <w:color w:val="auto"/>
          <w:spacing w:val="6"/>
          <w:sz w:val="32"/>
          <w:szCs w:val="32"/>
          <w:highlight w:val="none"/>
        </w:rPr>
      </w:pPr>
    </w:p>
    <w:p w14:paraId="73F41F6F">
      <w:pPr>
        <w:shd w:val="clear"/>
        <w:autoSpaceDE w:val="0"/>
        <w:autoSpaceDN w:val="0"/>
        <w:jc w:val="center"/>
        <w:rPr>
          <w:rFonts w:ascii="宋体" w:hAnsi="宋体" w:cs="宋体"/>
          <w:b/>
          <w:color w:val="auto"/>
          <w:spacing w:val="6"/>
          <w:sz w:val="32"/>
          <w:szCs w:val="32"/>
          <w:highlight w:val="none"/>
        </w:rPr>
      </w:pPr>
    </w:p>
    <w:p w14:paraId="5A80D75F">
      <w:pPr>
        <w:shd w:val="clear"/>
        <w:autoSpaceDE w:val="0"/>
        <w:autoSpaceDN w:val="0"/>
        <w:jc w:val="center"/>
        <w:rPr>
          <w:rFonts w:ascii="宋体" w:hAnsi="宋体" w:cs="宋体"/>
          <w:b/>
          <w:color w:val="auto"/>
          <w:spacing w:val="6"/>
          <w:sz w:val="32"/>
          <w:szCs w:val="32"/>
          <w:highlight w:val="none"/>
        </w:rPr>
      </w:pPr>
    </w:p>
    <w:p w14:paraId="2A913571">
      <w:pPr>
        <w:shd w:val="clear"/>
        <w:autoSpaceDE w:val="0"/>
        <w:autoSpaceDN w:val="0"/>
        <w:jc w:val="center"/>
        <w:rPr>
          <w:rFonts w:ascii="宋体" w:hAnsi="宋体" w:cs="宋体"/>
          <w:b/>
          <w:color w:val="auto"/>
          <w:spacing w:val="6"/>
          <w:sz w:val="32"/>
          <w:szCs w:val="32"/>
          <w:highlight w:val="none"/>
        </w:rPr>
      </w:pPr>
    </w:p>
    <w:p w14:paraId="58FBCF50">
      <w:pPr>
        <w:shd w:val="clear"/>
        <w:autoSpaceDE w:val="0"/>
        <w:autoSpaceDN w:val="0"/>
        <w:jc w:val="center"/>
        <w:rPr>
          <w:rFonts w:ascii="宋体" w:hAnsi="宋体" w:cs="宋体"/>
          <w:b/>
          <w:color w:val="auto"/>
          <w:spacing w:val="6"/>
          <w:sz w:val="32"/>
          <w:szCs w:val="32"/>
          <w:highlight w:val="none"/>
        </w:rPr>
      </w:pPr>
    </w:p>
    <w:p w14:paraId="7DC655EE">
      <w:pPr>
        <w:shd w:val="clear"/>
        <w:autoSpaceDE w:val="0"/>
        <w:autoSpaceDN w:val="0"/>
        <w:jc w:val="center"/>
        <w:rPr>
          <w:rFonts w:ascii="宋体" w:hAnsi="宋体" w:cs="宋体"/>
          <w:b/>
          <w:color w:val="auto"/>
          <w:spacing w:val="6"/>
          <w:sz w:val="32"/>
          <w:szCs w:val="32"/>
          <w:highlight w:val="none"/>
        </w:rPr>
      </w:pPr>
    </w:p>
    <w:p w14:paraId="299FFEE1">
      <w:pPr>
        <w:shd w:val="clear"/>
        <w:autoSpaceDE w:val="0"/>
        <w:autoSpaceDN w:val="0"/>
        <w:jc w:val="center"/>
        <w:rPr>
          <w:rFonts w:ascii="宋体" w:hAnsi="宋体" w:cs="宋体"/>
          <w:b/>
          <w:color w:val="auto"/>
          <w:spacing w:val="6"/>
          <w:sz w:val="32"/>
          <w:szCs w:val="32"/>
          <w:highlight w:val="none"/>
        </w:rPr>
      </w:pPr>
    </w:p>
    <w:p w14:paraId="7902C8D7">
      <w:pPr>
        <w:shd w:val="clear"/>
        <w:autoSpaceDE w:val="0"/>
        <w:autoSpaceDN w:val="0"/>
        <w:jc w:val="center"/>
        <w:rPr>
          <w:rFonts w:ascii="宋体" w:hAnsi="宋体" w:cs="宋体"/>
          <w:b/>
          <w:color w:val="auto"/>
          <w:spacing w:val="6"/>
          <w:sz w:val="32"/>
          <w:szCs w:val="32"/>
          <w:highlight w:val="none"/>
        </w:rPr>
      </w:pPr>
    </w:p>
    <w:p w14:paraId="7FDFA597">
      <w:pPr>
        <w:shd w:val="clear"/>
        <w:autoSpaceDE w:val="0"/>
        <w:autoSpaceDN w:val="0"/>
        <w:jc w:val="center"/>
        <w:rPr>
          <w:rFonts w:ascii="宋体" w:hAnsi="宋体" w:cs="宋体"/>
          <w:b/>
          <w:color w:val="auto"/>
          <w:spacing w:val="6"/>
          <w:sz w:val="32"/>
          <w:szCs w:val="32"/>
          <w:highlight w:val="none"/>
        </w:rPr>
      </w:pPr>
    </w:p>
    <w:p w14:paraId="47FDCEB2">
      <w:pPr>
        <w:shd w:val="clear"/>
        <w:autoSpaceDE w:val="0"/>
        <w:autoSpaceDN w:val="0"/>
        <w:jc w:val="center"/>
        <w:rPr>
          <w:rFonts w:ascii="宋体" w:hAnsi="宋体" w:cs="宋体"/>
          <w:b/>
          <w:color w:val="auto"/>
          <w:spacing w:val="6"/>
          <w:sz w:val="32"/>
          <w:szCs w:val="32"/>
          <w:highlight w:val="none"/>
        </w:rPr>
      </w:pPr>
    </w:p>
    <w:p w14:paraId="552B9C91">
      <w:pPr>
        <w:shd w:val="clear"/>
        <w:autoSpaceDE w:val="0"/>
        <w:autoSpaceDN w:val="0"/>
        <w:jc w:val="center"/>
        <w:rPr>
          <w:rFonts w:ascii="宋体" w:hAnsi="宋体" w:cs="宋体"/>
          <w:b/>
          <w:color w:val="auto"/>
          <w:spacing w:val="6"/>
          <w:sz w:val="32"/>
          <w:szCs w:val="32"/>
          <w:highlight w:val="none"/>
        </w:rPr>
      </w:pPr>
    </w:p>
    <w:p w14:paraId="79552AF3">
      <w:pPr>
        <w:shd w:val="clear"/>
        <w:autoSpaceDE w:val="0"/>
        <w:autoSpaceDN w:val="0"/>
        <w:jc w:val="center"/>
        <w:rPr>
          <w:rFonts w:ascii="宋体" w:hAnsi="宋体" w:cs="宋体"/>
          <w:b/>
          <w:color w:val="auto"/>
          <w:spacing w:val="6"/>
          <w:sz w:val="32"/>
          <w:szCs w:val="32"/>
          <w:highlight w:val="none"/>
        </w:rPr>
      </w:pPr>
    </w:p>
    <w:p w14:paraId="0F8270EC">
      <w:pPr>
        <w:shd w:val="clear"/>
        <w:autoSpaceDE w:val="0"/>
        <w:autoSpaceDN w:val="0"/>
        <w:jc w:val="center"/>
        <w:rPr>
          <w:rFonts w:ascii="宋体" w:hAnsi="宋体" w:cs="宋体"/>
          <w:b/>
          <w:color w:val="auto"/>
          <w:spacing w:val="6"/>
          <w:sz w:val="32"/>
          <w:szCs w:val="32"/>
          <w:highlight w:val="none"/>
        </w:rPr>
      </w:pPr>
    </w:p>
    <w:p w14:paraId="4E26D57D">
      <w:pPr>
        <w:shd w:val="clear"/>
        <w:autoSpaceDE w:val="0"/>
        <w:autoSpaceDN w:val="0"/>
        <w:jc w:val="center"/>
        <w:rPr>
          <w:rFonts w:ascii="宋体" w:hAnsi="宋体" w:cs="宋体"/>
          <w:b/>
          <w:color w:val="auto"/>
          <w:spacing w:val="6"/>
          <w:sz w:val="32"/>
          <w:szCs w:val="32"/>
          <w:highlight w:val="none"/>
        </w:rPr>
      </w:pPr>
    </w:p>
    <w:p w14:paraId="4AFDD7E1">
      <w:pPr>
        <w:shd w:val="clear"/>
        <w:autoSpaceDE w:val="0"/>
        <w:autoSpaceDN w:val="0"/>
        <w:jc w:val="center"/>
        <w:rPr>
          <w:rFonts w:ascii="宋体" w:hAnsi="宋体" w:cs="宋体"/>
          <w:b/>
          <w:color w:val="auto"/>
          <w:spacing w:val="6"/>
          <w:sz w:val="32"/>
          <w:szCs w:val="32"/>
          <w:highlight w:val="none"/>
        </w:rPr>
      </w:pPr>
    </w:p>
    <w:p w14:paraId="485529F4">
      <w:pPr>
        <w:shd w:val="clear"/>
        <w:autoSpaceDE w:val="0"/>
        <w:autoSpaceDN w:val="0"/>
        <w:jc w:val="center"/>
        <w:rPr>
          <w:rFonts w:ascii="宋体" w:hAnsi="宋体" w:cs="宋体"/>
          <w:b/>
          <w:color w:val="auto"/>
          <w:spacing w:val="6"/>
          <w:sz w:val="32"/>
          <w:szCs w:val="32"/>
          <w:highlight w:val="none"/>
        </w:rPr>
      </w:pPr>
    </w:p>
    <w:p w14:paraId="52D55B03">
      <w:pPr>
        <w:shd w:val="clear"/>
        <w:autoSpaceDE w:val="0"/>
        <w:autoSpaceDN w:val="0"/>
        <w:jc w:val="center"/>
        <w:rPr>
          <w:rFonts w:ascii="宋体" w:hAnsi="宋体" w:cs="宋体"/>
          <w:b/>
          <w:color w:val="auto"/>
          <w:spacing w:val="6"/>
          <w:sz w:val="32"/>
          <w:szCs w:val="32"/>
          <w:highlight w:val="none"/>
        </w:rPr>
      </w:pPr>
    </w:p>
    <w:p w14:paraId="4903D85C">
      <w:pPr>
        <w:shd w:val="clear"/>
        <w:autoSpaceDE w:val="0"/>
        <w:autoSpaceDN w:val="0"/>
        <w:jc w:val="center"/>
        <w:rPr>
          <w:rFonts w:ascii="宋体" w:hAnsi="宋体" w:cs="宋体"/>
          <w:b/>
          <w:color w:val="auto"/>
          <w:spacing w:val="6"/>
          <w:sz w:val="32"/>
          <w:szCs w:val="32"/>
          <w:highlight w:val="none"/>
        </w:rPr>
      </w:pPr>
    </w:p>
    <w:p w14:paraId="12A65703">
      <w:pPr>
        <w:shd w:val="clear"/>
        <w:autoSpaceDE w:val="0"/>
        <w:autoSpaceDN w:val="0"/>
        <w:jc w:val="center"/>
        <w:rPr>
          <w:rFonts w:ascii="宋体" w:hAnsi="宋体" w:cs="宋体"/>
          <w:b/>
          <w:color w:val="auto"/>
          <w:spacing w:val="6"/>
          <w:sz w:val="32"/>
          <w:szCs w:val="32"/>
          <w:highlight w:val="none"/>
        </w:rPr>
      </w:pPr>
    </w:p>
    <w:p w14:paraId="1732615F">
      <w:pPr>
        <w:shd w:val="clear"/>
        <w:autoSpaceDE w:val="0"/>
        <w:autoSpaceDN w:val="0"/>
        <w:jc w:val="center"/>
        <w:rPr>
          <w:rFonts w:ascii="宋体" w:hAnsi="宋体" w:cs="宋体"/>
          <w:b/>
          <w:color w:val="auto"/>
          <w:spacing w:val="6"/>
          <w:sz w:val="32"/>
          <w:szCs w:val="32"/>
          <w:highlight w:val="none"/>
        </w:rPr>
      </w:pPr>
    </w:p>
    <w:p w14:paraId="7C517FFC">
      <w:pPr>
        <w:shd w:val="clear"/>
        <w:autoSpaceDE w:val="0"/>
        <w:autoSpaceDN w:val="0"/>
        <w:jc w:val="center"/>
        <w:rPr>
          <w:rFonts w:ascii="宋体" w:hAnsi="宋体" w:cs="宋体"/>
          <w:b/>
          <w:color w:val="auto"/>
          <w:spacing w:val="6"/>
          <w:sz w:val="32"/>
          <w:szCs w:val="32"/>
          <w:highlight w:val="none"/>
        </w:rPr>
      </w:pPr>
    </w:p>
    <w:p w14:paraId="2C8F9751">
      <w:pPr>
        <w:shd w:val="clear"/>
        <w:autoSpaceDE w:val="0"/>
        <w:autoSpaceDN w:val="0"/>
        <w:jc w:val="center"/>
        <w:rPr>
          <w:rFonts w:ascii="宋体" w:hAnsi="宋体" w:cs="宋体"/>
          <w:b/>
          <w:color w:val="auto"/>
          <w:spacing w:val="6"/>
          <w:sz w:val="32"/>
          <w:szCs w:val="32"/>
          <w:highlight w:val="none"/>
        </w:rPr>
      </w:pPr>
    </w:p>
    <w:p w14:paraId="7FD2EBF3">
      <w:pPr>
        <w:shd w:val="clear"/>
        <w:autoSpaceDE w:val="0"/>
        <w:autoSpaceDN w:val="0"/>
        <w:jc w:val="center"/>
        <w:rPr>
          <w:rFonts w:ascii="宋体" w:hAnsi="宋体" w:cs="宋体"/>
          <w:b/>
          <w:color w:val="auto"/>
          <w:spacing w:val="6"/>
          <w:sz w:val="32"/>
          <w:szCs w:val="32"/>
          <w:highlight w:val="none"/>
        </w:rPr>
      </w:pPr>
    </w:p>
    <w:p w14:paraId="5E6F7222">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FB751D7">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1EE25025">
      <w:pPr>
        <w:shd w:val="clear"/>
        <w:spacing w:line="360" w:lineRule="auto"/>
        <w:jc w:val="center"/>
        <w:rPr>
          <w:rFonts w:ascii="宋体" w:hAnsi="宋体" w:cs="宋体"/>
          <w:color w:val="auto"/>
          <w:sz w:val="24"/>
          <w:highlight w:val="none"/>
          <w:u w:val="single"/>
        </w:rPr>
      </w:pPr>
    </w:p>
    <w:p w14:paraId="40975304">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488E1A8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浙江同济科技职业学院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lang w:eastAsia="zh-CN"/>
        </w:rPr>
        <w:t>浙江同济科技职业学院智能节水系统安装与运维综合实训平台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259A47F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FA6FBB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E6EC37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512471A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03FD86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A5690AC">
      <w:pPr>
        <w:shd w:val="clea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19A7266">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D522BB2">
      <w:pPr>
        <w:shd w:val="clea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CC595B9">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259ABD5">
      <w:pPr>
        <w:shd w:val="clear"/>
        <w:spacing w:line="360" w:lineRule="auto"/>
        <w:ind w:right="420" w:firstLine="480" w:firstLineChars="200"/>
        <w:rPr>
          <w:rFonts w:hint="eastAsia" w:ascii="宋体" w:hAnsi="宋体" w:cs="宋体"/>
          <w:b/>
          <w:bCs/>
          <w:color w:val="auto"/>
          <w:sz w:val="24"/>
          <w:highlight w:val="none"/>
          <w:lang w:eastAsia="zh-CN"/>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b/>
          <w:bCs/>
          <w:color w:val="auto"/>
          <w:sz w:val="24"/>
          <w:highlight w:val="none"/>
        </w:rPr>
        <w:t>④投标人提供的《中小企业声明函》</w:t>
      </w:r>
      <w:r>
        <w:rPr>
          <w:rFonts w:hint="eastAsia" w:ascii="宋体" w:hAnsi="宋体" w:cs="宋体"/>
          <w:b/>
          <w:bCs/>
          <w:color w:val="auto"/>
          <w:sz w:val="24"/>
          <w:highlight w:val="none"/>
          <w:lang w:val="en-US" w:eastAsia="zh-CN"/>
        </w:rPr>
        <w:t>中企业类型错误的</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《中小企业声明函》</w:t>
      </w:r>
      <w:r>
        <w:rPr>
          <w:rFonts w:hint="eastAsia" w:ascii="宋体" w:hAnsi="宋体" w:cs="宋体"/>
          <w:b/>
          <w:bCs/>
          <w:color w:val="auto"/>
          <w:sz w:val="24"/>
          <w:highlight w:val="none"/>
        </w:rPr>
        <w:t>无效，不享受中小企业扶持政策。</w:t>
      </w:r>
      <w:r>
        <w:rPr>
          <w:rFonts w:hint="eastAsia" w:ascii="宋体" w:hAnsi="宋体" w:cs="宋体"/>
          <w:b/>
          <w:bCs/>
          <w:color w:val="auto"/>
          <w:sz w:val="24"/>
          <w:highlight w:val="none"/>
          <w:lang w:val="en-US" w:eastAsia="zh-CN"/>
        </w:rPr>
        <w:t>⑤《中小企业声明函》中填写的制造商不可使用他人授权品牌或者授权他人实际生产，否则</w:t>
      </w:r>
      <w:r>
        <w:rPr>
          <w:rFonts w:hint="eastAsia" w:ascii="宋体" w:hAnsi="宋体" w:cs="宋体"/>
          <w:b/>
          <w:bCs/>
          <w:color w:val="auto"/>
          <w:sz w:val="24"/>
          <w:highlight w:val="none"/>
        </w:rPr>
        <w:t>中小企业声明函无效</w:t>
      </w:r>
      <w:r>
        <w:rPr>
          <w:rFonts w:hint="eastAsia" w:ascii="宋体" w:hAnsi="宋体" w:cs="宋体"/>
          <w:b/>
          <w:bCs/>
          <w:color w:val="auto"/>
          <w:sz w:val="24"/>
          <w:highlight w:val="none"/>
          <w:lang w:eastAsia="zh-CN"/>
        </w:rPr>
        <w:t>。</w:t>
      </w:r>
    </w:p>
    <w:p w14:paraId="26A4BA48">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37D1802">
      <w:pPr>
        <w:shd w:val="clear"/>
        <w:spacing w:line="360" w:lineRule="auto"/>
        <w:ind w:right="420"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3、供应商填写的《中小企业声明函》中如存在数据错误，但企业类型正确的，其《中小企业声明函》有效。如存在疑义可由供应商澄清说明，供应商对填报的数据来源作出合理解释。</w:t>
      </w:r>
    </w:p>
    <w:p w14:paraId="72C5C76D">
      <w:pPr>
        <w:shd w:val="clear"/>
        <w:spacing w:line="360" w:lineRule="auto"/>
        <w:ind w:right="420"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4、《中小企业声明函》中填写行业错误或者未填写行业的，《中小企业声明函》无效。但错填为“采购文件中明确的所属行业”等类似瑕疵的，《中小企业声明函》有效。</w:t>
      </w:r>
    </w:p>
    <w:p w14:paraId="45E9E685">
      <w:pPr>
        <w:shd w:val="clear"/>
        <w:spacing w:line="360" w:lineRule="auto"/>
        <w:ind w:right="420"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如果供应商声明的类型获得了本不应获得的利益（价格扣除或者资格审查通过），则属于虚假材料；反之，没有获得非法利益，则不属于虚假材料。</w:t>
      </w:r>
    </w:p>
    <w:p w14:paraId="56DB51FE">
      <w:pPr>
        <w:shd w:val="clear"/>
        <w:rPr>
          <w:rFonts w:ascii="宋体" w:hAnsi="宋体" w:cs="宋体"/>
          <w:b/>
          <w:color w:val="auto"/>
          <w:sz w:val="32"/>
          <w:szCs w:val="32"/>
          <w:highlight w:val="none"/>
        </w:rPr>
      </w:pPr>
      <w:r>
        <w:rPr>
          <w:rFonts w:ascii="宋体" w:hAnsi="宋体" w:cs="宋体"/>
          <w:b/>
          <w:color w:val="auto"/>
          <w:sz w:val="32"/>
          <w:szCs w:val="32"/>
          <w:highlight w:val="none"/>
        </w:rPr>
        <w:br w:type="page"/>
      </w:r>
    </w:p>
    <w:p w14:paraId="073B13FA">
      <w:pPr>
        <w:shd w:val="clear"/>
        <w:snapToGrid w:val="0"/>
        <w:spacing w:line="440" w:lineRule="exact"/>
        <w:jc w:val="center"/>
        <w:rPr>
          <w:b/>
          <w:bCs/>
          <w:color w:val="auto"/>
          <w:sz w:val="28"/>
          <w:szCs w:val="28"/>
          <w:highlight w:val="none"/>
        </w:rPr>
      </w:pPr>
      <w:r>
        <w:rPr>
          <w:rFonts w:hint="eastAsia"/>
          <w:b/>
          <w:bCs/>
          <w:color w:val="auto"/>
          <w:sz w:val="28"/>
          <w:szCs w:val="28"/>
          <w:highlight w:val="none"/>
        </w:rPr>
        <w:t>各行业划型标准</w:t>
      </w:r>
    </w:p>
    <w:p w14:paraId="5A768796">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14:paraId="5A1E24A0">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FEE5007">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FCE964E">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37CCE44">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ECF1153">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334FDE1">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5CDB9AE">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EEC8705">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AAA2D9">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0CD9AC">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0C16795">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EC1A749">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639A43C">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746335E">
      <w:pPr>
        <w:shd w:val="clear"/>
        <w:snapToGrid w:val="0"/>
        <w:spacing w:line="43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A3DB18A">
      <w:pPr>
        <w:shd w:val="clear"/>
        <w:snapToGrid w:val="0"/>
        <w:spacing w:line="43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（十六）其他未列明行业。从业人员300人以下的为中小微型企业。其中，从业人员100人及以上的为中型企业；从业人员10人及以上的为小型企业；从业人员10人以下的为微型企业。</w:t>
      </w:r>
    </w:p>
    <w:sectPr>
      <w:headerReference r:id="rId22" w:type="first"/>
      <w:footerReference r:id="rId25" w:type="first"/>
      <w:headerReference r:id="rId21" w:type="default"/>
      <w:footerReference r:id="rId23" w:type="default"/>
      <w:footerReference r:id="rId24" w:type="even"/>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Segoe Print"/>
    <w:panose1 w:val="02020703060505090304"/>
    <w:charset w:val="00"/>
    <w:family w:val="modern"/>
    <w:pitch w:val="default"/>
    <w:sig w:usb0="00000000" w:usb1="00000000" w:usb2="00000001" w:usb3="00000000" w:csb0="400001BF" w:csb1="DFF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8F0D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DE0C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4387BD0">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F140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CA433">
    <w:pPr>
      <w:pStyle w:val="40"/>
      <w:framePr w:wrap="around" w:vAnchor="text" w:hAnchor="margin" w:xAlign="right" w:y="1"/>
      <w:rPr>
        <w:rStyle w:val="75"/>
      </w:rPr>
    </w:pPr>
    <w:r>
      <w:fldChar w:fldCharType="begin"/>
    </w:r>
    <w:r>
      <w:rPr>
        <w:rStyle w:val="75"/>
      </w:rPr>
      <w:instrText xml:space="preserve">PAGE  </w:instrText>
    </w:r>
    <w:r>
      <w:fldChar w:fldCharType="end"/>
    </w:r>
  </w:p>
  <w:p w14:paraId="1255CB47">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816B5">
    <w:pPr>
      <w:pStyle w:val="40"/>
      <w:jc w:val="center"/>
      <w:rPr>
        <w:rFonts w:ascii="仿宋_GB2312" w:eastAsia="仿宋_GB2312"/>
      </w:rPr>
    </w:pPr>
    <w:bookmarkStart w:id="402" w:name="_Toc91899912"/>
    <w:bookmarkEnd w:id="402"/>
    <w:bookmarkStart w:id="403" w:name="_Toc164085800"/>
    <w:bookmarkEnd w:id="403"/>
    <w:bookmarkStart w:id="404" w:name="_Toc36110187"/>
    <w:bookmarkEnd w:id="404"/>
    <w:bookmarkStart w:id="405" w:name="_Toc131845147"/>
    <w:bookmarkEnd w:id="405"/>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43C48">
    <w:pPr>
      <w:pStyle w:val="40"/>
      <w:framePr w:wrap="around" w:vAnchor="text" w:hAnchor="margin" w:xAlign="right" w:y="1"/>
      <w:rPr>
        <w:rStyle w:val="75"/>
      </w:rPr>
    </w:pPr>
    <w:r>
      <w:fldChar w:fldCharType="begin"/>
    </w:r>
    <w:r>
      <w:rPr>
        <w:rStyle w:val="75"/>
      </w:rPr>
      <w:instrText xml:space="preserve">PAGE  </w:instrText>
    </w:r>
    <w:r>
      <w:fldChar w:fldCharType="end"/>
    </w:r>
  </w:p>
  <w:p w14:paraId="4A6BBD6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B00B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8A25D">
    <w:pPr>
      <w:pStyle w:val="4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48E8480E">
                          <w:pPr>
                            <w:pStyle w:val="40"/>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yJ92v0wAAAAUBAAAPAAAA&#10;AAAAAAEAIAAAACIAAABkcnMvZG93bnJldi54bWxQSwECFAAUAAAACACHTuJAzHKtkuEBAADEAwAA&#10;DgAAAAAAAAABACAAAAAiAQAAZHJzL2Uyb0RvYy54bWxQSwUGAAAAAAYABgBZAQAAdQUAAAAA&#10;">
              <v:fill on="f" focussize="0,0"/>
              <v:stroke on="f" weight="1pt"/>
              <v:imagedata o:title=""/>
              <o:lock v:ext="edit" aspectratio="f"/>
              <v:textbox inset="0mm,0mm,0mm,0mm" style="mso-fit-shape-to-text:t;">
                <w:txbxContent>
                  <w:p w14:paraId="48E8480E">
                    <w:pPr>
                      <w:pStyle w:val="4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8492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414151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ADE3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C229E8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BC32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05DB19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1F9F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5E8F4C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2BA1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2D831A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6FDA2">
    <w:pPr>
      <w:pStyle w:val="42"/>
      <w:pBdr>
        <w:bottom w:val="single" w:color="auto" w:sz="6" w:space="4"/>
      </w:pBdr>
      <w:jc w:val="right"/>
    </w:pPr>
    <w:r>
      <w:t></w:t>
    </w:r>
    <w:r>
      <w:rPr>
        <w:rFonts w:hint="eastAsia"/>
      </w:rPr>
      <w:t xml:space="preserve">             政府采购公开招标文件</w:t>
    </w:r>
  </w:p>
  <w:p w14:paraId="190646F1">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89A29">
    <w:pPr>
      <w:pStyle w:val="42"/>
    </w:pPr>
    <w:r>
      <w:t></w:t>
    </w:r>
    <w:r>
      <w:rPr>
        <w:rFonts w:hint="eastAsia"/>
      </w:rPr>
      <w:t xml:space="preserve">                                             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D8FEF">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61E05">
    <w:pPr>
      <w:pStyle w:val="42"/>
      <w:jc w:val="right"/>
      <w:rPr>
        <w:rFonts w:ascii="仿宋_GB2312"/>
        <w:b/>
        <w:i/>
        <w:u w:val="single"/>
      </w:rPr>
    </w:pPr>
    <w:r>
      <w:t></w:t>
    </w:r>
    <w:r>
      <w:rPr>
        <w:rFonts w:hint="eastAsia"/>
      </w:rPr>
      <w:t xml:space="preserve">                                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FFB76">
    <w:pPr>
      <w:pStyle w:val="42"/>
    </w:pPr>
    <w:r>
      <w:t></w:t>
    </w:r>
    <w:r>
      <w:rPr>
        <w:rFonts w:hint="eastAsia"/>
      </w:rPr>
      <w:t xml:space="preserve">         </w:t>
    </w:r>
  </w:p>
  <w:p w14:paraId="3BBC842E">
    <w:pPr>
      <w:pStyle w:val="42"/>
    </w:pPr>
    <w:r>
      <w:rPr>
        <w:rFonts w:hint="eastAsia"/>
      </w:rPr>
      <w:t xml:space="preserve">                                                                  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0EE2E">
    <w:pPr>
      <w:pStyle w:val="42"/>
      <w:rPr>
        <w:rFonts w:ascii="仿宋_GB2312"/>
        <w:b/>
        <w:i/>
        <w:u w:val="single"/>
      </w:rPr>
    </w:pPr>
    <w:r>
      <w:t></w:t>
    </w:r>
    <w:r>
      <w:rPr>
        <w:rFonts w:hint="eastAsia"/>
      </w:rPr>
      <w:t xml:space="preserve">                                                </w:t>
    </w:r>
    <w:r>
      <w:t xml:space="preserve"> </w:t>
    </w:r>
    <w:r>
      <w:rPr>
        <w:rFonts w:hint="eastAsia"/>
      </w:rPr>
      <w:t>政府采购公开招标文件</w:t>
    </w:r>
  </w:p>
  <w:p w14:paraId="5C7D26D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AEDB4">
    <w:pPr>
      <w:pStyle w:val="42"/>
      <w:jc w:val="right"/>
    </w:pPr>
    <w:r>
      <w:t></w:t>
    </w:r>
    <w:r>
      <w:rPr>
        <w:rFonts w:hint="eastAsia"/>
      </w:rPr>
      <w:t xml:space="preserve">                                                                    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4D49F">
    <w:pPr>
      <w:pStyle w:val="42"/>
      <w:jc w:val="right"/>
      <w:rPr>
        <w:rFonts w:ascii="仿宋_GB2312"/>
        <w:b/>
        <w:i/>
        <w:u w:val="single"/>
      </w:rPr>
    </w:pPr>
    <w:r>
      <w:rPr>
        <w:rFonts w:hint="eastAsia"/>
      </w:rPr>
      <w:t xml:space="preserve">                                  政府采购公开招标文件</w:t>
    </w:r>
  </w:p>
  <w:p w14:paraId="35EBB0C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1EC7F">
    <w:pPr>
      <w:pStyle w:val="42"/>
      <w:jc w:val="right"/>
    </w:pPr>
    <w:r>
      <w:rPr>
        <w:rFonts w:hint="eastAsia"/>
      </w:rPr>
      <w:t xml:space="preserve">                                                                                                        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2D26C">
    <w:pPr>
      <w:pStyle w:val="42"/>
      <w:jc w:val="right"/>
      <w:rPr>
        <w:rFonts w:ascii="仿宋_GB2312"/>
        <w:b/>
        <w:i/>
        <w:iCs/>
        <w:u w:val="single"/>
      </w:rPr>
    </w:pPr>
    <w:r>
      <w:t></w:t>
    </w:r>
    <w:r>
      <w:rPr>
        <w:rFonts w:hint="eastAsia"/>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345CE"/>
    <w:multiLevelType w:val="singleLevel"/>
    <w:tmpl w:val="29A345CE"/>
    <w:lvl w:ilvl="0" w:tentative="0">
      <w:start w:val="7"/>
      <w:numFmt w:val="chineseCounting"/>
      <w:suff w:val="nothing"/>
      <w:lvlText w:val="%1、"/>
      <w:lvlJc w:val="left"/>
      <w:rPr>
        <w:rFonts w:hint="eastAsia"/>
      </w:rPr>
    </w:lvl>
  </w:abstractNum>
  <w:abstractNum w:abstractNumId="1">
    <w:nsid w:val="63667C1C"/>
    <w:multiLevelType w:val="multilevel"/>
    <w:tmpl w:val="63667C1C"/>
    <w:lvl w:ilvl="0" w:tentative="0">
      <w:start w:val="1"/>
      <w:numFmt w:val="decimal"/>
      <w:lvlText w:val="%1"/>
      <w:lvlJc w:val="left"/>
      <w:pPr>
        <w:tabs>
          <w:tab w:val="left" w:pos="284"/>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DE82FB3"/>
    <w:multiLevelType w:val="multilevel"/>
    <w:tmpl w:val="6DE82FB3"/>
    <w:lvl w:ilvl="0" w:tentative="0">
      <w:start w:val="1"/>
      <w:numFmt w:val="decimal"/>
      <w:lvlText w:val="%1"/>
      <w:lvlJc w:val="left"/>
      <w:pPr>
        <w:tabs>
          <w:tab w:val="left" w:pos="284"/>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kNjM2NmU4MmEzYzg1MDY4MjMzNTY1YjQwMzhkMT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9A"/>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27A"/>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C8D"/>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A5"/>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50"/>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7B0"/>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864"/>
    <w:rsid w:val="004345F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CCF"/>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372"/>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E7FF1"/>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6B4"/>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BA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50F2"/>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957"/>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3DA"/>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A5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37F"/>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3DDA"/>
    <w:rsid w:val="0082427D"/>
    <w:rsid w:val="00825441"/>
    <w:rsid w:val="00826855"/>
    <w:rsid w:val="00830052"/>
    <w:rsid w:val="008300D0"/>
    <w:rsid w:val="008308D8"/>
    <w:rsid w:val="0083104D"/>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3E0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B04"/>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374"/>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4F0"/>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E7BFD"/>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135"/>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B48"/>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8A0"/>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231"/>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971"/>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9B4"/>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2EEF"/>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6C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546A35"/>
    <w:rsid w:val="01921052"/>
    <w:rsid w:val="019F7441"/>
    <w:rsid w:val="01AE15BA"/>
    <w:rsid w:val="01B37585"/>
    <w:rsid w:val="01C725F7"/>
    <w:rsid w:val="01D55165"/>
    <w:rsid w:val="01DF6BF8"/>
    <w:rsid w:val="01EC2C57"/>
    <w:rsid w:val="024F1E07"/>
    <w:rsid w:val="025F0711"/>
    <w:rsid w:val="026B2E25"/>
    <w:rsid w:val="026D582B"/>
    <w:rsid w:val="02824D4D"/>
    <w:rsid w:val="0283691B"/>
    <w:rsid w:val="02C0735F"/>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05E3"/>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12665B"/>
    <w:rsid w:val="09335624"/>
    <w:rsid w:val="0944690F"/>
    <w:rsid w:val="09535675"/>
    <w:rsid w:val="095F057D"/>
    <w:rsid w:val="09642282"/>
    <w:rsid w:val="09664528"/>
    <w:rsid w:val="09733572"/>
    <w:rsid w:val="09772C16"/>
    <w:rsid w:val="098353B5"/>
    <w:rsid w:val="09A92330"/>
    <w:rsid w:val="09B06B87"/>
    <w:rsid w:val="09C13146"/>
    <w:rsid w:val="09E04166"/>
    <w:rsid w:val="0A1C0718"/>
    <w:rsid w:val="0A3E7710"/>
    <w:rsid w:val="0A5B7E63"/>
    <w:rsid w:val="0AA374A5"/>
    <w:rsid w:val="0AAB7649"/>
    <w:rsid w:val="0AB90547"/>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51C27"/>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F7237E"/>
    <w:rsid w:val="10646583"/>
    <w:rsid w:val="107D4B15"/>
    <w:rsid w:val="108A3C80"/>
    <w:rsid w:val="10C26171"/>
    <w:rsid w:val="10F33360"/>
    <w:rsid w:val="10FC16EA"/>
    <w:rsid w:val="1102722C"/>
    <w:rsid w:val="110F1D40"/>
    <w:rsid w:val="11266F33"/>
    <w:rsid w:val="118963A1"/>
    <w:rsid w:val="11B33E74"/>
    <w:rsid w:val="11C6522A"/>
    <w:rsid w:val="11CC7B05"/>
    <w:rsid w:val="11E104CC"/>
    <w:rsid w:val="11E20309"/>
    <w:rsid w:val="12255233"/>
    <w:rsid w:val="12530213"/>
    <w:rsid w:val="127723A9"/>
    <w:rsid w:val="12862074"/>
    <w:rsid w:val="12883966"/>
    <w:rsid w:val="129E45B4"/>
    <w:rsid w:val="12D81596"/>
    <w:rsid w:val="13072A44"/>
    <w:rsid w:val="135F4BE2"/>
    <w:rsid w:val="13693F0F"/>
    <w:rsid w:val="139B1A0A"/>
    <w:rsid w:val="139D25C7"/>
    <w:rsid w:val="13BF3CE4"/>
    <w:rsid w:val="13D034DB"/>
    <w:rsid w:val="141008D8"/>
    <w:rsid w:val="14125FE6"/>
    <w:rsid w:val="146D271E"/>
    <w:rsid w:val="14982588"/>
    <w:rsid w:val="149A5AD9"/>
    <w:rsid w:val="149B4199"/>
    <w:rsid w:val="14A7619D"/>
    <w:rsid w:val="150536C3"/>
    <w:rsid w:val="150C1963"/>
    <w:rsid w:val="151447A0"/>
    <w:rsid w:val="154A6454"/>
    <w:rsid w:val="15586F9D"/>
    <w:rsid w:val="15762120"/>
    <w:rsid w:val="157B0ECF"/>
    <w:rsid w:val="16A8729C"/>
    <w:rsid w:val="16B33777"/>
    <w:rsid w:val="16B34B25"/>
    <w:rsid w:val="16BC70A7"/>
    <w:rsid w:val="16C6339E"/>
    <w:rsid w:val="172F2D79"/>
    <w:rsid w:val="17557BEF"/>
    <w:rsid w:val="17D349C1"/>
    <w:rsid w:val="17E56525"/>
    <w:rsid w:val="18244F26"/>
    <w:rsid w:val="1830729E"/>
    <w:rsid w:val="1870062C"/>
    <w:rsid w:val="18817102"/>
    <w:rsid w:val="18830A15"/>
    <w:rsid w:val="18852B28"/>
    <w:rsid w:val="18884B0D"/>
    <w:rsid w:val="188B5321"/>
    <w:rsid w:val="19932372"/>
    <w:rsid w:val="19A20DD5"/>
    <w:rsid w:val="19AE03F1"/>
    <w:rsid w:val="1A071A03"/>
    <w:rsid w:val="1A1522E1"/>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94B99"/>
    <w:rsid w:val="1E3B4E1C"/>
    <w:rsid w:val="1E3D060F"/>
    <w:rsid w:val="1E3D1148"/>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2354CB"/>
    <w:rsid w:val="216133FC"/>
    <w:rsid w:val="21D56769"/>
    <w:rsid w:val="21E52EF3"/>
    <w:rsid w:val="21FB5D7B"/>
    <w:rsid w:val="22015E94"/>
    <w:rsid w:val="220B1C3D"/>
    <w:rsid w:val="221D1D20"/>
    <w:rsid w:val="22334A87"/>
    <w:rsid w:val="22736130"/>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2333DF"/>
    <w:rsid w:val="258B00E2"/>
    <w:rsid w:val="25A917A6"/>
    <w:rsid w:val="25BE27CC"/>
    <w:rsid w:val="25E8774C"/>
    <w:rsid w:val="25F74A5C"/>
    <w:rsid w:val="2628662C"/>
    <w:rsid w:val="262D45DE"/>
    <w:rsid w:val="26871DC8"/>
    <w:rsid w:val="26A53EF9"/>
    <w:rsid w:val="26A94201"/>
    <w:rsid w:val="26AC274F"/>
    <w:rsid w:val="27044A29"/>
    <w:rsid w:val="271D34C8"/>
    <w:rsid w:val="276142BF"/>
    <w:rsid w:val="27783712"/>
    <w:rsid w:val="27907362"/>
    <w:rsid w:val="27A52F98"/>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3C33E0"/>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861B8"/>
    <w:rsid w:val="2E4B082A"/>
    <w:rsid w:val="2E5D4E86"/>
    <w:rsid w:val="2E5D790B"/>
    <w:rsid w:val="2E9A3C18"/>
    <w:rsid w:val="2EBB0FEE"/>
    <w:rsid w:val="2EC63002"/>
    <w:rsid w:val="2F0A6B38"/>
    <w:rsid w:val="2F3E189C"/>
    <w:rsid w:val="2F946CCB"/>
    <w:rsid w:val="2FC846CB"/>
    <w:rsid w:val="2FD25781"/>
    <w:rsid w:val="2FDC745C"/>
    <w:rsid w:val="2FFD7934"/>
    <w:rsid w:val="30733ACD"/>
    <w:rsid w:val="308C3862"/>
    <w:rsid w:val="309379D8"/>
    <w:rsid w:val="30A270F7"/>
    <w:rsid w:val="30DF1478"/>
    <w:rsid w:val="30EC586F"/>
    <w:rsid w:val="31641283"/>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BD4305"/>
    <w:rsid w:val="363A3B40"/>
    <w:rsid w:val="365302AE"/>
    <w:rsid w:val="36607A0A"/>
    <w:rsid w:val="366E227C"/>
    <w:rsid w:val="366F2E0D"/>
    <w:rsid w:val="367B6A5C"/>
    <w:rsid w:val="36A74ADA"/>
    <w:rsid w:val="36AD60D5"/>
    <w:rsid w:val="36B224F9"/>
    <w:rsid w:val="36EC0CC9"/>
    <w:rsid w:val="373F410B"/>
    <w:rsid w:val="37DD4867"/>
    <w:rsid w:val="37EE7094"/>
    <w:rsid w:val="37FD070E"/>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4A10D6"/>
    <w:rsid w:val="40592157"/>
    <w:rsid w:val="406E1CAE"/>
    <w:rsid w:val="409D02D9"/>
    <w:rsid w:val="40A0133A"/>
    <w:rsid w:val="40C31A53"/>
    <w:rsid w:val="40FF545D"/>
    <w:rsid w:val="410067C8"/>
    <w:rsid w:val="418F0D2A"/>
    <w:rsid w:val="41D01505"/>
    <w:rsid w:val="42474939"/>
    <w:rsid w:val="424C3C57"/>
    <w:rsid w:val="42613FF3"/>
    <w:rsid w:val="42660D96"/>
    <w:rsid w:val="428667D2"/>
    <w:rsid w:val="42CD1CE0"/>
    <w:rsid w:val="42DC702D"/>
    <w:rsid w:val="42E1381E"/>
    <w:rsid w:val="42ED6459"/>
    <w:rsid w:val="42FE58DD"/>
    <w:rsid w:val="43174B3D"/>
    <w:rsid w:val="434B790E"/>
    <w:rsid w:val="4360274F"/>
    <w:rsid w:val="43977AB6"/>
    <w:rsid w:val="43A3342B"/>
    <w:rsid w:val="43C77C27"/>
    <w:rsid w:val="43DE09EE"/>
    <w:rsid w:val="44002FAD"/>
    <w:rsid w:val="44727EC6"/>
    <w:rsid w:val="449101DD"/>
    <w:rsid w:val="44DE1391"/>
    <w:rsid w:val="451B225C"/>
    <w:rsid w:val="452410C9"/>
    <w:rsid w:val="45317DFB"/>
    <w:rsid w:val="456D3CE4"/>
    <w:rsid w:val="4579042C"/>
    <w:rsid w:val="457F0571"/>
    <w:rsid w:val="45851176"/>
    <w:rsid w:val="45B125C3"/>
    <w:rsid w:val="45BF71F3"/>
    <w:rsid w:val="45C63B94"/>
    <w:rsid w:val="460E7DA5"/>
    <w:rsid w:val="46422483"/>
    <w:rsid w:val="4659254A"/>
    <w:rsid w:val="465B0637"/>
    <w:rsid w:val="465E3F0D"/>
    <w:rsid w:val="466A16E6"/>
    <w:rsid w:val="46893F2B"/>
    <w:rsid w:val="46AC28CE"/>
    <w:rsid w:val="46B740C0"/>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13907"/>
    <w:rsid w:val="4BEA4569"/>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97238B"/>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A1D1D"/>
    <w:rsid w:val="52615633"/>
    <w:rsid w:val="526F4DE4"/>
    <w:rsid w:val="52977FD4"/>
    <w:rsid w:val="52A25790"/>
    <w:rsid w:val="52A96B6F"/>
    <w:rsid w:val="52B45975"/>
    <w:rsid w:val="52D94AA4"/>
    <w:rsid w:val="52EA3A62"/>
    <w:rsid w:val="52F50BB8"/>
    <w:rsid w:val="53097272"/>
    <w:rsid w:val="53440FCD"/>
    <w:rsid w:val="53544462"/>
    <w:rsid w:val="5361069B"/>
    <w:rsid w:val="538D7C3A"/>
    <w:rsid w:val="5397158E"/>
    <w:rsid w:val="54013861"/>
    <w:rsid w:val="54487265"/>
    <w:rsid w:val="544D6070"/>
    <w:rsid w:val="54605E1E"/>
    <w:rsid w:val="547A48F8"/>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90AD6"/>
    <w:rsid w:val="566B6D1E"/>
    <w:rsid w:val="57032A2C"/>
    <w:rsid w:val="570F5219"/>
    <w:rsid w:val="575D12B5"/>
    <w:rsid w:val="57610A87"/>
    <w:rsid w:val="57630A95"/>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8ED3BB3"/>
    <w:rsid w:val="59166304"/>
    <w:rsid w:val="595E1678"/>
    <w:rsid w:val="596D5BD4"/>
    <w:rsid w:val="597E3DD8"/>
    <w:rsid w:val="59D356A1"/>
    <w:rsid w:val="59F80043"/>
    <w:rsid w:val="59FB787D"/>
    <w:rsid w:val="5A09252F"/>
    <w:rsid w:val="5A0B2778"/>
    <w:rsid w:val="5A2A7C7B"/>
    <w:rsid w:val="5A3E2560"/>
    <w:rsid w:val="5A5D3B6E"/>
    <w:rsid w:val="5A637A76"/>
    <w:rsid w:val="5A6D33BA"/>
    <w:rsid w:val="5A792B1F"/>
    <w:rsid w:val="5A804E07"/>
    <w:rsid w:val="5A874767"/>
    <w:rsid w:val="5AA85BE2"/>
    <w:rsid w:val="5AAD6F28"/>
    <w:rsid w:val="5AD308BE"/>
    <w:rsid w:val="5AD63A24"/>
    <w:rsid w:val="5B2E1A1D"/>
    <w:rsid w:val="5B556755"/>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D86807"/>
    <w:rsid w:val="5E006862"/>
    <w:rsid w:val="5E0207B9"/>
    <w:rsid w:val="5E1834A1"/>
    <w:rsid w:val="5E261785"/>
    <w:rsid w:val="5E4A7017"/>
    <w:rsid w:val="5E552BBA"/>
    <w:rsid w:val="5E5B2491"/>
    <w:rsid w:val="5E611C10"/>
    <w:rsid w:val="5E745F14"/>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B80092"/>
    <w:rsid w:val="61D40CC4"/>
    <w:rsid w:val="61F94C26"/>
    <w:rsid w:val="62000E56"/>
    <w:rsid w:val="624F3E49"/>
    <w:rsid w:val="62632286"/>
    <w:rsid w:val="62745016"/>
    <w:rsid w:val="62885958"/>
    <w:rsid w:val="62F40B65"/>
    <w:rsid w:val="62FC2CFE"/>
    <w:rsid w:val="63024505"/>
    <w:rsid w:val="631C2EA1"/>
    <w:rsid w:val="635600A5"/>
    <w:rsid w:val="635B1DB5"/>
    <w:rsid w:val="63711FED"/>
    <w:rsid w:val="63844520"/>
    <w:rsid w:val="63880DDC"/>
    <w:rsid w:val="638D750D"/>
    <w:rsid w:val="63AC6CC0"/>
    <w:rsid w:val="63B6568A"/>
    <w:rsid w:val="64055776"/>
    <w:rsid w:val="640E2608"/>
    <w:rsid w:val="64240056"/>
    <w:rsid w:val="643E143A"/>
    <w:rsid w:val="64491666"/>
    <w:rsid w:val="648B6EEF"/>
    <w:rsid w:val="64C158BF"/>
    <w:rsid w:val="64CE2EAA"/>
    <w:rsid w:val="653C3090"/>
    <w:rsid w:val="656B1D79"/>
    <w:rsid w:val="65854376"/>
    <w:rsid w:val="658767BE"/>
    <w:rsid w:val="65892531"/>
    <w:rsid w:val="660478F9"/>
    <w:rsid w:val="66195831"/>
    <w:rsid w:val="662E75B1"/>
    <w:rsid w:val="66342C2E"/>
    <w:rsid w:val="663E784C"/>
    <w:rsid w:val="668B6A45"/>
    <w:rsid w:val="670B35FF"/>
    <w:rsid w:val="672F3F24"/>
    <w:rsid w:val="673E055F"/>
    <w:rsid w:val="67551CE3"/>
    <w:rsid w:val="67A22552"/>
    <w:rsid w:val="67B22DCC"/>
    <w:rsid w:val="67BE71AA"/>
    <w:rsid w:val="67D90273"/>
    <w:rsid w:val="67DE5875"/>
    <w:rsid w:val="67E55852"/>
    <w:rsid w:val="67E934CF"/>
    <w:rsid w:val="67EB1AB4"/>
    <w:rsid w:val="67FA1285"/>
    <w:rsid w:val="68551F4F"/>
    <w:rsid w:val="686F108A"/>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4D7345"/>
    <w:rsid w:val="6A5118AB"/>
    <w:rsid w:val="6A914DAB"/>
    <w:rsid w:val="6AA8559A"/>
    <w:rsid w:val="6AC30A9F"/>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44BC4"/>
    <w:rsid w:val="6DAA3FEF"/>
    <w:rsid w:val="6DC0172B"/>
    <w:rsid w:val="6DCB690C"/>
    <w:rsid w:val="6DD41A5B"/>
    <w:rsid w:val="6DF43C2E"/>
    <w:rsid w:val="6DF51CA3"/>
    <w:rsid w:val="6E174DDB"/>
    <w:rsid w:val="6E8335BD"/>
    <w:rsid w:val="6E8E12EF"/>
    <w:rsid w:val="6E972936"/>
    <w:rsid w:val="6EAF7707"/>
    <w:rsid w:val="6ED446C5"/>
    <w:rsid w:val="6F2A7D94"/>
    <w:rsid w:val="6F8331F1"/>
    <w:rsid w:val="6FAE1A09"/>
    <w:rsid w:val="6FD75BF8"/>
    <w:rsid w:val="703B63C5"/>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95F19"/>
    <w:rsid w:val="73C0646E"/>
    <w:rsid w:val="74027161"/>
    <w:rsid w:val="742222F5"/>
    <w:rsid w:val="74476126"/>
    <w:rsid w:val="74706664"/>
    <w:rsid w:val="747F3682"/>
    <w:rsid w:val="749C4185"/>
    <w:rsid w:val="75067759"/>
    <w:rsid w:val="752E6DCD"/>
    <w:rsid w:val="7551380D"/>
    <w:rsid w:val="75600BE5"/>
    <w:rsid w:val="7564475C"/>
    <w:rsid w:val="7583797F"/>
    <w:rsid w:val="75D20F1D"/>
    <w:rsid w:val="75DA2C18"/>
    <w:rsid w:val="75DE488F"/>
    <w:rsid w:val="75F54412"/>
    <w:rsid w:val="761D08E0"/>
    <w:rsid w:val="765D347C"/>
    <w:rsid w:val="76826699"/>
    <w:rsid w:val="76C87133"/>
    <w:rsid w:val="76CD08D5"/>
    <w:rsid w:val="76DB4B92"/>
    <w:rsid w:val="77052AA4"/>
    <w:rsid w:val="77136511"/>
    <w:rsid w:val="77340A39"/>
    <w:rsid w:val="77351FD0"/>
    <w:rsid w:val="77472422"/>
    <w:rsid w:val="775C1159"/>
    <w:rsid w:val="777F31F2"/>
    <w:rsid w:val="77D1700D"/>
    <w:rsid w:val="77EC04CC"/>
    <w:rsid w:val="78775729"/>
    <w:rsid w:val="78A42DB0"/>
    <w:rsid w:val="78A656AB"/>
    <w:rsid w:val="78B2245C"/>
    <w:rsid w:val="78E172CC"/>
    <w:rsid w:val="78EA1D1F"/>
    <w:rsid w:val="78ED0288"/>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104EE0"/>
    <w:rsid w:val="7C254906"/>
    <w:rsid w:val="7C590818"/>
    <w:rsid w:val="7C7C10F6"/>
    <w:rsid w:val="7C853BEA"/>
    <w:rsid w:val="7C881368"/>
    <w:rsid w:val="7CC145C3"/>
    <w:rsid w:val="7CE27788"/>
    <w:rsid w:val="7D0C32F1"/>
    <w:rsid w:val="7D0F408D"/>
    <w:rsid w:val="7D491C6C"/>
    <w:rsid w:val="7D4B344F"/>
    <w:rsid w:val="7D5429C0"/>
    <w:rsid w:val="7D6E6D43"/>
    <w:rsid w:val="7DB57A34"/>
    <w:rsid w:val="7DE60973"/>
    <w:rsid w:val="7DEF0916"/>
    <w:rsid w:val="7E1E5218"/>
    <w:rsid w:val="7E7F64E4"/>
    <w:rsid w:val="7E9A4E1F"/>
    <w:rsid w:val="7EA7723A"/>
    <w:rsid w:val="7EDE325E"/>
    <w:rsid w:val="7EE064C6"/>
    <w:rsid w:val="7EF56FBB"/>
    <w:rsid w:val="7F0768EB"/>
    <w:rsid w:val="7F143BEC"/>
    <w:rsid w:val="7F4549B0"/>
    <w:rsid w:val="7F464E91"/>
    <w:rsid w:val="7F501F51"/>
    <w:rsid w:val="7F715AF2"/>
    <w:rsid w:val="7F7F5ED1"/>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99" w:semiHidden="0" w:name="index 2"/>
    <w:lsdException w:unhideWhenUsed="0" w:uiPriority="99" w:semiHidden="0" w:name="index 3"/>
    <w:lsdException w:unhideWhenUsed="0" w:uiPriority="99" w:semiHidden="0" w:name="index 4"/>
    <w:lsdException w:qFormat="1" w:unhideWhenUsed="0" w:uiPriority="0" w:semiHidden="0" w:name="index 5"/>
    <w:lsdException w:unhideWhenUsed="0" w:uiPriority="99" w:semiHidden="0" w:name="index 6"/>
    <w:lsdException w:qFormat="1" w:unhideWhenUsed="0" w:uiPriority="99"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nhideWhenUsed="0" w:uiPriority="99" w:semiHidden="0" w:name="envelope address"/>
    <w:lsdException w:qFormat="1" w:unhideWhenUsed="0" w:uiPriority="99" w:semiHidden="0" w:name="envelope return"/>
    <w:lsdException w:unhideWhenUsed="0" w:uiPriority="99"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99" w:semiHidden="0" w:name="table of authorities"/>
    <w:lsdException w:unhideWhenUsed="0" w:uiPriority="99" w:semiHidden="0" w:name="macro"/>
    <w:lsdException w:unhideWhenUsed="0" w:uiPriority="99" w:semiHidden="0" w:name="toa heading"/>
    <w:lsdException w:qFormat="1" w:unhideWhenUsed="0" w:uiPriority="0" w:semiHidden="0" w:name="List"/>
    <w:lsdException w:unhideWhenUsed="0" w:uiPriority="99" w:semiHidden="0" w:name="List Bullet"/>
    <w:lsdException w:qFormat="1" w:unhideWhenUsed="0" w:uiPriority="0" w:semiHidden="0" w:name="List Number"/>
    <w:lsdException w:qFormat="1" w:unhideWhenUsed="0" w:uiPriority="0" w:semiHidden="0" w:name="List 2"/>
    <w:lsdException w:unhideWhenUsed="0" w:uiPriority="99" w:semiHidden="0" w:name="List 3"/>
    <w:lsdException w:unhideWhenUsed="0" w:uiPriority="99"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99"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99"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qFormat="1" w:unhideWhenUsed="0" w:uiPriority="0" w:semiHidden="0" w:name="HTML Address"/>
    <w:lsdException w:unhideWhenUsed="0" w:uiPriority="99" w:semiHidden="0" w:name="HTML Cite"/>
    <w:lsdException w:qFormat="1" w:unhideWhenUsed="0" w:uiPriority="0" w:semiHidden="0" w:name="HTML Code"/>
    <w:lsdException w:unhideWhenUsed="0" w:uiPriority="99" w:semiHidden="0" w:name="HTML Definition"/>
    <w:lsdException w:unhideWhenUsed="0" w:uiPriority="99" w:semiHidden="0" w:name="HTML Keyboard"/>
    <w:lsdException w:qFormat="1" w:unhideWhenUsed="0" w:uiPriority="0" w:semiHidden="0" w:name="HTML Preformatted"/>
    <w:lsdException w:qFormat="1" w:unhideWhenUsed="0" w:uiPriority="0" w:semiHidden="0" w:name="HTML Sample"/>
    <w:lsdException w:unhideWhenUsed="0" w:uiPriority="99" w:semiHidden="0" w:name="HTML Typewriter"/>
    <w:lsdException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link w:val="284"/>
    <w:qFormat/>
    <w:uiPriority w:val="9"/>
    <w:pPr>
      <w:keepNext/>
      <w:keepLines/>
      <w:tabs>
        <w:tab w:val="left" w:pos="432"/>
      </w:tabs>
      <w:snapToGrid w:val="0"/>
      <w:spacing w:line="360" w:lineRule="auto"/>
      <w:jc w:val="center"/>
      <w:outlineLvl w:val="0"/>
    </w:pPr>
    <w:rPr>
      <w:b/>
      <w:bCs/>
      <w:kern w:val="44"/>
      <w:sz w:val="36"/>
      <w:szCs w:val="44"/>
    </w:rPr>
  </w:style>
  <w:style w:type="paragraph" w:styleId="4">
    <w:name w:val="heading 2"/>
    <w:basedOn w:val="1"/>
    <w:link w:val="966"/>
    <w:qFormat/>
    <w:uiPriority w:val="0"/>
    <w:pPr>
      <w:keepNext/>
      <w:keepLines/>
      <w:tabs>
        <w:tab w:val="left" w:pos="432"/>
      </w:tabs>
      <w:snapToGrid w:val="0"/>
      <w:spacing w:line="360" w:lineRule="auto"/>
      <w:jc w:val="left"/>
      <w:outlineLvl w:val="1"/>
    </w:pPr>
    <w:rPr>
      <w:rFonts w:ascii="宋体" w:hAnsi="宋体" w:eastAsia="宋体"/>
      <w:b/>
      <w:bCs/>
      <w:sz w:val="24"/>
      <w:szCs w:val="32"/>
      <w:lang w:val="zh-CN"/>
    </w:rPr>
  </w:style>
  <w:style w:type="paragraph" w:styleId="5">
    <w:name w:val="heading 3"/>
    <w:basedOn w:val="1"/>
    <w:link w:val="967"/>
    <w:qFormat/>
    <w:uiPriority w:val="0"/>
    <w:pPr>
      <w:keepNext/>
      <w:keepLines/>
      <w:tabs>
        <w:tab w:val="left" w:pos="900"/>
      </w:tabs>
      <w:snapToGrid w:val="0"/>
      <w:spacing w:line="360" w:lineRule="auto"/>
      <w:ind w:firstLine="482" w:firstLineChars="200"/>
      <w:jc w:val="left"/>
      <w:outlineLvl w:val="2"/>
    </w:pPr>
    <w:rPr>
      <w:rFonts w:ascii="宋体" w:hAnsi="宋体"/>
      <w:b/>
      <w:bCs/>
      <w:sz w:val="24"/>
      <w:szCs w:val="32"/>
    </w:rPr>
  </w:style>
  <w:style w:type="paragraph" w:styleId="6">
    <w:name w:val="heading 4"/>
    <w:basedOn w:val="1"/>
    <w:link w:val="328"/>
    <w:qFormat/>
    <w:uiPriority w:val="0"/>
    <w:pPr>
      <w:keepNext/>
      <w:keepLines/>
      <w:tabs>
        <w:tab w:val="left" w:pos="864"/>
      </w:tabs>
      <w:snapToGrid w:val="0"/>
      <w:spacing w:line="360" w:lineRule="auto"/>
      <w:ind w:left="0" w:firstLine="0" w:firstLineChars="0"/>
      <w:outlineLvl w:val="3"/>
    </w:pPr>
    <w:rPr>
      <w:rFonts w:ascii="宋体" w:hAnsi="宋体" w:eastAsia="宋体"/>
      <w:b/>
      <w:bCs/>
      <w:sz w:val="24"/>
      <w:szCs w:val="28"/>
      <w:lang w:val="zh-CN"/>
    </w:rPr>
  </w:style>
  <w:style w:type="paragraph" w:styleId="7">
    <w:name w:val="heading 5"/>
    <w:basedOn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无间隔1"/>
    <w:link w:val="142"/>
    <w:qFormat/>
    <w:uiPriority w:val="1"/>
    <w:rPr>
      <w:rFonts w:ascii="Times New Roman" w:hAnsi="Times New Roman" w:eastAsia="宋体" w:cs="Times New Roman"/>
      <w:sz w:val="22"/>
      <w:szCs w:val="22"/>
      <w:lang w:val="en-US" w:eastAsia="zh-CN" w:bidi="ar-SA"/>
    </w:rPr>
  </w:style>
  <w:style w:type="paragraph" w:styleId="12">
    <w:name w:val="toc 7"/>
    <w:basedOn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qFormat/>
    <w:uiPriority w:val="0"/>
    <w:pPr>
      <w:widowControl/>
      <w:snapToGrid w:val="0"/>
      <w:spacing w:line="480" w:lineRule="exact"/>
      <w:ind w:firstLine="567"/>
    </w:pPr>
    <w:rPr>
      <w:rFonts w:ascii="宋体"/>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1"/>
    <w:qFormat/>
    <w:uiPriority w:val="0"/>
    <w:pPr>
      <w:autoSpaceDE w:val="0"/>
      <w:autoSpaceDN w:val="0"/>
      <w:spacing w:line="360" w:lineRule="auto"/>
    </w:pPr>
    <w:rPr>
      <w:rFonts w:ascii="宋体" w:hAnsi="Arial" w:cs="Arial"/>
      <w:sz w:val="24"/>
      <w:szCs w:val="21"/>
      <w:lang w:val="zh-CN"/>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qFormat/>
    <w:uiPriority w:val="0"/>
    <w:pPr>
      <w:ind w:left="1680" w:leftChars="800"/>
    </w:pPr>
  </w:style>
  <w:style w:type="paragraph" w:styleId="32">
    <w:name w:val="toc 3"/>
    <w:basedOn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24"/>
    <w:link w:val="128"/>
    <w:qFormat/>
    <w:uiPriority w:val="0"/>
    <w:rPr>
      <w:rFonts w:ascii="宋体" w:hAnsi="Courier New" w:cs="Arial"/>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qFormat/>
    <w:uiPriority w:val="0"/>
    <w:pPr>
      <w:ind w:left="2940" w:leftChars="1400"/>
    </w:pPr>
  </w:style>
  <w:style w:type="paragraph" w:styleId="36">
    <w:name w:val="Date"/>
    <w:basedOn w:val="1"/>
    <w:link w:val="183"/>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envelope return"/>
    <w:basedOn w:val="1"/>
    <w:qFormat/>
    <w:uiPriority w:val="99"/>
    <w:pPr>
      <w:snapToGrid w:val="0"/>
    </w:pPr>
    <w:rPr>
      <w:rFonts w:ascii="Arial" w:hAnsi="Arial"/>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pPr>
    <w:rPr>
      <w:rFonts w:eastAsia="仿宋_GB2312"/>
      <w:kern w:val="0"/>
      <w:sz w:val="24"/>
      <w:szCs w:val="20"/>
    </w:rPr>
  </w:style>
  <w:style w:type="paragraph" w:styleId="44">
    <w:name w:val="toc 1"/>
    <w:basedOn w:val="1"/>
    <w:qFormat/>
    <w:uiPriority w:val="0"/>
  </w:style>
  <w:style w:type="paragraph" w:styleId="45">
    <w:name w:val="toc 4"/>
    <w:basedOn w:val="1"/>
    <w:qFormat/>
    <w:uiPriority w:val="0"/>
    <w:pPr>
      <w:ind w:left="1260" w:leftChars="600"/>
    </w:pPr>
  </w:style>
  <w:style w:type="paragraph" w:styleId="46">
    <w:name w:val="index heading"/>
    <w:basedOn w:val="1"/>
    <w:qFormat/>
    <w:uiPriority w:val="0"/>
    <w:pPr>
      <w:adjustRightInd/>
      <w:ind w:firstLine="200" w:firstLineChars="200"/>
    </w:pPr>
  </w:style>
  <w:style w:type="paragraph" w:styleId="47">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1"/>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index 7"/>
    <w:basedOn w:val="1"/>
    <w:semiHidden/>
    <w:qFormat/>
    <w:uiPriority w:val="99"/>
    <w:pPr>
      <w:ind w:left="1200" w:leftChars="1200"/>
    </w:pPr>
  </w:style>
  <w:style w:type="paragraph" w:styleId="55">
    <w:name w:val="toc 2"/>
    <w:basedOn w:val="1"/>
    <w:qFormat/>
    <w:uiPriority w:val="0"/>
    <w:pPr>
      <w:ind w:left="420" w:leftChars="200"/>
    </w:pPr>
  </w:style>
  <w:style w:type="paragraph" w:styleId="56">
    <w:name w:val="toc 9"/>
    <w:basedOn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index 1"/>
    <w:basedOn w:val="1"/>
    <w:qFormat/>
    <w:uiPriority w:val="0"/>
    <w:pPr>
      <w:adjustRightInd/>
      <w:spacing w:line="360" w:lineRule="auto"/>
      <w:ind w:firstLine="200" w:firstLineChars="200"/>
      <w:jc w:val="center"/>
    </w:pPr>
    <w:rPr>
      <w:sz w:val="24"/>
      <w:szCs w:val="20"/>
    </w:rPr>
  </w:style>
  <w:style w:type="paragraph" w:styleId="61">
    <w:name w:val="Title"/>
    <w:basedOn w:val="1"/>
    <w:link w:val="287"/>
    <w:qFormat/>
    <w:uiPriority w:val="10"/>
    <w:pPr>
      <w:widowControl/>
      <w:overflowPunct w:val="0"/>
      <w:autoSpaceDE w:val="0"/>
      <w:autoSpaceDN w:val="0"/>
      <w:jc w:val="center"/>
    </w:pPr>
    <w:rPr>
      <w:b/>
      <w:kern w:val="0"/>
      <w:sz w:val="24"/>
      <w:szCs w:val="20"/>
      <w:lang w:val="en-GB"/>
    </w:rPr>
  </w:style>
  <w:style w:type="paragraph" w:styleId="62">
    <w:name w:val="annotation subject"/>
    <w:basedOn w:val="20"/>
    <w:link w:val="99"/>
    <w:qFormat/>
    <w:uiPriority w:val="0"/>
    <w:rPr>
      <w:b/>
      <w:bCs/>
    </w:rPr>
  </w:style>
  <w:style w:type="paragraph" w:styleId="63">
    <w:name w:val="Body Text First Indent"/>
    <w:basedOn w:val="1"/>
    <w:link w:val="322"/>
    <w:qFormat/>
    <w:uiPriority w:val="0"/>
    <w:pPr>
      <w:ind w:firstLine="420"/>
    </w:pPr>
    <w:rPr>
      <w:rFonts w:hAnsi="Calibri"/>
      <w:szCs w:val="20"/>
    </w:rPr>
  </w:style>
  <w:style w:type="paragraph" w:styleId="64">
    <w:name w:val="Body Text First Indent 2"/>
    <w:basedOn w:val="25"/>
    <w:link w:val="124"/>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kern w:val="0"/>
      <w:szCs w:val="21"/>
    </w:rPr>
  </w:style>
  <w:style w:type="character" w:styleId="76">
    <w:name w:val="FollowedHyperlink"/>
    <w:qFormat/>
    <w:uiPriority w:val="99"/>
    <w:rPr>
      <w:rFonts w:ascii="Arial" w:hAnsi="Arial" w:eastAsia="黑体" w:cs="Arial"/>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kern w:val="0"/>
      <w:szCs w:val="21"/>
    </w:rPr>
  </w:style>
  <w:style w:type="character" w:styleId="79">
    <w:name w:val="Hyperlink"/>
    <w:qFormat/>
    <w:uiPriority w:val="99"/>
    <w:rPr>
      <w:rFonts w:ascii="Arial" w:hAnsi="Arial" w:eastAsia="黑体" w:cs="Arial"/>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styleId="82">
    <w:name w:val="HTML Sample"/>
    <w:basedOn w:val="72"/>
    <w:qFormat/>
    <w:uiPriority w:val="0"/>
    <w:rPr>
      <w:rFonts w:ascii="Courier New" w:hAnsi="Courier New"/>
    </w:rPr>
  </w:style>
  <w:style w:type="paragraph" w:customStyle="1" w:styleId="83">
    <w:name w:val="Default"/>
    <w:next w:val="84"/>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2"/>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uiPriority w:val="0"/>
    <w:rPr>
      <w:rFonts w:ascii="Calibri" w:hAnsi="Calibri" w:eastAsia="宋体" w:cs="黑体"/>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4"/>
    <w:qFormat/>
    <w:uiPriority w:val="0"/>
    <w:rPr>
      <w:rFonts w:ascii="宋体" w:hAnsi="宋体"/>
      <w:kern w:val="2"/>
      <w:sz w:val="21"/>
      <w:szCs w:val="24"/>
    </w:rPr>
  </w:style>
  <w:style w:type="character" w:customStyle="1" w:styleId="125">
    <w:name w:val="font11"/>
    <w:basedOn w:val="72"/>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color w:val="000000"/>
      <w:kern w:val="28"/>
      <w:sz w:val="28"/>
    </w:rPr>
  </w:style>
  <w:style w:type="character" w:customStyle="1" w:styleId="127">
    <w:name w:val="blue1"/>
    <w:basedOn w:val="72"/>
    <w:qFormat/>
    <w:uiPriority w:val="0"/>
    <w:rPr>
      <w:rFonts w:ascii="Arial" w:hAnsi="Arial" w:eastAsia="黑体" w:cs="Arial"/>
      <w:kern w:val="0"/>
      <w:szCs w:val="21"/>
    </w:rPr>
  </w:style>
  <w:style w:type="character" w:customStyle="1" w:styleId="128">
    <w:name w:val="纯文本 字符1"/>
    <w:link w:val="33"/>
    <w:qFormat/>
    <w:uiPriority w:val="0"/>
    <w:rPr>
      <w:rFonts w:ascii="宋体" w:hAnsi="Courier New" w:eastAsia="宋体" w:cs="Arial"/>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7"/>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2"/>
    <w:qFormat/>
    <w:uiPriority w:val="1"/>
    <w:rPr>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uiPriority w:val="0"/>
    <w:rPr>
      <w:rFonts w:eastAsia="宋体"/>
      <w:kern w:val="2"/>
      <w:sz w:val="21"/>
      <w:szCs w:val="24"/>
      <w:lang w:val="en-US" w:eastAsia="zh-CN" w:bidi="ar-SA"/>
    </w:rPr>
  </w:style>
  <w:style w:type="character" w:customStyle="1" w:styleId="148">
    <w:name w:val="font41"/>
    <w:basedOn w:val="72"/>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pacing w:before="240" w:after="240" w:line="240" w:lineRule="auto"/>
      <w:jc w:val="center"/>
    </w:pPr>
    <w:rPr>
      <w:rFonts w:ascii="Calibri" w:hAnsi="Calibri"/>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qFormat/>
    <w:uiPriority w:val="0"/>
    <w:rPr>
      <w:rFonts w:ascii="宋体" w:eastAsia="宋体"/>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kern w:val="2"/>
      <w:sz w:val="21"/>
      <w:szCs w:val="21"/>
      <w:lang w:val="en-US" w:eastAsia="zh-CN" w:bidi="ar-SA"/>
    </w:rPr>
  </w:style>
  <w:style w:type="character" w:customStyle="1" w:styleId="200">
    <w:name w:val="3级 Char"/>
    <w:link w:val="201"/>
    <w:qFormat/>
    <w:uiPriority w:val="0"/>
    <w:rPr>
      <w:rFonts w:ascii="宋体" w:hAnsi="宋体"/>
      <w:b/>
      <w:bCs/>
      <w:sz w:val="28"/>
    </w:rPr>
  </w:style>
  <w:style w:type="paragraph" w:customStyle="1" w:styleId="201">
    <w:name w:val="3级"/>
    <w:basedOn w:val="202"/>
    <w:link w:val="200"/>
    <w:qFormat/>
    <w:uiPriority w:val="0"/>
    <w:pPr>
      <w:ind w:left="0" w:right="466" w:firstLine="288"/>
    </w:pPr>
    <w:rPr>
      <w:rFonts w:hAnsi="宋体"/>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ind w:left="851" w:right="407" w:rightChars="194" w:hanging="851"/>
    </w:pPr>
    <w:rPr>
      <w:rFonts w:hAnsi="Arial"/>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2"/>
    <w:qFormat/>
    <w:uiPriority w:val="0"/>
    <w:rPr>
      <w:rFonts w:ascii="Arial" w:hAnsi="Arial" w:eastAsia="黑体" w:cs="Arial"/>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3"/>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3"/>
    <w:qFormat/>
    <w:uiPriority w:val="9"/>
    <w:rPr>
      <w:rFonts w:eastAsia="宋体"/>
      <w:b/>
      <w:bCs/>
      <w:kern w:val="44"/>
      <w:sz w:val="36"/>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kern w:val="2"/>
      <w:sz w:val="28"/>
      <w:szCs w:val="21"/>
    </w:rPr>
  </w:style>
  <w:style w:type="character" w:customStyle="1" w:styleId="294">
    <w:name w:val="标题 5 字符"/>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1"/>
    <w:qFormat/>
    <w:uiPriority w:val="0"/>
    <w:rPr>
      <w:rFonts w:ascii="仿宋_GB2312" w:eastAsia="仿宋_GB2312"/>
      <w:kern w:val="2"/>
      <w:sz w:val="28"/>
    </w:rPr>
  </w:style>
  <w:style w:type="character" w:customStyle="1" w:styleId="300">
    <w:name w:val="文本正文 Char Char"/>
    <w:qFormat/>
    <w:uiPriority w:val="0"/>
    <w:rPr>
      <w:sz w:val="24"/>
      <w:lang w:bidi="ar-SA"/>
    </w:rPr>
  </w:style>
  <w:style w:type="character" w:customStyle="1" w:styleId="301">
    <w:name w:val="正文缩进 字符"/>
    <w:qFormat/>
    <w:uiPriority w:val="0"/>
    <w:rPr>
      <w:rFonts w:ascii="宋体" w:eastAsia="宋体"/>
      <w:color w:val="000000"/>
      <w:kern w:val="28"/>
      <w:sz w:val="28"/>
      <w:lang w:val="en-US" w:eastAsia="zh-CN" w:bidi="ar-SA"/>
    </w:rPr>
  </w:style>
  <w:style w:type="character" w:customStyle="1" w:styleId="302">
    <w:name w:val="HTML 预设格式 字符"/>
    <w:link w:val="58"/>
    <w:qFormat/>
    <w:uiPriority w:val="0"/>
    <w:rPr>
      <w:rFonts w:ascii="黑体" w:hAnsi="Courier New" w:eastAsia="黑体"/>
    </w:rPr>
  </w:style>
  <w:style w:type="character" w:customStyle="1" w:styleId="303">
    <w:name w:val="正文文本 2 字符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color w:val="000000"/>
      <w:kern w:val="28"/>
      <w:sz w:val="28"/>
      <w:lang w:val="en-US" w:eastAsia="zh-CN" w:bidi="ar-SA"/>
    </w:rPr>
  </w:style>
  <w:style w:type="character" w:customStyle="1" w:styleId="308">
    <w:name w:val="标题 7 字符"/>
    <w:link w:val="9"/>
    <w:qFormat/>
    <w:uiPriority w:val="0"/>
    <w:rPr>
      <w:b/>
      <w:bCs/>
      <w:kern w:val="2"/>
      <w:sz w:val="24"/>
      <w:szCs w:val="24"/>
    </w:rPr>
  </w:style>
  <w:style w:type="character" w:customStyle="1" w:styleId="309">
    <w:name w:val="正文文本缩进 2 字符"/>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color w:val="000000"/>
      <w:kern w:val="28"/>
      <w:sz w:val="28"/>
      <w:lang w:val="en-US" w:eastAsia="zh-CN" w:bidi="ar-SA"/>
    </w:rPr>
  </w:style>
  <w:style w:type="character" w:customStyle="1" w:styleId="314">
    <w:name w:val="正文缩进 Char1"/>
    <w:qFormat/>
    <w:uiPriority w:val="0"/>
    <w:rPr>
      <w:rFonts w:ascii="宋体" w:eastAsia="宋体"/>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6"/>
    <w:qFormat/>
    <w:uiPriority w:val="9"/>
    <w:rPr>
      <w:rFonts w:ascii="宋体" w:hAnsi="宋体" w:eastAsia="宋体"/>
      <w:b/>
      <w:bCs/>
      <w:kern w:val="2"/>
      <w:sz w:val="24"/>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qFormat/>
    <w:uiPriority w:val="0"/>
    <w:rPr>
      <w:kern w:val="2"/>
      <w:sz w:val="21"/>
      <w:szCs w:val="24"/>
    </w:rPr>
  </w:style>
  <w:style w:type="character" w:customStyle="1" w:styleId="346">
    <w:name w:val="签名 字符"/>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2"/>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kern w:val="44"/>
      <w:sz w:val="44"/>
      <w:szCs w:val="44"/>
    </w:rPr>
  </w:style>
  <w:style w:type="character" w:customStyle="1" w:styleId="422">
    <w:name w:val="style36"/>
    <w:basedOn w:val="72"/>
    <w:qFormat/>
    <w:uiPriority w:val="0"/>
    <w:rPr>
      <w:rFonts w:ascii="Arial" w:hAnsi="Arial" w:eastAsia="黑体" w:cs="Arial"/>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1">
    <w:name w:val="正文文本 字符"/>
    <w:link w:val="24"/>
    <w:qFormat/>
    <w:uiPriority w:val="0"/>
    <w:rPr>
      <w:rFonts w:ascii="宋体" w:hAnsi="Arial" w:eastAsia="宋体" w:cs="Arial"/>
      <w:kern w:val="2"/>
      <w:sz w:val="24"/>
      <w:szCs w:val="21"/>
      <w:lang w:val="zh-CN" w:eastAsia="zh-CN" w:bidi="ar-SA"/>
    </w:rPr>
  </w:style>
  <w:style w:type="character" w:customStyle="1" w:styleId="432">
    <w:name w:val="gray6"/>
    <w:basedOn w:val="72"/>
    <w:qFormat/>
    <w:uiPriority w:val="0"/>
    <w:rPr>
      <w:rFonts w:ascii="Arial" w:hAnsi="Arial" w:eastAsia="黑体" w:cs="Arial"/>
      <w:kern w:val="0"/>
      <w:szCs w:val="21"/>
    </w:rPr>
  </w:style>
  <w:style w:type="character" w:customStyle="1" w:styleId="433">
    <w:name w:val="hui"/>
    <w:basedOn w:val="72"/>
    <w:qFormat/>
    <w:uiPriority w:val="0"/>
    <w:rPr>
      <w:rFonts w:ascii="Arial" w:hAnsi="Arial" w:eastAsia="黑体" w:cs="Arial"/>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spacing w:before="156" w:beforeLines="50" w:after="60" w:line="300" w:lineRule="auto"/>
      <w:ind w:left="840" w:hanging="420"/>
    </w:pPr>
    <w:rPr>
      <w:rFonts w:ascii="Arial Narrow" w:hAnsi="Arial Narrow"/>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spacing w:before="360" w:after="360" w:line="240" w:lineRule="atLeast"/>
    </w:pPr>
    <w:rPr>
      <w:rFonts w:hAnsi="Arial"/>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3"/>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firstLine="200" w:firstLineChars="200"/>
      <w:jc w:val="both"/>
    </w:pPr>
    <w:rPr>
      <w:rFonts w:hAnsi="Cambria"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3"/>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3"/>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kern w:val="0"/>
      <w:sz w:val="20"/>
      <w:szCs w:val="21"/>
    </w:rPr>
  </w:style>
  <w:style w:type="paragraph" w:customStyle="1" w:styleId="599">
    <w:name w:val="gjt_2"/>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pPr>
    <w:rPr>
      <w:kern w:val="0"/>
      <w:sz w:val="24"/>
      <w:szCs w:val="20"/>
    </w:rPr>
  </w:style>
  <w:style w:type="paragraph" w:customStyle="1" w:styleId="605">
    <w:name w:val="正文文字表格居中"/>
    <w:basedOn w:val="1"/>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pPr>
    <w:rPr>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pPr>
    <w:rPr>
      <w:rFonts w:eastAsia="Times New Roman"/>
      <w:kern w:val="0"/>
      <w:szCs w:val="20"/>
    </w:rPr>
  </w:style>
  <w:style w:type="paragraph" w:customStyle="1" w:styleId="612">
    <w:name w:val="标题2"/>
    <w:basedOn w:val="4"/>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rPr>
      <w:rFonts w:ascii="黑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pPr>
    <w:rPr>
      <w:kern w:val="0"/>
      <w:sz w:val="24"/>
      <w:szCs w:val="20"/>
      <w:lang w:val="en-GB"/>
    </w:rPr>
  </w:style>
  <w:style w:type="paragraph" w:customStyle="1" w:styleId="640">
    <w:name w:val="正文表标题"/>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qFormat/>
    <w:uiPriority w:val="0"/>
    <w:pPr>
      <w:tabs>
        <w:tab w:val="left" w:pos="1260"/>
        <w:tab w:val="left" w:pos="1680"/>
        <w:tab w:val="left" w:pos="2100"/>
        <w:tab w:val="left" w:pos="2520"/>
      </w:tabs>
      <w:ind w:left="2520"/>
      <w:outlineLvl w:val="4"/>
    </w:pPr>
  </w:style>
  <w:style w:type="paragraph" w:customStyle="1" w:styleId="657">
    <w:name w:val="二级条标题"/>
    <w:basedOn w:val="658"/>
    <w:qFormat/>
    <w:uiPriority w:val="0"/>
    <w:pPr>
      <w:tabs>
        <w:tab w:val="left" w:pos="1260"/>
        <w:tab w:val="left" w:pos="1680"/>
        <w:tab w:val="left" w:pos="2100"/>
      </w:tabs>
      <w:ind w:left="0"/>
      <w:outlineLvl w:val="3"/>
    </w:pPr>
  </w:style>
  <w:style w:type="paragraph" w:customStyle="1" w:styleId="658">
    <w:name w:val="一级条标题"/>
    <w:basedOn w:val="659"/>
    <w:qFormat/>
    <w:uiPriority w:val="0"/>
    <w:pPr>
      <w:tabs>
        <w:tab w:val="left" w:pos="1260"/>
        <w:tab w:val="left" w:pos="1680"/>
      </w:tabs>
      <w:spacing w:before="0" w:beforeLines="0" w:after="0" w:afterLines="0"/>
      <w:ind w:left="1680"/>
      <w:outlineLvl w:val="2"/>
    </w:pPr>
  </w:style>
  <w:style w:type="paragraph" w:customStyle="1" w:styleId="659">
    <w:name w:val="章标题"/>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qFormat/>
    <w:uiPriority w:val="0"/>
    <w:pPr>
      <w:tabs>
        <w:tab w:val="left" w:pos="480"/>
      </w:tabs>
      <w:ind w:left="480" w:hanging="480"/>
    </w:pPr>
    <w:rPr>
      <w:rFonts w:ascii="Times New Roman"/>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after="100"/>
      <w:jc w:val="left"/>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jc w:val="both"/>
    </w:pPr>
    <w:rPr>
      <w:rFonts w:hAnsi="Arial"/>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line="240" w:lineRule="auto"/>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kern w:val="0"/>
      <w:szCs w:val="21"/>
    </w:rPr>
  </w:style>
  <w:style w:type="paragraph" w:customStyle="1" w:styleId="735">
    <w:name w:val="Picture"/>
    <w:basedOn w:val="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qFormat/>
    <w:uiPriority w:val="0"/>
    <w:pPr>
      <w:tabs>
        <w:tab w:val="clear" w:pos="900"/>
      </w:tabs>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ind w:firstLine="0"/>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2">
    <w:name w:val="TOC 标题11"/>
    <w:basedOn w:val="3"/>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qFormat/>
    <w:uiPriority w:val="0"/>
    <w:pPr>
      <w:tabs>
        <w:tab w:val="left" w:pos="1080"/>
      </w:tabs>
      <w:ind w:left="1080" w:hanging="1080"/>
    </w:pPr>
  </w:style>
  <w:style w:type="paragraph" w:customStyle="1" w:styleId="898">
    <w:name w:val="数字标题1"/>
    <w:basedOn w:val="3"/>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color w:val="0000FF"/>
      <w:kern w:val="0"/>
      <w:sz w:val="20"/>
      <w:szCs w:val="21"/>
      <w:u w:val="single"/>
      <w:lang w:val="en-US" w:eastAsia="zh-CN"/>
    </w:rPr>
  </w:style>
  <w:style w:type="character" w:customStyle="1" w:styleId="930">
    <w:name w:val="正文缩进 字符1"/>
    <w:qFormat/>
    <w:uiPriority w:val="0"/>
    <w:rPr>
      <w:rFonts w:ascii="宋体" w:eastAsia="宋体"/>
      <w:color w:val="000000"/>
      <w:kern w:val="28"/>
      <w:sz w:val="28"/>
      <w:lang w:val="en-US" w:eastAsia="zh-CN" w:bidi="ar-SA"/>
    </w:rPr>
  </w:style>
  <w:style w:type="character" w:customStyle="1" w:styleId="931">
    <w:name w:val="页脚 字符1"/>
    <w:qFormat/>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kern w:val="0"/>
      <w:szCs w:val="21"/>
    </w:rPr>
  </w:style>
  <w:style w:type="character" w:customStyle="1" w:styleId="947">
    <w:name w:val="zbggtop11 style5"/>
    <w:qFormat/>
    <w:uiPriority w:val="0"/>
    <w:rPr>
      <w:rFonts w:ascii="Arial" w:hAnsi="Arial" w:eastAsia="黑体" w:cs="Arial"/>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basedOn w:val="72"/>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semiHidden/>
    <w:qFormat/>
    <w:uiPriority w:val="99"/>
    <w:rPr>
      <w:rFonts w:ascii="Times New Roman" w:hAnsi="Times New Roman" w:eastAsia="宋体" w:cs="Times New Roman"/>
      <w:kern w:val="2"/>
      <w:sz w:val="21"/>
      <w:szCs w:val="24"/>
      <w:lang w:val="en-US" w:eastAsia="zh-CN" w:bidi="ar-SA"/>
    </w:rPr>
  </w:style>
  <w:style w:type="character" w:customStyle="1" w:styleId="966">
    <w:name w:val="标题 2 字符1"/>
    <w:link w:val="4"/>
    <w:qFormat/>
    <w:uiPriority w:val="0"/>
    <w:rPr>
      <w:rFonts w:ascii="宋体" w:hAnsi="宋体" w:eastAsia="宋体"/>
      <w:b/>
      <w:bCs/>
      <w:sz w:val="24"/>
      <w:szCs w:val="32"/>
      <w:lang w:val="zh-CN"/>
    </w:rPr>
  </w:style>
  <w:style w:type="character" w:customStyle="1" w:styleId="967">
    <w:name w:val="标题 3 字符1"/>
    <w:link w:val="5"/>
    <w:qFormat/>
    <w:uiPriority w:val="0"/>
    <w:rPr>
      <w:rFonts w:ascii="宋体" w:hAnsi="宋体" w:eastAsia="宋体"/>
      <w:b/>
      <w:bCs/>
      <w:sz w:val="24"/>
      <w:szCs w:val="32"/>
    </w:rPr>
  </w:style>
  <w:style w:type="paragraph" w:customStyle="1" w:styleId="968">
    <w:name w:val="TOC 7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9">
    <w:name w:val="TOC 72"/>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0">
    <w:name w:val="列表段落2"/>
    <w:basedOn w:val="1"/>
    <w:qFormat/>
    <w:uiPriority w:val="99"/>
    <w:pPr>
      <w:ind w:firstLine="420"/>
    </w:pPr>
    <w:rPr>
      <w:rFonts w:ascii="Times New Roman" w:hAnsi="Times New Roman"/>
      <w:szCs w:val="22"/>
    </w:rPr>
  </w:style>
  <w:style w:type="character" w:customStyle="1" w:styleId="971">
    <w:name w:val="font201"/>
    <w:basedOn w:val="72"/>
    <w:qFormat/>
    <w:uiPriority w:val="0"/>
    <w:rPr>
      <w:rFonts w:hint="eastAsia" w:ascii="宋体" w:hAnsi="宋体" w:eastAsia="宋体" w:cs="宋体"/>
      <w:color w:val="FF0000"/>
      <w:sz w:val="16"/>
      <w:szCs w:val="16"/>
      <w:u w:val="none"/>
    </w:rPr>
  </w:style>
  <w:style w:type="character" w:customStyle="1" w:styleId="972">
    <w:name w:val="font211"/>
    <w:basedOn w:val="72"/>
    <w:qFormat/>
    <w:uiPriority w:val="0"/>
    <w:rPr>
      <w:rFonts w:hint="eastAsia" w:ascii="宋体" w:hAnsi="宋体" w:eastAsia="宋体" w:cs="宋体"/>
      <w:color w:val="000000"/>
      <w:sz w:val="22"/>
      <w:szCs w:val="22"/>
      <w:u w:val="none"/>
    </w:rPr>
  </w:style>
  <w:style w:type="paragraph" w:customStyle="1" w:styleId="973">
    <w:name w:val="图"/>
    <w:basedOn w:val="1"/>
    <w:qFormat/>
    <w:uiPriority w:val="0"/>
    <w:pPr>
      <w:keepNext/>
      <w:adjustRightInd w:val="0"/>
      <w:spacing w:before="60" w:after="60" w:line="300" w:lineRule="auto"/>
      <w:jc w:val="center"/>
    </w:pPr>
    <w:rPr>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12076</Words>
  <Characters>13123</Characters>
  <Lines>449</Lines>
  <Paragraphs>126</Paragraphs>
  <TotalTime>5</TotalTime>
  <ScaleCrop>false</ScaleCrop>
  <LinksUpToDate>false</LinksUpToDate>
  <CharactersWithSpaces>13343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落尘</cp:lastModifiedBy>
  <dcterms:modified xsi:type="dcterms:W3CDTF">2025-05-25T16:04:31Z</dcterms:modified>
  <dc:title>杭州市市民卡扩大发卡工程</dc:title>
  <cp:revision>370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131C65A481034050A3B2AE99F7D31731_13</vt:lpwstr>
  </property>
  <property fmtid="{D5CDD505-2E9C-101B-9397-08002B2CF9AE}" pid="5" name="KSOTemplateDocerSaveRecord">
    <vt:lpwstr>eyJoZGlkIjoiMWJkNjM2NmU4MmEzYzg1MDY4MjMzNTY1YjQwMzhkMTYiLCJ1c2VySWQiOiIxNjc5MzQ4MDMzIn0=</vt:lpwstr>
  </property>
</Properties>
</file>