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rPr>
      </w:pPr>
    </w:p>
    <w:p>
      <w:pPr>
        <w:pStyle w:val="16"/>
        <w:rPr>
          <w:rFonts w:hint="eastAsia" w:ascii="宋体" w:hAnsi="宋体" w:eastAsia="宋体" w:cs="宋体"/>
          <w:color w:val="auto"/>
          <w:szCs w:val="24"/>
        </w:rPr>
      </w:pPr>
    </w:p>
    <w:p>
      <w:pPr>
        <w:spacing w:line="600" w:lineRule="auto"/>
        <w:ind w:firstLine="1446"/>
        <w:rPr>
          <w:rFonts w:hint="eastAsia" w:ascii="宋体" w:hAnsi="宋体" w:eastAsia="宋体" w:cs="宋体"/>
          <w:b/>
          <w:bCs/>
          <w:color w:val="auto"/>
          <w:sz w:val="32"/>
          <w:szCs w:val="32"/>
        </w:rPr>
      </w:pPr>
    </w:p>
    <w:p>
      <w:pPr>
        <w:rPr>
          <w:rFonts w:hint="eastAsia" w:ascii="宋体" w:hAnsi="宋体" w:eastAsia="宋体" w:cs="宋体"/>
          <w:color w:val="auto"/>
        </w:rPr>
      </w:pPr>
    </w:p>
    <w:p>
      <w:pPr>
        <w:snapToGrid w:val="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公开招标文件</w:t>
      </w:r>
    </w:p>
    <w:p>
      <w:pPr>
        <w:snapToGrid w:val="0"/>
        <w:rPr>
          <w:rFonts w:hint="eastAsia" w:ascii="宋体" w:hAnsi="宋体" w:eastAsia="宋体" w:cs="宋体"/>
          <w:b/>
          <w:color w:val="auto"/>
        </w:rPr>
      </w:pPr>
    </w:p>
    <w:p>
      <w:pPr>
        <w:pStyle w:val="82"/>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napToGrid w:val="0"/>
        <w:rPr>
          <w:rFonts w:hint="eastAsia" w:ascii="宋体" w:hAnsi="宋体" w:eastAsia="宋体" w:cs="宋体"/>
          <w:b/>
          <w:color w:val="auto"/>
        </w:rPr>
      </w:pPr>
    </w:p>
    <w:p>
      <w:pPr>
        <w:snapToGrid w:val="0"/>
        <w:spacing w:line="360" w:lineRule="auto"/>
        <w:ind w:right="-512" w:rightChars="-244"/>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r>
        <w:rPr>
          <w:rFonts w:hint="eastAsia" w:ascii="宋体" w:hAnsi="宋体" w:cs="宋体"/>
          <w:b/>
          <w:bCs/>
          <w:color w:val="auto"/>
          <w:sz w:val="32"/>
          <w:szCs w:val="32"/>
          <w:u w:val="single"/>
          <w:lang w:eastAsia="zh-CN"/>
        </w:rPr>
        <w:t>慈溪市文锦书院普通教室桌椅柜</w:t>
      </w:r>
      <w:r>
        <w:rPr>
          <w:rFonts w:hint="eastAsia" w:ascii="宋体" w:hAnsi="宋体" w:eastAsia="宋体" w:cs="宋体"/>
          <w:b/>
          <w:bCs/>
          <w:color w:val="auto"/>
          <w:sz w:val="32"/>
          <w:szCs w:val="32"/>
          <w:u w:val="single"/>
          <w:lang w:eastAsia="zh-CN"/>
        </w:rPr>
        <w:t>采购</w:t>
      </w:r>
      <w:r>
        <w:rPr>
          <w:rFonts w:hint="eastAsia" w:ascii="宋体" w:hAnsi="宋体" w:eastAsia="宋体" w:cs="宋体"/>
          <w:b/>
          <w:bCs/>
          <w:color w:val="auto"/>
          <w:sz w:val="32"/>
          <w:szCs w:val="32"/>
          <w:u w:val="single"/>
        </w:rPr>
        <w:t>项目</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u w:val="single"/>
          <w:lang w:eastAsia="zh-CN"/>
        </w:rPr>
        <w:t>330282202506004753</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cs="宋体"/>
          <w:b/>
          <w:bCs/>
          <w:color w:val="auto"/>
          <w:sz w:val="32"/>
          <w:szCs w:val="32"/>
          <w:u w:val="single"/>
          <w:lang w:eastAsia="zh-CN"/>
        </w:rPr>
        <w:t>慈溪市文锦书院</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采购代理机构：</w:t>
      </w:r>
      <w:r>
        <w:rPr>
          <w:rFonts w:hint="eastAsia" w:ascii="宋体" w:hAnsi="宋体" w:eastAsia="宋体" w:cs="宋体"/>
          <w:b/>
          <w:bCs/>
          <w:color w:val="auto"/>
          <w:sz w:val="32"/>
          <w:szCs w:val="32"/>
          <w:u w:val="single"/>
        </w:rPr>
        <w:t>浙江致信招标代理有限公司</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bCs/>
          <w:color w:val="auto"/>
          <w:sz w:val="32"/>
          <w:szCs w:val="32"/>
          <w:u w:val="single"/>
        </w:rPr>
      </w:pPr>
    </w:p>
    <w:p>
      <w:pPr>
        <w:spacing w:line="360" w:lineRule="auto"/>
        <w:rPr>
          <w:rFonts w:hint="eastAsia" w:ascii="宋体" w:hAnsi="宋体" w:eastAsia="宋体" w:cs="宋体"/>
          <w:color w:val="auto"/>
        </w:rPr>
      </w:pPr>
    </w:p>
    <w:p>
      <w:pPr>
        <w:snapToGrid w:val="0"/>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时间：二〇二</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rPr>
        <w:t>年</w:t>
      </w:r>
      <w:r>
        <w:rPr>
          <w:rFonts w:hint="eastAsia" w:ascii="宋体" w:hAnsi="宋体" w:cs="宋体"/>
          <w:b/>
          <w:bCs/>
          <w:color w:val="auto"/>
          <w:sz w:val="32"/>
          <w:szCs w:val="32"/>
          <w:lang w:eastAsia="zh-CN"/>
        </w:rPr>
        <w:t>七</w:t>
      </w:r>
      <w:r>
        <w:rPr>
          <w:rFonts w:hint="eastAsia" w:ascii="宋体" w:hAnsi="宋体" w:eastAsia="宋体" w:cs="宋体"/>
          <w:b/>
          <w:bCs/>
          <w:color w:val="auto"/>
          <w:sz w:val="32"/>
          <w:szCs w:val="32"/>
        </w:rPr>
        <w:t>月</w:t>
      </w:r>
    </w:p>
    <w:p>
      <w:pPr>
        <w:pStyle w:val="82"/>
        <w:rPr>
          <w:rFonts w:hint="eastAsia" w:ascii="宋体" w:hAnsi="宋体" w:eastAsia="宋体" w:cs="宋体"/>
          <w:color w:val="auto"/>
        </w:rPr>
      </w:pPr>
    </w:p>
    <w:p>
      <w:pPr>
        <w:snapToGrid w:val="0"/>
        <w:ind w:firstLine="482"/>
        <w:rPr>
          <w:rFonts w:hint="eastAsia" w:ascii="宋体" w:hAnsi="宋体" w:eastAsia="宋体" w:cs="宋体"/>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"_Toc19602"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第一部分招标公告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_Toc19602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第二部分投标人须知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"_Toc23643"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第三部分采购需求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_Toc23643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第四部分评标办法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"_Toc10866"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第五部分拟签订的合同文本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"_Toc20233"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第六部分应提交的有关格式范例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_Toc20233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360"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pPr>
        <w:spacing w:line="360" w:lineRule="auto"/>
        <w:ind w:firstLine="549" w:firstLineChars="229"/>
        <w:rPr>
          <w:rFonts w:hint="eastAsia" w:ascii="宋体" w:hAnsi="宋体" w:eastAsia="宋体" w:cs="宋体"/>
          <w:color w:val="auto"/>
          <w:sz w:val="24"/>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bookmarkEnd w:id="1"/>
    <w:p>
      <w:pPr>
        <w:adjustRightInd/>
        <w:spacing w:line="360" w:lineRule="auto"/>
        <w:jc w:val="center"/>
        <w:outlineLvl w:val="0"/>
        <w:rPr>
          <w:rStyle w:val="286"/>
          <w:rFonts w:hint="eastAsia" w:ascii="宋体" w:hAnsi="宋体" w:eastAsia="宋体" w:cs="宋体"/>
          <w:color w:val="auto"/>
          <w:szCs w:val="36"/>
        </w:rPr>
      </w:pPr>
      <w:bookmarkStart w:id="2" w:name="_Hlt74729822"/>
      <w:bookmarkEnd w:id="2"/>
      <w:bookmarkStart w:id="3" w:name="_Hlt74728647"/>
      <w:bookmarkEnd w:id="3"/>
      <w:bookmarkStart w:id="4" w:name="_Hlt74649545"/>
      <w:bookmarkEnd w:id="4"/>
      <w:bookmarkStart w:id="5" w:name="_Hlt74707423"/>
      <w:bookmarkEnd w:id="5"/>
      <w:bookmarkStart w:id="6" w:name="_Toc19602"/>
      <w:bookmarkStart w:id="7" w:name="第二部分"/>
      <w:bookmarkStart w:id="8" w:name="_Toc91899870"/>
      <w:bookmarkStart w:id="9" w:name="_Toc91899871"/>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慈溪市文锦书院普通教室桌椅柜</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2"/>
          <w:rFonts w:hint="eastAsia" w:ascii="宋体" w:hAnsi="宋体" w:eastAsia="宋体" w:cs="宋体"/>
          <w:snapToGrid/>
          <w:color w:val="auto"/>
          <w:kern w:val="2"/>
          <w:sz w:val="24"/>
          <w:szCs w:val="24"/>
        </w:rPr>
        <w:t>https://www.zcygov.cn/）获取（下载）招标文件，并于202</w:t>
      </w:r>
      <w:r>
        <w:rPr>
          <w:rStyle w:val="72"/>
          <w:rFonts w:hint="eastAsia" w:ascii="宋体" w:hAnsi="宋体" w:cs="宋体"/>
          <w:snapToGrid/>
          <w:color w:val="auto"/>
          <w:kern w:val="2"/>
          <w:sz w:val="24"/>
          <w:szCs w:val="24"/>
          <w:lang w:val="en-US" w:eastAsia="zh-CN"/>
        </w:rPr>
        <w:t>5</w:t>
      </w:r>
      <w:r>
        <w:rPr>
          <w:rStyle w:val="72"/>
          <w:rFonts w:hint="eastAsia" w:ascii="宋体" w:hAnsi="宋体" w:eastAsia="宋体" w:cs="宋体"/>
          <w:snapToGrid/>
          <w:color w:val="auto"/>
          <w:kern w:val="2"/>
          <w:sz w:val="24"/>
          <w:szCs w:val="24"/>
        </w:rPr>
        <w:t>年</w:t>
      </w:r>
      <w:r>
        <w:rPr>
          <w:rStyle w:val="72"/>
          <w:rFonts w:hint="eastAsia" w:ascii="宋体" w:hAnsi="宋体" w:cs="宋体"/>
          <w:snapToGrid/>
          <w:color w:val="auto"/>
          <w:kern w:val="2"/>
          <w:sz w:val="24"/>
          <w:szCs w:val="24"/>
          <w:lang w:val="en-US" w:eastAsia="zh-CN"/>
        </w:rPr>
        <w:t>8</w:t>
      </w:r>
      <w:r>
        <w:rPr>
          <w:rStyle w:val="72"/>
          <w:rFonts w:hint="eastAsia" w:ascii="宋体" w:hAnsi="宋体" w:eastAsia="宋体" w:cs="宋体"/>
          <w:snapToGrid/>
          <w:color w:val="auto"/>
          <w:kern w:val="2"/>
          <w:sz w:val="24"/>
          <w:szCs w:val="24"/>
        </w:rPr>
        <w:t>月</w:t>
      </w:r>
      <w:r>
        <w:rPr>
          <w:rStyle w:val="72"/>
          <w:rFonts w:hint="eastAsia" w:ascii="宋体" w:hAnsi="宋体" w:cs="宋体"/>
          <w:snapToGrid/>
          <w:color w:val="auto"/>
          <w:kern w:val="2"/>
          <w:sz w:val="24"/>
          <w:szCs w:val="24"/>
          <w:lang w:val="en-US" w:eastAsia="zh-CN"/>
        </w:rPr>
        <w:t>4</w:t>
      </w:r>
      <w:r>
        <w:rPr>
          <w:rStyle w:val="72"/>
          <w:rFonts w:hint="eastAsia" w:ascii="宋体" w:hAnsi="宋体" w:eastAsia="宋体" w:cs="宋体"/>
          <w:snapToGrid/>
          <w:color w:val="auto"/>
          <w:kern w:val="2"/>
          <w:sz w:val="24"/>
          <w:szCs w:val="24"/>
        </w:rPr>
        <w:t>日</w:t>
      </w:r>
      <w:r>
        <w:rPr>
          <w:rStyle w:val="72"/>
          <w:rFonts w:hint="eastAsia" w:ascii="宋体" w:hAnsi="宋体" w:cs="宋体"/>
          <w:snapToGrid/>
          <w:color w:val="auto"/>
          <w:kern w:val="2"/>
          <w:sz w:val="24"/>
          <w:szCs w:val="24"/>
          <w:lang w:val="en-US" w:eastAsia="zh-CN"/>
        </w:rPr>
        <w:t>09</w:t>
      </w:r>
      <w:r>
        <w:rPr>
          <w:rStyle w:val="72"/>
          <w:rFonts w:hint="eastAsia" w:ascii="宋体" w:hAnsi="宋体" w:eastAsia="宋体" w:cs="宋体"/>
          <w:snapToGrid/>
          <w:color w:val="auto"/>
          <w:kern w:val="2"/>
          <w:sz w:val="24"/>
          <w:szCs w:val="24"/>
        </w:rPr>
        <w:t>时30分</w:t>
      </w:r>
      <w:r>
        <w:rPr>
          <w:rStyle w:val="72"/>
          <w:rFonts w:hint="eastAsia" w:ascii="宋体" w:hAnsi="宋体" w:eastAsia="宋体" w:cs="宋体"/>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cs="宋体"/>
          <w:color w:val="auto"/>
          <w:sz w:val="24"/>
          <w:lang w:eastAsia="zh-CN"/>
        </w:rPr>
        <w:t>330282202506004753</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cs="宋体"/>
          <w:color w:val="auto"/>
          <w:sz w:val="24"/>
          <w:lang w:eastAsia="zh-CN"/>
        </w:rPr>
        <w:t>慈溪市文锦书院普通教室桌椅柜</w:t>
      </w:r>
      <w:r>
        <w:rPr>
          <w:rFonts w:hint="eastAsia" w:ascii="宋体" w:hAnsi="宋体" w:eastAsia="宋体" w:cs="宋体"/>
          <w:color w:val="auto"/>
          <w:sz w:val="24"/>
          <w:lang w:eastAsia="zh-CN"/>
        </w:rPr>
        <w:t>采购</w:t>
      </w:r>
      <w:r>
        <w:rPr>
          <w:rFonts w:hint="eastAsia" w:ascii="宋体" w:hAnsi="宋体" w:eastAsia="宋体" w:cs="宋体"/>
          <w:color w:val="auto"/>
          <w:sz w:val="24"/>
        </w:rPr>
        <w:t>项目</w:t>
      </w:r>
    </w:p>
    <w:p>
      <w:pPr>
        <w:spacing w:line="360" w:lineRule="auto"/>
        <w:rPr>
          <w:rFonts w:hint="eastAsia" w:ascii="宋体" w:hAnsi="宋体" w:eastAsia="宋体" w:cs="宋体"/>
          <w:color w:val="auto"/>
          <w:sz w:val="24"/>
          <w:lang w:val="en-US"/>
        </w:rPr>
      </w:pPr>
      <w:r>
        <w:rPr>
          <w:rFonts w:hint="eastAsia" w:ascii="宋体" w:hAnsi="宋体" w:eastAsia="宋体" w:cs="宋体"/>
          <w:b/>
          <w:color w:val="auto"/>
          <w:sz w:val="24"/>
        </w:rPr>
        <w:t>预算金额（元）：</w:t>
      </w:r>
      <w:r>
        <w:rPr>
          <w:rFonts w:hint="eastAsia" w:ascii="宋体" w:hAnsi="宋体" w:eastAsia="宋体" w:cs="宋体"/>
          <w:color w:val="auto"/>
          <w:sz w:val="24"/>
          <w:szCs w:val="24"/>
          <w:vertAlign w:val="baseline"/>
          <w:lang w:val="en-US" w:eastAsia="zh-CN"/>
        </w:rPr>
        <w:t>436775</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snapToGrid w:val="0"/>
          <w:color w:val="auto"/>
          <w:kern w:val="28"/>
          <w:sz w:val="24"/>
          <w:szCs w:val="20"/>
          <w:lang w:val="en-US" w:eastAsia="zh-CN"/>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标项名称:</w:t>
      </w:r>
      <w:r>
        <w:rPr>
          <w:rFonts w:hint="eastAsia" w:ascii="宋体" w:hAnsi="宋体" w:cs="宋体"/>
          <w:snapToGrid w:val="0"/>
          <w:color w:val="auto"/>
          <w:kern w:val="28"/>
          <w:sz w:val="24"/>
          <w:szCs w:val="20"/>
          <w:lang w:eastAsia="zh-CN"/>
        </w:rPr>
        <w:t>普通教室桌椅柜</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数量:1批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预算金额（</w:t>
      </w:r>
      <w:r>
        <w:rPr>
          <w:rFonts w:hint="eastAsia" w:ascii="宋体" w:hAnsi="宋体" w:eastAsia="宋体" w:cs="宋体"/>
          <w:color w:val="auto"/>
          <w:sz w:val="24"/>
          <w:lang w:eastAsia="zh-CN"/>
        </w:rPr>
        <w:t>元）:</w:t>
      </w:r>
      <w:r>
        <w:rPr>
          <w:rFonts w:hint="eastAsia" w:ascii="宋体" w:hAnsi="宋体" w:eastAsia="宋体" w:cs="宋体"/>
          <w:color w:val="auto"/>
          <w:sz w:val="24"/>
          <w:szCs w:val="24"/>
          <w:vertAlign w:val="baseline"/>
          <w:lang w:val="en-US" w:eastAsia="zh-CN"/>
        </w:rPr>
        <w:t>436775</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cs="宋体"/>
          <w:color w:val="auto"/>
          <w:sz w:val="24"/>
          <w:lang w:eastAsia="zh-CN"/>
        </w:rPr>
        <w:t>普通教室桌椅柜</w:t>
      </w:r>
      <w:r>
        <w:rPr>
          <w:rFonts w:hint="eastAsia" w:ascii="宋体" w:hAnsi="宋体" w:eastAsia="宋体" w:cs="宋体"/>
          <w:color w:val="auto"/>
          <w:sz w:val="24"/>
          <w:lang w:eastAsia="zh-CN"/>
        </w:rPr>
        <w:t>采购</w:t>
      </w:r>
      <w:r>
        <w:rPr>
          <w:rFonts w:hint="eastAsia" w:ascii="宋体" w:hAnsi="宋体" w:eastAsia="宋体" w:cs="宋体"/>
          <w:snapToGrid w:val="0"/>
          <w:color w:val="auto"/>
          <w:kern w:val="28"/>
          <w:sz w:val="24"/>
          <w:szCs w:val="20"/>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备注：/ </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合同履约期限：</w:t>
      </w:r>
      <w:bookmarkStart w:id="10" w:name="OLE_LINK1"/>
      <w:r>
        <w:rPr>
          <w:rFonts w:hint="eastAsia" w:ascii="宋体" w:hAnsi="宋体" w:cs="宋体"/>
          <w:snapToGrid w:val="0"/>
          <w:color w:val="auto"/>
          <w:kern w:val="28"/>
          <w:sz w:val="24"/>
          <w:szCs w:val="20"/>
          <w:lang w:eastAsia="zh-CN"/>
        </w:rPr>
        <w:t>2025年8月25日</w:t>
      </w:r>
      <w:bookmarkEnd w:id="10"/>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本项目（否）接受联合体投标。</w:t>
      </w:r>
      <w:bookmarkStart w:id="449" w:name="_GoBack"/>
      <w:bookmarkEnd w:id="449"/>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lang w:eastAsia="zh-CN"/>
        </w:rPr>
        <w:t>本项目专门面向中小企业采购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投标产品制造商应为中小微企业或监狱企业或残疾人福利性单位。</w:t>
      </w:r>
      <w:r>
        <w:rPr>
          <w:rFonts w:hint="eastAsia" w:ascii="宋体" w:hAnsi="宋体" w:eastAsia="宋体" w:cs="宋体"/>
          <w:color w:val="auto"/>
          <w:sz w:val="24"/>
        </w:rPr>
        <w:t>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三、获取招标文件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时30分</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4</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时30分</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慈溪市公共资源交易中心第五开标室</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五、公告期限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1.采购人信息</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名称：慈溪市文锦书院</w:t>
      </w:r>
    </w:p>
    <w:p>
      <w:pPr>
        <w:spacing w:line="360" w:lineRule="auto"/>
        <w:rPr>
          <w:rFonts w:hint="eastAsia" w:ascii="宋体" w:hAnsi="宋体" w:cs="宋体"/>
          <w:sz w:val="24"/>
          <w:lang w:eastAsia="zh-CN"/>
        </w:rPr>
      </w:pPr>
      <w:r>
        <w:rPr>
          <w:rFonts w:hint="eastAsia" w:ascii="宋体" w:hAnsi="宋体" w:cs="宋体"/>
          <w:sz w:val="24"/>
          <w:lang w:eastAsia="zh-CN"/>
        </w:rPr>
        <w:t>地址：慈溪市古塘街道求知路1号       </w:t>
      </w:r>
    </w:p>
    <w:p>
      <w:pPr>
        <w:spacing w:line="360" w:lineRule="auto"/>
        <w:rPr>
          <w:rFonts w:hint="eastAsia" w:ascii="宋体" w:hAnsi="宋体" w:cs="宋体"/>
          <w:sz w:val="24"/>
          <w:lang w:eastAsia="zh-CN"/>
        </w:rPr>
      </w:pPr>
      <w:r>
        <w:rPr>
          <w:rFonts w:hint="eastAsia" w:ascii="宋体" w:hAnsi="宋体" w:cs="宋体"/>
          <w:sz w:val="24"/>
          <w:lang w:eastAsia="zh-CN"/>
        </w:rPr>
        <w:t>项目联系人（询问）：</w:t>
      </w:r>
      <w:r>
        <w:rPr>
          <w:rFonts w:hint="eastAsia" w:ascii="宋体" w:hAnsi="宋体" w:cs="宋体"/>
          <w:sz w:val="24"/>
          <w:lang w:val="en-US" w:eastAsia="zh-CN"/>
        </w:rPr>
        <w:t>何腊</w:t>
      </w:r>
      <w:r>
        <w:rPr>
          <w:rFonts w:hint="eastAsia" w:ascii="宋体" w:hAnsi="宋体" w:cs="宋体"/>
          <w:sz w:val="24"/>
          <w:lang w:eastAsia="zh-CN"/>
        </w:rPr>
        <w:t>    　　　　　　　　　　</w:t>
      </w:r>
    </w:p>
    <w:p>
      <w:pPr>
        <w:spacing w:line="360" w:lineRule="auto"/>
        <w:rPr>
          <w:rFonts w:hint="eastAsia" w:ascii="宋体" w:hAnsi="宋体" w:cs="宋体"/>
          <w:sz w:val="24"/>
          <w:lang w:eastAsia="zh-CN"/>
        </w:rPr>
      </w:pPr>
      <w:r>
        <w:rPr>
          <w:rFonts w:hint="eastAsia" w:ascii="宋体" w:hAnsi="宋体" w:cs="宋体"/>
          <w:sz w:val="24"/>
          <w:lang w:eastAsia="zh-CN"/>
        </w:rPr>
        <w:t xml:space="preserve">项目联系方式（询问）：(0574) </w:t>
      </w:r>
      <w:r>
        <w:rPr>
          <w:rFonts w:hint="eastAsia" w:ascii="宋体" w:hAnsi="宋体" w:cs="宋体"/>
          <w:sz w:val="24"/>
        </w:rPr>
        <w:t>58012909</w:t>
      </w:r>
    </w:p>
    <w:p>
      <w:pPr>
        <w:spacing w:line="360" w:lineRule="auto"/>
        <w:rPr>
          <w:rFonts w:hint="eastAsia" w:ascii="宋体" w:hAnsi="宋体" w:cs="宋体"/>
          <w:sz w:val="24"/>
          <w:lang w:eastAsia="zh-CN"/>
        </w:rPr>
      </w:pPr>
      <w:r>
        <w:rPr>
          <w:rFonts w:hint="eastAsia" w:ascii="宋体" w:hAnsi="宋体" w:cs="宋体"/>
          <w:sz w:val="24"/>
          <w:lang w:eastAsia="zh-CN"/>
        </w:rPr>
        <w:t>质疑联系人：洪科</w:t>
      </w:r>
    </w:p>
    <w:p>
      <w:pPr>
        <w:spacing w:line="360" w:lineRule="auto"/>
        <w:rPr>
          <w:rFonts w:hint="eastAsia" w:ascii="宋体" w:hAnsi="宋体" w:cs="宋体"/>
          <w:sz w:val="24"/>
          <w:lang w:eastAsia="zh-CN"/>
        </w:rPr>
      </w:pPr>
      <w:r>
        <w:rPr>
          <w:rFonts w:hint="eastAsia" w:ascii="宋体" w:hAnsi="宋体" w:cs="宋体"/>
          <w:sz w:val="24"/>
          <w:lang w:eastAsia="zh-CN"/>
        </w:rPr>
        <w:t xml:space="preserve">质疑联系方式：(0574) </w:t>
      </w:r>
      <w:r>
        <w:rPr>
          <w:rFonts w:hint="eastAsia" w:ascii="宋体" w:hAnsi="宋体" w:cs="宋体"/>
          <w:sz w:val="24"/>
        </w:rPr>
        <w:t>58012909</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2.采购代理机构信息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名称：浙江致信招标代理有限公司</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慈溪市前应路1228号精英大厦2楼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项目联系人（询问）：毛工、徐锦</w:t>
      </w:r>
      <w:r>
        <w:rPr>
          <w:rFonts w:hint="eastAsia" w:ascii="宋体" w:hAnsi="宋体" w:cs="宋体"/>
          <w:color w:val="auto"/>
          <w:sz w:val="24"/>
          <w:lang w:eastAsia="zh-CN"/>
        </w:rPr>
        <w:t>峰</w:t>
      </w:r>
      <w:r>
        <w:rPr>
          <w:rFonts w:hint="eastAsia" w:ascii="宋体" w:hAnsi="宋体" w:eastAsia="宋体" w:cs="宋体"/>
          <w:color w:val="auto"/>
          <w:sz w:val="24"/>
        </w:rPr>
        <w:t>、俞磊、张小燕、朱梅黎、沈诗佳</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项目联系方式（询问）：0574-63816102,15258368500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尤依婷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质疑联系方式：0571-88026807</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    称：慈溪市财政局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址：慈溪市南二环东路1158号6楼619室</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联 系 人：胡老师</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监督投诉电话：0574-63912958</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Style w:val="286"/>
          <w:rFonts w:hint="eastAsia" w:ascii="宋体" w:hAnsi="宋体" w:eastAsia="宋体" w:cs="宋体"/>
          <w:color w:val="auto"/>
          <w:szCs w:val="36"/>
        </w:rPr>
      </w:pPr>
      <w:bookmarkStart w:id="11" w:name="_Toc3156"/>
      <w:r>
        <w:rPr>
          <w:rStyle w:val="286"/>
          <w:rFonts w:hint="eastAsia" w:ascii="宋体" w:hAnsi="宋体" w:eastAsia="宋体" w:cs="宋体"/>
          <w:color w:val="auto"/>
          <w:szCs w:val="36"/>
        </w:rPr>
        <w:t>第二部分</w:t>
      </w:r>
      <w:bookmarkEnd w:id="7"/>
      <w:r>
        <w:rPr>
          <w:rStyle w:val="286"/>
          <w:rFonts w:hint="eastAsia" w:ascii="宋体" w:hAnsi="宋体" w:eastAsia="宋体" w:cs="宋体"/>
          <w:color w:val="auto"/>
          <w:szCs w:val="36"/>
        </w:rPr>
        <w:t>投标人须知</w:t>
      </w:r>
      <w:bookmarkEnd w:id="8"/>
      <w:bookmarkEnd w:id="11"/>
    </w:p>
    <w:p>
      <w:pPr>
        <w:adjustRightInd/>
        <w:spacing w:line="360" w:lineRule="auto"/>
        <w:ind w:firstLine="3845" w:firstLineChars="1197"/>
        <w:outlineLvl w:val="0"/>
        <w:rPr>
          <w:rFonts w:hint="eastAsia" w:ascii="宋体" w:hAnsi="宋体" w:eastAsia="宋体" w:cs="宋体"/>
          <w:b/>
          <w:color w:val="auto"/>
          <w:sz w:val="32"/>
          <w:szCs w:val="20"/>
        </w:rPr>
      </w:pPr>
      <w:bookmarkStart w:id="12" w:name="_Toc20902"/>
      <w:bookmarkStart w:id="13" w:name="_Toc14640"/>
      <w:r>
        <w:rPr>
          <w:rFonts w:hint="eastAsia" w:ascii="宋体" w:hAnsi="宋体" w:eastAsia="宋体" w:cs="宋体"/>
          <w:b/>
          <w:color w:val="auto"/>
          <w:sz w:val="32"/>
          <w:szCs w:val="20"/>
        </w:rPr>
        <w:t>前附表</w:t>
      </w:r>
      <w:bookmarkEnd w:id="12"/>
      <w:bookmarkEnd w:id="13"/>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核心产品为</w:t>
            </w:r>
            <w:r>
              <w:rPr>
                <w:rFonts w:hint="eastAsia" w:ascii="宋体" w:hAnsi="宋体" w:eastAsia="宋体" w:cs="宋体"/>
                <w:color w:val="auto"/>
                <w:sz w:val="30"/>
                <w:szCs w:val="30"/>
                <w:lang w:eastAsia="zh-CN"/>
              </w:rPr>
              <w:t>：</w:t>
            </w:r>
            <w:r>
              <w:rPr>
                <w:rFonts w:hint="eastAsia" w:ascii="宋体" w:hAnsi="宋体" w:cs="宋体"/>
                <w:color w:val="auto"/>
                <w:kern w:val="0"/>
                <w:sz w:val="24"/>
                <w:u w:val="single"/>
                <w:lang w:val="en-US" w:eastAsia="zh-CN"/>
              </w:rPr>
              <w:t>定制单人手摇升降课桌椅。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cs="宋体"/>
                <w:color w:val="auto"/>
                <w:kern w:val="0"/>
                <w:sz w:val="24"/>
                <w:u w:val="single"/>
                <w:lang w:val="en-US" w:eastAsia="zh-CN"/>
              </w:rPr>
              <w:t>定制单人手摇升降课桌椅、书包柜（靠窗）、书包柜（后墙）、卫生柜（后墙）、原木讲台、定制实木椅、定制教室办公桌</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20783888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21968920"/>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同意将非主体、非关键性的工作分包。</w:t>
            </w:r>
          </w:p>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8167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w:t>
            </w:r>
            <w:r>
              <w:rPr>
                <w:rFonts w:hint="eastAsia" w:ascii="宋体" w:hAnsi="宋体" w:eastAsia="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85689424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291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88873449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31472764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734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11121202"/>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05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sz w:val="24"/>
                <w:szCs w:val="24"/>
                <w:lang w:eastAsia="zh-CN"/>
              </w:rPr>
              <w:t>慈溪市前应路1228号精英大厦2楼</w:t>
            </w:r>
            <w:r>
              <w:rPr>
                <w:rFonts w:hint="eastAsia" w:hAnsi="宋体" w:cs="宋体"/>
                <w:color w:val="auto"/>
                <w:sz w:val="24"/>
                <w:szCs w:val="24"/>
                <w:lang w:val="en-US" w:eastAsia="zh-CN"/>
              </w:rPr>
              <w:t>234室</w:t>
            </w:r>
            <w:r>
              <w:rPr>
                <w:rFonts w:hint="eastAsia" w:ascii="宋体" w:hAnsi="宋体" w:eastAsia="宋体" w:cs="宋体"/>
                <w:color w:val="auto"/>
                <w:kern w:val="28"/>
                <w:sz w:val="24"/>
                <w:szCs w:val="24"/>
              </w:rPr>
              <w:t>；备份投标文件签收人员联系电话：0574-</w:t>
            </w:r>
            <w:r>
              <w:rPr>
                <w:rFonts w:hint="eastAsia" w:ascii="宋体" w:hAnsi="宋体" w:eastAsia="宋体" w:cs="宋体"/>
                <w:color w:val="auto"/>
                <w:sz w:val="24"/>
                <w:szCs w:val="24"/>
                <w:u w:val="single"/>
              </w:rPr>
              <w:t>63816102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1、中标供应商向代理机构交纳</w:t>
            </w:r>
            <w:r>
              <w:rPr>
                <w:rFonts w:hint="eastAsia" w:ascii="宋体" w:hAnsi="宋体" w:cs="宋体"/>
                <w:color w:val="auto"/>
                <w:kern w:val="0"/>
                <w:sz w:val="24"/>
                <w:lang w:val="en-US" w:eastAsia="zh-CN"/>
              </w:rPr>
              <w:t>玖仟元</w:t>
            </w:r>
            <w:r>
              <w:rPr>
                <w:rFonts w:hint="eastAsia" w:ascii="宋体" w:hAnsi="宋体" w:eastAsia="宋体" w:cs="宋体"/>
                <w:color w:val="auto"/>
                <w:kern w:val="0"/>
                <w:sz w:val="24"/>
              </w:rPr>
              <w:t>代理服务费。</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3、代理服务费以现金或电汇方式支付。</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户名：浙江致信招标代理有限公司嘉兴分公司</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账号：3301041060004497230</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开户行：杭州银行四季青支行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rPr>
            </w:pPr>
            <w:r>
              <w:rPr>
                <w:rFonts w:hint="eastAsia" w:ascii="宋体" w:hAnsi="宋体" w:cs="宋体"/>
                <w:b/>
                <w:color w:val="auto"/>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r>
              <w:rPr>
                <w:rFonts w:hint="eastAsia" w:ascii="宋体" w:hAnsi="宋体" w:cs="宋体"/>
                <w:color w:val="auto"/>
                <w:sz w:val="24"/>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rPr>
      </w:pPr>
    </w:p>
    <w:bookmarkEnd w:id="9"/>
    <w:p>
      <w:pPr>
        <w:adjustRightInd/>
        <w:spacing w:line="360" w:lineRule="auto"/>
        <w:ind w:firstLine="3845" w:firstLineChars="1197"/>
        <w:outlineLvl w:val="0"/>
        <w:rPr>
          <w:rFonts w:hint="eastAsia" w:ascii="宋体" w:hAnsi="宋体" w:eastAsia="宋体" w:cs="宋体"/>
          <w:b/>
          <w:color w:val="auto"/>
          <w:sz w:val="32"/>
          <w:szCs w:val="20"/>
        </w:rPr>
      </w:pPr>
      <w:bookmarkStart w:id="14" w:name="第三部分"/>
      <w:bookmarkStart w:id="15" w:name="_Toc164416483"/>
      <w:r>
        <w:rPr>
          <w:rFonts w:hint="eastAsia" w:ascii="宋体" w:hAnsi="宋体" w:eastAsia="宋体" w:cs="宋体"/>
          <w:b/>
          <w:color w:val="auto"/>
          <w:sz w:val="32"/>
          <w:szCs w:val="20"/>
        </w:rPr>
        <w:br w:type="page"/>
      </w:r>
    </w:p>
    <w:p>
      <w:pPr>
        <w:adjustRightInd/>
        <w:spacing w:line="360" w:lineRule="auto"/>
        <w:ind w:firstLine="3845" w:firstLineChars="1197"/>
        <w:outlineLvl w:val="0"/>
        <w:rPr>
          <w:rFonts w:hint="eastAsia" w:ascii="宋体" w:hAnsi="宋体" w:eastAsia="宋体" w:cs="宋体"/>
          <w:b/>
          <w:color w:val="auto"/>
          <w:sz w:val="32"/>
          <w:szCs w:val="20"/>
        </w:rPr>
      </w:pPr>
      <w:bookmarkStart w:id="16" w:name="_Toc867"/>
      <w:bookmarkStart w:id="17" w:name="_Toc13604"/>
      <w:r>
        <w:rPr>
          <w:rFonts w:hint="eastAsia" w:ascii="宋体" w:hAnsi="宋体" w:eastAsia="宋体" w:cs="宋体"/>
          <w:b/>
          <w:color w:val="auto"/>
          <w:sz w:val="32"/>
          <w:szCs w:val="20"/>
        </w:rPr>
        <w:t>一、总则</w:t>
      </w:r>
      <w:bookmarkEnd w:id="16"/>
      <w:bookmarkEnd w:id="17"/>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bookmarkStart w:id="18" w:name="_Toc7414"/>
      <w:bookmarkStart w:id="19" w:name="_Toc13033"/>
      <w:r>
        <w:rPr>
          <w:rFonts w:hint="eastAsia" w:ascii="宋体" w:hAnsi="宋体" w:eastAsia="宋体" w:cs="宋体"/>
          <w:b/>
          <w:color w:val="auto"/>
          <w:sz w:val="24"/>
        </w:rPr>
        <w:t>2.定义</w:t>
      </w:r>
      <w:bookmarkEnd w:id="18"/>
      <w:bookmarkEnd w:id="19"/>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“▲”系指实质性要求条款，“</w:t>
      </w:r>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5"/>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lang w:val="zh-CN"/>
        </w:rPr>
        <w:t>投诉书范本及制作说明详见附件3。</w:t>
      </w:r>
    </w:p>
    <w:p>
      <w:pPr>
        <w:pStyle w:val="135"/>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bookmarkStart w:id="20" w:name="_Toc14503"/>
      <w:bookmarkStart w:id="21" w:name="_Toc10832"/>
      <w:r>
        <w:rPr>
          <w:rFonts w:hint="eastAsia" w:ascii="宋体" w:hAnsi="宋体" w:eastAsia="宋体" w:cs="宋体"/>
          <w:b/>
          <w:color w:val="auto"/>
          <w:sz w:val="32"/>
          <w:szCs w:val="20"/>
        </w:rPr>
        <w:t>二、招标文件的构成、澄清、修改</w:t>
      </w:r>
      <w:bookmarkEnd w:id="20"/>
      <w:bookmarkEnd w:id="21"/>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color w:val="auto"/>
          <w:sz w:val="18"/>
          <w:szCs w:val="18"/>
          <w:lang w:val="en-US"/>
        </w:rPr>
      </w:pPr>
    </w:p>
    <w:p>
      <w:pPr>
        <w:adjustRightInd/>
        <w:spacing w:line="360" w:lineRule="auto"/>
        <w:jc w:val="center"/>
        <w:outlineLvl w:val="0"/>
        <w:rPr>
          <w:rFonts w:hint="eastAsia" w:ascii="宋体" w:hAnsi="宋体" w:eastAsia="宋体" w:cs="宋体"/>
          <w:b/>
          <w:color w:val="auto"/>
          <w:sz w:val="30"/>
          <w:szCs w:val="20"/>
        </w:rPr>
      </w:pPr>
      <w:bookmarkStart w:id="22" w:name="_Toc28268"/>
      <w:bookmarkStart w:id="23" w:name="_Toc199"/>
      <w:r>
        <w:rPr>
          <w:rFonts w:hint="eastAsia" w:ascii="宋体" w:hAnsi="宋体" w:eastAsia="宋体" w:cs="宋体"/>
          <w:b/>
          <w:color w:val="auto"/>
          <w:sz w:val="30"/>
          <w:szCs w:val="20"/>
        </w:rPr>
        <w:t>三、投标</w:t>
      </w:r>
      <w:bookmarkEnd w:id="22"/>
      <w:bookmarkEnd w:id="23"/>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2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.3中小企业声明函；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.4残疾人福利性单位声明函（如有需提供）。</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11.2.1目录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11.2.2投标函；</w:t>
      </w:r>
    </w:p>
    <w:p>
      <w:pPr>
        <w:pStyle w:val="725"/>
        <w:spacing w:line="360" w:lineRule="auto"/>
        <w:ind w:left="720" w:firstLine="240" w:firstLineChars="100"/>
        <w:rPr>
          <w:rFonts w:hint="eastAsia" w:ascii="宋体" w:hAnsi="宋体" w:eastAsia="宋体" w:cs="宋体"/>
          <w:color w:val="auto"/>
        </w:rPr>
      </w:pPr>
      <w:r>
        <w:rPr>
          <w:rFonts w:hint="eastAsia" w:ascii="宋体" w:hAnsi="宋体" w:eastAsia="宋体" w:cs="宋体"/>
          <w:color w:val="auto"/>
        </w:rPr>
        <w:t>11.2.3营业执照副本复印件（加盖投标人公章）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11.2.5投标人股权信息表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11.2.6详细的“交货清单”；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11.2.7技术规范偏离表；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11.2.8商务条款偏离表；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11.2.9</w:t>
      </w:r>
      <w:r>
        <w:rPr>
          <w:rFonts w:hint="eastAsia" w:ascii="宋体" w:hAnsi="宋体" w:eastAsia="宋体" w:cs="宋体"/>
          <w:color w:val="auto"/>
          <w:sz w:val="24"/>
          <w:lang w:eastAsia="zh-CN"/>
        </w:rPr>
        <w:t>投标人资信及认证</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1</w:t>
      </w:r>
      <w:r>
        <w:rPr>
          <w:rFonts w:hint="eastAsia" w:ascii="宋体" w:hAnsi="宋体" w:eastAsia="宋体" w:cs="宋体"/>
          <w:b w:val="0"/>
          <w:bCs w:val="0"/>
          <w:color w:val="auto"/>
          <w:sz w:val="24"/>
          <w:szCs w:val="24"/>
        </w:rPr>
        <w:t>项目实施方案</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2</w:t>
      </w:r>
      <w:r>
        <w:rPr>
          <w:rFonts w:hint="eastAsia" w:ascii="宋体" w:hAnsi="宋体" w:eastAsia="宋体" w:cs="宋体"/>
          <w:b w:val="0"/>
          <w:bCs w:val="0"/>
          <w:color w:val="auto"/>
          <w:sz w:val="24"/>
          <w:szCs w:val="24"/>
        </w:rPr>
        <w:t>原材料采购方案</w:t>
      </w:r>
      <w:r>
        <w:rPr>
          <w:rFonts w:hint="eastAsia" w:ascii="宋体" w:hAnsi="宋体" w:eastAsia="宋体" w:cs="宋体"/>
          <w:color w:val="auto"/>
          <w:sz w:val="24"/>
          <w:lang w:val="en-US"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3</w:t>
      </w:r>
      <w:r>
        <w:rPr>
          <w:rFonts w:hint="eastAsia" w:ascii="宋体" w:hAnsi="宋体" w:eastAsia="宋体" w:cs="宋体"/>
          <w:color w:val="auto"/>
          <w:sz w:val="24"/>
        </w:rPr>
        <w:t>项目进度计划及安排；</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4</w:t>
      </w:r>
      <w:r>
        <w:rPr>
          <w:rFonts w:hint="eastAsia" w:ascii="宋体" w:hAnsi="宋体" w:eastAsia="宋体" w:cs="宋体"/>
          <w:b w:val="0"/>
          <w:bCs w:val="0"/>
          <w:color w:val="auto"/>
          <w:sz w:val="24"/>
          <w:szCs w:val="24"/>
        </w:rPr>
        <w:t>生产计划方案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5</w:t>
      </w:r>
      <w:r>
        <w:rPr>
          <w:rFonts w:hint="eastAsia" w:ascii="宋体" w:hAnsi="宋体" w:eastAsia="宋体" w:cs="宋体"/>
          <w:color w:val="auto"/>
          <w:sz w:val="24"/>
        </w:rPr>
        <w:t>产品品控情况</w:t>
      </w:r>
    </w:p>
    <w:p>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6</w:t>
      </w:r>
      <w:r>
        <w:rPr>
          <w:rFonts w:hint="eastAsia" w:ascii="宋体" w:hAnsi="宋体" w:eastAsia="宋体" w:cs="宋体"/>
          <w:b w:val="0"/>
          <w:bCs w:val="0"/>
          <w:color w:val="auto"/>
          <w:sz w:val="24"/>
          <w:szCs w:val="24"/>
          <w:lang w:val="en-US" w:eastAsia="zh-CN"/>
        </w:rPr>
        <w:t>投标人核心生产设备；</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7</w:t>
      </w:r>
      <w:r>
        <w:rPr>
          <w:rFonts w:hint="eastAsia" w:ascii="宋体" w:hAnsi="宋体" w:eastAsia="宋体" w:cs="宋体"/>
          <w:color w:val="auto"/>
          <w:sz w:val="24"/>
        </w:rPr>
        <w:t>安装调试方案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cs="宋体"/>
          <w:color w:val="auto"/>
          <w:sz w:val="24"/>
          <w:lang w:val="en-US" w:eastAsia="zh-CN"/>
        </w:rPr>
        <w:t>8</w:t>
      </w:r>
      <w:r>
        <w:rPr>
          <w:rFonts w:hint="eastAsia" w:ascii="宋体" w:hAnsi="宋体" w:eastAsia="宋体" w:cs="宋体"/>
          <w:color w:val="auto"/>
          <w:sz w:val="24"/>
        </w:rPr>
        <w:t>售后服务方案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cs="宋体"/>
          <w:color w:val="auto"/>
          <w:sz w:val="24"/>
          <w:lang w:val="en-US" w:eastAsia="zh-CN"/>
        </w:rPr>
        <w:t>9</w:t>
      </w:r>
      <w:r>
        <w:rPr>
          <w:rFonts w:hint="eastAsia" w:ascii="宋体" w:hAnsi="宋体" w:eastAsia="宋体" w:cs="宋体"/>
          <w:color w:val="auto"/>
          <w:sz w:val="24"/>
        </w:rPr>
        <w:t>政府采购政策</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cs="宋体"/>
          <w:color w:val="auto"/>
          <w:sz w:val="24"/>
          <w:lang w:val="en-US" w:eastAsia="zh-CN"/>
        </w:rPr>
        <w:t>20</w:t>
      </w:r>
      <w:r>
        <w:rPr>
          <w:rFonts w:hint="eastAsia" w:ascii="宋体" w:hAnsi="宋体" w:eastAsia="宋体" w:cs="宋体"/>
          <w:color w:val="auto"/>
          <w:sz w:val="24"/>
        </w:rPr>
        <w:t>第四部分“评标办法”中要求提供的资料。</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cs="宋体"/>
          <w:color w:val="auto"/>
          <w:sz w:val="24"/>
          <w:lang w:val="en-US" w:eastAsia="zh-CN"/>
        </w:rPr>
        <w:t>21</w:t>
      </w:r>
      <w:r>
        <w:rPr>
          <w:rFonts w:hint="eastAsia" w:ascii="宋体" w:hAnsi="宋体" w:eastAsia="宋体" w:cs="宋体"/>
          <w:color w:val="auto"/>
          <w:sz w:val="24"/>
          <w:lang w:val="zh-CN"/>
        </w:rPr>
        <w:t>政府采购供应商廉洁自律承诺书；</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2</w:t>
      </w:r>
      <w:r>
        <w:rPr>
          <w:rFonts w:hint="eastAsia" w:ascii="宋体" w:hAnsi="宋体" w:eastAsia="宋体" w:cs="宋体"/>
          <w:color w:val="auto"/>
          <w:sz w:val="24"/>
          <w:lang w:val="zh-CN"/>
        </w:rPr>
        <w:t>缴纳采购代理服务费承诺书；</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3报价文件：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11.3.2投标分项报价表。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rPr>
      </w:pPr>
      <w:bookmarkStart w:id="24" w:name="_Toc11344"/>
      <w:bookmarkStart w:id="25" w:name="_Toc23300"/>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bookmarkEnd w:id="24"/>
      <w:bookmarkEnd w:id="25"/>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5"/>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5"/>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rPr>
      </w:pPr>
    </w:p>
    <w:p>
      <w:pPr>
        <w:pStyle w:val="135"/>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pPr>
        <w:pStyle w:val="559"/>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0"/>
        </w:rPr>
        <w:t>　</w:t>
      </w:r>
      <w:r>
        <w:rPr>
          <w:rFonts w:hint="eastAsia" w:ascii="宋体" w:hAnsi="宋体" w:eastAsia="宋体" w:cs="宋体"/>
          <w:b/>
          <w:color w:val="auto"/>
          <w:sz w:val="24"/>
          <w:szCs w:val="24"/>
        </w:rPr>
        <w:t>18.4投标文件解密结束，各投标人签署《政府采购活动现场确认声明书》（格式见附件），签署完成后，扫描发送至邮箱：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b/>
          <w:color w:val="auto"/>
          <w:sz w:val="24"/>
          <w:szCs w:val="24"/>
        </w:rPr>
        <w:t>253656196@qq.com；</w:t>
      </w:r>
      <w:r>
        <w:rPr>
          <w:rFonts w:hint="eastAsia" w:ascii="宋体" w:hAnsi="宋体" w:eastAsia="宋体" w:cs="宋体"/>
          <w:b/>
          <w:color w:val="auto"/>
          <w:sz w:val="24"/>
          <w:szCs w:val="24"/>
        </w:rPr>
        <w:fldChar w:fldCharType="end"/>
      </w:r>
    </w:p>
    <w:p>
      <w:pPr>
        <w:pStyle w:val="135"/>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　</w:t>
      </w:r>
      <w:bookmarkStart w:id="26" w:name="_Toc30845"/>
      <w:r>
        <w:rPr>
          <w:rFonts w:hint="eastAsia" w:ascii="宋体" w:hAnsi="宋体" w:eastAsia="宋体" w:cs="宋体"/>
          <w:b/>
          <w:color w:val="auto"/>
          <w:szCs w:val="24"/>
        </w:rPr>
        <w:t>19.资格审查</w:t>
      </w:r>
      <w:bookmarkEnd w:id="26"/>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35"/>
        <w:spacing w:before="0"/>
        <w:ind w:firstLine="420" w:firstLineChars="0"/>
        <w:rPr>
          <w:rFonts w:hint="eastAsia" w:ascii="宋体" w:hAnsi="宋体" w:eastAsia="宋体" w:cs="宋体"/>
          <w:color w:val="auto"/>
          <w:kern w:val="0"/>
          <w:szCs w:val="24"/>
        </w:rPr>
      </w:pPr>
      <w:r>
        <w:rPr>
          <w:rFonts w:hint="eastAsia" w:ascii="宋体" w:hAnsi="宋体" w:eastAsia="宋体" w:cs="宋体"/>
          <w:color w:val="auto"/>
          <w:kern w:val="0"/>
          <w:szCs w:val="24"/>
        </w:rPr>
        <w:t>`</w:t>
      </w:r>
      <w:r>
        <w:rPr>
          <w:rFonts w:hint="eastAsia" w:ascii="宋体" w:hAnsi="宋体" w:eastAsia="宋体" w:cs="宋体"/>
          <w:color w:val="auto"/>
          <w:kern w:val="0"/>
          <w:szCs w:val="24"/>
        </w:rPr>
        <w:tab/>
      </w:r>
      <w:r>
        <w:rPr>
          <w:rFonts w:hint="eastAsia" w:ascii="宋体" w:hAnsi="宋体" w:eastAsia="宋体" w:cs="宋体"/>
          <w:color w:val="auto"/>
          <w:kern w:val="0"/>
          <w:szCs w:val="24"/>
        </w:rPr>
        <w:tab/>
      </w:r>
      <w:r>
        <w:rPr>
          <w:rFonts w:hint="eastAsia" w:ascii="宋体" w:hAnsi="宋体" w:eastAsia="宋体" w:cs="宋体"/>
          <w:color w:val="auto"/>
          <w:kern w:val="0"/>
          <w:szCs w:val="24"/>
        </w:rPr>
        <w:tab/>
      </w:r>
    </w:p>
    <w:p>
      <w:pPr>
        <w:snapToGrid w:val="0"/>
        <w:spacing w:line="360" w:lineRule="auto"/>
        <w:jc w:val="center"/>
        <w:outlineLvl w:val="0"/>
        <w:rPr>
          <w:rFonts w:hint="eastAsia" w:ascii="宋体" w:hAnsi="宋体" w:eastAsia="宋体" w:cs="宋体"/>
          <w:b/>
          <w:color w:val="auto"/>
          <w:sz w:val="36"/>
          <w:szCs w:val="36"/>
        </w:rPr>
      </w:pPr>
      <w:bookmarkStart w:id="27" w:name="_Toc26580"/>
      <w:bookmarkStart w:id="28" w:name="_Toc22555"/>
      <w:r>
        <w:rPr>
          <w:rFonts w:hint="eastAsia" w:ascii="宋体" w:hAnsi="宋体" w:eastAsia="宋体" w:cs="宋体"/>
          <w:b/>
          <w:color w:val="auto"/>
          <w:sz w:val="36"/>
          <w:szCs w:val="36"/>
        </w:rPr>
        <w:t>五、评标</w:t>
      </w:r>
      <w:bookmarkEnd w:id="27"/>
      <w:bookmarkEnd w:id="28"/>
    </w:p>
    <w:p>
      <w:pPr>
        <w:spacing w:line="360" w:lineRule="auto"/>
        <w:rPr>
          <w:rFonts w:hint="eastAsia" w:ascii="宋体" w:hAnsi="宋体" w:eastAsia="宋体" w:cs="宋体"/>
          <w:b/>
          <w:color w:val="auto"/>
          <w:sz w:val="24"/>
        </w:rPr>
      </w:pPr>
      <w:bookmarkStart w:id="29"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bookmarkStart w:id="30" w:name="_Toc11208"/>
      <w:bookmarkStart w:id="31" w:name="_Toc4473"/>
      <w:r>
        <w:rPr>
          <w:rFonts w:hint="eastAsia" w:ascii="宋体" w:hAnsi="宋体" w:eastAsia="宋体" w:cs="宋体"/>
          <w:b/>
          <w:color w:val="auto"/>
          <w:sz w:val="36"/>
          <w:szCs w:val="36"/>
        </w:rPr>
        <w:t>六、定标</w:t>
      </w:r>
      <w:bookmarkEnd w:id="30"/>
      <w:bookmarkEnd w:id="31"/>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35"/>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2" w:name="_Hlk101184471"/>
      <w:r>
        <w:rPr>
          <w:rFonts w:hint="eastAsia" w:ascii="宋体" w:hAnsi="宋体" w:eastAsia="宋体" w:cs="宋体"/>
          <w:color w:val="auto"/>
          <w:szCs w:val="24"/>
        </w:rPr>
        <w:t>资格审查情况、评审专家抽取规则、符合性审查情况、</w:t>
      </w:r>
      <w:bookmarkEnd w:id="32"/>
      <w:r>
        <w:rPr>
          <w:rFonts w:hint="eastAsia" w:ascii="宋体" w:hAnsi="宋体" w:eastAsia="宋体" w:cs="宋体"/>
          <w:color w:val="auto"/>
          <w:szCs w:val="24"/>
        </w:rPr>
        <w:t>中标公告期限以及评审专家名单、评分汇总及明细。</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6</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26.1电子交易平台发生故障而无法登录访问的；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26.2电子交易平台应用或数据库出现错误，不能进行正常操作的；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26.3电子交易平台发现严重安全漏洞，有潜在泄密危险的；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26.4病毒发作导致不能进行正常操作的；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26.5其他无法保证电子交易的公平、公正和安全的情况。</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bookmarkEnd w:id="29"/>
    <w:p>
      <w:pPr>
        <w:tabs>
          <w:tab w:val="left" w:pos="0"/>
        </w:tabs>
        <w:spacing w:line="360" w:lineRule="auto"/>
        <w:ind w:firstLine="480"/>
        <w:rPr>
          <w:rFonts w:hint="eastAsia" w:ascii="宋体" w:hAnsi="宋体" w:eastAsia="宋体" w:cs="宋体"/>
          <w:color w:val="auto"/>
          <w:kern w:val="0"/>
          <w:sz w:val="24"/>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3" w:name="_Hlt68403820"/>
      <w:bookmarkEnd w:id="33"/>
      <w:bookmarkStart w:id="34" w:name="_Hlt68072990"/>
      <w:bookmarkEnd w:id="34"/>
      <w:bookmarkStart w:id="35" w:name="_Hlt74714665"/>
      <w:bookmarkEnd w:id="35"/>
      <w:bookmarkStart w:id="36" w:name="_Hlt74707468"/>
      <w:bookmarkEnd w:id="36"/>
      <w:bookmarkStart w:id="37" w:name="_Hlt74730295"/>
      <w:bookmarkEnd w:id="37"/>
      <w:bookmarkStart w:id="38" w:name="_Hlt75236101"/>
      <w:bookmarkEnd w:id="38"/>
      <w:bookmarkStart w:id="39" w:name="_Hlt75236011"/>
      <w:bookmarkEnd w:id="39"/>
      <w:bookmarkStart w:id="40" w:name="_Hlt74729768"/>
      <w:bookmarkEnd w:id="40"/>
      <w:bookmarkStart w:id="41" w:name="_Hlt68073093"/>
      <w:bookmarkEnd w:id="41"/>
      <w:bookmarkStart w:id="42" w:name="_Hlt68072998"/>
      <w:bookmarkEnd w:id="42"/>
      <w:bookmarkStart w:id="43" w:name="_Hlt68057669"/>
      <w:bookmarkEnd w:id="43"/>
      <w:bookmarkStart w:id="44" w:name="_Hlt75236290"/>
      <w:bookmarkEnd w:id="44"/>
    </w:p>
    <w:bookmarkEnd w:id="14"/>
    <w:bookmarkEnd w:id="15"/>
    <w:p>
      <w:pPr>
        <w:adjustRightInd/>
        <w:spacing w:line="360" w:lineRule="auto"/>
        <w:jc w:val="center"/>
        <w:outlineLvl w:val="0"/>
        <w:rPr>
          <w:rStyle w:val="286"/>
          <w:rFonts w:hint="eastAsia" w:ascii="宋体" w:hAnsi="宋体" w:eastAsia="宋体" w:cs="宋体"/>
          <w:color w:val="auto"/>
          <w:szCs w:val="36"/>
        </w:rPr>
      </w:pPr>
      <w:bookmarkStart w:id="45" w:name="_Toc23643"/>
      <w:bookmarkStart w:id="46" w:name="第四部分"/>
      <w:r>
        <w:rPr>
          <w:rStyle w:val="286"/>
          <w:rFonts w:hint="eastAsia" w:ascii="宋体" w:hAnsi="宋体" w:eastAsia="宋体" w:cs="宋体"/>
          <w:color w:val="auto"/>
          <w:szCs w:val="36"/>
        </w:rPr>
        <w:t>第三部分采购需求</w:t>
      </w:r>
      <w:bookmarkEnd w:id="45"/>
    </w:p>
    <w:p>
      <w:pPr>
        <w:numPr>
          <w:ilvl w:val="0"/>
          <w:numId w:val="0"/>
        </w:numPr>
        <w:rPr>
          <w:rFonts w:hint="eastAsia" w:ascii="宋体" w:hAnsi="宋体" w:eastAsia="宋体" w:cs="宋体"/>
          <w:b/>
          <w:bCs/>
          <w:color w:val="auto"/>
          <w:sz w:val="24"/>
          <w:lang w:eastAsia="zh-CN"/>
        </w:rPr>
      </w:pPr>
      <w:bookmarkStart w:id="47" w:name="_Toc32320"/>
      <w:r>
        <w:rPr>
          <w:rFonts w:hint="eastAsia" w:ascii="宋体" w:hAnsi="宋体" w:eastAsia="宋体" w:cs="宋体"/>
          <w:b/>
          <w:bCs/>
          <w:color w:val="auto"/>
          <w:sz w:val="24"/>
          <w:lang w:eastAsia="zh-CN"/>
        </w:rPr>
        <w:t>一、采购清单及技术要求</w:t>
      </w:r>
    </w:p>
    <w:p>
      <w:pPr>
        <w:numPr>
          <w:ilvl w:val="0"/>
          <w:numId w:val="0"/>
        </w:numPr>
        <w:rPr>
          <w:rFonts w:hint="eastAsia" w:ascii="宋体" w:hAnsi="宋体" w:eastAsia="宋体" w:cs="宋体"/>
          <w:color w:val="auto"/>
          <w:lang w:eastAsia="zh-CN"/>
        </w:rPr>
      </w:pPr>
    </w:p>
    <w:bookmarkEnd w:id="47"/>
    <w:tbl>
      <w:tblPr>
        <w:tblStyle w:val="75"/>
        <w:tblW w:w="14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690"/>
        <w:gridCol w:w="1054"/>
        <w:gridCol w:w="1739"/>
        <w:gridCol w:w="9920"/>
        <w:gridCol w:w="615"/>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bookmarkStart w:id="48" w:name="_Toc450840086"/>
            <w:bookmarkStart w:id="49" w:name="_Toc23621"/>
            <w:bookmarkStart w:id="50" w:name="_Toc3325"/>
            <w:r>
              <w:rPr>
                <w:rFonts w:hint="eastAsia" w:ascii="宋体" w:hAnsi="宋体" w:eastAsia="宋体" w:cs="宋体"/>
                <w:i w:val="0"/>
                <w:color w:val="000000"/>
                <w:kern w:val="0"/>
                <w:sz w:val="24"/>
                <w:szCs w:val="24"/>
                <w:u w:val="none"/>
                <w:lang w:val="en-US" w:eastAsia="zh-CN" w:bidi="ar"/>
              </w:rPr>
              <w:t>序号</w:t>
            </w:r>
          </w:p>
        </w:tc>
        <w:tc>
          <w:tcPr>
            <w:tcW w:w="10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标的名称</w:t>
            </w:r>
          </w:p>
        </w:tc>
        <w:tc>
          <w:tcPr>
            <w:tcW w:w="17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产品图片</w:t>
            </w:r>
          </w:p>
        </w:tc>
        <w:tc>
          <w:tcPr>
            <w:tcW w:w="99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规格及技术参数</w:t>
            </w:r>
          </w:p>
        </w:tc>
        <w:tc>
          <w:tcPr>
            <w:tcW w:w="6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054"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定制单人手摇升降课桌椅</w:t>
            </w:r>
          </w:p>
        </w:tc>
        <w:tc>
          <w:tcPr>
            <w:tcW w:w="1739" w:type="dxa"/>
            <w:tcBorders>
              <w:tl2br w:val="nil"/>
              <w:tr2bl w:val="nil"/>
            </w:tcBorders>
            <w:shd w:val="clear" w:color="auto" w:fill="auto"/>
            <w:textDirection w:val="lrTb"/>
            <w:vAlign w:val="bottom"/>
          </w:tcPr>
          <w:p>
            <w:pPr>
              <w:keepNext w:val="0"/>
              <w:keepLines w:val="0"/>
              <w:widowControl/>
              <w:suppressLineNumbers w:val="0"/>
              <w:spacing w:beforeLines="0" w:afterLines="0" w:line="360" w:lineRule="auto"/>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"C:\\Users\\ADMINI~1\\AppData\\Local\\Temp\\ksohtml\\clip_image16.png"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1162050" cy="1000125"/>
                  <wp:effectExtent l="0" t="0" r="0" b="9525"/>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21" r:link="rId22"/>
                          <a:stretch>
                            <a:fillRect/>
                          </a:stretch>
                        </pic:blipFill>
                        <pic:spPr>
                          <a:xfrm>
                            <a:off x="0" y="0"/>
                            <a:ext cx="1162050" cy="1000125"/>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▲（1）规格：课桌椅高度按《GB/T 3976-2014学校课桌椅功能尺寸及技术要求》适合学生标准高度设置，能满足以下高度：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桌面板、椅座板及椅背板：桌面板尺寸长644mm*宽444mm*厚20mm，椅座板尺寸390*388*厚18mm，椅背板尺寸长370mm*宽220mm*厚18mm；采用“A”级E1橡胶木指接板，仿形制作，截面倒圆角并经圆滑修饰。桌面靠学生胸前鸭嘴型设计，防止学生书写时挤压胸腔，对边共设一处条形笔槽。采用优质品牌木器专用环保型半亚光辊涂UV透明漆，附着力强，漆膜强韧，流平性高；工艺采用自动辊涂流水线涂饰，漆膜具有硬度、丰满度、附着力、耐污性、耐溶剂等效果佳；环保符合国家《GB18581-2009室内装饰装修材料溶剂型木器涂料中有害物质限量》强制性标准要求；整体防污性强：用水性记号笔，画上,24小时后擦无残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▲2）塑料桌斗：外尺寸520*365*100（±3）mm，采用ABS工程塑料全新料注塑成型，尺寸能满足GB3976-2014《学校课桌椅功能尺寸及技术要求》对桌下净空高的要求。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课桌架，主体采用焊接钢管焊接制作，壁厚≥1.2mm。落地脚60*30扁圆管，立柱70*35扁圆管，桌腿连接横档两根40*20扁圆管，一体焊接；地脚管经过液压冲床冲压后呈双S曲线，增强脚管的扭力和支撑力，立柱与地脚管采用插入式焊接工艺；课桌一体升降侧片，采用增强PA一体注塑成型，集合了桌面固定侧片和书包挂钩、升降内管（截面扁圆60*30mm，表面注塑有高度标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课椅架：主体采用焊接钢管焊接制作，壁厚≥1.2mm。落地脚60*30扁圆管、立柱70*35扁圆管、椅腿连接横档40*20扁圆管，一体焊接；课椅座背固定底座，升降内管60*30扁圆管，椅背管φ22*圆管，座底连接管20*20方管，一体焊接。书包网兜，网格采用实芯圆钢φ3.5mm，网格尺寸≤48*48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5）金属部件采用混合气气体保护焊焊接，无焊渣，焊接牢固，无脱焊、虚焊和焊穿现象，焊点平整，线焊平直，无漏焊。光滑美观，无明显凹凸感。表面进行除油、除锈、酸洗、清洗及磷化工艺处理后，通过粉沫喷涂设备进行静电喷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▲6）脚套：二次注塑成型，上部壁厚1.6mm硬质低密度聚乙烯(LDPE），下部采用弹性体TPE；内壁与脚管紧配，倒扣安装，在外拉力500N下不脱落。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升降结构及方式：传动齿轮箱体采用塑料壳体，铝注一体成型齿轮，采用插入式把手摇动，左右齿轮箱同步联动，升降轻松平稳、同步、无级。桌椅的高度标尺，升降管侧面有激光打印高度尺寸，刻度标记设置符合《GB/T 3976-2014学校课桌椅功能尺寸及技术要求》标准，图文清晰。</w:t>
            </w:r>
          </w:p>
        </w:tc>
        <w:tc>
          <w:tcPr>
            <w:tcW w:w="615"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735"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054"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书包柜（靠窗）</w:t>
            </w:r>
          </w:p>
        </w:tc>
        <w:tc>
          <w:tcPr>
            <w:tcW w:w="1739"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"C:\\Users\\ADMINI~1\\AppData\\Local\\Temp\\ksohtml\\clip_image15.png"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1076325" cy="723900"/>
                  <wp:effectExtent l="0" t="0" r="9525" b="0"/>
                  <wp:docPr id="17"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7"/>
                          <pic:cNvPicPr>
                            <a:picLocks noChangeAspect="1"/>
                          </pic:cNvPicPr>
                        </pic:nvPicPr>
                        <pic:blipFill>
                          <a:blip r:embed="rId23" r:link="rId24"/>
                          <a:stretch>
                            <a:fillRect/>
                          </a:stretch>
                        </pic:blipFill>
                        <pic:spPr>
                          <a:xfrm>
                            <a:off x="0" y="0"/>
                            <a:ext cx="1076325" cy="7239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规格：靠窗宽6100*深430*高850mm(16格/层*2层），共32个储位。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①台面：采用“A”级18mm厚橡胶木指接板，台面包边加厚36mm。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②主体材料：采用“A”级18mm厚橡胶木指接板。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③油漆：UV环保漆（颜色如图），采用自动辊涂线油饰，五底三面，透明度高，附着力强，色泽美观，不变色，光滑耐磨，手感好,漆膜硬度达2H以上，符合GB18581-2009标准。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④五金配件：DTC液压缓冲铰链。</w:t>
            </w:r>
          </w:p>
        </w:tc>
        <w:tc>
          <w:tcPr>
            <w:tcW w:w="61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73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054"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书包柜（后墙）</w:t>
            </w:r>
          </w:p>
        </w:tc>
        <w:tc>
          <w:tcPr>
            <w:tcW w:w="1739"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"C:\\Users\\ADMINI~1\\AppData\\Local\\Temp\\ksohtml\\clip_image17.png"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952500" cy="800100"/>
                  <wp:effectExtent l="0" t="0" r="0" b="0"/>
                  <wp:docPr id="1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8"/>
                          <pic:cNvPicPr>
                            <a:picLocks noChangeAspect="1"/>
                          </pic:cNvPicPr>
                        </pic:nvPicPr>
                        <pic:blipFill>
                          <a:blip r:embed="rId25" r:link="rId26"/>
                          <a:stretch>
                            <a:fillRect/>
                          </a:stretch>
                        </pic:blipFill>
                        <pic:spPr>
                          <a:xfrm>
                            <a:off x="0" y="0"/>
                            <a:ext cx="952500" cy="8001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规格：后墙宽3430*深430*高850mm(9格/层*2层），共18个储位。</w:t>
            </w:r>
          </w:p>
        </w:tc>
        <w:tc>
          <w:tcPr>
            <w:tcW w:w="61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73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054"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卫生柜（后墙）</w:t>
            </w:r>
          </w:p>
        </w:tc>
        <w:tc>
          <w:tcPr>
            <w:tcW w:w="1739"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"C:\\Users\\ADMINI~1\\AppData\\Local\\Temp\\ksohtml\\clip_image13.png"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1266825" cy="571500"/>
                  <wp:effectExtent l="0" t="0" r="9525" b="0"/>
                  <wp:docPr id="1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9"/>
                          <pic:cNvPicPr>
                            <a:picLocks noChangeAspect="1"/>
                          </pic:cNvPicPr>
                        </pic:nvPicPr>
                        <pic:blipFill>
                          <a:blip r:embed="rId27" r:link="rId28"/>
                          <a:stretch>
                            <a:fillRect/>
                          </a:stretch>
                        </pic:blipFill>
                        <pic:spPr>
                          <a:xfrm>
                            <a:off x="0" y="0"/>
                            <a:ext cx="1266825" cy="57150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规格：长1400*宽430*高1200mm(款式如图)。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①主体采用“A”级18mm厚橡胶木指接板，背板采用9mm厚橡胶木指接板。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②油漆：UV环保漆（清漆），采用自动辊涂线漆饰，漆膜硬度达2H以上，环保符合GB18581-2009标准。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③五金配件：DTC液压缓冲铰链。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Cs/>
                <w:color w:val="auto"/>
                <w:sz w:val="24"/>
                <w:lang w:val="en-US" w:eastAsia="zh-CN"/>
              </w:rPr>
              <w:t>★</w:t>
            </w:r>
            <w:r>
              <w:rPr>
                <w:rFonts w:hint="eastAsia" w:ascii="宋体" w:hAnsi="宋体" w:eastAsia="宋体" w:cs="宋体"/>
                <w:i w:val="0"/>
                <w:color w:val="000000"/>
                <w:kern w:val="0"/>
                <w:sz w:val="24"/>
                <w:szCs w:val="24"/>
                <w:u w:val="none"/>
                <w:lang w:val="en-US" w:eastAsia="zh-CN" w:bidi="ar"/>
              </w:rPr>
              <w:t>③功能设置：左侧两门内放置卫生桶，上部两块重力复位翻版，分“可回收垃圾”和“其他垃圾”，门面上丝网印刷垃圾分类标识；右侧为笤帚、畚斗储位，抹布可悬挂；背板设多处φ20mm透气孔（能有效散除异味）。</w:t>
            </w:r>
          </w:p>
        </w:tc>
        <w:tc>
          <w:tcPr>
            <w:tcW w:w="61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73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054"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原木讲台</w:t>
            </w:r>
          </w:p>
        </w:tc>
        <w:tc>
          <w:tcPr>
            <w:tcW w:w="1739"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"C:\\Users\\ADMINI~1\\AppData\\Local\\Temp\\ksohtml\\clip_image2.png"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742950" cy="666750"/>
                  <wp:effectExtent l="0" t="0" r="0" b="0"/>
                  <wp:docPr id="2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60"/>
                          <pic:cNvPicPr>
                            <a:picLocks noChangeAspect="1"/>
                          </pic:cNvPicPr>
                        </pic:nvPicPr>
                        <pic:blipFill>
                          <a:blip r:embed="rId29" r:link="rId30"/>
                          <a:stretch>
                            <a:fillRect/>
                          </a:stretch>
                        </pic:blipFill>
                        <pic:spPr>
                          <a:xfrm>
                            <a:off x="0" y="0"/>
                            <a:ext cx="742950" cy="66675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"C:\\Users\\ADMINI~1\\AppData\\Local\\Temp\\ksohtml\\clip_image3.png"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400050" cy="352425"/>
                  <wp:effectExtent l="0" t="0" r="0" b="9525"/>
                  <wp:docPr id="2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61"/>
                          <pic:cNvPicPr>
                            <a:picLocks noChangeAspect="1"/>
                          </pic:cNvPicPr>
                        </pic:nvPicPr>
                        <pic:blipFill>
                          <a:blip r:embed="rId31" r:link="rId32"/>
                          <a:stretch>
                            <a:fillRect/>
                          </a:stretch>
                        </pic:blipFill>
                        <pic:spPr>
                          <a:xfrm>
                            <a:off x="0" y="0"/>
                            <a:ext cx="400050" cy="352425"/>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规格:长1200mm*宽500mm*台面高950*总高1050mm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①主体材料：采用“A”级18mm厚橡胶木指接板，桌面外露长边采用宽30mm板条加厚至36mm。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②油漆：UV环保漆（颜色如图），采用自动辊涂线漆饰，五底三面，透明度高，附着力强，色泽美观，不变色，光滑耐磨，漆膜硬度达2H以上，环保符合GB18581-2009标准。</w:t>
            </w:r>
          </w:p>
        </w:tc>
        <w:tc>
          <w:tcPr>
            <w:tcW w:w="61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组</w:t>
            </w:r>
          </w:p>
        </w:tc>
        <w:tc>
          <w:tcPr>
            <w:tcW w:w="735" w:type="dxa"/>
            <w:tcBorders>
              <w:tl2br w:val="nil"/>
              <w:tr2bl w:val="nil"/>
            </w:tcBorders>
            <w:shd w:val="clear" w:color="auto" w:fill="FFFFFF"/>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054"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定制实木椅</w:t>
            </w:r>
          </w:p>
        </w:tc>
        <w:tc>
          <w:tcPr>
            <w:tcW w:w="1739"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"C:\\Users\\ADMINI~1\\AppData\\Local\\Temp\\ksohtml\\clip_image11.png"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466725" cy="466725"/>
                  <wp:effectExtent l="0" t="0" r="9525" b="9525"/>
                  <wp:docPr id="2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62"/>
                          <pic:cNvPicPr>
                            <a:picLocks noChangeAspect="1"/>
                          </pic:cNvPicPr>
                        </pic:nvPicPr>
                        <pic:blipFill>
                          <a:blip r:embed="rId33" r:link="rId34"/>
                          <a:stretch>
                            <a:fillRect/>
                          </a:stretch>
                        </pic:blipFill>
                        <pic:spPr>
                          <a:xfrm>
                            <a:off x="0" y="0"/>
                            <a:ext cx="466725" cy="466725"/>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采用AA级优质橡胶木实木（原木），表面结疤少，木材干燥处理至＜8%含水率；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UV环保漆（清漆），采用自动辊涂线油饰，五底三面八道工序，漆膜硬度达2H~3H之间。</w:t>
            </w:r>
          </w:p>
        </w:tc>
        <w:tc>
          <w:tcPr>
            <w:tcW w:w="615"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把</w:t>
            </w:r>
          </w:p>
        </w:tc>
        <w:tc>
          <w:tcPr>
            <w:tcW w:w="735"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3" w:hRule="atLeast"/>
        </w:trPr>
        <w:tc>
          <w:tcPr>
            <w:tcW w:w="6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Lines="0" w:afterLines="0" w:line="360" w:lineRule="auto"/>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054"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定制教室办公桌</w:t>
            </w:r>
          </w:p>
        </w:tc>
        <w:tc>
          <w:tcPr>
            <w:tcW w:w="1739"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"C:\\Users\\ADMINI~1\\AppData\\Local\\Temp\\ksohtml\\clip_image9.png"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952500" cy="514350"/>
                  <wp:effectExtent l="0" t="0" r="0" b="0"/>
                  <wp:docPr id="2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63"/>
                          <pic:cNvPicPr>
                            <a:picLocks noChangeAspect="1"/>
                          </pic:cNvPicPr>
                        </pic:nvPicPr>
                        <pic:blipFill>
                          <a:blip r:embed="rId35" r:link="rId36"/>
                          <a:stretch>
                            <a:fillRect/>
                          </a:stretch>
                        </pic:blipFill>
                        <pic:spPr>
                          <a:xfrm>
                            <a:off x="0" y="0"/>
                            <a:ext cx="952500" cy="514350"/>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r>
              <w:rPr>
                <w:rFonts w:hint="eastAsia" w:ascii="宋体" w:hAnsi="宋体" w:eastAsia="宋体" w:cs="宋体"/>
                <w:i w:val="0"/>
                <w:color w:val="000000"/>
                <w:kern w:val="0"/>
                <w:sz w:val="24"/>
                <w:szCs w:val="24"/>
                <w:u w:val="none"/>
                <w:lang w:val="en-US" w:eastAsia="zh-CN" w:bidi="ar"/>
              </w:rPr>
              <w:fldChar w:fldCharType="begin"/>
            </w:r>
            <w:r>
              <w:rPr>
                <w:rFonts w:hint="eastAsia" w:ascii="宋体" w:hAnsi="宋体" w:eastAsia="宋体" w:cs="宋体"/>
                <w:i w:val="0"/>
                <w:color w:val="000000"/>
                <w:kern w:val="0"/>
                <w:sz w:val="24"/>
                <w:szCs w:val="24"/>
                <w:u w:val="none"/>
                <w:lang w:val="en-US" w:eastAsia="zh-CN" w:bidi="ar"/>
              </w:rPr>
              <w:instrText xml:space="preserve">INCLUDEPICTURE \d "C:\\Users\\ADMINI~1\\AppData\\Local\\Temp\\ksohtml\\clip_image10.png" \* MERGEFORMATINET </w:instrText>
            </w:r>
            <w:r>
              <w:rPr>
                <w:rFonts w:hint="eastAsia" w:ascii="宋体" w:hAnsi="宋体" w:eastAsia="宋体" w:cs="宋体"/>
                <w:i w:val="0"/>
                <w:color w:val="000000"/>
                <w:kern w:val="0"/>
                <w:sz w:val="24"/>
                <w:szCs w:val="24"/>
                <w:u w:val="none"/>
                <w:lang w:val="en-US" w:eastAsia="zh-CN" w:bidi="ar"/>
              </w:rPr>
              <w:fldChar w:fldCharType="separate"/>
            </w:r>
            <w:r>
              <w:rPr>
                <w:rFonts w:hint="eastAsia" w:ascii="宋体" w:hAnsi="宋体" w:eastAsia="宋体" w:cs="宋体"/>
                <w:i w:val="0"/>
                <w:color w:val="000000"/>
                <w:kern w:val="0"/>
                <w:sz w:val="24"/>
                <w:szCs w:val="24"/>
                <w:u w:val="none"/>
                <w:lang w:val="en-US" w:eastAsia="zh-CN" w:bidi="ar"/>
              </w:rPr>
              <w:drawing>
                <wp:inline distT="0" distB="0" distL="114300" distR="114300">
                  <wp:extent cx="266700" cy="466725"/>
                  <wp:effectExtent l="0" t="0" r="0" b="9525"/>
                  <wp:docPr id="2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IMG_264"/>
                          <pic:cNvPicPr>
                            <a:picLocks noChangeAspect="1"/>
                          </pic:cNvPicPr>
                        </pic:nvPicPr>
                        <pic:blipFill>
                          <a:blip r:embed="rId37" r:link="rId38"/>
                          <a:stretch>
                            <a:fillRect/>
                          </a:stretch>
                        </pic:blipFill>
                        <pic:spPr>
                          <a:xfrm>
                            <a:off x="0" y="0"/>
                            <a:ext cx="266700" cy="466725"/>
                          </a:xfrm>
                          <a:prstGeom prst="rect">
                            <a:avLst/>
                          </a:prstGeom>
                          <a:noFill/>
                          <a:ln w="9525">
                            <a:noFill/>
                            <a:miter/>
                          </a:ln>
                        </pic:spPr>
                      </pic:pic>
                    </a:graphicData>
                  </a:graphic>
                </wp:inline>
              </w:drawing>
            </w:r>
            <w:r>
              <w:rPr>
                <w:rFonts w:hint="eastAsia" w:ascii="宋体" w:hAnsi="宋体" w:eastAsia="宋体" w:cs="宋体"/>
                <w:i w:val="0"/>
                <w:color w:val="000000"/>
                <w:kern w:val="0"/>
                <w:sz w:val="24"/>
                <w:szCs w:val="24"/>
                <w:u w:val="none"/>
                <w:lang w:val="en-US" w:eastAsia="zh-CN" w:bidi="ar"/>
              </w:rPr>
              <w:fldChar w:fldCharType="end"/>
            </w:r>
          </w:p>
        </w:tc>
        <w:tc>
          <w:tcPr>
            <w:tcW w:w="9920"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规格：总宽1200*深600*台面高760mm；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主材：所有板材均采用“A”级橡胶木指接板，板材厚度为18mm；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油漆：采用优质品牌木器专用绿色环保型半亚光UV漆，附着力强，漆膜强韧，流平性高，台面及易划部分做耐磨、抗划加硬等工艺；工艺采用自动辊涂线涂装，五底三面，表面无鼓泡、渣点、颗粒、脱漆、变色等不良现象，达到手感好、光洁平整、色泽均匀、美观大气等效果；甲醛释放量符合国家《GB18584-2001室内装饰装修材料木家具中有害物质限量》强制性标准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五金件：采用优质五金件。</w:t>
            </w:r>
          </w:p>
        </w:tc>
        <w:tc>
          <w:tcPr>
            <w:tcW w:w="615"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735" w:type="dxa"/>
            <w:tcBorders>
              <w:tl2br w:val="nil"/>
              <w:tr2bl w:val="nil"/>
            </w:tcBorders>
            <w:shd w:val="clear" w:color="auto" w:fill="auto"/>
            <w:textDirection w:val="lrTb"/>
            <w:vAlign w:val="center"/>
          </w:tcPr>
          <w:p>
            <w:pPr>
              <w:keepNext w:val="0"/>
              <w:keepLines w:val="0"/>
              <w:widowControl/>
              <w:suppressLineNumbers w:val="0"/>
              <w:spacing w:beforeLines="0" w:afterLines="0"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w:t>
      </w:r>
      <w:r>
        <w:rPr>
          <w:rFonts w:hint="eastAsia" w:ascii="宋体" w:hAnsi="宋体" w:cs="宋体"/>
          <w:i w:val="0"/>
          <w:color w:val="000000"/>
          <w:kern w:val="0"/>
          <w:sz w:val="24"/>
          <w:szCs w:val="24"/>
          <w:u w:val="none"/>
          <w:lang w:val="en-US" w:eastAsia="zh-CN" w:bidi="ar"/>
        </w:rPr>
        <w:t>交货</w:t>
      </w:r>
      <w:r>
        <w:rPr>
          <w:rFonts w:hint="eastAsia" w:ascii="宋体" w:hAnsi="宋体" w:eastAsia="宋体" w:cs="宋体"/>
          <w:i w:val="0"/>
          <w:color w:val="000000"/>
          <w:kern w:val="0"/>
          <w:sz w:val="24"/>
          <w:szCs w:val="24"/>
          <w:u w:val="none"/>
          <w:lang w:val="en-US" w:eastAsia="zh-CN" w:bidi="ar"/>
        </w:rPr>
        <w:t>时提供下列检测报告。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.课桌椅抽检报告：依据GB18580-2017、GB/T3325-2017   GB/T5296-6-2004、GB18584-2001标准检测；稳定性、强度和耐久性等符合标准。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2.桌架升降装置检测报告：依据GB 28481-2012</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32487-2016</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2406.2-2009</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1033.1-2008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7141-2008标准检测；耐老化500h、抗冲击强度、硬度、</w:t>
      </w:r>
      <w:r>
        <w:rPr>
          <w:rFonts w:hint="eastAsia" w:eastAsia="宋体" w:cs="宋体"/>
          <w:color w:val="auto"/>
          <w:kern w:val="0"/>
          <w:sz w:val="24"/>
          <w:szCs w:val="24"/>
          <w:lang w:val="en-US" w:eastAsia="zh-CN"/>
        </w:rPr>
        <w:t>热空气老化168h</w:t>
      </w:r>
      <w:r>
        <w:rPr>
          <w:rFonts w:hint="eastAsia" w:ascii="宋体" w:hAnsi="宋体" w:eastAsia="宋体" w:cs="宋体"/>
          <w:color w:val="auto"/>
          <w:kern w:val="0"/>
          <w:sz w:val="24"/>
          <w:szCs w:val="24"/>
          <w:lang w:val="en-US" w:eastAsia="zh-CN"/>
        </w:rPr>
        <w:t>、邻苯二甲酸脂等符合标准。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3.塑料</w:t>
      </w:r>
      <w:r>
        <w:rPr>
          <w:rFonts w:hint="eastAsia" w:eastAsia="宋体" w:cs="宋体"/>
          <w:color w:val="auto"/>
          <w:kern w:val="0"/>
          <w:sz w:val="24"/>
          <w:szCs w:val="24"/>
          <w:lang w:val="en-US" w:eastAsia="zh-CN"/>
        </w:rPr>
        <w:t>桌斗检测</w:t>
      </w:r>
      <w:r>
        <w:rPr>
          <w:rFonts w:hint="eastAsia" w:ascii="宋体" w:hAnsi="宋体" w:eastAsia="宋体" w:cs="宋体"/>
          <w:color w:val="auto"/>
          <w:kern w:val="0"/>
          <w:sz w:val="24"/>
          <w:szCs w:val="24"/>
          <w:lang w:val="en-US" w:eastAsia="zh-CN"/>
        </w:rPr>
        <w:t>报告：依据GB 28481-2012</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32487-2016</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2406.2-2009</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1033.1-2008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10357.1-2013</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w:t>
      </w:r>
      <w:r>
        <w:rPr>
          <w:rFonts w:hint="eastAsia"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7141-2008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1040.2-2006标准检测，耐老化500h、热空气老化168h、</w:t>
      </w:r>
      <w:r>
        <w:rPr>
          <w:rFonts w:hint="eastAsia" w:eastAsia="宋体" w:cs="宋体"/>
          <w:color w:val="auto"/>
          <w:kern w:val="0"/>
          <w:sz w:val="24"/>
          <w:szCs w:val="24"/>
          <w:lang w:val="en-US" w:eastAsia="zh-CN"/>
        </w:rPr>
        <w:t>垂直静载荷、</w:t>
      </w:r>
      <w:r>
        <w:rPr>
          <w:rFonts w:hint="eastAsia" w:ascii="宋体" w:hAnsi="宋体" w:eastAsia="宋体" w:cs="宋体"/>
          <w:color w:val="auto"/>
          <w:kern w:val="0"/>
          <w:sz w:val="24"/>
          <w:szCs w:val="24"/>
          <w:lang w:val="en-US" w:eastAsia="zh-CN"/>
        </w:rPr>
        <w:t>邻苯二甲酸脂等符合标准。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eastAsia="宋体" w:cs="宋体"/>
          <w:color w:val="auto"/>
          <w:kern w:val="0"/>
          <w:sz w:val="24"/>
          <w:szCs w:val="24"/>
          <w:lang w:val="en-US" w:eastAsia="zh-CN"/>
        </w:rPr>
        <w:t>脚套</w:t>
      </w:r>
      <w:r>
        <w:rPr>
          <w:rFonts w:hint="eastAsia" w:ascii="宋体" w:hAnsi="宋体" w:eastAsia="宋体" w:cs="宋体"/>
          <w:color w:val="auto"/>
          <w:kern w:val="0"/>
          <w:sz w:val="24"/>
          <w:szCs w:val="24"/>
          <w:lang w:val="en-US" w:eastAsia="zh-CN"/>
        </w:rPr>
        <w:t>检测报告：依据GB/T 32487-2016</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GB/T 7141-2018</w:t>
      </w:r>
      <w:r>
        <w:rPr>
          <w:rFonts w:hint="eastAsia" w:eastAsia="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GB</w:t>
      </w:r>
      <w:r>
        <w:rPr>
          <w:rFonts w:hint="eastAsia"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28481-2012标准；耐老化500h、耐空气老化168h、邻苯二甲酸脂等符合标准。</w:t>
      </w:r>
    </w:p>
    <w:p>
      <w:pPr>
        <w:widowControl/>
        <w:jc w:val="left"/>
        <w:textAlignment w:val="center"/>
        <w:rPr>
          <w:rFonts w:hint="eastAsia" w:ascii="宋体" w:hAnsi="宋体" w:eastAsia="宋体" w:cs="宋体"/>
          <w:color w:val="auto"/>
        </w:rPr>
        <w:sectPr>
          <w:headerReference r:id="rId9" w:type="default"/>
          <w:footerReference r:id="rId10" w:type="default"/>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312" w:charSpace="0"/>
        </w:sectPr>
      </w:pPr>
      <w:r>
        <w:rPr>
          <w:rFonts w:hint="eastAsia" w:ascii="宋体" w:hAnsi="宋体" w:eastAsia="宋体" w:cs="宋体"/>
          <w:color w:val="auto"/>
          <w:kern w:val="0"/>
          <w:sz w:val="24"/>
          <w:szCs w:val="24"/>
          <w:lang w:val="en-US" w:eastAsia="zh-CN"/>
        </w:rPr>
        <w:t>5.ABS检测报告：依据GB 28481-2012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GB/T 2411-2008、GB/T 2406.2-2009、GB/T 16422.2-2014标准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邻苯二甲酸脂等符合标准要求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氙气灯老化500h无粉化无开裂、硬度大于80且灰卡变色评级3级及</w:t>
      </w:r>
      <w:r>
        <w:rPr>
          <w:rFonts w:hint="eastAsia" w:ascii="宋体" w:hAnsi="宋体" w:eastAsia="宋体" w:cs="宋体"/>
          <w:color w:val="auto"/>
          <w:kern w:val="0"/>
          <w:sz w:val="24"/>
          <w:szCs w:val="24"/>
          <w:lang w:eastAsia="zh-CN"/>
        </w:rPr>
        <w:t>以上</w:t>
      </w:r>
      <w:r>
        <w:rPr>
          <w:rFonts w:hint="eastAsia" w:ascii="宋体" w:hAnsi="宋体" w:eastAsia="宋体" w:cs="宋体"/>
          <w:color w:val="auto"/>
          <w:kern w:val="0"/>
          <w:sz w:val="24"/>
          <w:szCs w:val="24"/>
          <w:lang w:val="en-US" w:eastAsia="zh-CN"/>
        </w:rPr>
        <w:t>。</w:t>
      </w:r>
    </w:p>
    <w:p>
      <w:pPr>
        <w:numPr>
          <w:ilvl w:val="0"/>
          <w:numId w:val="0"/>
        </w:numPr>
        <w:rPr>
          <w:rFonts w:hint="eastAsia" w:ascii="宋体" w:hAnsi="宋体" w:eastAsia="宋体" w:cs="宋体"/>
          <w:b/>
          <w:bCs/>
          <w:color w:val="auto"/>
          <w:sz w:val="24"/>
        </w:rPr>
      </w:pPr>
      <w:r>
        <w:rPr>
          <w:rFonts w:hint="eastAsia" w:ascii="宋体" w:hAnsi="宋体" w:eastAsia="宋体" w:cs="宋体"/>
          <w:b/>
          <w:bCs/>
          <w:color w:val="auto"/>
          <w:sz w:val="24"/>
        </w:rPr>
        <w:t>二、商务</w:t>
      </w:r>
      <w:bookmarkEnd w:id="48"/>
      <w:r>
        <w:rPr>
          <w:rFonts w:hint="eastAsia" w:ascii="宋体" w:hAnsi="宋体" w:eastAsia="宋体" w:cs="宋体"/>
          <w:b/>
          <w:bCs/>
          <w:color w:val="auto"/>
          <w:sz w:val="24"/>
        </w:rPr>
        <w:t>要求</w:t>
      </w:r>
      <w:bookmarkEnd w:id="49"/>
      <w:bookmarkEnd w:id="50"/>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序号</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项目</w:t>
            </w:r>
          </w:p>
        </w:tc>
        <w:tc>
          <w:tcPr>
            <w:tcW w:w="659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▲交付时间和地点</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交付时间：</w:t>
            </w:r>
            <w:r>
              <w:rPr>
                <w:rFonts w:hint="eastAsia" w:ascii="宋体" w:hAnsi="宋体" w:cs="宋体"/>
                <w:snapToGrid w:val="0"/>
                <w:color w:val="auto"/>
                <w:kern w:val="28"/>
                <w:sz w:val="24"/>
                <w:szCs w:val="20"/>
                <w:lang w:eastAsia="zh-CN"/>
              </w:rPr>
              <w:t>2025年8月25日</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3</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验收</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安装</w:t>
            </w:r>
            <w:r>
              <w:rPr>
                <w:rFonts w:hint="eastAsia" w:ascii="宋体" w:hAnsi="宋体" w:eastAsia="宋体" w:cs="宋体"/>
                <w:bCs/>
                <w:color w:val="auto"/>
                <w:sz w:val="24"/>
              </w:rPr>
              <w:t>调试后，按确认后的验收大纲及验收标准或相应的国家标准，买方和卖方共同对</w:t>
            </w:r>
            <w:r>
              <w:rPr>
                <w:rFonts w:hint="eastAsia" w:ascii="宋体" w:hAnsi="宋体" w:eastAsia="宋体" w:cs="宋体"/>
                <w:bCs/>
                <w:color w:val="auto"/>
                <w:sz w:val="24"/>
                <w:lang w:eastAsia="zh-CN"/>
              </w:rPr>
              <w:t>货物</w:t>
            </w:r>
            <w:r>
              <w:rPr>
                <w:rFonts w:hint="eastAsia" w:ascii="宋体" w:hAnsi="宋体" w:eastAsia="宋体" w:cs="宋体"/>
                <w:bCs/>
                <w:color w:val="auto"/>
                <w:sz w:val="24"/>
              </w:rPr>
              <w:t>进行验收，达到验收标准后，买卖双方共同签署验收合格报告后投入使用。</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2.对于进口设备应高于国家标准要求进行。</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4</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培训、技术支持和安装调试</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1.1投标人应对采购人提供相应的培训计划并免费进行培训。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1.2培训方式：现场培训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1.3培训地点：采购人指定地点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1.4人数：不限</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2.技术支持：中标人应及时提供所需零配件。</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3.安装调试（若需要安装调试）：</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3.1 安装地点：采购人指定地点。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3.3 中标人免费提供合同货物的安装服务。</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5</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▲付款方式</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1、合同生效以及具</w:t>
            </w:r>
            <w:r>
              <w:rPr>
                <w:rFonts w:hint="eastAsia" w:ascii="宋体" w:hAnsi="宋体" w:cs="宋体"/>
                <w:bCs/>
                <w:color w:val="auto"/>
                <w:sz w:val="24"/>
                <w:lang w:eastAsia="zh-CN"/>
              </w:rPr>
              <w:t>备</w:t>
            </w:r>
            <w:r>
              <w:rPr>
                <w:rFonts w:hint="eastAsia" w:ascii="宋体" w:hAnsi="宋体" w:eastAsia="宋体" w:cs="宋体"/>
                <w:bCs/>
                <w:color w:val="auto"/>
                <w:sz w:val="24"/>
              </w:rPr>
              <w:t>实施条件后7个工作日内，采购人向供应商支付合同总金额40%的预付款（</w:t>
            </w:r>
            <w:r>
              <w:rPr>
                <w:rFonts w:hint="eastAsia" w:ascii="宋体" w:hAnsi="宋体" w:eastAsia="宋体" w:cs="宋体"/>
                <w:bCs/>
                <w:color w:val="auto"/>
                <w:sz w:val="24"/>
                <w:lang w:val="zh-CN"/>
              </w:rPr>
              <w:t>供应商需提交银行、保险公司等金融机构出具的预付款保函或其他担保措施。</w:t>
            </w:r>
            <w:r>
              <w:rPr>
                <w:rFonts w:hint="eastAsia" w:ascii="宋体" w:hAnsi="宋体" w:eastAsia="宋体" w:cs="宋体"/>
                <w:bCs/>
                <w:color w:val="auto"/>
                <w:sz w:val="24"/>
              </w:rPr>
              <w:t>供应商在签订合同时，</w:t>
            </w:r>
            <w:r>
              <w:rPr>
                <w:rFonts w:hint="eastAsia" w:ascii="宋体" w:hAnsi="宋体" w:eastAsia="宋体" w:cs="宋体"/>
                <w:bCs/>
                <w:color w:val="auto"/>
                <w:sz w:val="24"/>
                <w:lang w:val="zh-CN"/>
              </w:rPr>
              <w:t>表示无需</w:t>
            </w:r>
            <w:r>
              <w:rPr>
                <w:rFonts w:hint="eastAsia" w:ascii="宋体" w:hAnsi="宋体" w:eastAsia="宋体" w:cs="宋体"/>
                <w:bCs/>
                <w:color w:val="auto"/>
                <w:sz w:val="24"/>
              </w:rPr>
              <w:t>预付款或主动要求降低预付款比例的，可不适用本条款）；</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2、余款在项目验收合格后15日内予以支付</w:t>
            </w:r>
            <w:r>
              <w:rPr>
                <w:rFonts w:hint="eastAsia" w:ascii="宋体" w:hAnsi="宋体" w:eastAsia="宋体" w:cs="宋体"/>
                <w:bCs/>
                <w:color w:val="auto"/>
                <w:sz w:val="24"/>
                <w:lang w:val="zh-CN"/>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6</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违约责任</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pStyle w:val="85"/>
        <w:rPr>
          <w:rFonts w:hint="eastAsia" w:ascii="宋体" w:hAnsi="宋体" w:eastAsia="宋体" w:cs="宋体"/>
          <w:color w:val="auto"/>
        </w:rPr>
      </w:pPr>
    </w:p>
    <w:p>
      <w:pPr>
        <w:spacing w:line="360" w:lineRule="auto"/>
        <w:jc w:val="center"/>
        <w:outlineLvl w:val="0"/>
        <w:rPr>
          <w:rStyle w:val="286"/>
          <w:rFonts w:hint="eastAsia" w:ascii="宋体" w:hAnsi="宋体" w:eastAsia="宋体" w:cs="宋体"/>
          <w:color w:val="auto"/>
          <w:szCs w:val="36"/>
        </w:rPr>
      </w:pPr>
      <w:bookmarkStart w:id="51" w:name="_Toc6756"/>
      <w:r>
        <w:rPr>
          <w:rStyle w:val="286"/>
          <w:rFonts w:hint="eastAsia" w:ascii="宋体" w:hAnsi="宋体" w:eastAsia="宋体" w:cs="宋体"/>
          <w:color w:val="auto"/>
          <w:szCs w:val="36"/>
        </w:rPr>
        <w:t>第四部分</w:t>
      </w:r>
      <w:bookmarkStart w:id="52" w:name="_Toc184312096"/>
      <w:bookmarkEnd w:id="52"/>
      <w:bookmarkStart w:id="53" w:name="_Toc184308038"/>
      <w:bookmarkEnd w:id="53"/>
      <w:bookmarkStart w:id="54" w:name="_Toc184313263"/>
      <w:bookmarkEnd w:id="54"/>
      <w:bookmarkStart w:id="55" w:name="_Toc184314436"/>
      <w:bookmarkEnd w:id="55"/>
      <w:bookmarkStart w:id="56" w:name="_Toc184308044"/>
      <w:bookmarkEnd w:id="56"/>
      <w:bookmarkStart w:id="57" w:name="_Toc184308092"/>
      <w:bookmarkEnd w:id="57"/>
      <w:bookmarkStart w:id="58" w:name="_Toc184314429"/>
      <w:bookmarkEnd w:id="58"/>
      <w:bookmarkStart w:id="59" w:name="_Toc184313300"/>
      <w:bookmarkEnd w:id="59"/>
      <w:bookmarkStart w:id="60" w:name="_Toc184314476"/>
      <w:bookmarkEnd w:id="60"/>
      <w:bookmarkStart w:id="61" w:name="_Toc184314417"/>
      <w:bookmarkEnd w:id="61"/>
      <w:bookmarkStart w:id="62" w:name="_Toc184308063"/>
      <w:bookmarkEnd w:id="62"/>
      <w:bookmarkStart w:id="63" w:name="_Toc184313251"/>
      <w:bookmarkEnd w:id="63"/>
      <w:bookmarkStart w:id="64" w:name="_Toc184314458"/>
      <w:bookmarkEnd w:id="64"/>
      <w:bookmarkStart w:id="65" w:name="_Toc184312104"/>
      <w:bookmarkEnd w:id="65"/>
      <w:bookmarkStart w:id="66" w:name="_Toc184308105"/>
      <w:bookmarkEnd w:id="66"/>
      <w:bookmarkStart w:id="67" w:name="_Toc184313308"/>
      <w:bookmarkEnd w:id="67"/>
      <w:bookmarkStart w:id="68" w:name="_Toc184314423"/>
      <w:bookmarkEnd w:id="68"/>
      <w:bookmarkStart w:id="69" w:name="_Toc184310327"/>
      <w:bookmarkEnd w:id="69"/>
      <w:bookmarkStart w:id="70" w:name="_Toc184313240"/>
      <w:bookmarkEnd w:id="70"/>
      <w:bookmarkStart w:id="71" w:name="_Toc184314471"/>
      <w:bookmarkEnd w:id="71"/>
      <w:bookmarkStart w:id="72" w:name="_Toc184314461"/>
      <w:bookmarkEnd w:id="72"/>
      <w:bookmarkStart w:id="73" w:name="_Toc184314475"/>
      <w:bookmarkEnd w:id="73"/>
      <w:bookmarkStart w:id="74" w:name="_Toc184310334"/>
      <w:bookmarkEnd w:id="74"/>
      <w:bookmarkStart w:id="75" w:name="_Toc184314437"/>
      <w:bookmarkEnd w:id="75"/>
      <w:bookmarkStart w:id="76" w:name="_Toc184313281"/>
      <w:bookmarkEnd w:id="76"/>
      <w:bookmarkStart w:id="77" w:name="_Toc184310307"/>
      <w:bookmarkEnd w:id="77"/>
      <w:bookmarkStart w:id="78" w:name="_Toc184314414"/>
      <w:bookmarkEnd w:id="78"/>
      <w:bookmarkStart w:id="79" w:name="_Toc184310308"/>
      <w:bookmarkEnd w:id="79"/>
      <w:bookmarkStart w:id="80" w:name="_Toc184310295"/>
      <w:bookmarkEnd w:id="80"/>
      <w:bookmarkStart w:id="81" w:name="_Toc184308099"/>
      <w:bookmarkEnd w:id="81"/>
      <w:bookmarkStart w:id="82" w:name="_Toc184312068"/>
      <w:bookmarkEnd w:id="82"/>
      <w:bookmarkStart w:id="83" w:name="_Toc184314468"/>
      <w:bookmarkEnd w:id="83"/>
      <w:bookmarkStart w:id="84" w:name="_Toc184308083"/>
      <w:bookmarkEnd w:id="84"/>
      <w:bookmarkStart w:id="85" w:name="_Toc184313253"/>
      <w:bookmarkEnd w:id="85"/>
      <w:bookmarkStart w:id="86" w:name="_Toc184310339"/>
      <w:bookmarkEnd w:id="86"/>
      <w:bookmarkStart w:id="87" w:name="_Toc184313267"/>
      <w:bookmarkEnd w:id="87"/>
      <w:bookmarkStart w:id="88" w:name="_Toc184313252"/>
      <w:bookmarkEnd w:id="88"/>
      <w:bookmarkStart w:id="89" w:name="_Toc184310314"/>
      <w:bookmarkEnd w:id="89"/>
      <w:bookmarkStart w:id="90" w:name="_Toc184312123"/>
      <w:bookmarkEnd w:id="90"/>
      <w:bookmarkStart w:id="91" w:name="_Toc184310310"/>
      <w:bookmarkEnd w:id="91"/>
      <w:bookmarkStart w:id="92" w:name="_Toc184312130"/>
      <w:bookmarkEnd w:id="92"/>
      <w:bookmarkStart w:id="93" w:name="_Toc184312121"/>
      <w:bookmarkEnd w:id="93"/>
      <w:bookmarkStart w:id="94" w:name="_Toc184313259"/>
      <w:bookmarkEnd w:id="94"/>
      <w:bookmarkStart w:id="95" w:name="_Toc184314440"/>
      <w:bookmarkEnd w:id="95"/>
      <w:bookmarkStart w:id="96" w:name="_Toc184310281"/>
      <w:bookmarkEnd w:id="96"/>
      <w:bookmarkStart w:id="97" w:name="_Toc184308108"/>
      <w:bookmarkEnd w:id="97"/>
      <w:bookmarkStart w:id="98" w:name="_Toc184308047"/>
      <w:bookmarkEnd w:id="98"/>
      <w:bookmarkStart w:id="99" w:name="_Toc184312118"/>
      <w:bookmarkEnd w:id="99"/>
      <w:bookmarkStart w:id="100" w:name="_Toc184310301"/>
      <w:bookmarkEnd w:id="100"/>
      <w:bookmarkStart w:id="101" w:name="_Toc184313280"/>
      <w:bookmarkEnd w:id="101"/>
      <w:bookmarkStart w:id="102" w:name="_Toc184313250"/>
      <w:bookmarkEnd w:id="102"/>
      <w:bookmarkStart w:id="103" w:name="_Toc184312125"/>
      <w:bookmarkEnd w:id="103"/>
      <w:bookmarkStart w:id="104" w:name="_Toc184314428"/>
      <w:bookmarkEnd w:id="104"/>
      <w:bookmarkStart w:id="105" w:name="_Toc184308037"/>
      <w:bookmarkEnd w:id="105"/>
      <w:bookmarkStart w:id="106" w:name="_Toc184313306"/>
      <w:bookmarkEnd w:id="106"/>
      <w:bookmarkStart w:id="107" w:name="_Toc184312128"/>
      <w:bookmarkEnd w:id="107"/>
      <w:bookmarkStart w:id="108" w:name="_Toc184313301"/>
      <w:bookmarkEnd w:id="108"/>
      <w:bookmarkStart w:id="109" w:name="_Toc184312119"/>
      <w:bookmarkEnd w:id="109"/>
      <w:bookmarkStart w:id="110" w:name="_Toc184312087"/>
      <w:bookmarkEnd w:id="110"/>
      <w:bookmarkStart w:id="111" w:name="_Toc184310291"/>
      <w:bookmarkEnd w:id="111"/>
      <w:bookmarkStart w:id="112" w:name="_Toc184312067"/>
      <w:bookmarkEnd w:id="112"/>
      <w:bookmarkStart w:id="113" w:name="_Toc184314477"/>
      <w:bookmarkEnd w:id="113"/>
      <w:bookmarkStart w:id="114" w:name="_Toc184313273"/>
      <w:bookmarkEnd w:id="114"/>
      <w:bookmarkStart w:id="115" w:name="_Toc184314452"/>
      <w:bookmarkEnd w:id="115"/>
      <w:bookmarkStart w:id="116" w:name="_Toc184314435"/>
      <w:bookmarkEnd w:id="116"/>
      <w:bookmarkStart w:id="117" w:name="_Toc184308055"/>
      <w:bookmarkEnd w:id="117"/>
      <w:bookmarkStart w:id="118" w:name="_Toc184310319"/>
      <w:bookmarkEnd w:id="118"/>
      <w:bookmarkStart w:id="119" w:name="_Toc184313248"/>
      <w:bookmarkEnd w:id="119"/>
      <w:bookmarkStart w:id="120" w:name="_Toc184308060"/>
      <w:bookmarkEnd w:id="120"/>
      <w:bookmarkStart w:id="121" w:name="_Toc184314470"/>
      <w:bookmarkEnd w:id="121"/>
      <w:bookmarkStart w:id="122" w:name="_Toc184314415"/>
      <w:bookmarkEnd w:id="122"/>
      <w:bookmarkStart w:id="123" w:name="_Toc184312111"/>
      <w:bookmarkEnd w:id="123"/>
      <w:bookmarkStart w:id="124" w:name="_Toc184310318"/>
      <w:bookmarkEnd w:id="124"/>
      <w:bookmarkStart w:id="125" w:name="_Toc184310300"/>
      <w:bookmarkEnd w:id="125"/>
      <w:bookmarkStart w:id="126" w:name="_Toc184310272"/>
      <w:bookmarkEnd w:id="126"/>
      <w:bookmarkStart w:id="127" w:name="_Toc184313270"/>
      <w:bookmarkEnd w:id="127"/>
      <w:bookmarkStart w:id="128" w:name="_Toc184312070"/>
      <w:bookmarkEnd w:id="128"/>
      <w:bookmarkStart w:id="129" w:name="_Toc184312089"/>
      <w:bookmarkEnd w:id="129"/>
      <w:bookmarkStart w:id="130" w:name="_Toc184312115"/>
      <w:bookmarkEnd w:id="130"/>
      <w:bookmarkStart w:id="131" w:name="_Toc184310309"/>
      <w:bookmarkEnd w:id="131"/>
      <w:bookmarkStart w:id="132" w:name="_Toc184308059"/>
      <w:bookmarkEnd w:id="132"/>
      <w:bookmarkStart w:id="133" w:name="_Toc184313271"/>
      <w:bookmarkEnd w:id="133"/>
      <w:bookmarkStart w:id="134" w:name="_Toc184312117"/>
      <w:bookmarkEnd w:id="134"/>
      <w:bookmarkStart w:id="135" w:name="_Toc184313283"/>
      <w:bookmarkEnd w:id="135"/>
      <w:bookmarkStart w:id="136" w:name="_Toc184313260"/>
      <w:bookmarkEnd w:id="136"/>
      <w:bookmarkStart w:id="137" w:name="_Toc184314412"/>
      <w:bookmarkEnd w:id="137"/>
      <w:bookmarkStart w:id="138" w:name="_Toc184312102"/>
      <w:bookmarkEnd w:id="138"/>
      <w:bookmarkStart w:id="139" w:name="_Toc184313302"/>
      <w:bookmarkEnd w:id="139"/>
      <w:bookmarkStart w:id="140" w:name="_Toc184308058"/>
      <w:bookmarkEnd w:id="140"/>
      <w:bookmarkStart w:id="141" w:name="_Toc184314472"/>
      <w:bookmarkEnd w:id="141"/>
      <w:bookmarkStart w:id="142" w:name="_Toc184308095"/>
      <w:bookmarkEnd w:id="142"/>
      <w:bookmarkStart w:id="143" w:name="_Toc184310299"/>
      <w:bookmarkEnd w:id="143"/>
      <w:bookmarkStart w:id="144" w:name="_Toc184310290"/>
      <w:bookmarkEnd w:id="144"/>
      <w:bookmarkStart w:id="145" w:name="_Toc184313284"/>
      <w:bookmarkEnd w:id="145"/>
      <w:bookmarkStart w:id="146" w:name="_Toc184308096"/>
      <w:bookmarkEnd w:id="146"/>
      <w:bookmarkStart w:id="147" w:name="_Toc184314431"/>
      <w:bookmarkEnd w:id="147"/>
      <w:bookmarkStart w:id="148" w:name="_Toc184313242"/>
      <w:bookmarkEnd w:id="148"/>
      <w:bookmarkStart w:id="149" w:name="_Toc184313244"/>
      <w:bookmarkEnd w:id="149"/>
      <w:bookmarkStart w:id="150" w:name="_Toc184313303"/>
      <w:bookmarkEnd w:id="150"/>
      <w:bookmarkStart w:id="151" w:name="_Toc184308053"/>
      <w:bookmarkEnd w:id="151"/>
      <w:bookmarkStart w:id="152" w:name="_Toc184314418"/>
      <w:bookmarkEnd w:id="152"/>
      <w:bookmarkStart w:id="153" w:name="_Toc184308074"/>
      <w:bookmarkEnd w:id="153"/>
      <w:bookmarkStart w:id="154" w:name="_Toc184312109"/>
      <w:bookmarkEnd w:id="154"/>
      <w:bookmarkStart w:id="155" w:name="_Toc184313238"/>
      <w:bookmarkEnd w:id="155"/>
      <w:bookmarkStart w:id="156" w:name="_Toc184308107"/>
      <w:bookmarkEnd w:id="156"/>
      <w:bookmarkStart w:id="157" w:name="_Toc184308097"/>
      <w:bookmarkEnd w:id="157"/>
      <w:bookmarkStart w:id="158" w:name="_Toc184314473"/>
      <w:bookmarkEnd w:id="158"/>
      <w:bookmarkStart w:id="159" w:name="_Toc184314434"/>
      <w:bookmarkEnd w:id="159"/>
      <w:bookmarkStart w:id="160" w:name="_Toc184313266"/>
      <w:bookmarkEnd w:id="160"/>
      <w:bookmarkStart w:id="161" w:name="_Toc184310302"/>
      <w:bookmarkEnd w:id="161"/>
      <w:bookmarkStart w:id="162" w:name="_Toc184308050"/>
      <w:bookmarkEnd w:id="162"/>
      <w:bookmarkStart w:id="163" w:name="_Toc184310312"/>
      <w:bookmarkEnd w:id="163"/>
      <w:bookmarkStart w:id="164" w:name="_Toc184314474"/>
      <w:bookmarkEnd w:id="164"/>
      <w:bookmarkStart w:id="165" w:name="_Toc184310297"/>
      <w:bookmarkEnd w:id="165"/>
      <w:bookmarkStart w:id="166" w:name="_Toc184314451"/>
      <w:bookmarkEnd w:id="166"/>
      <w:bookmarkStart w:id="167" w:name="_Toc184312132"/>
      <w:bookmarkEnd w:id="167"/>
      <w:bookmarkStart w:id="168" w:name="_Toc184310279"/>
      <w:bookmarkEnd w:id="168"/>
      <w:bookmarkStart w:id="169" w:name="_Toc184314413"/>
      <w:bookmarkEnd w:id="169"/>
      <w:bookmarkStart w:id="170" w:name="_Toc184312114"/>
      <w:bookmarkEnd w:id="170"/>
      <w:bookmarkStart w:id="171" w:name="_Toc184314449"/>
      <w:bookmarkEnd w:id="171"/>
      <w:bookmarkStart w:id="172" w:name="_Toc184308085"/>
      <w:bookmarkEnd w:id="172"/>
      <w:bookmarkStart w:id="173" w:name="_Toc184308102"/>
      <w:bookmarkEnd w:id="173"/>
      <w:bookmarkStart w:id="174" w:name="_Toc184310337"/>
      <w:bookmarkEnd w:id="174"/>
      <w:bookmarkStart w:id="175" w:name="_Toc184310296"/>
      <w:bookmarkEnd w:id="175"/>
      <w:bookmarkStart w:id="176" w:name="_Toc184310326"/>
      <w:bookmarkEnd w:id="176"/>
      <w:bookmarkStart w:id="177" w:name="_Toc184308103"/>
      <w:bookmarkEnd w:id="177"/>
      <w:bookmarkStart w:id="178" w:name="_Toc184314430"/>
      <w:bookmarkEnd w:id="178"/>
      <w:bookmarkStart w:id="179" w:name="_Toc184310293"/>
      <w:bookmarkEnd w:id="179"/>
      <w:bookmarkStart w:id="180" w:name="_Toc184313310"/>
      <w:bookmarkEnd w:id="180"/>
      <w:bookmarkStart w:id="181" w:name="_Toc184312080"/>
      <w:bookmarkEnd w:id="181"/>
      <w:bookmarkStart w:id="182" w:name="_Toc184308078"/>
      <w:bookmarkEnd w:id="182"/>
      <w:bookmarkStart w:id="183" w:name="_Toc184312088"/>
      <w:bookmarkEnd w:id="183"/>
      <w:bookmarkStart w:id="184" w:name="_Toc184310336"/>
      <w:bookmarkEnd w:id="184"/>
      <w:bookmarkStart w:id="185" w:name="_Toc184314467"/>
      <w:bookmarkEnd w:id="185"/>
      <w:bookmarkStart w:id="186" w:name="_Toc184310278"/>
      <w:bookmarkEnd w:id="186"/>
      <w:bookmarkStart w:id="187" w:name="_Toc184314456"/>
      <w:bookmarkEnd w:id="187"/>
      <w:bookmarkStart w:id="188" w:name="_Toc184312127"/>
      <w:bookmarkEnd w:id="188"/>
      <w:bookmarkStart w:id="189" w:name="_Toc184313274"/>
      <w:bookmarkEnd w:id="189"/>
      <w:bookmarkStart w:id="190" w:name="_Toc184314463"/>
      <w:bookmarkEnd w:id="190"/>
      <w:bookmarkStart w:id="191" w:name="_Toc184312077"/>
      <w:bookmarkEnd w:id="191"/>
      <w:bookmarkStart w:id="192" w:name="_Toc184312113"/>
      <w:bookmarkEnd w:id="192"/>
      <w:bookmarkStart w:id="193" w:name="_Toc184310315"/>
      <w:bookmarkEnd w:id="193"/>
      <w:bookmarkStart w:id="194" w:name="_Toc184314410"/>
      <w:bookmarkEnd w:id="194"/>
      <w:bookmarkStart w:id="195" w:name="_Toc184314442"/>
      <w:bookmarkEnd w:id="195"/>
      <w:bookmarkStart w:id="196" w:name="_Toc184314455"/>
      <w:bookmarkEnd w:id="196"/>
      <w:bookmarkStart w:id="197" w:name="_Toc184313249"/>
      <w:bookmarkEnd w:id="197"/>
      <w:bookmarkStart w:id="198" w:name="_Toc184312136"/>
      <w:bookmarkEnd w:id="198"/>
      <w:bookmarkStart w:id="199" w:name="_Toc184310311"/>
      <w:bookmarkEnd w:id="199"/>
      <w:bookmarkStart w:id="200" w:name="_Toc184313304"/>
      <w:bookmarkEnd w:id="200"/>
      <w:bookmarkStart w:id="201" w:name="_Toc184314466"/>
      <w:bookmarkEnd w:id="201"/>
      <w:bookmarkStart w:id="202" w:name="_Toc184310283"/>
      <w:bookmarkEnd w:id="202"/>
      <w:bookmarkStart w:id="203" w:name="_Toc184308054"/>
      <w:bookmarkEnd w:id="203"/>
      <w:bookmarkStart w:id="204" w:name="_Toc184308041"/>
      <w:bookmarkEnd w:id="204"/>
      <w:bookmarkStart w:id="205" w:name="_Toc184310344"/>
      <w:bookmarkEnd w:id="205"/>
      <w:bookmarkStart w:id="206" w:name="_Toc184312095"/>
      <w:bookmarkEnd w:id="206"/>
      <w:bookmarkStart w:id="207" w:name="_Toc184313276"/>
      <w:bookmarkEnd w:id="207"/>
      <w:bookmarkStart w:id="208" w:name="_Toc184308077"/>
      <w:bookmarkEnd w:id="208"/>
      <w:bookmarkStart w:id="209" w:name="_Toc184313254"/>
      <w:bookmarkEnd w:id="209"/>
      <w:bookmarkStart w:id="210" w:name="_Toc184310304"/>
      <w:bookmarkEnd w:id="210"/>
      <w:bookmarkStart w:id="211" w:name="_Toc184312086"/>
      <w:bookmarkEnd w:id="211"/>
      <w:bookmarkStart w:id="212" w:name="_Toc184308069"/>
      <w:bookmarkEnd w:id="212"/>
      <w:bookmarkStart w:id="213" w:name="_Toc184308039"/>
      <w:bookmarkEnd w:id="213"/>
      <w:bookmarkStart w:id="214" w:name="_Toc184310313"/>
      <w:bookmarkEnd w:id="214"/>
      <w:bookmarkStart w:id="215" w:name="_Toc184308082"/>
      <w:bookmarkEnd w:id="215"/>
      <w:bookmarkStart w:id="216" w:name="_Toc184314459"/>
      <w:bookmarkEnd w:id="216"/>
      <w:bookmarkStart w:id="217" w:name="_Toc184312112"/>
      <w:bookmarkEnd w:id="217"/>
      <w:bookmarkStart w:id="218" w:name="_Toc184313239"/>
      <w:bookmarkEnd w:id="218"/>
      <w:bookmarkStart w:id="219" w:name="_Toc184314441"/>
      <w:bookmarkEnd w:id="219"/>
      <w:bookmarkStart w:id="220" w:name="_Toc184314446"/>
      <w:bookmarkEnd w:id="220"/>
      <w:bookmarkStart w:id="221" w:name="_Toc184308093"/>
      <w:bookmarkEnd w:id="221"/>
      <w:bookmarkStart w:id="222" w:name="_Toc184313285"/>
      <w:bookmarkEnd w:id="222"/>
      <w:bookmarkStart w:id="223" w:name="_Toc184313289"/>
      <w:bookmarkEnd w:id="223"/>
      <w:bookmarkStart w:id="224" w:name="_Toc184310305"/>
      <w:bookmarkEnd w:id="224"/>
      <w:bookmarkStart w:id="225" w:name="_Toc184310298"/>
      <w:bookmarkEnd w:id="225"/>
      <w:bookmarkStart w:id="226" w:name="_Toc184312108"/>
      <w:bookmarkEnd w:id="226"/>
      <w:bookmarkStart w:id="227" w:name="_Toc184308086"/>
      <w:bookmarkEnd w:id="227"/>
      <w:bookmarkStart w:id="228" w:name="_Toc184312124"/>
      <w:bookmarkEnd w:id="228"/>
      <w:bookmarkStart w:id="229" w:name="_Toc184312126"/>
      <w:bookmarkEnd w:id="229"/>
      <w:bookmarkStart w:id="230" w:name="_Toc184308091"/>
      <w:bookmarkEnd w:id="230"/>
      <w:bookmarkStart w:id="231" w:name="_Toc184313255"/>
      <w:bookmarkEnd w:id="231"/>
      <w:bookmarkStart w:id="232" w:name="_Toc184312075"/>
      <w:bookmarkEnd w:id="232"/>
      <w:bookmarkStart w:id="233" w:name="_Toc184312133"/>
      <w:bookmarkEnd w:id="233"/>
      <w:bookmarkStart w:id="234" w:name="_Toc184312092"/>
      <w:bookmarkEnd w:id="234"/>
      <w:bookmarkStart w:id="235" w:name="_Toc184314432"/>
      <w:bookmarkEnd w:id="235"/>
      <w:bookmarkStart w:id="236" w:name="_Toc184314462"/>
      <w:bookmarkEnd w:id="236"/>
      <w:bookmarkStart w:id="237" w:name="_Toc184308067"/>
      <w:bookmarkEnd w:id="237"/>
      <w:bookmarkStart w:id="238" w:name="_Toc184310287"/>
      <w:bookmarkEnd w:id="238"/>
      <w:bookmarkStart w:id="239" w:name="_Toc184310292"/>
      <w:bookmarkEnd w:id="239"/>
      <w:bookmarkStart w:id="240" w:name="_Toc184313261"/>
      <w:bookmarkEnd w:id="240"/>
      <w:bookmarkStart w:id="241" w:name="_Toc184310324"/>
      <w:bookmarkEnd w:id="241"/>
      <w:bookmarkStart w:id="242" w:name="_Toc184312131"/>
      <w:bookmarkEnd w:id="242"/>
      <w:bookmarkStart w:id="243" w:name="_Toc184308052"/>
      <w:bookmarkEnd w:id="243"/>
      <w:bookmarkStart w:id="244" w:name="_Toc184313269"/>
      <w:bookmarkEnd w:id="244"/>
      <w:bookmarkStart w:id="245" w:name="_Toc184314445"/>
      <w:bookmarkEnd w:id="245"/>
      <w:bookmarkStart w:id="246" w:name="_Toc184312083"/>
      <w:bookmarkEnd w:id="246"/>
      <w:bookmarkStart w:id="247" w:name="_Toc184310342"/>
      <w:bookmarkEnd w:id="247"/>
      <w:bookmarkStart w:id="248" w:name="_Toc184314421"/>
      <w:bookmarkEnd w:id="248"/>
      <w:bookmarkStart w:id="249" w:name="_Toc184313282"/>
      <w:bookmarkEnd w:id="249"/>
      <w:bookmarkStart w:id="250" w:name="_Toc184310328"/>
      <w:bookmarkEnd w:id="250"/>
      <w:bookmarkStart w:id="251" w:name="_Toc184313264"/>
      <w:bookmarkEnd w:id="251"/>
      <w:bookmarkStart w:id="252" w:name="_Toc184314416"/>
      <w:bookmarkEnd w:id="252"/>
      <w:bookmarkStart w:id="253" w:name="_Toc184314453"/>
      <w:bookmarkEnd w:id="253"/>
      <w:bookmarkStart w:id="254" w:name="_Toc184308072"/>
      <w:bookmarkEnd w:id="254"/>
      <w:bookmarkStart w:id="255" w:name="_Toc184308045"/>
      <w:bookmarkEnd w:id="255"/>
      <w:bookmarkStart w:id="256" w:name="_Toc184308043"/>
      <w:bookmarkEnd w:id="256"/>
      <w:bookmarkStart w:id="257" w:name="_Toc184314480"/>
      <w:bookmarkEnd w:id="257"/>
      <w:bookmarkStart w:id="258" w:name="_Toc184313243"/>
      <w:bookmarkEnd w:id="258"/>
      <w:bookmarkStart w:id="259" w:name="_Toc184314457"/>
      <w:bookmarkEnd w:id="259"/>
      <w:bookmarkStart w:id="260" w:name="_Toc184313299"/>
      <w:bookmarkEnd w:id="260"/>
      <w:bookmarkStart w:id="261" w:name="_Toc184308062"/>
      <w:bookmarkEnd w:id="261"/>
      <w:bookmarkStart w:id="262" w:name="_Toc184313286"/>
      <w:bookmarkEnd w:id="262"/>
      <w:bookmarkStart w:id="263" w:name="_Toc184310332"/>
      <w:bookmarkEnd w:id="263"/>
      <w:bookmarkStart w:id="264" w:name="_Toc184312101"/>
      <w:bookmarkEnd w:id="264"/>
      <w:bookmarkStart w:id="265" w:name="_Toc184314411"/>
      <w:bookmarkEnd w:id="265"/>
      <w:bookmarkStart w:id="266" w:name="_Toc184314460"/>
      <w:bookmarkEnd w:id="266"/>
      <w:bookmarkStart w:id="267" w:name="_Toc184308048"/>
      <w:bookmarkEnd w:id="267"/>
      <w:bookmarkStart w:id="268" w:name="_Toc184312122"/>
      <w:bookmarkEnd w:id="268"/>
      <w:bookmarkStart w:id="269" w:name="_Toc184314481"/>
      <w:bookmarkEnd w:id="269"/>
      <w:bookmarkStart w:id="270" w:name="_Toc184312139"/>
      <w:bookmarkEnd w:id="270"/>
      <w:bookmarkStart w:id="271" w:name="_Toc184313290"/>
      <w:bookmarkEnd w:id="271"/>
      <w:bookmarkStart w:id="272" w:name="_Toc184312079"/>
      <w:bookmarkEnd w:id="272"/>
      <w:bookmarkStart w:id="273" w:name="_Toc184314419"/>
      <w:bookmarkEnd w:id="273"/>
      <w:bookmarkStart w:id="274" w:name="_Toc184312081"/>
      <w:bookmarkEnd w:id="274"/>
      <w:bookmarkStart w:id="275" w:name="_Toc184312137"/>
      <w:bookmarkEnd w:id="275"/>
      <w:bookmarkStart w:id="276" w:name="_Toc184312105"/>
      <w:bookmarkEnd w:id="276"/>
      <w:bookmarkStart w:id="277" w:name="_Toc184313279"/>
      <w:bookmarkEnd w:id="277"/>
      <w:bookmarkStart w:id="278" w:name="_Toc184310273"/>
      <w:bookmarkEnd w:id="278"/>
      <w:bookmarkStart w:id="279" w:name="_Toc184312076"/>
      <w:bookmarkEnd w:id="279"/>
      <w:bookmarkStart w:id="280" w:name="_Toc184314450"/>
      <w:bookmarkEnd w:id="280"/>
      <w:bookmarkStart w:id="281" w:name="_Toc184314464"/>
      <w:bookmarkEnd w:id="281"/>
      <w:bookmarkStart w:id="282" w:name="_Toc184308056"/>
      <w:bookmarkEnd w:id="282"/>
      <w:bookmarkStart w:id="283" w:name="_Toc184312110"/>
      <w:bookmarkEnd w:id="283"/>
      <w:bookmarkStart w:id="284" w:name="_Toc184310303"/>
      <w:bookmarkEnd w:id="284"/>
      <w:bookmarkStart w:id="285" w:name="_Toc184308090"/>
      <w:bookmarkEnd w:id="285"/>
      <w:bookmarkStart w:id="286" w:name="_Toc184310274"/>
      <w:bookmarkEnd w:id="286"/>
      <w:bookmarkStart w:id="287" w:name="_Toc184308064"/>
      <w:bookmarkEnd w:id="287"/>
      <w:bookmarkStart w:id="288" w:name="_Toc184310306"/>
      <w:bookmarkEnd w:id="288"/>
      <w:bookmarkStart w:id="289" w:name="_Toc184308084"/>
      <w:bookmarkEnd w:id="289"/>
      <w:bookmarkStart w:id="290" w:name="_Toc184314482"/>
      <w:bookmarkEnd w:id="290"/>
      <w:bookmarkStart w:id="291" w:name="_Toc184310323"/>
      <w:bookmarkEnd w:id="291"/>
      <w:bookmarkStart w:id="292" w:name="_Toc184308046"/>
      <w:bookmarkEnd w:id="292"/>
      <w:bookmarkStart w:id="293" w:name="_Toc184308068"/>
      <w:bookmarkEnd w:id="293"/>
      <w:bookmarkStart w:id="294" w:name="_Toc184313268"/>
      <w:bookmarkEnd w:id="294"/>
      <w:bookmarkStart w:id="295" w:name="_Toc184308040"/>
      <w:bookmarkEnd w:id="295"/>
      <w:bookmarkStart w:id="296" w:name="_Toc184310335"/>
      <w:bookmarkEnd w:id="296"/>
      <w:bookmarkStart w:id="297" w:name="_Toc184313245"/>
      <w:bookmarkEnd w:id="297"/>
      <w:bookmarkStart w:id="298" w:name="_Toc184314433"/>
      <w:bookmarkEnd w:id="298"/>
      <w:bookmarkStart w:id="299" w:name="_Toc184308087"/>
      <w:bookmarkEnd w:id="299"/>
      <w:bookmarkStart w:id="300" w:name="_Toc184313298"/>
      <w:bookmarkEnd w:id="300"/>
      <w:bookmarkStart w:id="301" w:name="_Toc184312135"/>
      <w:bookmarkEnd w:id="301"/>
      <w:bookmarkStart w:id="302" w:name="_Toc184312120"/>
      <w:bookmarkEnd w:id="302"/>
      <w:bookmarkStart w:id="303" w:name="_Toc184312093"/>
      <w:bookmarkEnd w:id="303"/>
      <w:bookmarkStart w:id="304" w:name="_Toc184312074"/>
      <w:bookmarkEnd w:id="304"/>
      <w:bookmarkStart w:id="305" w:name="_Toc184312084"/>
      <w:bookmarkEnd w:id="305"/>
      <w:bookmarkStart w:id="306" w:name="_Toc184308080"/>
      <w:bookmarkEnd w:id="306"/>
      <w:bookmarkStart w:id="307" w:name="_Toc184308104"/>
      <w:bookmarkEnd w:id="307"/>
      <w:bookmarkStart w:id="308" w:name="_Toc184313257"/>
      <w:bookmarkEnd w:id="308"/>
      <w:bookmarkStart w:id="309" w:name="_Toc184314426"/>
      <w:bookmarkEnd w:id="309"/>
      <w:bookmarkStart w:id="310" w:name="_Toc184313296"/>
      <w:bookmarkEnd w:id="310"/>
      <w:bookmarkStart w:id="311" w:name="_Toc184313262"/>
      <w:bookmarkEnd w:id="311"/>
      <w:bookmarkStart w:id="312" w:name="_Toc184313265"/>
      <w:bookmarkEnd w:id="312"/>
      <w:bookmarkStart w:id="313" w:name="_Toc184313309"/>
      <w:bookmarkEnd w:id="313"/>
      <w:bookmarkStart w:id="314" w:name="_Toc184308098"/>
      <w:bookmarkEnd w:id="314"/>
      <w:bookmarkStart w:id="315" w:name="_Toc184314427"/>
      <w:bookmarkEnd w:id="315"/>
      <w:bookmarkStart w:id="316" w:name="_Toc184310316"/>
      <w:bookmarkEnd w:id="316"/>
      <w:bookmarkStart w:id="317" w:name="_Toc184310289"/>
      <w:bookmarkEnd w:id="317"/>
      <w:bookmarkStart w:id="318" w:name="_Toc184314439"/>
      <w:bookmarkEnd w:id="318"/>
      <w:bookmarkStart w:id="319" w:name="_Toc184314443"/>
      <w:bookmarkEnd w:id="319"/>
      <w:bookmarkStart w:id="320" w:name="_Toc184310331"/>
      <w:bookmarkEnd w:id="320"/>
      <w:bookmarkStart w:id="321" w:name="_Toc184308071"/>
      <w:bookmarkEnd w:id="321"/>
      <w:bookmarkStart w:id="322" w:name="_Toc184314478"/>
      <w:bookmarkEnd w:id="322"/>
      <w:bookmarkStart w:id="323" w:name="_Toc184314444"/>
      <w:bookmarkEnd w:id="323"/>
      <w:bookmarkStart w:id="324" w:name="_Toc184312138"/>
      <w:bookmarkEnd w:id="324"/>
      <w:bookmarkStart w:id="325" w:name="_Toc184312098"/>
      <w:bookmarkEnd w:id="325"/>
      <w:bookmarkStart w:id="326" w:name="_Toc184313288"/>
      <w:bookmarkEnd w:id="326"/>
      <w:bookmarkStart w:id="327" w:name="_Toc184314469"/>
      <w:bookmarkEnd w:id="327"/>
      <w:bookmarkStart w:id="328" w:name="_Toc184310282"/>
      <w:bookmarkEnd w:id="328"/>
      <w:bookmarkStart w:id="329" w:name="_Toc184308101"/>
      <w:bookmarkEnd w:id="329"/>
      <w:bookmarkStart w:id="330" w:name="_Toc184310277"/>
      <w:bookmarkEnd w:id="330"/>
      <w:bookmarkStart w:id="331" w:name="_Toc184312129"/>
      <w:bookmarkEnd w:id="331"/>
      <w:bookmarkStart w:id="332" w:name="_Toc184308042"/>
      <w:bookmarkEnd w:id="332"/>
      <w:bookmarkStart w:id="333" w:name="_Toc184312085"/>
      <w:bookmarkEnd w:id="333"/>
      <w:bookmarkStart w:id="334" w:name="_Toc184310288"/>
      <w:bookmarkEnd w:id="334"/>
      <w:bookmarkStart w:id="335" w:name="_Toc184313287"/>
      <w:bookmarkEnd w:id="335"/>
      <w:bookmarkStart w:id="336" w:name="_Toc184314448"/>
      <w:bookmarkEnd w:id="336"/>
      <w:bookmarkStart w:id="337" w:name="_Toc184310284"/>
      <w:bookmarkEnd w:id="337"/>
      <w:bookmarkStart w:id="338" w:name="_Toc184308094"/>
      <w:bookmarkEnd w:id="338"/>
      <w:bookmarkStart w:id="339" w:name="_Toc184310275"/>
      <w:bookmarkEnd w:id="339"/>
      <w:bookmarkStart w:id="340" w:name="_Toc184308079"/>
      <w:bookmarkEnd w:id="340"/>
      <w:bookmarkStart w:id="341" w:name="_Toc184313272"/>
      <w:bookmarkEnd w:id="341"/>
      <w:bookmarkStart w:id="342" w:name="_Toc184310285"/>
      <w:bookmarkEnd w:id="342"/>
      <w:bookmarkStart w:id="343" w:name="_Toc184308057"/>
      <w:bookmarkEnd w:id="343"/>
      <w:bookmarkStart w:id="344" w:name="_Toc184308066"/>
      <w:bookmarkEnd w:id="344"/>
      <w:bookmarkStart w:id="345" w:name="_Toc184310330"/>
      <w:bookmarkEnd w:id="345"/>
      <w:bookmarkStart w:id="346" w:name="_Toc184310294"/>
      <w:bookmarkEnd w:id="346"/>
      <w:bookmarkStart w:id="347" w:name="_Toc184314420"/>
      <w:bookmarkEnd w:id="347"/>
      <w:bookmarkStart w:id="348" w:name="_Toc184314479"/>
      <w:bookmarkEnd w:id="348"/>
      <w:bookmarkStart w:id="349" w:name="_Toc184310340"/>
      <w:bookmarkEnd w:id="349"/>
      <w:bookmarkStart w:id="350" w:name="_Toc184310321"/>
      <w:bookmarkEnd w:id="350"/>
      <w:bookmarkStart w:id="351" w:name="_Toc184308061"/>
      <w:bookmarkEnd w:id="351"/>
      <w:bookmarkStart w:id="352" w:name="_Toc184312116"/>
      <w:bookmarkEnd w:id="352"/>
      <w:bookmarkStart w:id="353" w:name="_Toc184313275"/>
      <w:bookmarkEnd w:id="353"/>
      <w:bookmarkStart w:id="354" w:name="_Toc184308073"/>
      <w:bookmarkEnd w:id="354"/>
      <w:bookmarkStart w:id="355" w:name="_Toc184314465"/>
      <w:bookmarkEnd w:id="355"/>
      <w:bookmarkStart w:id="356" w:name="_Toc184313305"/>
      <w:bookmarkEnd w:id="356"/>
      <w:bookmarkStart w:id="357" w:name="_Toc184312097"/>
      <w:bookmarkEnd w:id="357"/>
      <w:bookmarkStart w:id="358" w:name="_Toc184313277"/>
      <w:bookmarkEnd w:id="358"/>
      <w:bookmarkStart w:id="359" w:name="_Toc184312094"/>
      <w:bookmarkEnd w:id="359"/>
      <w:bookmarkStart w:id="360" w:name="_Toc184312106"/>
      <w:bookmarkEnd w:id="360"/>
      <w:bookmarkStart w:id="361" w:name="_Toc184313256"/>
      <w:bookmarkEnd w:id="361"/>
      <w:bookmarkStart w:id="362" w:name="_Toc184313241"/>
      <w:bookmarkEnd w:id="362"/>
      <w:bookmarkStart w:id="363" w:name="_Toc184310317"/>
      <w:bookmarkEnd w:id="363"/>
      <w:bookmarkStart w:id="364" w:name="_Toc184312107"/>
      <w:bookmarkEnd w:id="364"/>
      <w:bookmarkStart w:id="365" w:name="_Toc184314422"/>
      <w:bookmarkEnd w:id="365"/>
      <w:bookmarkStart w:id="366" w:name="_Toc184308051"/>
      <w:bookmarkEnd w:id="366"/>
      <w:bookmarkStart w:id="367" w:name="_Toc184314425"/>
      <w:bookmarkEnd w:id="367"/>
      <w:bookmarkStart w:id="368" w:name="_Toc184313307"/>
      <w:bookmarkEnd w:id="368"/>
      <w:bookmarkStart w:id="369" w:name="_Toc184313246"/>
      <w:bookmarkEnd w:id="369"/>
      <w:bookmarkStart w:id="370" w:name="_Toc184312071"/>
      <w:bookmarkEnd w:id="370"/>
      <w:bookmarkStart w:id="371" w:name="_Toc184313292"/>
      <w:bookmarkEnd w:id="371"/>
      <w:bookmarkStart w:id="372" w:name="_Toc184308089"/>
      <w:bookmarkEnd w:id="372"/>
      <w:bookmarkStart w:id="373" w:name="_Toc184308049"/>
      <w:bookmarkEnd w:id="373"/>
      <w:bookmarkStart w:id="374" w:name="_Toc184312134"/>
      <w:bookmarkEnd w:id="374"/>
      <w:bookmarkStart w:id="375" w:name="_Toc184314447"/>
      <w:bookmarkEnd w:id="375"/>
      <w:bookmarkStart w:id="376" w:name="_Toc184313278"/>
      <w:bookmarkEnd w:id="376"/>
      <w:bookmarkStart w:id="377" w:name="_Toc184312099"/>
      <w:bookmarkEnd w:id="377"/>
      <w:bookmarkStart w:id="378" w:name="_Toc184313258"/>
      <w:bookmarkEnd w:id="378"/>
      <w:bookmarkStart w:id="379" w:name="_Toc184310276"/>
      <w:bookmarkEnd w:id="379"/>
      <w:bookmarkStart w:id="380" w:name="_Toc184310322"/>
      <w:bookmarkEnd w:id="380"/>
      <w:bookmarkStart w:id="381" w:name="_Toc184312090"/>
      <w:bookmarkEnd w:id="381"/>
      <w:bookmarkStart w:id="382" w:name="_Toc184308100"/>
      <w:bookmarkEnd w:id="382"/>
      <w:bookmarkStart w:id="383" w:name="_Toc184310343"/>
      <w:bookmarkEnd w:id="383"/>
      <w:bookmarkStart w:id="384" w:name="_Toc184308075"/>
      <w:bookmarkEnd w:id="384"/>
      <w:bookmarkStart w:id="385" w:name="_Toc184308076"/>
      <w:bookmarkEnd w:id="385"/>
      <w:bookmarkStart w:id="386" w:name="_Toc184308081"/>
      <w:bookmarkEnd w:id="386"/>
      <w:bookmarkStart w:id="387" w:name="_Toc184313297"/>
      <w:bookmarkEnd w:id="387"/>
      <w:bookmarkStart w:id="388" w:name="_Toc184312100"/>
      <w:bookmarkEnd w:id="388"/>
      <w:bookmarkStart w:id="389" w:name="_Toc184310280"/>
      <w:bookmarkEnd w:id="389"/>
      <w:bookmarkStart w:id="390" w:name="_Toc184313293"/>
      <w:bookmarkEnd w:id="390"/>
      <w:bookmarkStart w:id="391" w:name="_Toc184308036"/>
      <w:bookmarkEnd w:id="391"/>
      <w:bookmarkStart w:id="392" w:name="_Toc184310329"/>
      <w:bookmarkEnd w:id="392"/>
      <w:bookmarkStart w:id="393" w:name="_Toc184314424"/>
      <w:bookmarkEnd w:id="393"/>
      <w:bookmarkStart w:id="394" w:name="_Toc184310286"/>
      <w:bookmarkEnd w:id="394"/>
      <w:bookmarkStart w:id="395" w:name="_Toc184313247"/>
      <w:bookmarkEnd w:id="395"/>
      <w:bookmarkStart w:id="396" w:name="_Toc184314438"/>
      <w:bookmarkEnd w:id="396"/>
      <w:bookmarkStart w:id="397" w:name="_Toc184313291"/>
      <w:bookmarkEnd w:id="397"/>
      <w:bookmarkStart w:id="398" w:name="_Toc184313295"/>
      <w:bookmarkEnd w:id="398"/>
      <w:bookmarkStart w:id="399" w:name="_Toc184312091"/>
      <w:bookmarkEnd w:id="399"/>
      <w:bookmarkStart w:id="400" w:name="_Toc184310341"/>
      <w:bookmarkEnd w:id="400"/>
      <w:bookmarkStart w:id="401" w:name="_Toc184308106"/>
      <w:bookmarkEnd w:id="401"/>
      <w:bookmarkStart w:id="402" w:name="_Toc184310325"/>
      <w:bookmarkEnd w:id="402"/>
      <w:bookmarkStart w:id="403" w:name="_Toc184308065"/>
      <w:bookmarkEnd w:id="403"/>
      <w:bookmarkStart w:id="404" w:name="_Toc184312073"/>
      <w:bookmarkEnd w:id="404"/>
      <w:bookmarkStart w:id="405" w:name="_Toc184310338"/>
      <w:bookmarkEnd w:id="405"/>
      <w:bookmarkStart w:id="406" w:name="_Toc184312078"/>
      <w:bookmarkEnd w:id="406"/>
      <w:bookmarkStart w:id="407" w:name="_Toc184312103"/>
      <w:bookmarkEnd w:id="407"/>
      <w:bookmarkStart w:id="408" w:name="_Toc184308070"/>
      <w:bookmarkEnd w:id="408"/>
      <w:bookmarkStart w:id="409" w:name="_Toc184312069"/>
      <w:bookmarkEnd w:id="409"/>
      <w:bookmarkStart w:id="410" w:name="_Toc184310320"/>
      <w:bookmarkEnd w:id="410"/>
      <w:bookmarkStart w:id="411" w:name="_Toc184314454"/>
      <w:bookmarkEnd w:id="411"/>
      <w:bookmarkStart w:id="412" w:name="_Toc184312082"/>
      <w:bookmarkEnd w:id="412"/>
      <w:bookmarkStart w:id="413" w:name="_Toc184313294"/>
      <w:bookmarkEnd w:id="413"/>
      <w:bookmarkStart w:id="414" w:name="_Toc184308088"/>
      <w:bookmarkEnd w:id="414"/>
      <w:bookmarkStart w:id="415" w:name="_Toc184312072"/>
      <w:bookmarkEnd w:id="415"/>
      <w:bookmarkStart w:id="416" w:name="_Toc184310333"/>
      <w:bookmarkEnd w:id="416"/>
      <w:r>
        <w:rPr>
          <w:rStyle w:val="286"/>
          <w:rFonts w:hint="eastAsia" w:ascii="宋体" w:hAnsi="宋体" w:eastAsia="宋体" w:cs="宋体"/>
          <w:color w:val="auto"/>
          <w:szCs w:val="36"/>
        </w:rPr>
        <w:t>评标办法</w:t>
      </w:r>
      <w:bookmarkEnd w:id="51"/>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（2）如供应商是事业单位，提供有效的“事业单位法人证书”；</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（3）如供应商是非企业专业服务机构的，提供执业许可证等证明文件；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（4）如供应商是个体工商户，提供有效的“个体工商户营业执照”；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（5）如供应商是自然人，提供有效的自然人身份证明。</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制造商</w:t>
            </w:r>
            <w:r>
              <w:rPr>
                <w:rFonts w:hint="eastAsia" w:ascii="宋体" w:hAnsi="宋体" w:eastAsia="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本项目不接受联合体响应</w:t>
            </w:r>
          </w:p>
        </w:tc>
      </w:tr>
    </w:tbl>
    <w:p>
      <w:pPr>
        <w:spacing w:line="360" w:lineRule="auto"/>
        <w:ind w:firstLine="422"/>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rPr>
        <w:t>1、上述资格证明文件未按采购文件要求附入</w:t>
      </w:r>
      <w:r>
        <w:rPr>
          <w:rFonts w:hint="eastAsia" w:ascii="宋体" w:hAnsi="宋体" w:eastAsia="宋体" w:cs="宋体"/>
          <w:b/>
          <w:bCs/>
          <w:color w:val="auto"/>
          <w:sz w:val="24"/>
          <w:lang w:eastAsia="zh-CN"/>
        </w:rPr>
        <w:t>投标</w:t>
      </w:r>
      <w:r>
        <w:rPr>
          <w:rFonts w:hint="eastAsia" w:ascii="宋体" w:hAnsi="宋体" w:eastAsia="宋体" w:cs="宋体"/>
          <w:b/>
          <w:bCs/>
          <w:color w:val="auto"/>
          <w:sz w:val="24"/>
        </w:rPr>
        <w:t>文件中的，资格性审查不合格。</w:t>
      </w:r>
    </w:p>
    <w:p>
      <w:pPr>
        <w:spacing w:line="360" w:lineRule="auto"/>
        <w:ind w:firstLine="422"/>
        <w:rPr>
          <w:rFonts w:hint="eastAsia" w:ascii="宋体" w:hAnsi="宋体" w:eastAsia="宋体" w:cs="宋体"/>
          <w:b/>
          <w:bCs/>
          <w:color w:val="auto"/>
          <w:sz w:val="24"/>
        </w:rPr>
      </w:pPr>
      <w:r>
        <w:rPr>
          <w:rFonts w:hint="eastAsia" w:ascii="宋体" w:hAnsi="宋体" w:eastAsia="宋体" w:cs="宋体"/>
          <w:b/>
          <w:bCs/>
          <w:color w:val="auto"/>
          <w:sz w:val="24"/>
        </w:rPr>
        <w:t>2、上述审查项目中，任意一项不符合的，资格性审查不合格。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545"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审查项目</w:t>
            </w:r>
          </w:p>
        </w:tc>
        <w:tc>
          <w:tcPr>
            <w:tcW w:w="615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的签署盖章</w:t>
            </w:r>
          </w:p>
        </w:tc>
        <w:tc>
          <w:tcPr>
            <w:tcW w:w="6150"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实质性条款响应</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法定代表人授权书</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无效响应条款</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按有关法律、法规、规章不属于响应无效的。</w:t>
            </w:r>
          </w:p>
        </w:tc>
      </w:tr>
    </w:tbl>
    <w:p>
      <w:pPr>
        <w:spacing w:line="360" w:lineRule="auto"/>
        <w:ind w:firstLine="422"/>
        <w:rPr>
          <w:rFonts w:hint="eastAsia" w:ascii="宋体" w:hAnsi="宋体" w:eastAsia="宋体" w:cs="宋体"/>
          <w:b/>
          <w:color w:val="auto"/>
          <w:sz w:val="24"/>
        </w:rPr>
      </w:pPr>
      <w:r>
        <w:rPr>
          <w:rFonts w:hint="eastAsia" w:ascii="宋体" w:hAnsi="宋体" w:eastAsia="宋体" w:cs="宋体"/>
          <w:b/>
          <w:color w:val="auto"/>
          <w:sz w:val="24"/>
        </w:rPr>
        <w:t>注：上述审查项目中，任意一项不符合的，符合性审查不合格。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color w:val="auto"/>
                <w:sz w:val="24"/>
              </w:rPr>
            </w:pPr>
            <w:r>
              <w:rPr>
                <w:rFonts w:hint="eastAsia" w:ascii="宋体" w:hAnsi="宋体" w:cs="宋体"/>
                <w:b/>
                <w:color w:val="auto"/>
                <w:sz w:val="24"/>
              </w:rPr>
              <w:t>评分项目</w:t>
            </w:r>
          </w:p>
        </w:tc>
        <w:tc>
          <w:tcPr>
            <w:tcW w:w="8431" w:type="dxa"/>
            <w:gridSpan w:val="2"/>
            <w:vAlign w:val="center"/>
          </w:tcPr>
          <w:p>
            <w:pPr>
              <w:spacing w:line="360" w:lineRule="auto"/>
              <w:textAlignment w:val="baseline"/>
              <w:rPr>
                <w:rFonts w:ascii="宋体" w:hAnsi="宋体" w:cs="宋体"/>
                <w:b/>
                <w:color w:val="auto"/>
                <w:sz w:val="24"/>
              </w:rPr>
            </w:pPr>
            <w:r>
              <w:rPr>
                <w:rFonts w:hint="eastAsia" w:ascii="宋体" w:hAnsi="宋体" w:cs="宋体"/>
                <w:b/>
                <w:color w:val="auto"/>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投标报价（3</w:t>
            </w:r>
            <w:r>
              <w:rPr>
                <w:rFonts w:hint="eastAsia" w:ascii="宋体" w:hAnsi="宋体" w:cs="宋体"/>
                <w:b/>
                <w:color w:val="auto"/>
                <w:sz w:val="24"/>
                <w:lang w:val="en-US" w:eastAsia="zh-CN"/>
              </w:rPr>
              <w:t>5</w:t>
            </w:r>
            <w:r>
              <w:rPr>
                <w:rFonts w:hint="eastAsia" w:ascii="宋体" w:hAnsi="宋体" w:cs="宋体"/>
                <w:b/>
                <w:color w:val="auto"/>
                <w:sz w:val="24"/>
              </w:rPr>
              <w:t>分）</w:t>
            </w:r>
          </w:p>
        </w:tc>
        <w:tc>
          <w:tcPr>
            <w:tcW w:w="1519" w:type="dxa"/>
            <w:vAlign w:val="center"/>
          </w:tcPr>
          <w:p>
            <w:pPr>
              <w:spacing w:line="360" w:lineRule="auto"/>
              <w:ind w:right="-21" w:rightChars="-10"/>
              <w:jc w:val="center"/>
              <w:rPr>
                <w:rFonts w:hint="eastAsia" w:ascii="宋体" w:hAnsi="宋体" w:cs="宋体"/>
                <w:b/>
                <w:color w:val="auto"/>
                <w:sz w:val="24"/>
              </w:rPr>
            </w:pPr>
            <w:r>
              <w:rPr>
                <w:rFonts w:hint="eastAsia" w:ascii="宋体" w:hAnsi="宋体" w:cs="宋体"/>
                <w:b/>
                <w:color w:val="auto"/>
                <w:sz w:val="24"/>
              </w:rPr>
              <w:t>价格分（3</w:t>
            </w:r>
            <w:r>
              <w:rPr>
                <w:rFonts w:hint="eastAsia" w:ascii="宋体" w:hAnsi="宋体" w:cs="宋体"/>
                <w:b/>
                <w:color w:val="auto"/>
                <w:sz w:val="24"/>
                <w:lang w:val="en-US" w:eastAsia="zh-CN"/>
              </w:rPr>
              <w:t>5</w:t>
            </w:r>
            <w:r>
              <w:rPr>
                <w:rFonts w:hint="eastAsia" w:ascii="宋体" w:hAnsi="宋体" w:cs="宋体"/>
                <w:b/>
                <w:color w:val="auto"/>
                <w:sz w:val="24"/>
              </w:rPr>
              <w:t>分）</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评标基准价=满足招标文件要求的参与评审价格中的最低价；</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评标基准价得分为满分。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参与评审价格=投标报价</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投标报价得分=（评标基准价/参与评审价格）×3</w:t>
            </w:r>
            <w:r>
              <w:rPr>
                <w:rFonts w:hint="eastAsia" w:ascii="宋体" w:hAnsi="宋体" w:cs="宋体"/>
                <w:bCs/>
                <w:color w:val="auto"/>
                <w:sz w:val="24"/>
                <w:lang w:val="en-US" w:eastAsia="zh-CN"/>
              </w:rPr>
              <w:t>5</w:t>
            </w:r>
            <w:r>
              <w:rPr>
                <w:rFonts w:hint="eastAsia" w:ascii="宋体" w:hAnsi="宋体" w:cs="宋体"/>
                <w:bCs/>
                <w:color w:val="auto"/>
                <w:sz w:val="24"/>
                <w:lang w:val="zh-CN"/>
              </w:rPr>
              <w:t>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商务（</w:t>
            </w:r>
            <w:r>
              <w:rPr>
                <w:rFonts w:hint="eastAsia" w:ascii="宋体" w:hAnsi="宋体" w:cs="宋体"/>
                <w:b/>
                <w:color w:val="auto"/>
                <w:sz w:val="24"/>
                <w:lang w:val="en-US" w:eastAsia="zh-CN"/>
              </w:rPr>
              <w:t>10</w:t>
            </w:r>
            <w:r>
              <w:rPr>
                <w:rFonts w:hint="eastAsia" w:ascii="宋体" w:hAnsi="宋体" w:cs="宋体"/>
                <w:b/>
                <w:color w:val="auto"/>
                <w:sz w:val="24"/>
              </w:rPr>
              <w:t>分）</w:t>
            </w:r>
          </w:p>
        </w:tc>
        <w:tc>
          <w:tcPr>
            <w:tcW w:w="1519" w:type="dxa"/>
            <w:vAlign w:val="center"/>
          </w:tcPr>
          <w:p>
            <w:pPr>
              <w:spacing w:line="360" w:lineRule="auto"/>
              <w:ind w:right="-21" w:rightChars="-10"/>
              <w:jc w:val="center"/>
              <w:rPr>
                <w:rFonts w:hint="eastAsia" w:ascii="宋体" w:hAnsi="宋体" w:cs="宋体"/>
                <w:b/>
                <w:color w:val="auto"/>
                <w:sz w:val="24"/>
              </w:rPr>
            </w:pPr>
            <w:r>
              <w:rPr>
                <w:rFonts w:hint="eastAsia" w:ascii="宋体" w:hAnsi="宋体" w:cs="宋体"/>
                <w:b/>
                <w:color w:val="auto"/>
                <w:sz w:val="24"/>
                <w:lang w:eastAsia="zh-CN"/>
              </w:rPr>
              <w:t>投标人资信及认证（</w:t>
            </w:r>
            <w:r>
              <w:rPr>
                <w:rFonts w:hint="eastAsia" w:ascii="宋体" w:hAnsi="宋体" w:cs="宋体"/>
                <w:b/>
                <w:color w:val="auto"/>
                <w:sz w:val="24"/>
                <w:lang w:val="en-US" w:eastAsia="zh-CN"/>
              </w:rPr>
              <w:t>5分</w:t>
            </w:r>
            <w:r>
              <w:rPr>
                <w:rFonts w:hint="eastAsia" w:ascii="宋体" w:hAnsi="宋体" w:cs="宋体"/>
                <w:b/>
                <w:color w:val="auto"/>
                <w:sz w:val="24"/>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【客观分】</w:t>
            </w:r>
          </w:p>
          <w:p>
            <w:pPr>
              <w:snapToGrid w:val="0"/>
              <w:spacing w:line="360" w:lineRule="auto"/>
              <w:jc w:val="left"/>
              <w:rPr>
                <w:rFonts w:hint="eastAsia" w:ascii="宋体" w:hAnsi="宋体" w:cs="宋体"/>
                <w:bCs/>
                <w:color w:val="auto"/>
                <w:sz w:val="24"/>
                <w:lang w:val="en-US" w:eastAsia="zh-CN"/>
              </w:rPr>
            </w:pPr>
            <w:r>
              <w:rPr>
                <w:rFonts w:hint="eastAsia" w:ascii="宋体" w:hAnsi="宋体" w:cs="宋体"/>
                <w:bCs/>
                <w:color w:val="auto"/>
                <w:sz w:val="24"/>
                <w:lang w:val="en-US" w:eastAsia="zh-CN"/>
              </w:rPr>
              <w:t>1.所投课桌、课椅具有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中国环保产品认证证书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的得2分，</w:t>
            </w:r>
            <w:r>
              <w:rPr>
                <w:rFonts w:hint="eastAsia" w:ascii="宋体" w:hAnsi="宋体" w:cs="宋体"/>
                <w:bCs/>
                <w:color w:val="auto"/>
                <w:sz w:val="24"/>
                <w:lang w:val="zh-CN"/>
              </w:rPr>
              <w:t>评审依据：认证证书，且国家认证认可监督管理委员会官方网站可查询。</w:t>
            </w:r>
            <w:r>
              <w:rPr>
                <w:rFonts w:hint="eastAsia" w:ascii="宋体" w:hAnsi="宋体" w:cs="宋体"/>
                <w:bCs/>
                <w:color w:val="auto"/>
                <w:sz w:val="24"/>
                <w:lang w:val="en-US" w:eastAsia="zh-CN"/>
              </w:rPr>
              <w:t>不提供不得分；</w:t>
            </w:r>
          </w:p>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en-US" w:eastAsia="zh-CN"/>
              </w:rPr>
              <w:t>2.所投课桌和课椅具有</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中国绿色产品认证证书</w:t>
            </w:r>
            <w:r>
              <w:rPr>
                <w:rFonts w:hint="eastAsia" w:ascii="宋体" w:hAnsi="宋体" w:cs="宋体"/>
                <w:bCs/>
                <w:color w:val="auto"/>
                <w:sz w:val="24"/>
                <w:lang w:val="zh-CN" w:eastAsia="zh-CN"/>
              </w:rPr>
              <w:t>”</w:t>
            </w:r>
            <w:r>
              <w:rPr>
                <w:rFonts w:hint="eastAsia" w:ascii="宋体" w:hAnsi="宋体" w:cs="宋体"/>
                <w:bCs/>
                <w:color w:val="auto"/>
                <w:sz w:val="24"/>
                <w:lang w:val="en-US" w:eastAsia="zh-CN"/>
              </w:rPr>
              <w:t>的每个得1.5分，最多3分，</w:t>
            </w:r>
            <w:r>
              <w:rPr>
                <w:rFonts w:hint="eastAsia" w:ascii="宋体" w:hAnsi="宋体" w:cs="宋体"/>
                <w:bCs/>
                <w:color w:val="auto"/>
                <w:sz w:val="24"/>
                <w:lang w:val="zh-CN"/>
              </w:rPr>
              <w:t>评审依据：认证证书，且国家认证认可监督管理委员会官方网站可查询。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ascii="宋体" w:hAnsi="宋体" w:cs="宋体"/>
                <w:b/>
                <w:color w:val="auto"/>
                <w:sz w:val="24"/>
              </w:rPr>
            </w:pPr>
            <w:r>
              <w:rPr>
                <w:rFonts w:hint="eastAsia" w:ascii="宋体" w:hAnsi="宋体" w:cs="宋体"/>
                <w:b/>
                <w:bCs/>
                <w:color w:val="auto"/>
                <w:szCs w:val="21"/>
              </w:rPr>
              <w:t>业绩（3分）</w:t>
            </w:r>
          </w:p>
        </w:tc>
        <w:tc>
          <w:tcPr>
            <w:tcW w:w="6912" w:type="dxa"/>
            <w:vAlign w:val="center"/>
          </w:tcPr>
          <w:p>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【客观分】</w:t>
            </w:r>
          </w:p>
          <w:p>
            <w:pPr>
              <w:snapToGrid w:val="0"/>
              <w:spacing w:line="360" w:lineRule="auto"/>
              <w:jc w:val="left"/>
              <w:rPr>
                <w:rFonts w:ascii="宋体" w:hAnsi="宋体" w:cs="宋体"/>
                <w:bCs/>
                <w:color w:val="auto"/>
                <w:sz w:val="24"/>
                <w:lang w:val="zh-CN"/>
              </w:rPr>
            </w:pPr>
            <w:r>
              <w:rPr>
                <w:rFonts w:hint="eastAsia" w:ascii="宋体" w:hAnsi="宋体" w:cs="宋体"/>
                <w:bCs/>
                <w:color w:val="auto"/>
                <w:sz w:val="24"/>
                <w:lang w:val="zh-CN"/>
              </w:rPr>
              <w:t>投标人提供自20</w:t>
            </w:r>
            <w:r>
              <w:rPr>
                <w:rFonts w:hint="eastAsia" w:ascii="宋体" w:hAnsi="宋体" w:cs="宋体"/>
                <w:bCs/>
                <w:color w:val="auto"/>
                <w:sz w:val="24"/>
              </w:rPr>
              <w:t>2</w:t>
            </w:r>
            <w:r>
              <w:rPr>
                <w:rFonts w:hint="eastAsia" w:ascii="宋体" w:hAnsi="宋体" w:cs="宋体"/>
                <w:bCs/>
                <w:color w:val="auto"/>
                <w:sz w:val="24"/>
                <w:lang w:val="en-US" w:eastAsia="zh-CN"/>
              </w:rPr>
              <w:t>2</w:t>
            </w:r>
            <w:r>
              <w:rPr>
                <w:rFonts w:hint="eastAsia" w:ascii="宋体" w:hAnsi="宋体" w:cs="宋体"/>
                <w:bCs/>
                <w:color w:val="auto"/>
                <w:sz w:val="24"/>
                <w:lang w:val="zh-CN"/>
              </w:rPr>
              <w:t>年</w:t>
            </w:r>
            <w:r>
              <w:rPr>
                <w:rFonts w:hint="eastAsia" w:ascii="宋体" w:hAnsi="宋体" w:cs="宋体"/>
                <w:bCs/>
                <w:color w:val="auto"/>
                <w:sz w:val="24"/>
                <w:lang w:val="en-US" w:eastAsia="zh-CN"/>
              </w:rPr>
              <w:t>7</w:t>
            </w:r>
            <w:r>
              <w:rPr>
                <w:rFonts w:hint="eastAsia" w:ascii="宋体" w:hAnsi="宋体" w:cs="宋体"/>
                <w:bCs/>
                <w:color w:val="auto"/>
                <w:sz w:val="24"/>
                <w:lang w:val="zh-CN"/>
              </w:rPr>
              <w:t>月1日以来（以合同签订时间为准）同类</w:t>
            </w:r>
            <w:r>
              <w:rPr>
                <w:rFonts w:hint="eastAsia" w:ascii="宋体" w:hAnsi="宋体" w:eastAsia="宋体" w:cs="宋体"/>
                <w:color w:val="auto"/>
                <w:sz w:val="24"/>
                <w:szCs w:val="24"/>
                <w:vertAlign w:val="baseline"/>
                <w:lang w:val="en-US" w:eastAsia="zh-CN"/>
              </w:rPr>
              <w:t>家具产品类</w:t>
            </w:r>
            <w:r>
              <w:rPr>
                <w:rFonts w:hint="eastAsia" w:ascii="宋体" w:hAnsi="宋体" w:cs="宋体"/>
                <w:bCs/>
                <w:color w:val="auto"/>
                <w:sz w:val="24"/>
                <w:lang w:val="zh-CN"/>
              </w:rPr>
              <w:t>业绩（以提供的合同扫描件为准）：每提供1份合同业绩得</w:t>
            </w:r>
            <w:r>
              <w:rPr>
                <w:rFonts w:ascii="宋体" w:hAnsi="宋体" w:cs="宋体"/>
                <w:bCs/>
                <w:color w:val="auto"/>
                <w:sz w:val="24"/>
                <w:lang w:val="zh-CN"/>
              </w:rPr>
              <w:t>1</w:t>
            </w:r>
            <w:r>
              <w:rPr>
                <w:rFonts w:hint="eastAsia" w:ascii="宋体" w:hAnsi="宋体" w:cs="宋体"/>
                <w:bCs/>
                <w:color w:val="auto"/>
                <w:sz w:val="24"/>
                <w:lang w:val="zh-CN"/>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ascii="宋体" w:hAnsi="宋体" w:cs="宋体"/>
                <w:b/>
                <w:color w:val="auto"/>
                <w:sz w:val="24"/>
              </w:rPr>
            </w:pPr>
          </w:p>
        </w:tc>
        <w:tc>
          <w:tcPr>
            <w:tcW w:w="1519" w:type="dxa"/>
            <w:vAlign w:val="center"/>
          </w:tcPr>
          <w:p>
            <w:pPr>
              <w:snapToGrid w:val="0"/>
              <w:spacing w:line="288" w:lineRule="auto"/>
              <w:jc w:val="center"/>
              <w:rPr>
                <w:rFonts w:ascii="宋体" w:hAnsi="宋体" w:cs="宋体"/>
                <w:b/>
                <w:color w:val="auto"/>
                <w:sz w:val="24"/>
              </w:rPr>
            </w:pPr>
            <w:r>
              <w:rPr>
                <w:rFonts w:hint="eastAsia" w:ascii="宋体" w:hAnsi="宋体" w:cs="宋体"/>
                <w:b/>
                <w:bCs/>
                <w:color w:val="auto"/>
                <w:szCs w:val="21"/>
              </w:rPr>
              <w:t>政策功能（</w:t>
            </w:r>
            <w:r>
              <w:rPr>
                <w:rFonts w:hint="eastAsia" w:ascii="宋体" w:hAnsi="宋体" w:cs="宋体"/>
                <w:b/>
                <w:bCs/>
                <w:color w:val="auto"/>
                <w:szCs w:val="21"/>
                <w:lang w:val="en-US" w:eastAsia="zh-CN"/>
              </w:rPr>
              <w:t>2</w:t>
            </w:r>
            <w:r>
              <w:rPr>
                <w:rFonts w:hint="eastAsia" w:ascii="宋体" w:hAnsi="宋体" w:cs="宋体"/>
                <w:b/>
                <w:bCs/>
                <w:color w:val="auto"/>
                <w:szCs w:val="21"/>
              </w:rPr>
              <w:t>分）</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【客观分】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1、所有投标产品属于《节能产品政府采购品目清单》范围的且具有国家确定的认证机构出具的、处于有效期之内的节能产品认证证书的得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2、所有投标产品属于《环境标志产品政府采购品目清单》范围的且具有国家确定的认证机构出具的、处于有效期之内的环境标志产品认证证书的得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1283" w:type="dxa"/>
            <w:vMerge w:val="restart"/>
            <w:vAlign w:val="center"/>
          </w:tcPr>
          <w:p>
            <w:pPr>
              <w:spacing w:line="360" w:lineRule="auto"/>
              <w:ind w:right="-21" w:rightChars="-10"/>
              <w:jc w:val="center"/>
              <w:rPr>
                <w:rFonts w:ascii="宋体" w:hAnsi="宋体" w:cs="宋体"/>
                <w:b/>
                <w:color w:val="auto"/>
                <w:sz w:val="24"/>
              </w:rPr>
            </w:pPr>
            <w:r>
              <w:rPr>
                <w:rFonts w:hint="eastAsia" w:ascii="宋体" w:hAnsi="宋体" w:cs="宋体"/>
                <w:b/>
                <w:color w:val="auto"/>
                <w:sz w:val="24"/>
              </w:rPr>
              <w:t>技术（</w:t>
            </w:r>
            <w:r>
              <w:rPr>
                <w:rFonts w:hint="eastAsia" w:ascii="宋体" w:hAnsi="宋体" w:cs="宋体"/>
                <w:b/>
                <w:color w:val="auto"/>
                <w:sz w:val="24"/>
                <w:lang w:val="en-US" w:eastAsia="zh-CN"/>
              </w:rPr>
              <w:t>55</w:t>
            </w:r>
            <w:r>
              <w:rPr>
                <w:rFonts w:hint="eastAsia" w:ascii="宋体" w:hAnsi="宋体" w:cs="宋体"/>
                <w:b/>
                <w:color w:val="auto"/>
                <w:sz w:val="24"/>
              </w:rPr>
              <w:t>分）</w:t>
            </w: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项目实施方案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【主观分】投标人根据本项目特点提供的实施方案（包含原材料准备、生产过程、货物供货、验货等）关键步骤描述清晰、合理，针对性强的，得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分；投标人提供的实施方案包含了项目实施的内容，但各步骤描述较为简单的，得</w:t>
            </w:r>
            <w:r>
              <w:rPr>
                <w:rFonts w:hint="eastAsia" w:ascii="宋体" w:hAnsi="宋体" w:cs="宋体"/>
                <w:bCs/>
                <w:color w:val="auto"/>
                <w:sz w:val="24"/>
                <w:lang w:val="en-US" w:eastAsia="zh-CN"/>
              </w:rPr>
              <w:t>1</w:t>
            </w:r>
            <w:r>
              <w:rPr>
                <w:rFonts w:hint="eastAsia" w:ascii="宋体" w:hAnsi="宋体" w:cs="宋体"/>
                <w:bCs/>
                <w:color w:val="auto"/>
                <w:sz w:val="24"/>
                <w:lang w:val="zh-CN"/>
              </w:rPr>
              <w:t>分；未提供相关描述的不得分。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1283" w:type="dxa"/>
            <w:vMerge w:val="continue"/>
            <w:vAlign w:val="center"/>
          </w:tcPr>
          <w:p>
            <w:pPr>
              <w:spacing w:line="360" w:lineRule="auto"/>
              <w:ind w:right="-21" w:rightChars="-10"/>
              <w:jc w:val="center"/>
              <w:rPr>
                <w:rFonts w:hint="eastAsia" w:ascii="宋体" w:hAnsi="宋体" w:cs="宋体"/>
                <w:b/>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原材料采购方案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w:t>
            </w:r>
            <w:r>
              <w:rPr>
                <w:rFonts w:hint="eastAsia" w:ascii="宋体" w:hAnsi="宋体" w:cs="宋体"/>
                <w:bCs/>
                <w:color w:val="auto"/>
                <w:sz w:val="24"/>
                <w:lang w:val="zh-CN" w:eastAsia="zh-CN"/>
              </w:rPr>
              <w:t>投标人</w:t>
            </w:r>
            <w:r>
              <w:rPr>
                <w:rFonts w:hint="eastAsia" w:ascii="宋体" w:hAnsi="宋体" w:cs="宋体"/>
                <w:bCs/>
                <w:color w:val="auto"/>
                <w:sz w:val="24"/>
                <w:lang w:val="zh-CN"/>
              </w:rPr>
              <w:t>根据项目需求确定基本材料的名称、规格（型号）、需求量以及欲采购的原材料品牌、规格（型号）、采购量等。采购方案详细完整，原材料技术、安全等完全满足采购需求的得5分；采购方案基本完整，原材料技术、安全等基本满足采购需求的得3分；采购方案不完整但原材料技术、安全等基本满足采购需求的得1分；无采购方案或原材料技术安全等不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项目进度计划及安排</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eastAsia="zh-CN"/>
              </w:rPr>
            </w:pPr>
            <w:r>
              <w:rPr>
                <w:rFonts w:hint="eastAsia" w:ascii="宋体" w:hAnsi="宋体" w:cs="宋体"/>
                <w:bCs/>
                <w:color w:val="auto"/>
                <w:sz w:val="24"/>
                <w:lang w:val="zh-CN"/>
              </w:rPr>
              <w:t>【主观分】进度计划安排合理且符合实施周期的要求，进度控制措施内容详细、完善，针对性强的，得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分；工作进度计划及实施方案描述简单但不存在明显缺陷的，得1分；进度计划不符合实施周期的要求或进度控制措施内容不完善的或未提供进度计划的，得0分。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生产计划方案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根据项目时间特点，结合企业自身产能合理布置生产计划，生产计划布置科学、合理，满足项目需求的得5分；生产计划布置基本合理，基本满足项目需求的得3分；生产计划布置不科学、无法确定满足项目需求的得1分；无生产计划或不能满足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产品品控情况</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cs="宋体"/>
                <w:bCs/>
                <w:color w:val="auto"/>
                <w:sz w:val="24"/>
                <w:lang w:val="en-US" w:eastAsia="zh-CN"/>
              </w:rPr>
              <w:t>5</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产品制作程序完善，但无健全的工艺流水线、有硅烷流水线，加工工艺具备通用技术水平的得</w:t>
            </w:r>
            <w:r>
              <w:rPr>
                <w:rFonts w:hint="eastAsia" w:ascii="宋体" w:hAnsi="宋体" w:cs="宋体"/>
                <w:bCs/>
                <w:color w:val="auto"/>
                <w:sz w:val="24"/>
                <w:lang w:val="en-US" w:eastAsia="zh-CN"/>
              </w:rPr>
              <w:t>3</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cs="宋体"/>
                <w:bCs/>
                <w:color w:val="auto"/>
                <w:sz w:val="24"/>
                <w:lang w:val="en-US" w:eastAsia="zh-CN"/>
              </w:rPr>
              <w:t>1</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投标人核心生产设备</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据生产设备是否齐全且与生产能力匹配情况、工艺是否先进、合理情况评分（根据提供的主要设备型号清单、工艺与照片等判定）：各类生产设备齐全且与生产能力匹配、机械化程度高，工艺先进、合理的得5分；生产设备基本齐全且与生产能力基本匹配、工艺较好的得3分；生产设备简单、工艺一般的得1分。</w:t>
            </w:r>
            <w:r>
              <w:rPr>
                <w:rFonts w:hint="eastAsia" w:ascii="宋体" w:hAnsi="宋体" w:eastAsia="宋体" w:cs="宋体"/>
                <w:bCs/>
                <w:color w:val="auto"/>
                <w:sz w:val="24"/>
                <w:lang w:val="zh-CN"/>
              </w:rPr>
              <w:br w:type="textWrapping"/>
            </w:r>
            <w:r>
              <w:rPr>
                <w:rFonts w:hint="eastAsia" w:ascii="宋体" w:hAnsi="宋体" w:eastAsia="宋体" w:cs="宋体"/>
                <w:bCs/>
                <w:color w:val="auto"/>
                <w:sz w:val="24"/>
                <w:lang w:val="zh-CN"/>
              </w:rPr>
              <w:t>（需提供设施设备车间现场作业场景照片和所购设备发票复印件，购置发票单位名称必须与投标人名称一致，租赁的还需提供租赁合同，未提供或提供设备名称不相符的不得分，投标人提供的相关证明材料真实性及后果将由投标人自行负责, 如发现弄虚作假,提供虚假材料的按无效标处理。）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安装调试方案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5分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【主观分】提供了完善的安装调试方案，明确送货安装时间及装卸人员数量的，得</w:t>
            </w:r>
            <w:r>
              <w:rPr>
                <w:rFonts w:hint="eastAsia" w:ascii="宋体" w:hAnsi="宋体" w:cs="宋体"/>
                <w:bCs/>
                <w:color w:val="auto"/>
                <w:sz w:val="24"/>
                <w:lang w:val="en-US" w:eastAsia="zh-CN"/>
              </w:rPr>
              <w:t>5</w:t>
            </w:r>
            <w:r>
              <w:rPr>
                <w:rFonts w:hint="eastAsia" w:ascii="宋体" w:hAnsi="宋体" w:eastAsia="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eastAsia="宋体" w:cs="宋体"/>
                <w:bCs/>
                <w:color w:val="auto"/>
                <w:sz w:val="24"/>
                <w:lang w:val="zh-CN"/>
              </w:rPr>
              <w:t>分；提供了安装调试方案，基本满足使用要求，但安装时间、装卸人员等细节未明确，得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color w:val="auto"/>
                <w:sz w:val="24"/>
              </w:rPr>
            </w:pPr>
          </w:p>
        </w:tc>
        <w:tc>
          <w:tcPr>
            <w:tcW w:w="1519" w:type="dxa"/>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技术响应程度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10分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【客观分】满足招标文件明确的</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技术条款要求的该项得满分；技术条款低于</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技术要求（负偏离）的每项扣</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color w:val="auto"/>
                <w:sz w:val="24"/>
              </w:rPr>
            </w:pPr>
          </w:p>
        </w:tc>
        <w:tc>
          <w:tcPr>
            <w:tcW w:w="1519" w:type="dxa"/>
            <w:vMerge w:val="restart"/>
            <w:vAlign w:val="center"/>
          </w:tcPr>
          <w:p>
            <w:pPr>
              <w:snapToGrid w:val="0"/>
              <w:spacing w:line="288" w:lineRule="auto"/>
              <w:jc w:val="center"/>
              <w:rPr>
                <w:rFonts w:hint="eastAsia" w:ascii="宋体" w:hAnsi="宋体" w:cs="宋体"/>
                <w:b/>
                <w:bCs/>
                <w:color w:val="auto"/>
                <w:szCs w:val="21"/>
              </w:rPr>
            </w:pPr>
            <w:r>
              <w:rPr>
                <w:rFonts w:hint="eastAsia" w:ascii="宋体" w:hAnsi="宋体" w:cs="宋体"/>
                <w:b/>
                <w:bCs/>
                <w:color w:val="auto"/>
                <w:szCs w:val="21"/>
              </w:rPr>
              <w:t>售后服务方案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10分</w:t>
            </w:r>
            <w:r>
              <w:rPr>
                <w:rFonts w:hint="eastAsia" w:ascii="宋体" w:hAnsi="宋体" w:cs="宋体"/>
                <w:b/>
                <w:bCs/>
                <w:color w:val="auto"/>
                <w:szCs w:val="21"/>
                <w:lang w:eastAsia="zh-CN"/>
              </w:rPr>
              <w:t>）</w:t>
            </w:r>
          </w:p>
        </w:tc>
        <w:tc>
          <w:tcPr>
            <w:tcW w:w="6912" w:type="dxa"/>
            <w:vAlign w:val="center"/>
          </w:tcPr>
          <w:p>
            <w:pPr>
              <w:snapToGrid w:val="0"/>
              <w:spacing w:line="360" w:lineRule="auto"/>
              <w:jc w:val="left"/>
              <w:rPr>
                <w:rFonts w:hint="eastAsia" w:ascii="宋体" w:hAnsi="宋体" w:cs="宋体"/>
                <w:bCs/>
                <w:color w:val="auto"/>
                <w:sz w:val="24"/>
                <w:lang w:val="zh-CN" w:eastAsia="zh-CN"/>
              </w:rPr>
            </w:pPr>
            <w:r>
              <w:rPr>
                <w:rFonts w:hint="eastAsia" w:ascii="宋体" w:hAnsi="宋体" w:cs="宋体"/>
                <w:bCs/>
                <w:color w:val="auto"/>
                <w:sz w:val="24"/>
                <w:lang w:val="zh-CN"/>
              </w:rPr>
              <w:t>【主观分】投标人提供的售后服务方案详尽、全面合理且具有可操作性的得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分；售后服务方案不够合理且内容部分缺失的得1分；方案有较多欠缺未提供方案的不得分。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ascii="宋体" w:hAnsi="宋体" w:cs="宋体"/>
                <w:color w:val="auto"/>
                <w:sz w:val="24"/>
              </w:rPr>
            </w:pPr>
          </w:p>
        </w:tc>
        <w:tc>
          <w:tcPr>
            <w:tcW w:w="1519" w:type="dxa"/>
            <w:vMerge w:val="continue"/>
            <w:vAlign w:val="center"/>
          </w:tcPr>
          <w:p>
            <w:pPr>
              <w:snapToGrid w:val="0"/>
              <w:spacing w:line="288" w:lineRule="auto"/>
              <w:jc w:val="center"/>
              <w:rPr>
                <w:rFonts w:hint="eastAsia" w:ascii="宋体" w:hAnsi="宋体" w:cs="宋体"/>
                <w:b/>
                <w:bCs/>
                <w:color w:val="auto"/>
                <w:szCs w:val="21"/>
              </w:rPr>
            </w:pPr>
          </w:p>
        </w:tc>
        <w:tc>
          <w:tcPr>
            <w:tcW w:w="6912" w:type="dxa"/>
            <w:vAlign w:val="center"/>
          </w:tcPr>
          <w:p>
            <w:pPr>
              <w:snapToGrid w:val="0"/>
              <w:spacing w:line="360" w:lineRule="auto"/>
              <w:jc w:val="left"/>
              <w:rPr>
                <w:rFonts w:hint="eastAsia" w:ascii="宋体" w:hAnsi="宋体" w:cs="宋体"/>
                <w:bCs/>
                <w:color w:val="auto"/>
                <w:sz w:val="24"/>
                <w:lang w:val="zh-CN"/>
              </w:rPr>
            </w:pPr>
            <w:r>
              <w:rPr>
                <w:rFonts w:hint="eastAsia" w:ascii="宋体" w:hAnsi="宋体" w:cs="宋体"/>
                <w:bCs/>
                <w:color w:val="auto"/>
                <w:sz w:val="24"/>
                <w:lang w:val="zh-CN"/>
              </w:rPr>
              <w:t>【主观分】配件、附件、备品备件准备充分、保障措施充分、购买折扣力度大的得</w:t>
            </w:r>
            <w:r>
              <w:rPr>
                <w:rFonts w:hint="eastAsia" w:ascii="宋体" w:hAnsi="宋体" w:cs="宋体"/>
                <w:bCs/>
                <w:color w:val="auto"/>
                <w:sz w:val="24"/>
                <w:lang w:val="en-US" w:eastAsia="zh-CN"/>
              </w:rPr>
              <w:t>5</w:t>
            </w:r>
            <w:r>
              <w:rPr>
                <w:rFonts w:hint="eastAsia" w:ascii="宋体" w:hAnsi="宋体" w:cs="宋体"/>
                <w:bCs/>
                <w:color w:val="auto"/>
                <w:sz w:val="24"/>
                <w:lang w:val="zh-CN"/>
              </w:rPr>
              <w:t>分；略有欠缺或不到位的得</w:t>
            </w:r>
            <w:r>
              <w:rPr>
                <w:rFonts w:hint="eastAsia" w:ascii="宋体" w:hAnsi="宋体" w:cs="宋体"/>
                <w:bCs/>
                <w:color w:val="auto"/>
                <w:sz w:val="24"/>
                <w:lang w:val="en-US" w:eastAsia="zh-CN"/>
              </w:rPr>
              <w:t>3</w:t>
            </w:r>
            <w:r>
              <w:rPr>
                <w:rFonts w:hint="eastAsia" w:ascii="宋体" w:hAnsi="宋体" w:cs="宋体"/>
                <w:bCs/>
                <w:color w:val="auto"/>
                <w:sz w:val="24"/>
                <w:lang w:val="zh-CN"/>
              </w:rPr>
              <w:t>分；配件、附件、备品备件准备不够充分、保障措施不够充分、购买折扣力度较小的得1分；配件、附件、备品备件方案较差或内容粗糙或未提供相关内容的不得分。</w:t>
            </w:r>
          </w:p>
        </w:tc>
      </w:tr>
    </w:tbl>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pPr>
        <w:snapToGrid w:val="0"/>
        <w:spacing w:line="360" w:lineRule="auto"/>
        <w:rPr>
          <w:rFonts w:hint="eastAsia" w:ascii="宋体" w:hAnsi="宋体" w:eastAsia="宋体" w:cs="宋体"/>
          <w:b/>
          <w:color w:val="auto"/>
          <w:sz w:val="32"/>
        </w:rPr>
      </w:pPr>
      <w:bookmarkStart w:id="417" w:name="_Toc3740"/>
      <w:r>
        <w:rPr>
          <w:rFonts w:hint="eastAsia" w:ascii="宋体" w:hAnsi="宋体" w:eastAsia="宋体" w:cs="宋体"/>
          <w:b/>
          <w:color w:val="auto"/>
          <w:sz w:val="32"/>
        </w:rPr>
        <w:t>三、评标程序</w:t>
      </w:r>
      <w:bookmarkEnd w:id="417"/>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35"/>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cs="宋体"/>
          <w:color w:val="auto"/>
          <w:kern w:val="0"/>
          <w:sz w:val="24"/>
          <w:lang w:eastAsia="zh-CN"/>
        </w:rPr>
        <w:t>，推荐</w:t>
      </w:r>
      <w:r>
        <w:rPr>
          <w:rFonts w:hint="eastAsia" w:ascii="宋体" w:hAnsi="宋体" w:cs="宋体"/>
          <w:color w:val="auto"/>
          <w:kern w:val="0"/>
          <w:sz w:val="24"/>
          <w:lang w:val="en-US" w:eastAsia="zh-CN"/>
        </w:rPr>
        <w:t>1名中标候选人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rPr>
      </w:pPr>
      <w:bookmarkStart w:id="418" w:name="_Toc22394"/>
      <w:r>
        <w:rPr>
          <w:rFonts w:hint="eastAsia" w:ascii="宋体" w:hAnsi="宋体" w:eastAsia="宋体" w:cs="宋体"/>
          <w:b/>
          <w:color w:val="auto"/>
          <w:kern w:val="0"/>
          <w:sz w:val="24"/>
        </w:rPr>
        <w:t>四、评标中的其他事项</w:t>
      </w:r>
      <w:bookmarkEnd w:id="418"/>
    </w:p>
    <w:p>
      <w:pPr>
        <w:pStyle w:val="135"/>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不同供应商联系人为同一人或不同联系人的联系电话一致的</w:t>
      </w:r>
      <w:r>
        <w:rPr>
          <w:rFonts w:hint="eastAsia" w:ascii="宋体" w:hAnsi="宋体" w:eastAsia="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46"/>
      <w:bookmarkStart w:id="419" w:name="第五部分"/>
      <w:bookmarkStart w:id="420" w:name="_Toc86217003"/>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1" w:name="_Toc10866"/>
      <w:r>
        <w:rPr>
          <w:rStyle w:val="286"/>
          <w:rFonts w:hint="eastAsia" w:ascii="宋体" w:hAnsi="宋体" w:eastAsia="宋体" w:cs="宋体"/>
          <w:color w:val="auto"/>
          <w:szCs w:val="36"/>
        </w:rPr>
        <w:t>第五部分拟签订的合同文本</w:t>
      </w:r>
      <w:bookmarkEnd w:id="421"/>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甲方：（买方）</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乙方：（卖方）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color w:val="auto"/>
          <w:kern w:val="0"/>
          <w:sz w:val="24"/>
        </w:rPr>
        <w:t>甲、乙双方根据项目</w:t>
      </w:r>
      <w:r>
        <w:rPr>
          <w:rFonts w:hint="eastAsia" w:ascii="宋体" w:hAnsi="宋体" w:eastAsia="宋体" w:cs="宋体"/>
          <w:color w:val="auto"/>
          <w:kern w:val="0"/>
          <w:sz w:val="24"/>
          <w:u w:val="single"/>
        </w:rPr>
        <w:t>（招标编号：）的</w:t>
      </w:r>
      <w:r>
        <w:rPr>
          <w:rFonts w:hint="eastAsia" w:ascii="宋体" w:hAnsi="宋体" w:eastAsia="宋体" w:cs="宋体"/>
          <w:color w:val="auto"/>
          <w:kern w:val="0"/>
          <w:sz w:val="24"/>
        </w:rPr>
        <w:t>招标结果，签署本合同。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一、货物内容</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二、合同金额</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2.1 本合同金额为（大写）：________________________元（￥_______________元）人民币。</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三、技术资料</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四、安全生产</w:t>
      </w:r>
    </w:p>
    <w:p>
      <w:pPr>
        <w:spacing w:line="360" w:lineRule="auto"/>
        <w:ind w:left="360" w:hanging="360" w:hangingChars="150"/>
        <w:rPr>
          <w:rFonts w:hint="eastAsia" w:ascii="宋体" w:hAnsi="宋体" w:eastAsia="宋体" w:cs="宋体"/>
          <w:color w:val="auto"/>
          <w:sz w:val="24"/>
        </w:rPr>
      </w:pPr>
      <w:r>
        <w:rPr>
          <w:rFonts w:hint="eastAsia" w:ascii="宋体" w:hAnsi="宋体" w:eastAsia="宋体" w:cs="宋体"/>
          <w:color w:val="auto"/>
          <w:sz w:val="24"/>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五、知识产权及产权担保</w:t>
      </w:r>
    </w:p>
    <w:p>
      <w:pPr>
        <w:spacing w:line="360" w:lineRule="auto"/>
        <w:ind w:left="410" w:hanging="410" w:hangingChars="171"/>
        <w:rPr>
          <w:rFonts w:hint="eastAsia" w:ascii="宋体" w:hAnsi="宋体" w:eastAsia="宋体" w:cs="宋体"/>
          <w:bCs/>
          <w:color w:val="auto"/>
          <w:kern w:val="0"/>
          <w:sz w:val="24"/>
        </w:rPr>
      </w:pPr>
      <w:r>
        <w:rPr>
          <w:rFonts w:hint="eastAsia" w:ascii="宋体" w:hAnsi="宋体" w:eastAsia="宋体" w:cs="宋体"/>
          <w:color w:val="auto"/>
          <w:kern w:val="0"/>
          <w:sz w:val="24"/>
        </w:rPr>
        <w:t>5.1 乙方应保证所提供的货物或其任何一部分均不会侵犯任何第三方的知识产权</w:t>
      </w:r>
      <w:r>
        <w:rPr>
          <w:rFonts w:hint="eastAsia" w:ascii="宋体" w:hAnsi="宋体" w:eastAsia="宋体" w:cs="宋体"/>
          <w:bCs/>
          <w:color w:val="auto"/>
          <w:kern w:val="0"/>
          <w:sz w:val="24"/>
        </w:rPr>
        <w:t>。</w:t>
      </w:r>
    </w:p>
    <w:p>
      <w:pPr>
        <w:spacing w:line="360" w:lineRule="auto"/>
        <w:ind w:left="408" w:hanging="408" w:hangingChars="170"/>
        <w:rPr>
          <w:rFonts w:hint="eastAsia" w:ascii="宋体" w:hAnsi="宋体" w:eastAsia="宋体" w:cs="宋体"/>
          <w:color w:val="auto"/>
          <w:kern w:val="0"/>
          <w:sz w:val="24"/>
          <w:u w:val="single"/>
        </w:rPr>
      </w:pPr>
      <w:r>
        <w:rPr>
          <w:rFonts w:hint="eastAsia" w:ascii="宋体" w:hAnsi="宋体" w:eastAsia="宋体" w:cs="宋体"/>
          <w:color w:val="auto"/>
          <w:kern w:val="0"/>
          <w:sz w:val="24"/>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rPr>
      </w:pPr>
      <w:r>
        <w:rPr>
          <w:rFonts w:hint="eastAsia" w:ascii="宋体" w:hAnsi="宋体" w:eastAsia="宋体" w:cs="宋体"/>
          <w:b/>
          <w:color w:val="auto"/>
          <w:kern w:val="0"/>
          <w:sz w:val="24"/>
        </w:rPr>
        <w:t>六、履约保证金</w:t>
      </w:r>
    </w:p>
    <w:p>
      <w:pPr>
        <w:spacing w:line="360" w:lineRule="auto"/>
        <w:ind w:left="408" w:hanging="408" w:hangingChars="170"/>
        <w:rPr>
          <w:rFonts w:hint="eastAsia" w:ascii="宋体" w:hAnsi="宋体" w:eastAsia="宋体" w:cs="宋体"/>
          <w:color w:val="auto"/>
          <w:kern w:val="0"/>
          <w:sz w:val="24"/>
        </w:rPr>
      </w:pPr>
      <w:r>
        <w:rPr>
          <w:rFonts w:hint="eastAsia" w:ascii="宋体" w:hAnsi="宋体" w:eastAsia="宋体" w:cs="宋体"/>
          <w:color w:val="auto"/>
          <w:kern w:val="0"/>
          <w:sz w:val="24"/>
        </w:rPr>
        <w:t>6.1 乙方交纳人民币</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元作为本合同的履约保证金。</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七、转包或分包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7.1本合同范围的货物，应由供方直接供应，不得转让他人供应；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7.2 除非得到需方的书面同意，供方不得部分分包给他人供应。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7.3如有转让和未经需方同意的分包行为，需方有权给予终止合同。</w:t>
      </w:r>
    </w:p>
    <w:p>
      <w:pPr>
        <w:spacing w:line="360" w:lineRule="auto"/>
        <w:ind w:firstLine="482"/>
        <w:rPr>
          <w:rFonts w:hint="eastAsia" w:ascii="宋体" w:hAnsi="宋体" w:eastAsia="宋体" w:cs="宋体"/>
          <w:color w:val="auto"/>
          <w:kern w:val="0"/>
          <w:sz w:val="24"/>
        </w:rPr>
      </w:pPr>
      <w:r>
        <w:rPr>
          <w:rFonts w:hint="eastAsia" w:ascii="宋体" w:hAnsi="宋体" w:eastAsia="宋体" w:cs="宋体"/>
          <w:b/>
          <w:color w:val="auto"/>
          <w:kern w:val="0"/>
          <w:sz w:val="24"/>
        </w:rPr>
        <w:t>八、质保期</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8.1 质保期年。（自交货验收合格之日起计）</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九、交货期、交货方式及交货地点</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9.1 交货期：</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9.2 交货方式：</w:t>
      </w:r>
    </w:p>
    <w:p>
      <w:pPr>
        <w:spacing w:line="360" w:lineRule="auto"/>
        <w:rPr>
          <w:rFonts w:hint="eastAsia" w:ascii="宋体" w:hAnsi="宋体" w:eastAsia="宋体" w:cs="宋体"/>
          <w:b/>
          <w:color w:val="auto"/>
          <w:kern w:val="0"/>
          <w:sz w:val="24"/>
        </w:rPr>
      </w:pPr>
      <w:r>
        <w:rPr>
          <w:rFonts w:hint="eastAsia" w:ascii="宋体" w:hAnsi="宋体" w:eastAsia="宋体" w:cs="宋体"/>
          <w:bCs/>
          <w:color w:val="auto"/>
          <w:kern w:val="0"/>
          <w:sz w:val="24"/>
        </w:rPr>
        <w:t>9.3 交货地点：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十、货款支付</w:t>
      </w:r>
    </w:p>
    <w:p>
      <w:pPr>
        <w:spacing w:line="360" w:lineRule="auto"/>
        <w:rPr>
          <w:rFonts w:hint="eastAsia" w:ascii="宋体" w:hAnsi="宋体" w:eastAsia="宋体" w:cs="宋体"/>
          <w:color w:val="auto"/>
          <w:sz w:val="24"/>
        </w:rPr>
      </w:pPr>
    </w:p>
    <w:p>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十一.税</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rPr>
      </w:pPr>
      <w:r>
        <w:rPr>
          <w:rFonts w:hint="eastAsia" w:ascii="宋体" w:hAnsi="宋体" w:eastAsia="宋体" w:cs="宋体"/>
          <w:b/>
          <w:color w:val="auto"/>
          <w:kern w:val="0"/>
          <w:sz w:val="24"/>
        </w:rPr>
        <w:t>十二、质量保证及售后服务</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⑴更换：由乙方承担所发生的全部费用。</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⑵贬值处理：由甲乙双方合议定价。</w:t>
      </w:r>
    </w:p>
    <w:p>
      <w:pPr>
        <w:spacing w:line="360" w:lineRule="auto"/>
        <w:ind w:left="420" w:leftChars="200" w:firstLine="480"/>
        <w:rPr>
          <w:rFonts w:hint="eastAsia" w:ascii="宋体" w:hAnsi="宋体" w:eastAsia="宋体" w:cs="宋体"/>
          <w:color w:val="auto"/>
          <w:kern w:val="0"/>
          <w:sz w:val="24"/>
        </w:rPr>
      </w:pPr>
      <w:r>
        <w:rPr>
          <w:rFonts w:hint="eastAsia" w:ascii="宋体" w:hAnsi="宋体" w:eastAsia="宋体" w:cs="宋体"/>
          <w:color w:val="auto"/>
          <w:kern w:val="0"/>
          <w:sz w:val="24"/>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12.3 如在使用过程中发生质量问题，乙方在接到甲方通知后在小时内到达甲方现场。</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十三、调试和验收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u w:val="single"/>
        </w:rPr>
      </w:pPr>
      <w:r>
        <w:rPr>
          <w:rFonts w:hint="eastAsia" w:ascii="宋体" w:hAnsi="宋体" w:eastAsia="宋体" w:cs="宋体"/>
          <w:color w:val="auto"/>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十四、货物包装、发运及运输</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十五、违约责任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十六、不可抗力事件处理</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16.2 不可抗力事件发生后，应立即通知对方，并寄送有关权威机构出具的证明。</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十七、诉讼</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十八、合同生效及其它</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18.1 合同经双方法定代表人或授权委托代理人签字并加盖单位公章后生效。</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18.4本合同未尽事宜，遵照《民法典》有关条文执行。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18.5 本合同正本一式两份，具有同等法律效力，甲乙双方各执一份；副本</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2"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2"/>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3" w:name="_Toc20233"/>
      <w:r>
        <w:rPr>
          <w:rStyle w:val="286"/>
          <w:rFonts w:hint="eastAsia" w:ascii="宋体" w:hAnsi="宋体" w:eastAsia="宋体" w:cs="宋体"/>
          <w:color w:val="auto"/>
          <w:szCs w:val="36"/>
        </w:rPr>
        <w:t>第六部分</w:t>
      </w:r>
      <w:bookmarkEnd w:id="419"/>
      <w:bookmarkEnd w:id="420"/>
      <w:r>
        <w:rPr>
          <w:rStyle w:val="286"/>
          <w:rFonts w:hint="eastAsia" w:ascii="宋体" w:hAnsi="宋体" w:eastAsia="宋体" w:cs="宋体"/>
          <w:color w:val="auto"/>
          <w:szCs w:val="36"/>
        </w:rPr>
        <w:t>应提交的有关格式范例</w:t>
      </w:r>
      <w:bookmarkEnd w:id="423"/>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bookmarkStart w:id="424" w:name="_Toc30716"/>
      <w:bookmarkStart w:id="425" w:name="_Toc7285"/>
      <w:r>
        <w:rPr>
          <w:rFonts w:hint="eastAsia" w:ascii="宋体" w:hAnsi="宋体" w:eastAsia="宋体" w:cs="宋体"/>
          <w:b/>
          <w:color w:val="auto"/>
          <w:kern w:val="0"/>
          <w:sz w:val="36"/>
          <w:szCs w:val="36"/>
        </w:rPr>
        <w:t>资格文件部分</w:t>
      </w:r>
      <w:bookmarkEnd w:id="424"/>
      <w:bookmarkEnd w:id="425"/>
    </w:p>
    <w:p>
      <w:pPr>
        <w:spacing w:line="360" w:lineRule="auto"/>
        <w:jc w:val="center"/>
        <w:outlineLvl w:val="0"/>
        <w:rPr>
          <w:rFonts w:hint="eastAsia" w:ascii="宋体" w:hAnsi="宋体" w:eastAsia="宋体" w:cs="宋体"/>
          <w:b/>
          <w:color w:val="auto"/>
          <w:kern w:val="0"/>
          <w:sz w:val="36"/>
          <w:szCs w:val="36"/>
        </w:rPr>
      </w:pPr>
      <w:bookmarkStart w:id="426" w:name="_Toc15804"/>
      <w:bookmarkStart w:id="427" w:name="_Toc5708"/>
      <w:r>
        <w:rPr>
          <w:rFonts w:hint="eastAsia" w:ascii="宋体" w:hAnsi="宋体" w:eastAsia="宋体" w:cs="宋体"/>
          <w:b/>
          <w:color w:val="auto"/>
          <w:kern w:val="0"/>
          <w:sz w:val="36"/>
          <w:szCs w:val="36"/>
        </w:rPr>
        <w:t>目录</w:t>
      </w:r>
      <w:bookmarkEnd w:id="426"/>
      <w:bookmarkEnd w:id="427"/>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（1）营业执照复印件………………………………………………………（页码）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（3）中小企业声明函………………………………………………………（页码）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lang w:val="zh-CN"/>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bookmarkStart w:id="428" w:name="_Toc1890"/>
      <w:bookmarkStart w:id="429" w:name="_Toc3353"/>
      <w:r>
        <w:rPr>
          <w:rFonts w:hint="eastAsia" w:ascii="宋体" w:hAnsi="宋体" w:eastAsia="宋体" w:cs="宋体"/>
          <w:b/>
          <w:color w:val="auto"/>
          <w:kern w:val="0"/>
          <w:sz w:val="24"/>
        </w:rPr>
        <w:t>目录</w:t>
      </w:r>
      <w:bookmarkEnd w:id="428"/>
      <w:bookmarkEnd w:id="429"/>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投标函………………………………………………………………………（页码）</w:t>
      </w:r>
    </w:p>
    <w:p>
      <w:pPr>
        <w:pStyle w:val="725"/>
        <w:numPr>
          <w:ilvl w:val="0"/>
          <w:numId w:val="1"/>
        </w:numPr>
        <w:spacing w:line="360" w:lineRule="auto"/>
        <w:rPr>
          <w:rFonts w:hint="eastAsia" w:ascii="宋体" w:hAnsi="宋体" w:eastAsia="宋体" w:cs="宋体"/>
          <w:color w:val="auto"/>
          <w:szCs w:val="24"/>
        </w:rPr>
      </w:pPr>
      <w:r>
        <w:rPr>
          <w:rFonts w:hint="eastAsia" w:ascii="宋体" w:hAnsi="宋体" w:eastAsia="宋体" w:cs="宋体"/>
          <w:color w:val="auto"/>
          <w:szCs w:val="24"/>
        </w:rPr>
        <w:t>营业执照副本复印件（加盖投标人公章）………………………………（页码）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投标人股权信息表…………………………………………………………（页码）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详细的“交货清单”………………………………………………………（页码）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技术规范偏离表……………………………………………………………（页码）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商务条款偏离表……………………………………………………………（页码）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投标人资信及认证</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完成的类似项目一览表（附合同复印件）………………………………（页码）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项目实施方案………………………………………………………………（页码）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原材料采购方案……………………………………………………………（页码）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项目进度计划及安排………………………………………………………（页码）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生产计划方案………………………………………………………………（页码）</w:t>
      </w:r>
    </w:p>
    <w:p>
      <w:pPr>
        <w:numPr>
          <w:ilvl w:val="0"/>
          <w:numId w:val="1"/>
        </w:numPr>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产品品控情况………………………………………………………………（页码）</w:t>
      </w:r>
    </w:p>
    <w:p>
      <w:pPr>
        <w:numPr>
          <w:ilvl w:val="0"/>
          <w:numId w:val="1"/>
        </w:numPr>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投标人核心生产设备</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安装调试方案………………………………………………………………（页码）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售后服务方案………………………………………………………………（页码）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政府采购政策………………………………………………………………（页码）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第四部分“评标办法”中要求提供的资料………………………………（页码）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缴纳采购代理服务费承诺书</w:t>
      </w:r>
      <w:r>
        <w:rPr>
          <w:rFonts w:hint="eastAsia" w:ascii="宋体" w:hAnsi="宋体" w:eastAsia="宋体" w:cs="宋体"/>
          <w:color w:val="auto"/>
          <w:sz w:val="24"/>
        </w:rPr>
        <w:t>………………………………………………（页码）</w:t>
      </w:r>
    </w:p>
    <w:p>
      <w:pPr>
        <w:snapToGrid w:val="0"/>
        <w:spacing w:line="360" w:lineRule="auto"/>
        <w:ind w:left="42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855" w:firstLineChars="1200"/>
        <w:outlineLvl w:val="0"/>
        <w:rPr>
          <w:rFonts w:hint="eastAsia" w:ascii="宋体" w:hAnsi="宋体" w:eastAsia="宋体" w:cs="宋体"/>
          <w:b/>
          <w:color w:val="auto"/>
          <w:sz w:val="32"/>
          <w:szCs w:val="32"/>
        </w:rPr>
      </w:pPr>
      <w:bookmarkStart w:id="430" w:name="_Toc1561"/>
      <w:bookmarkStart w:id="431" w:name="_Toc18817"/>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430"/>
      <w:bookmarkEnd w:id="431"/>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4、其他补充说明:。</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投标人名称(盖章)：</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numPr>
          <w:ilvl w:val="0"/>
          <w:numId w:val="2"/>
        </w:num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营业执照副本复印件（加盖投标人公章）</w:t>
      </w:r>
    </w:p>
    <w:p>
      <w:pPr>
        <w:pStyle w:val="517"/>
        <w:ind w:firstLine="0" w:firstLineChars="0"/>
        <w:rPr>
          <w:rFonts w:hint="eastAsia" w:ascii="宋体" w:hAnsi="宋体" w:eastAsia="宋体" w:cs="宋体"/>
          <w:color w:val="auto"/>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int="eastAsia" w:ascii="宋体" w:hAnsi="宋体" w:eastAsia="宋体" w:cs="宋体"/>
                <w:color w:val="auto"/>
              </w:rPr>
            </w:pPr>
          </w:p>
        </w:tc>
      </w:tr>
    </w:tbl>
    <w:p>
      <w:pPr>
        <w:pStyle w:val="16"/>
        <w:rPr>
          <w:rFonts w:hint="eastAsia" w:ascii="宋体" w:hAnsi="宋体" w:eastAsia="宋体" w:cs="宋体"/>
          <w:color w:val="auto"/>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授权委托书或法定代表人（单位负责人、自然人本人）身份证明</w:t>
      </w:r>
    </w:p>
    <w:p>
      <w:pPr>
        <w:snapToGrid w:val="0"/>
        <w:spacing w:line="360" w:lineRule="auto"/>
        <w:rPr>
          <w:rFonts w:hint="eastAsia" w:ascii="宋体" w:hAnsi="宋体" w:eastAsia="宋体" w:cs="宋体"/>
          <w:color w:val="auto"/>
          <w:sz w:val="24"/>
        </w:rPr>
      </w:pPr>
    </w:p>
    <w:p>
      <w:pPr>
        <w:spacing w:line="40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法定代表人身份证明</w:t>
      </w:r>
    </w:p>
    <w:p>
      <w:pPr>
        <w:ind w:firstLine="422"/>
        <w:rPr>
          <w:rFonts w:hint="eastAsia" w:ascii="宋体" w:hAnsi="宋体" w:eastAsia="宋体" w:cs="宋体"/>
          <w:b/>
          <w:color w:val="auto"/>
          <w:szCs w:val="21"/>
        </w:rPr>
      </w:pP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单位名称：</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地    址：</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姓    名： 性    别：</w:t>
      </w:r>
    </w:p>
    <w:p>
      <w:pPr>
        <w:spacing w:line="360" w:lineRule="auto"/>
        <w:ind w:firstLine="420"/>
        <w:rPr>
          <w:rFonts w:hint="eastAsia" w:ascii="宋体" w:hAnsi="宋体" w:eastAsia="宋体" w:cs="宋体"/>
          <w:color w:val="auto"/>
          <w:sz w:val="24"/>
          <w:u w:val="single"/>
        </w:rPr>
      </w:pPr>
      <w:r>
        <w:rPr>
          <w:rFonts w:hint="eastAsia" w:ascii="宋体" w:hAnsi="宋体" w:eastAsia="宋体" w:cs="宋体"/>
          <w:color w:val="auto"/>
          <w:sz w:val="24"/>
        </w:rPr>
        <w:t>年    龄： 职    务：</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身份证号码：</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的法定代表人，为</w:t>
      </w:r>
      <w:r>
        <w:rPr>
          <w:rFonts w:hint="eastAsia" w:ascii="宋体" w:hAnsi="宋体" w:eastAsia="宋体" w:cs="宋体"/>
          <w:color w:val="auto"/>
          <w:sz w:val="24"/>
          <w:u w:val="single"/>
        </w:rPr>
        <w:t xml:space="preserve">     （项目编号、项目名称）   </w:t>
      </w:r>
      <w:r>
        <w:rPr>
          <w:rFonts w:hint="eastAsia" w:ascii="宋体" w:hAnsi="宋体" w:eastAsia="宋体" w:cs="宋体"/>
          <w:color w:val="auto"/>
          <w:sz w:val="24"/>
        </w:rPr>
        <w:t>项目，签署上述项目的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，进行合同谈判、签署合同和处理与之有关的一切事宜。</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特此证明。</w:t>
      </w:r>
    </w:p>
    <w:p>
      <w:pPr>
        <w:spacing w:line="360" w:lineRule="auto"/>
        <w:ind w:firstLine="420"/>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后附法定代表人身份证正反面复印件，加盖供应商公章。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反面：</w:t>
            </w:r>
          </w:p>
          <w:p>
            <w:pPr>
              <w:pStyle w:val="153"/>
              <w:adjustRightInd w:val="0"/>
              <w:spacing w:line="360" w:lineRule="auto"/>
              <w:rPr>
                <w:rFonts w:hint="eastAsia" w:ascii="宋体" w:hAnsi="宋体" w:eastAsia="宋体" w:cs="宋体"/>
                <w:bCs/>
                <w:color w:val="auto"/>
                <w:sz w:val="24"/>
              </w:rPr>
            </w:pPr>
          </w:p>
        </w:tc>
      </w:tr>
    </w:tbl>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法定代表人授权委托书</w:t>
      </w:r>
      <w:r>
        <w:rPr>
          <w:rFonts w:hint="eastAsia" w:ascii="宋体" w:hAnsi="宋体" w:eastAsia="宋体" w:cs="宋体"/>
          <w:b w:val="0"/>
          <w:bCs/>
          <w:i/>
          <w:iCs/>
          <w:color w:val="auto"/>
          <w:kern w:val="0"/>
          <w:sz w:val="18"/>
          <w:szCs w:val="18"/>
          <w:lang w:val="zh-CN"/>
        </w:rPr>
        <w:t>（法人参加投标，无需提供委托书）</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政府采购磋商的一切事项，其法律后果由我方承担。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b/>
          <w:color w:val="auto"/>
          <w:kern w:val="0"/>
          <w:sz w:val="32"/>
          <w:szCs w:val="32"/>
          <w:lang w:val="zh-CN"/>
        </w:rPr>
        <w:t xml:space="preserve">      </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3"/>
              <w:adjustRightInd w:val="0"/>
              <w:spacing w:line="360" w:lineRule="auto"/>
              <w:rPr>
                <w:rFonts w:hint="eastAsia" w:ascii="宋体" w:hAnsi="宋体" w:eastAsia="宋体" w:cs="宋体"/>
                <w:bCs/>
                <w:color w:val="auto"/>
                <w:sz w:val="24"/>
              </w:rPr>
            </w:pPr>
          </w:p>
        </w:tc>
      </w:tr>
    </w:tbl>
    <w:p>
      <w:pPr>
        <w:widowControl/>
        <w:adjustRightInd/>
        <w:jc w:val="left"/>
        <w:rPr>
          <w:rFonts w:hint="eastAsia" w:ascii="宋体" w:hAnsi="宋体" w:eastAsia="宋体" w:cs="宋体"/>
          <w:b/>
          <w:color w:val="auto"/>
          <w:sz w:val="30"/>
          <w:szCs w:val="30"/>
        </w:rPr>
      </w:pPr>
    </w:p>
    <w:p>
      <w:pPr>
        <w:snapToGrid w:val="0"/>
        <w:spacing w:line="360" w:lineRule="auto"/>
        <w:ind w:firstLine="576"/>
        <w:rPr>
          <w:rFonts w:hint="eastAsia" w:ascii="宋体" w:hAnsi="宋体" w:eastAsia="宋体" w:cs="宋体"/>
          <w:b/>
          <w:bCs/>
          <w:color w:val="auto"/>
          <w:sz w:val="28"/>
          <w:szCs w:val="28"/>
        </w:rPr>
      </w:pPr>
      <w:r>
        <w:rPr>
          <w:rFonts w:hint="eastAsia" w:ascii="宋体" w:hAnsi="宋体" w:eastAsia="宋体" w:cs="宋体"/>
          <w:b/>
          <w:bCs/>
          <w:color w:val="auto"/>
          <w:sz w:val="24"/>
        </w:rPr>
        <w:t>附近六个月任一月缴纳社保证明</w:t>
      </w:r>
    </w:p>
    <w:p>
      <w:pPr>
        <w:spacing w:line="360" w:lineRule="auto"/>
        <w:jc w:val="center"/>
        <w:rPr>
          <w:rFonts w:hint="eastAsia" w:ascii="宋体" w:hAnsi="宋体" w:eastAsia="宋体" w:cs="宋体"/>
          <w:color w:val="auto"/>
          <w:kern w:val="0"/>
          <w:sz w:val="24"/>
          <w:lang w:val="zh-CN"/>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br w:type="page"/>
      </w: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四、投标人股权信息表</w:t>
      </w:r>
    </w:p>
    <w:p>
      <w:pPr>
        <w:rPr>
          <w:rFonts w:hint="eastAsia" w:ascii="宋体" w:hAnsi="宋体" w:eastAsia="宋体" w:cs="宋体"/>
          <w:color w:val="auto"/>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rPr>
            </w:pPr>
            <w:r>
              <w:rPr>
                <w:rFonts w:hint="eastAsia" w:ascii="宋体" w:hAnsi="宋体" w:eastAsia="宋体" w:cs="宋体"/>
                <w:color w:val="auto"/>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rPr>
            </w:pPr>
            <w:r>
              <w:rPr>
                <w:rFonts w:hint="eastAsia" w:ascii="宋体" w:hAnsi="宋体" w:eastAsia="宋体" w:cs="宋体"/>
                <w:color w:val="auto"/>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投标人全称（盖章）：</w:t>
            </w:r>
          </w:p>
        </w:tc>
      </w:tr>
    </w:tbl>
    <w:p>
      <w:pPr>
        <w:rPr>
          <w:rFonts w:hint="eastAsia" w:ascii="宋体" w:hAnsi="宋体" w:eastAsia="宋体" w:cs="宋体"/>
          <w:b/>
          <w:bCs/>
          <w:color w:val="auto"/>
        </w:rPr>
      </w:pPr>
    </w:p>
    <w:p>
      <w:pPr>
        <w:snapToGrid w:val="0"/>
        <w:spacing w:line="360" w:lineRule="auto"/>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五、交货清单</w:t>
      </w:r>
    </w:p>
    <w:p>
      <w:pPr>
        <w:pStyle w:val="517"/>
        <w:ind w:firstLine="0" w:firstLineChars="0"/>
        <w:rPr>
          <w:rFonts w:hint="eastAsia" w:ascii="宋体" w:hAnsi="宋体" w:eastAsia="宋体" w:cs="宋体"/>
          <w:color w:val="auto"/>
        </w:rPr>
      </w:pPr>
    </w:p>
    <w:p>
      <w:pPr>
        <w:ind w:firstLine="315" w:firstLineChars="150"/>
        <w:rPr>
          <w:rFonts w:hint="eastAsia" w:ascii="宋体" w:hAnsi="宋体" w:eastAsia="宋体" w:cs="宋体"/>
          <w:b/>
          <w:color w:val="auto"/>
          <w:sz w:val="32"/>
          <w:szCs w:val="32"/>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rPr>
            </w:pPr>
          </w:p>
        </w:tc>
        <w:tc>
          <w:tcPr>
            <w:tcW w:w="1425" w:type="dxa"/>
            <w:vMerge w:val="continue"/>
            <w:vAlign w:val="center"/>
          </w:tcPr>
          <w:p>
            <w:pPr>
              <w:widowControl/>
              <w:jc w:val="center"/>
              <w:textAlignment w:val="center"/>
              <w:rPr>
                <w:rFonts w:hint="eastAsia" w:ascii="宋体" w:hAnsi="宋体" w:eastAsia="宋体" w:cs="宋体"/>
                <w:color w:val="auto"/>
                <w:kern w:val="0"/>
                <w:sz w:val="24"/>
              </w:rPr>
            </w:pPr>
          </w:p>
        </w:tc>
        <w:tc>
          <w:tcPr>
            <w:tcW w:w="1065" w:type="dxa"/>
            <w:vMerge w:val="continue"/>
            <w:vAlign w:val="center"/>
          </w:tcPr>
          <w:p>
            <w:pPr>
              <w:widowControl/>
              <w:jc w:val="center"/>
              <w:textAlignment w:val="center"/>
              <w:rPr>
                <w:rFonts w:hint="eastAsia" w:ascii="宋体" w:hAnsi="宋体" w:eastAsia="宋体" w:cs="宋体"/>
                <w:color w:val="auto"/>
                <w:kern w:val="0"/>
                <w:sz w:val="24"/>
              </w:rPr>
            </w:pPr>
          </w:p>
        </w:tc>
        <w:tc>
          <w:tcPr>
            <w:tcW w:w="2603" w:type="dxa"/>
            <w:vMerge w:val="continue"/>
            <w:vAlign w:val="center"/>
          </w:tcPr>
          <w:p>
            <w:pPr>
              <w:widowControl/>
              <w:jc w:val="center"/>
              <w:textAlignment w:val="center"/>
              <w:rPr>
                <w:rFonts w:hint="eastAsia" w:ascii="宋体" w:hAnsi="宋体" w:eastAsia="宋体" w:cs="宋体"/>
                <w:color w:val="auto"/>
                <w:kern w:val="0"/>
                <w:sz w:val="24"/>
              </w:rPr>
            </w:pPr>
          </w:p>
        </w:tc>
        <w:tc>
          <w:tcPr>
            <w:tcW w:w="1177" w:type="dxa"/>
            <w:vMerge w:val="continue"/>
          </w:tcPr>
          <w:p>
            <w:pPr>
              <w:widowControl/>
              <w:jc w:val="center"/>
              <w:textAlignment w:val="center"/>
              <w:rPr>
                <w:rFonts w:hint="eastAsia" w:ascii="宋体" w:hAnsi="宋体" w:eastAsia="宋体" w:cs="宋体"/>
                <w:color w:val="auto"/>
                <w:kern w:val="0"/>
                <w:sz w:val="24"/>
              </w:rPr>
            </w:pPr>
          </w:p>
        </w:tc>
        <w:tc>
          <w:tcPr>
            <w:tcW w:w="1110" w:type="dxa"/>
            <w:vMerge w:val="continue"/>
            <w:vAlign w:val="center"/>
          </w:tcPr>
          <w:p>
            <w:pPr>
              <w:widowControl/>
              <w:jc w:val="center"/>
              <w:textAlignment w:val="center"/>
              <w:rPr>
                <w:rFonts w:hint="eastAsia" w:ascii="宋体" w:hAnsi="宋体" w:eastAsia="宋体" w:cs="宋体"/>
                <w:color w:val="auto"/>
                <w:kern w:val="0"/>
                <w:sz w:val="24"/>
              </w:rPr>
            </w:pPr>
          </w:p>
        </w:tc>
        <w:tc>
          <w:tcPr>
            <w:tcW w:w="1080" w:type="dxa"/>
            <w:vMerge w:val="continue"/>
            <w:vAlign w:val="center"/>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rPr>
            </w:pPr>
          </w:p>
        </w:tc>
        <w:tc>
          <w:tcPr>
            <w:tcW w:w="1425" w:type="dxa"/>
          </w:tcPr>
          <w:p>
            <w:pPr>
              <w:widowControl/>
              <w:jc w:val="center"/>
              <w:textAlignment w:val="center"/>
              <w:rPr>
                <w:rFonts w:hint="eastAsia" w:ascii="宋体" w:hAnsi="宋体" w:eastAsia="宋体" w:cs="宋体"/>
                <w:color w:val="auto"/>
                <w:kern w:val="0"/>
                <w:sz w:val="24"/>
              </w:rPr>
            </w:pPr>
          </w:p>
        </w:tc>
        <w:tc>
          <w:tcPr>
            <w:tcW w:w="1065" w:type="dxa"/>
          </w:tcPr>
          <w:p>
            <w:pPr>
              <w:widowControl/>
              <w:jc w:val="center"/>
              <w:textAlignment w:val="center"/>
              <w:rPr>
                <w:rFonts w:hint="eastAsia" w:ascii="宋体" w:hAnsi="宋体" w:eastAsia="宋体" w:cs="宋体"/>
                <w:color w:val="auto"/>
                <w:kern w:val="0"/>
                <w:sz w:val="24"/>
              </w:rPr>
            </w:pPr>
          </w:p>
        </w:tc>
        <w:tc>
          <w:tcPr>
            <w:tcW w:w="2603" w:type="dxa"/>
          </w:tcPr>
          <w:p>
            <w:pPr>
              <w:widowControl/>
              <w:jc w:val="center"/>
              <w:textAlignment w:val="center"/>
              <w:rPr>
                <w:rFonts w:hint="eastAsia" w:ascii="宋体" w:hAnsi="宋体" w:eastAsia="宋体" w:cs="宋体"/>
                <w:color w:val="auto"/>
                <w:kern w:val="0"/>
                <w:sz w:val="24"/>
              </w:rPr>
            </w:pPr>
          </w:p>
        </w:tc>
        <w:tc>
          <w:tcPr>
            <w:tcW w:w="1177" w:type="dxa"/>
          </w:tcPr>
          <w:p>
            <w:pPr>
              <w:widowControl/>
              <w:jc w:val="center"/>
              <w:textAlignment w:val="center"/>
              <w:rPr>
                <w:rFonts w:hint="eastAsia" w:ascii="宋体" w:hAnsi="宋体" w:eastAsia="宋体" w:cs="宋体"/>
                <w:color w:val="auto"/>
                <w:kern w:val="0"/>
                <w:sz w:val="24"/>
              </w:rPr>
            </w:pPr>
          </w:p>
        </w:tc>
        <w:tc>
          <w:tcPr>
            <w:tcW w:w="1110" w:type="dxa"/>
          </w:tcPr>
          <w:p>
            <w:pPr>
              <w:widowControl/>
              <w:jc w:val="center"/>
              <w:textAlignment w:val="center"/>
              <w:rPr>
                <w:rFonts w:hint="eastAsia" w:ascii="宋体" w:hAnsi="宋体" w:eastAsia="宋体" w:cs="宋体"/>
                <w:color w:val="auto"/>
                <w:kern w:val="0"/>
                <w:sz w:val="24"/>
              </w:rPr>
            </w:pPr>
          </w:p>
        </w:tc>
        <w:tc>
          <w:tcPr>
            <w:tcW w:w="1080" w:type="dxa"/>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bl>
    <w:p>
      <w:pPr>
        <w:spacing w:line="500" w:lineRule="exact"/>
        <w:ind w:firstLine="480"/>
        <w:rPr>
          <w:rFonts w:hint="eastAsia" w:ascii="宋体" w:hAnsi="宋体" w:eastAsia="宋体" w:cs="宋体"/>
          <w:color w:val="auto"/>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投标人名称（盖章）：</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pStyle w:val="16"/>
        <w:rPr>
          <w:rFonts w:hint="eastAsia" w:ascii="宋体" w:hAnsi="宋体" w:eastAsia="宋体" w:cs="宋体"/>
          <w:color w:val="auto"/>
          <w:lang w:val="en-US"/>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六、技术规范偏离表</w:t>
      </w:r>
    </w:p>
    <w:p>
      <w:pPr>
        <w:spacing w:line="400" w:lineRule="exact"/>
        <w:ind w:firstLine="480"/>
        <w:rPr>
          <w:rFonts w:hint="eastAsia" w:ascii="宋体" w:hAnsi="宋体" w:eastAsia="宋体" w:cs="宋体"/>
          <w:color w:val="auto"/>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23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产品名称</w:t>
            </w:r>
          </w:p>
        </w:tc>
        <w:tc>
          <w:tcPr>
            <w:tcW w:w="21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技术要求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pStyle w:val="967"/>
        <w:rPr>
          <w:rFonts w:hint="eastAsia" w:ascii="宋体" w:hAnsi="宋体" w:eastAsia="宋体" w:cs="宋体"/>
          <w:color w:val="auto"/>
        </w:rPr>
      </w:pPr>
    </w:p>
    <w:p>
      <w:pPr>
        <w:pStyle w:val="967"/>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七、商务条款偏离表</w:t>
      </w:r>
    </w:p>
    <w:p>
      <w:pPr>
        <w:ind w:firstLine="560"/>
        <w:jc w:val="center"/>
        <w:rPr>
          <w:rFonts w:hint="eastAsia" w:ascii="宋体" w:hAnsi="宋体" w:eastAsia="宋体" w:cs="宋体"/>
          <w:color w:val="auto"/>
          <w:sz w:val="28"/>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27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招标要求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2"/>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八、完成的类似项目一览表</w:t>
      </w:r>
    </w:p>
    <w:p>
      <w:pPr>
        <w:spacing w:line="200" w:lineRule="atLeast"/>
        <w:ind w:left="-720" w:right="-965" w:firstLine="763"/>
        <w:jc w:val="center"/>
        <w:rPr>
          <w:rFonts w:hint="eastAsia" w:ascii="宋体" w:hAnsi="宋体" w:eastAsia="宋体" w:cs="宋体"/>
          <w:b/>
          <w:bCs/>
          <w:color w:val="auto"/>
          <w:spacing w:val="30"/>
          <w:sz w:val="32"/>
        </w:rPr>
      </w:pPr>
    </w:p>
    <w:p>
      <w:pPr>
        <w:ind w:firstLine="840" w:firstLineChars="400"/>
        <w:rPr>
          <w:rFonts w:hint="eastAsia" w:ascii="宋体" w:hAnsi="宋体" w:eastAsia="宋体" w:cs="宋体"/>
          <w:b/>
          <w:bCs/>
          <w:color w:val="auto"/>
          <w:lang w:val="zh-CN"/>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项目时间</w:t>
            </w:r>
          </w:p>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i/>
          <w:iCs/>
          <w:color w:val="auto"/>
          <w:szCs w:val="24"/>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br w:type="page"/>
      </w:r>
    </w:p>
    <w:p>
      <w:pPr>
        <w:ind w:left="0" w:leftChars="0"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eastAsia="zh-CN"/>
        </w:rPr>
        <w:t>十、</w:t>
      </w:r>
      <w:r>
        <w:rPr>
          <w:rFonts w:hint="eastAsia" w:ascii="宋体" w:hAnsi="宋体" w:eastAsia="宋体" w:cs="宋体"/>
          <w:b/>
          <w:color w:val="auto"/>
          <w:kern w:val="0"/>
          <w:sz w:val="32"/>
          <w:szCs w:val="32"/>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的采购代理服务费缴纳标准及方式</w:t>
      </w:r>
      <w:r>
        <w:rPr>
          <w:rFonts w:hint="eastAsia" w:ascii="宋体" w:hAnsi="宋体" w:eastAsia="宋体" w:cs="宋体"/>
          <w:color w:val="auto"/>
          <w:sz w:val="24"/>
          <w:szCs w:val="24"/>
        </w:rPr>
        <w:t>，向你公司支付采购代理服务费。</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color w:val="auto"/>
          <w:sz w:val="24"/>
          <w:szCs w:val="24"/>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hint="eastAsia" w:ascii="宋体" w:hAnsi="宋体" w:eastAsia="宋体" w:cs="宋体"/>
          <w:b/>
          <w:color w:val="auto"/>
          <w:kern w:val="0"/>
          <w:sz w:val="36"/>
          <w:szCs w:val="36"/>
        </w:rPr>
      </w:pPr>
      <w:bookmarkStart w:id="432" w:name="_Toc19200"/>
      <w:bookmarkStart w:id="433" w:name="_Toc28531"/>
      <w:r>
        <w:rPr>
          <w:rFonts w:hint="eastAsia" w:ascii="宋体" w:hAnsi="宋体" w:eastAsia="宋体" w:cs="宋体"/>
          <w:b/>
          <w:color w:val="auto"/>
          <w:kern w:val="0"/>
          <w:sz w:val="36"/>
          <w:szCs w:val="36"/>
        </w:rPr>
        <w:t>报价文件部分</w:t>
      </w:r>
      <w:bookmarkEnd w:id="432"/>
      <w:bookmarkEnd w:id="433"/>
    </w:p>
    <w:p>
      <w:pPr>
        <w:spacing w:line="360" w:lineRule="auto"/>
        <w:jc w:val="center"/>
        <w:outlineLvl w:val="0"/>
        <w:rPr>
          <w:rFonts w:hint="eastAsia" w:ascii="宋体" w:hAnsi="宋体" w:eastAsia="宋体" w:cs="宋体"/>
          <w:b/>
          <w:color w:val="auto"/>
          <w:kern w:val="0"/>
          <w:sz w:val="36"/>
          <w:szCs w:val="36"/>
        </w:rPr>
      </w:pPr>
      <w:bookmarkStart w:id="434" w:name="_Toc32000"/>
      <w:bookmarkStart w:id="435" w:name="_Toc29537"/>
      <w:r>
        <w:rPr>
          <w:rFonts w:hint="eastAsia" w:ascii="宋体" w:hAnsi="宋体" w:eastAsia="宋体" w:cs="宋体"/>
          <w:b/>
          <w:color w:val="auto"/>
          <w:kern w:val="0"/>
          <w:sz w:val="36"/>
          <w:szCs w:val="36"/>
        </w:rPr>
        <w:t>目录</w:t>
      </w:r>
      <w:bookmarkEnd w:id="434"/>
      <w:bookmarkEnd w:id="435"/>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（2）投标分项报价表…………………………………………………………………（页码）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36" w:name="_Toc29590"/>
      <w:bookmarkStart w:id="437" w:name="_Toc5693"/>
      <w:r>
        <w:rPr>
          <w:rFonts w:hint="eastAsia" w:ascii="宋体" w:hAnsi="宋体" w:eastAsia="宋体" w:cs="宋体"/>
          <w:color w:val="auto"/>
          <w:kern w:val="2"/>
          <w:sz w:val="32"/>
          <w:szCs w:val="32"/>
        </w:rPr>
        <w:t>一、开标一览表（报价表）</w:t>
      </w:r>
      <w:bookmarkEnd w:id="436"/>
      <w:bookmarkEnd w:id="437"/>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8" w:hRule="atLeast"/>
        </w:trPr>
        <w:tc>
          <w:tcPr>
            <w:tcW w:w="1080" w:type="dxa"/>
            <w:vAlign w:val="center"/>
          </w:tcPr>
          <w:p>
            <w:pPr>
              <w:jc w:val="center"/>
              <w:rPr>
                <w:rFonts w:hint="eastAsia" w:ascii="宋体" w:hAnsi="宋体" w:eastAsia="宋体" w:cs="宋体"/>
                <w:color w:val="auto"/>
              </w:rPr>
            </w:pPr>
            <w:r>
              <w:rPr>
                <w:rFonts w:hint="eastAsia" w:ascii="宋体" w:hAnsi="宋体" w:eastAsia="宋体" w:cs="宋体"/>
                <w:color w:val="auto"/>
              </w:rPr>
              <w:t>标项号</w:t>
            </w:r>
          </w:p>
        </w:tc>
        <w:tc>
          <w:tcPr>
            <w:tcW w:w="3247"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5213" w:type="dxa"/>
            <w:vAlign w:val="center"/>
          </w:tcPr>
          <w:p>
            <w:pPr>
              <w:jc w:val="center"/>
              <w:rPr>
                <w:rFonts w:hint="eastAsia" w:ascii="宋体" w:hAnsi="宋体" w:eastAsia="宋体" w:cs="宋体"/>
                <w:color w:val="auto"/>
              </w:rPr>
            </w:pPr>
            <w:r>
              <w:rPr>
                <w:rFonts w:hint="eastAsia" w:ascii="宋体" w:hAnsi="宋体" w:eastAsia="宋体" w:cs="宋体"/>
                <w:color w:val="auto"/>
              </w:rPr>
              <w:t>投标总价</w:t>
            </w:r>
          </w:p>
          <w:p>
            <w:pPr>
              <w:jc w:val="center"/>
              <w:rPr>
                <w:rFonts w:hint="eastAsia" w:ascii="宋体" w:hAnsi="宋体" w:eastAsia="宋体" w:cs="宋体"/>
                <w:color w:val="auto"/>
              </w:rPr>
            </w:pPr>
            <w:r>
              <w:rPr>
                <w:rFonts w:hint="eastAsia" w:ascii="宋体" w:hAnsi="宋体" w:eastAsia="宋体"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rPr>
            </w:pPr>
          </w:p>
        </w:tc>
        <w:tc>
          <w:tcPr>
            <w:tcW w:w="3247" w:type="dxa"/>
            <w:vAlign w:val="center"/>
          </w:tcPr>
          <w:p>
            <w:pPr>
              <w:jc w:val="center"/>
              <w:rPr>
                <w:rFonts w:hint="eastAsia" w:ascii="宋体" w:hAnsi="宋体" w:eastAsia="宋体" w:cs="宋体"/>
                <w:color w:val="auto"/>
              </w:rPr>
            </w:pPr>
          </w:p>
        </w:tc>
        <w:tc>
          <w:tcPr>
            <w:tcW w:w="521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rPr>
            </w:pPr>
            <w:r>
              <w:rPr>
                <w:rFonts w:hint="eastAsia" w:ascii="宋体" w:hAnsi="宋体" w:eastAsia="宋体" w:cs="宋体"/>
                <w:color w:val="auto"/>
              </w:rPr>
              <w:t>投</w:t>
            </w:r>
          </w:p>
          <w:p>
            <w:pPr>
              <w:jc w:val="center"/>
              <w:rPr>
                <w:rFonts w:hint="eastAsia" w:ascii="宋体" w:hAnsi="宋体" w:eastAsia="宋体" w:cs="宋体"/>
                <w:color w:val="auto"/>
              </w:rPr>
            </w:pPr>
            <w:r>
              <w:rPr>
                <w:rFonts w:hint="eastAsia" w:ascii="宋体" w:hAnsi="宋体" w:eastAsia="宋体" w:cs="宋体"/>
                <w:color w:val="auto"/>
              </w:rPr>
              <w:t>标</w:t>
            </w:r>
          </w:p>
          <w:p>
            <w:pPr>
              <w:jc w:val="center"/>
              <w:rPr>
                <w:rFonts w:hint="eastAsia" w:ascii="宋体" w:hAnsi="宋体" w:eastAsia="宋体" w:cs="宋体"/>
                <w:color w:val="auto"/>
              </w:rPr>
            </w:pPr>
            <w:r>
              <w:rPr>
                <w:rFonts w:hint="eastAsia" w:ascii="宋体" w:hAnsi="宋体" w:eastAsia="宋体" w:cs="宋体"/>
                <w:color w:val="auto"/>
              </w:rPr>
              <w:t>人</w:t>
            </w:r>
          </w:p>
          <w:p>
            <w:pPr>
              <w:jc w:val="center"/>
              <w:rPr>
                <w:rFonts w:hint="eastAsia" w:ascii="宋体" w:hAnsi="宋体" w:eastAsia="宋体" w:cs="宋体"/>
                <w:color w:val="auto"/>
              </w:rPr>
            </w:pPr>
            <w:r>
              <w:rPr>
                <w:rFonts w:hint="eastAsia" w:ascii="宋体" w:hAnsi="宋体" w:eastAsia="宋体" w:cs="宋体"/>
                <w:color w:val="auto"/>
              </w:rPr>
              <w:t>申</w:t>
            </w:r>
          </w:p>
          <w:p>
            <w:pPr>
              <w:jc w:val="center"/>
              <w:rPr>
                <w:rFonts w:hint="eastAsia" w:ascii="宋体" w:hAnsi="宋体" w:eastAsia="宋体" w:cs="宋体"/>
                <w:color w:val="auto"/>
              </w:rPr>
            </w:pPr>
            <w:r>
              <w:rPr>
                <w:rFonts w:hint="eastAsia" w:ascii="宋体" w:hAnsi="宋体" w:eastAsia="宋体" w:cs="宋体"/>
                <w:color w:val="auto"/>
              </w:rPr>
              <w:t>明</w:t>
            </w:r>
          </w:p>
        </w:tc>
        <w:tc>
          <w:tcPr>
            <w:tcW w:w="8460" w:type="dxa"/>
            <w:gridSpan w:val="2"/>
          </w:tcPr>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38"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39" w:name="_Toc12773"/>
      <w:r>
        <w:rPr>
          <w:rFonts w:hint="eastAsia" w:ascii="宋体" w:hAnsi="宋体" w:eastAsia="宋体" w:cs="宋体"/>
          <w:color w:val="auto"/>
          <w:kern w:val="2"/>
          <w:sz w:val="32"/>
          <w:szCs w:val="32"/>
        </w:rPr>
        <w:t>二、投标分项报价表</w:t>
      </w:r>
      <w:bookmarkEnd w:id="438"/>
      <w:bookmarkEnd w:id="439"/>
    </w:p>
    <w:p>
      <w:pPr>
        <w:spacing w:line="460" w:lineRule="exact"/>
        <w:ind w:firstLine="480"/>
        <w:rPr>
          <w:rFonts w:hint="eastAsia" w:ascii="宋体" w:hAnsi="宋体" w:eastAsia="宋体" w:cs="宋体"/>
          <w:color w:val="auto"/>
          <w:sz w:val="30"/>
        </w:rPr>
      </w:pPr>
      <w:r>
        <w:rPr>
          <w:rFonts w:hint="eastAsia" w:ascii="宋体" w:hAnsi="宋体" w:eastAsia="宋体" w:cs="宋体"/>
          <w:color w:val="auto"/>
        </w:rPr>
        <w:t>招标项目名称：</w:t>
      </w:r>
      <w:r>
        <w:rPr>
          <w:rFonts w:hint="eastAsia" w:ascii="宋体" w:hAnsi="宋体" w:eastAsia="宋体" w:cs="宋体"/>
          <w:color w:val="auto"/>
          <w:u w:val="single"/>
        </w:rPr>
        <w:t xml:space="preserve">_______               </w:t>
      </w:r>
      <w:r>
        <w:rPr>
          <w:rFonts w:hint="eastAsia" w:ascii="宋体" w:hAnsi="宋体" w:eastAsia="宋体" w:cs="宋体"/>
          <w:color w:val="auto"/>
          <w:spacing w:val="14"/>
        </w:rPr>
        <w:t>招标编号</w:t>
      </w:r>
      <w:r>
        <w:rPr>
          <w:rFonts w:hint="eastAsia" w:ascii="宋体" w:hAnsi="宋体" w:eastAsia="宋体" w:cs="宋体"/>
          <w:color w:val="auto"/>
        </w:rPr>
        <w:t>：</w:t>
      </w:r>
      <w:r>
        <w:rPr>
          <w:rFonts w:hint="eastAsia" w:ascii="宋体" w:hAnsi="宋体" w:eastAsia="宋体" w:cs="宋体"/>
          <w:color w:val="auto"/>
          <w:u w:val="single"/>
        </w:rPr>
        <w:t xml:space="preserve">_____                </w:t>
      </w:r>
      <w:r>
        <w:rPr>
          <w:rFonts w:hint="eastAsia" w:ascii="宋体" w:hAnsi="宋体" w:eastAsia="宋体" w:cs="宋体"/>
          <w:color w:val="auto"/>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6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0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数量单位</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投标单价</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6746" w:type="dxa"/>
            <w:gridSpan w:val="6"/>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rPr>
            </w:pPr>
          </w:p>
        </w:tc>
        <w:tc>
          <w:tcPr>
            <w:tcW w:w="1260" w:type="dxa"/>
            <w:vMerge w:val="continue"/>
            <w:vAlign w:val="center"/>
          </w:tcPr>
          <w:p>
            <w:pPr>
              <w:spacing w:line="460" w:lineRule="exact"/>
              <w:jc w:val="center"/>
              <w:rPr>
                <w:rFonts w:hint="eastAsia" w:ascii="宋体" w:hAnsi="宋体" w:eastAsia="宋体" w:cs="宋体"/>
                <w:color w:val="auto"/>
                <w:szCs w:val="21"/>
              </w:rPr>
            </w:pPr>
          </w:p>
        </w:tc>
        <w:tc>
          <w:tcPr>
            <w:tcW w:w="2040" w:type="dxa"/>
            <w:vMerge w:val="continue"/>
            <w:vAlign w:val="center"/>
          </w:tcPr>
          <w:p>
            <w:pPr>
              <w:spacing w:line="460" w:lineRule="exact"/>
              <w:jc w:val="center"/>
              <w:rPr>
                <w:rFonts w:hint="eastAsia" w:ascii="宋体" w:hAnsi="宋体" w:eastAsia="宋体" w:cs="宋体"/>
                <w:color w:val="auto"/>
                <w:szCs w:val="21"/>
              </w:rPr>
            </w:pPr>
          </w:p>
        </w:tc>
        <w:tc>
          <w:tcPr>
            <w:tcW w:w="1050" w:type="dxa"/>
            <w:vMerge w:val="continue"/>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1155" w:type="dxa"/>
            <w:vMerge w:val="continue"/>
          </w:tcPr>
          <w:p>
            <w:pPr>
              <w:spacing w:line="460" w:lineRule="exact"/>
              <w:jc w:val="center"/>
              <w:rPr>
                <w:rFonts w:hint="eastAsia" w:ascii="宋体" w:hAnsi="宋体" w:eastAsia="宋体" w:cs="宋体"/>
                <w:color w:val="auto"/>
                <w:szCs w:val="21"/>
              </w:rPr>
            </w:pPr>
          </w:p>
        </w:tc>
        <w:tc>
          <w:tcPr>
            <w:tcW w:w="1155" w:type="dxa"/>
            <w:vMerge w:val="continue"/>
            <w:vAlign w:val="center"/>
          </w:tcPr>
          <w:p>
            <w:pPr>
              <w:spacing w:line="460" w:lineRule="exact"/>
              <w:jc w:val="center"/>
              <w:rPr>
                <w:rFonts w:hint="eastAsia" w:ascii="宋体" w:hAnsi="宋体" w:eastAsia="宋体" w:cs="宋体"/>
                <w:color w:val="auto"/>
                <w:szCs w:val="21"/>
              </w:rPr>
            </w:pP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产品总价</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备品备件费</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专用工具费</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安装调试费</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rPr>
            </w:pPr>
          </w:p>
        </w:tc>
        <w:tc>
          <w:tcPr>
            <w:tcW w:w="126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6"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投标总价合计：</w:t>
            </w:r>
          </w:p>
        </w:tc>
        <w:tc>
          <w:tcPr>
            <w:tcW w:w="10736" w:type="dxa"/>
            <w:gridSpan w:val="10"/>
          </w:tcPr>
          <w:p>
            <w:pPr>
              <w:spacing w:line="460" w:lineRule="exact"/>
              <w:ind w:firstLine="600"/>
              <w:rPr>
                <w:rFonts w:hint="eastAsia" w:ascii="宋体" w:hAnsi="宋体" w:eastAsia="宋体" w:cs="宋体"/>
                <w:color w:val="auto"/>
                <w:sz w:val="30"/>
              </w:rPr>
            </w:pPr>
          </w:p>
        </w:tc>
      </w:tr>
    </w:tbl>
    <w:p>
      <w:pPr>
        <w:spacing w:line="440" w:lineRule="exact"/>
        <w:ind w:firstLine="480"/>
        <w:rPr>
          <w:rFonts w:hint="eastAsia" w:ascii="宋体" w:hAnsi="宋体" w:eastAsia="宋体" w:cs="宋体"/>
          <w:i/>
          <w:iCs/>
          <w:color w:val="auto"/>
        </w:rPr>
      </w:pPr>
    </w:p>
    <w:p>
      <w:pPr>
        <w:spacing w:line="440" w:lineRule="exact"/>
        <w:ind w:firstLine="480"/>
        <w:rPr>
          <w:rFonts w:hint="eastAsia" w:ascii="宋体" w:hAnsi="宋体" w:eastAsia="宋体" w:cs="宋体"/>
          <w:i/>
          <w:iCs/>
          <w:color w:val="auto"/>
        </w:rPr>
      </w:pPr>
      <w:r>
        <w:rPr>
          <w:rFonts w:hint="eastAsia" w:ascii="宋体" w:hAnsi="宋体" w:eastAsia="宋体" w:cs="宋体"/>
          <w:i/>
          <w:iCs/>
          <w:color w:val="auto"/>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rPr>
      </w:pPr>
      <w:r>
        <w:rPr>
          <w:rFonts w:hint="eastAsia" w:ascii="宋体" w:hAnsi="宋体" w:eastAsia="宋体" w:cs="宋体"/>
          <w:i/>
          <w:iCs/>
          <w:color w:val="auto"/>
        </w:rPr>
        <w:t>“投标总价合计”应与“</w:t>
      </w:r>
      <w:r>
        <w:rPr>
          <w:rFonts w:hint="eastAsia" w:ascii="宋体" w:hAnsi="宋体" w:eastAsia="宋体" w:cs="宋体"/>
          <w:i/>
          <w:iCs/>
          <w:color w:val="auto"/>
          <w:lang w:val="zh-CN"/>
        </w:rPr>
        <w:t>开标一览表</w:t>
      </w:r>
      <w:r>
        <w:rPr>
          <w:rFonts w:hint="eastAsia" w:ascii="宋体" w:hAnsi="宋体" w:eastAsia="宋体" w:cs="宋体"/>
          <w:i/>
          <w:iCs/>
          <w:color w:val="auto"/>
        </w:rPr>
        <w:t>”中第二项“总投标价”一致。</w:t>
      </w:r>
    </w:p>
    <w:p>
      <w:pPr>
        <w:autoSpaceDE w:val="0"/>
        <w:autoSpaceDN w:val="0"/>
        <w:spacing w:line="360" w:lineRule="auto"/>
        <w:ind w:right="112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pStyle w:val="45"/>
        <w:tabs>
          <w:tab w:val="left" w:pos="0"/>
          <w:tab w:val="left" w:pos="1260"/>
          <w:tab w:val="left" w:pos="1365"/>
        </w:tabs>
        <w:ind w:left="0" w:leftChars="0" w:firstLine="0" w:firstLineChars="0"/>
        <w:rPr>
          <w:rFonts w:hint="eastAsia" w:ascii="宋体" w:hAnsi="宋体" w:eastAsia="宋体" w:cs="宋体"/>
          <w:i/>
          <w:iCs/>
          <w:color w:val="auto"/>
          <w:sz w:val="30"/>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bookmarkStart w:id="440" w:name="_Toc6221"/>
      <w:bookmarkStart w:id="441" w:name="_Toc24997"/>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End w:id="440"/>
      <w:bookmarkEnd w:id="441"/>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42" w:name="_Toc465665161"/>
      <w:bookmarkStart w:id="443" w:name="_Toc23530"/>
      <w:bookmarkStart w:id="444" w:name="_Toc20518"/>
      <w:r>
        <w:rPr>
          <w:rFonts w:hint="eastAsia" w:ascii="宋体" w:hAnsi="宋体" w:eastAsia="宋体" w:cs="宋体"/>
          <w:color w:val="auto"/>
        </w:rPr>
        <w:t>附件</w:t>
      </w:r>
      <w:bookmarkEnd w:id="442"/>
      <w:bookmarkEnd w:id="443"/>
      <w:bookmarkEnd w:id="444"/>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45" w:name="OLE_LINK13"/>
      <w:bookmarkStart w:id="446" w:name="OLE_LINK14"/>
      <w:r>
        <w:rPr>
          <w:rFonts w:hint="eastAsia" w:ascii="宋体" w:hAnsi="宋体" w:eastAsia="宋体" w:cs="宋体"/>
          <w:b/>
          <w:color w:val="auto"/>
          <w:spacing w:val="6"/>
          <w:sz w:val="32"/>
          <w:szCs w:val="32"/>
        </w:rPr>
        <w:t>残疾人福利性单位声明函</w:t>
      </w:r>
    </w:p>
    <w:bookmarkEnd w:id="445"/>
    <w:bookmarkEnd w:id="446"/>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投标人名称(盖章)</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pPr>
        <w:snapToGrid w:val="0"/>
        <w:spacing w:line="360" w:lineRule="auto"/>
        <w:rPr>
          <w:rFonts w:hint="eastAsia" w:ascii="宋体" w:hAnsi="宋体" w:eastAsia="宋体" w:cs="宋体"/>
          <w:color w:val="auto"/>
          <w:sz w:val="24"/>
          <w:u w:val="dotted"/>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pPr>
        <w:spacing w:line="360" w:lineRule="auto"/>
        <w:rPr>
          <w:rFonts w:hint="eastAsia" w:ascii="宋体" w:hAnsi="宋体" w:eastAsia="宋体" w:cs="宋体"/>
          <w:color w:val="auto"/>
          <w:sz w:val="24"/>
          <w:u w:val="dotted"/>
        </w:rPr>
      </w:pP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rPr>
      </w:pPr>
      <w:bookmarkStart w:id="447" w:name="_Toc23417"/>
      <w:bookmarkStart w:id="448" w:name="_Toc14912"/>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附件4：中小企业声明函</w:t>
      </w:r>
      <w:bookmarkEnd w:id="447"/>
      <w:bookmarkEnd w:id="448"/>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定制单人手摇升降课桌椅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书包柜（靠窗）</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书包柜（后墙）</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卫生柜（后墙）</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原木讲台</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定制实木椅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定制教室办公桌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left="0" w:leftChars="0" w:firstLine="5460" w:firstLineChars="2275"/>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ind w:left="0" w:leftChars="0" w:firstLine="5460" w:firstLineChars="2275"/>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rPr>
      </w:pPr>
      <w:r>
        <w:rPr>
          <w:rFonts w:hint="eastAsia" w:ascii="宋体" w:hAnsi="宋体" w:eastAsia="宋体" w:cs="宋体"/>
          <w:color w:val="auto"/>
          <w:sz w:val="24"/>
        </w:rPr>
        <w:br w:type="page"/>
      </w:r>
    </w:p>
    <w:p>
      <w:pPr>
        <w:jc w:val="left"/>
        <w:rPr>
          <w:rFonts w:hint="eastAsia" w:ascii="宋体" w:hAnsi="宋体" w:eastAsia="宋体" w:cs="宋体"/>
          <w:color w:val="auto"/>
          <w:kern w:val="2"/>
          <w:sz w:val="24"/>
          <w:szCs w:val="24"/>
          <w:lang w:val="en-US" w:eastAsia="zh-CN" w:bidi="ar-SA"/>
        </w:rPr>
      </w:pPr>
    </w:p>
    <w:p>
      <w:pPr>
        <w:autoSpaceDE w:val="0"/>
        <w:autoSpaceDN w:val="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政府采购活动现场确认声明书</w:t>
      </w:r>
    </w:p>
    <w:p>
      <w:pPr>
        <w:spacing w:line="312" w:lineRule="auto"/>
        <w:rPr>
          <w:rFonts w:hint="eastAsia" w:ascii="宋体" w:hAnsi="宋体" w:eastAsia="宋体" w:cs="宋体"/>
          <w:b/>
          <w:color w:val="auto"/>
          <w:sz w:val="24"/>
        </w:rPr>
      </w:pPr>
      <w:r>
        <w:rPr>
          <w:rFonts w:hint="eastAsia" w:ascii="宋体" w:hAnsi="宋体" w:eastAsia="宋体" w:cs="宋体"/>
          <w:color w:val="auto"/>
          <w:sz w:val="24"/>
        </w:rPr>
        <w:t>浙江致信招标代理有限公司：</w:t>
      </w:r>
    </w:p>
    <w:p>
      <w:pPr>
        <w:spacing w:line="312"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本人经由</w:t>
      </w:r>
      <w:r>
        <w:rPr>
          <w:rFonts w:hint="eastAsia" w:ascii="宋体" w:hAnsi="宋体" w:eastAsia="宋体" w:cs="宋体"/>
          <w:color w:val="auto"/>
          <w:spacing w:val="6"/>
          <w:sz w:val="24"/>
          <w:u w:val="single"/>
        </w:rPr>
        <w:t>（单位）</w:t>
      </w:r>
      <w:r>
        <w:rPr>
          <w:rFonts w:hint="eastAsia" w:ascii="宋体" w:hAnsi="宋体" w:eastAsia="宋体" w:cs="宋体"/>
          <w:color w:val="auto"/>
          <w:spacing w:val="6"/>
          <w:sz w:val="24"/>
        </w:rPr>
        <w:t>负责人</w:t>
      </w:r>
      <w:r>
        <w:rPr>
          <w:rFonts w:hint="eastAsia" w:ascii="宋体" w:hAnsi="宋体" w:eastAsia="宋体" w:cs="宋体"/>
          <w:color w:val="auto"/>
          <w:spacing w:val="6"/>
          <w:sz w:val="24"/>
          <w:u w:val="single"/>
        </w:rPr>
        <w:t>（法定代表人）</w:t>
      </w:r>
      <w:r>
        <w:rPr>
          <w:rFonts w:hint="eastAsia" w:ascii="宋体" w:hAnsi="宋体" w:eastAsia="宋体" w:cs="宋体"/>
          <w:color w:val="auto"/>
          <w:spacing w:val="6"/>
          <w:sz w:val="24"/>
        </w:rPr>
        <w:t>合法授权参加</w:t>
      </w:r>
      <w:r>
        <w:rPr>
          <w:rFonts w:hint="eastAsia" w:ascii="宋体" w:hAnsi="宋体" w:cs="宋体"/>
          <w:color w:val="auto"/>
          <w:spacing w:val="6"/>
          <w:sz w:val="24"/>
          <w:u w:val="single"/>
          <w:lang w:eastAsia="zh-CN"/>
        </w:rPr>
        <w:t>慈溪市文锦书院普通教室桌椅柜</w:t>
      </w:r>
      <w:r>
        <w:rPr>
          <w:rFonts w:hint="eastAsia" w:ascii="宋体" w:hAnsi="宋体" w:eastAsia="宋体" w:cs="宋体"/>
          <w:color w:val="auto"/>
          <w:spacing w:val="6"/>
          <w:sz w:val="24"/>
          <w:u w:val="single"/>
          <w:lang w:eastAsia="zh-CN"/>
        </w:rPr>
        <w:t>采购</w:t>
      </w:r>
      <w:r>
        <w:rPr>
          <w:rFonts w:hint="eastAsia" w:ascii="宋体" w:hAnsi="宋体" w:eastAsia="宋体" w:cs="宋体"/>
          <w:color w:val="auto"/>
          <w:spacing w:val="6"/>
          <w:sz w:val="24"/>
          <w:u w:val="single"/>
        </w:rPr>
        <w:t>项目</w:t>
      </w:r>
      <w:r>
        <w:rPr>
          <w:rFonts w:hint="eastAsia" w:ascii="宋体" w:hAnsi="宋体" w:eastAsia="宋体" w:cs="宋体"/>
          <w:color w:val="auto"/>
          <w:spacing w:val="6"/>
          <w:sz w:val="24"/>
        </w:rPr>
        <w:t>（编号：</w:t>
      </w:r>
      <w:r>
        <w:rPr>
          <w:rFonts w:hint="eastAsia" w:ascii="宋体" w:hAnsi="宋体" w:cs="宋体"/>
          <w:color w:val="auto"/>
          <w:spacing w:val="6"/>
          <w:sz w:val="24"/>
          <w:u w:val="single"/>
          <w:lang w:eastAsia="zh-CN"/>
        </w:rPr>
        <w:t>330282202506004753</w:t>
      </w:r>
      <w:r>
        <w:rPr>
          <w:rFonts w:hint="eastAsia" w:ascii="宋体" w:hAnsi="宋体" w:eastAsia="宋体" w:cs="宋体"/>
          <w:color w:val="auto"/>
          <w:spacing w:val="6"/>
          <w:sz w:val="24"/>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一、本单位与采购人之间</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A.投资关系  B.行政隶属关系  C.业务指导关系 D.其他可能影响采购公正的利害关系</w:t>
      </w:r>
      <w:r>
        <w:rPr>
          <w:rFonts w:hint="eastAsia" w:ascii="宋体" w:hAnsi="宋体" w:eastAsia="宋体" w:cs="宋体"/>
          <w:color w:val="auto"/>
          <w:sz w:val="24"/>
          <w:u w:val="single"/>
        </w:rPr>
        <w:t>（如有，请如实说明）</w:t>
      </w:r>
      <w:r>
        <w:rPr>
          <w:rFonts w:hint="eastAsia" w:ascii="宋体" w:hAnsi="宋体" w:eastAsia="宋体" w:cs="宋体"/>
          <w:color w:val="auto"/>
          <w:sz w:val="24"/>
        </w:rPr>
        <w:t>。</w:t>
      </w:r>
    </w:p>
    <w:p>
      <w:pPr>
        <w:spacing w:line="312" w:lineRule="auto"/>
        <w:ind w:firstLine="504"/>
        <w:rPr>
          <w:rFonts w:hint="eastAsia" w:ascii="宋体" w:hAnsi="宋体" w:eastAsia="宋体" w:cs="宋体"/>
          <w:color w:val="auto"/>
          <w:sz w:val="24"/>
        </w:rPr>
      </w:pPr>
      <w:r>
        <w:rPr>
          <w:rFonts w:hint="eastAsia" w:ascii="宋体" w:hAnsi="宋体" w:eastAsia="宋体" w:cs="宋体"/>
          <w:color w:val="auto"/>
          <w:spacing w:val="6"/>
          <w:sz w:val="24"/>
        </w:rPr>
        <w:t>二、</w:t>
      </w:r>
      <w:r>
        <w:rPr>
          <w:rFonts w:hint="eastAsia" w:ascii="宋体" w:hAnsi="宋体" w:eastAsia="宋体" w:cs="宋体"/>
          <w:color w:val="auto"/>
          <w:sz w:val="24"/>
        </w:rPr>
        <w:t>现已清楚知道参加本项目采购活动的其他所有供应商名称，本单位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u w:val="single"/>
        </w:rPr>
        <w:t>（供应商名称）</w:t>
      </w:r>
      <w:r>
        <w:rPr>
          <w:rFonts w:hint="eastAsia" w:ascii="宋体" w:hAnsi="宋体" w:eastAsia="宋体" w:cs="宋体"/>
          <w:color w:val="auto"/>
          <w:sz w:val="24"/>
        </w:rPr>
        <w:t>之间存在下列利害关系：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B.法定代表人或负责人或实际控制人是夫妻关系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C.法定代表人或负责人或实际控制人是直系血亲关系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D.法定代表人或负责人或实际控制人存在三代以内旁系血亲关系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I.其他利害关系情况。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现已清楚知道并严格遵守政府采购法律法规和现场纪律。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我发现供应商之间存在或可能存在上述第二条第项利害关系。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供应商代表签名：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pacing w:line="312" w:lineRule="auto"/>
        <w:ind w:firstLine="480"/>
        <w:rPr>
          <w:rFonts w:hint="eastAsia" w:ascii="宋体" w:hAnsi="宋体" w:eastAsia="宋体" w:cs="宋体"/>
          <w:bCs/>
          <w:color w:val="auto"/>
          <w:sz w:val="24"/>
        </w:rPr>
      </w:pPr>
      <w:r>
        <w:rPr>
          <w:rFonts w:hint="eastAsia" w:ascii="宋体" w:hAnsi="宋体" w:eastAsia="宋体" w:cs="宋体"/>
          <w:i/>
          <w:iCs/>
          <w:color w:val="auto"/>
          <w:sz w:val="24"/>
        </w:rPr>
        <w:t>注：</w:t>
      </w:r>
      <w:r>
        <w:rPr>
          <w:rFonts w:hint="eastAsia" w:ascii="宋体" w:hAnsi="宋体" w:eastAsia="宋体" w:cs="宋体"/>
          <w:i/>
          <w:iCs/>
          <w:color w:val="auto"/>
          <w:sz w:val="24"/>
          <w:lang w:eastAsia="zh-CN"/>
        </w:rPr>
        <w:t>投标</w:t>
      </w:r>
      <w:r>
        <w:rPr>
          <w:rFonts w:hint="eastAsia" w:ascii="宋体" w:hAnsi="宋体" w:eastAsia="宋体" w:cs="宋体"/>
          <w:i/>
          <w:iCs/>
          <w:color w:val="auto"/>
          <w:sz w:val="24"/>
        </w:rPr>
        <w:t>文件解密结束，各供应商签署《政府采购活动现场确认声明书》，签署完成后，扫描发送至邮箱：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i/>
          <w:iCs/>
          <w:color w:val="auto"/>
          <w:sz w:val="24"/>
        </w:rPr>
        <w:t>253656196@qq.com；</w:t>
      </w:r>
      <w:r>
        <w:rPr>
          <w:rFonts w:hint="eastAsia" w:ascii="宋体" w:hAnsi="宋体" w:eastAsia="宋体" w:cs="宋体"/>
          <w:i/>
          <w:iCs/>
          <w:color w:val="auto"/>
          <w:sz w:val="24"/>
        </w:rPr>
        <w:fldChar w:fldCharType="end"/>
      </w:r>
    </w:p>
    <w:p>
      <w:pPr>
        <w:pStyle w:val="45"/>
        <w:ind w:firstLine="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方正粗黑宋简体">
    <w:panose1 w:val="02000000000000000000"/>
    <w:charset w:val="86"/>
    <w:family w:val="auto"/>
    <w:pitch w:val="default"/>
    <w:sig w:usb0="A00002BF" w:usb1="184F6CFA" w:usb2="00000012" w:usb3="00000000" w:csb0="00040001" w:csb1="0000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等线">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80</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79</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053F6E"/>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8A0CB1"/>
    <w:rsid w:val="05A16594"/>
    <w:rsid w:val="05A7762D"/>
    <w:rsid w:val="060B2C29"/>
    <w:rsid w:val="060E5941"/>
    <w:rsid w:val="06110FAF"/>
    <w:rsid w:val="06493CA7"/>
    <w:rsid w:val="065A6178"/>
    <w:rsid w:val="066F1CF3"/>
    <w:rsid w:val="06930BB8"/>
    <w:rsid w:val="06C76830"/>
    <w:rsid w:val="07245D42"/>
    <w:rsid w:val="07264C62"/>
    <w:rsid w:val="0779354C"/>
    <w:rsid w:val="08061376"/>
    <w:rsid w:val="08204E20"/>
    <w:rsid w:val="08423CED"/>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B72FBF"/>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F3793B"/>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36323"/>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240BF6"/>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3F5DD3"/>
    <w:rsid w:val="28454BD6"/>
    <w:rsid w:val="28455253"/>
    <w:rsid w:val="28551971"/>
    <w:rsid w:val="285B1C53"/>
    <w:rsid w:val="289F7086"/>
    <w:rsid w:val="28C32028"/>
    <w:rsid w:val="28CC490F"/>
    <w:rsid w:val="28DE40AA"/>
    <w:rsid w:val="29345E77"/>
    <w:rsid w:val="294C65AD"/>
    <w:rsid w:val="29806583"/>
    <w:rsid w:val="298B3C4C"/>
    <w:rsid w:val="299B6018"/>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0C4974"/>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B417A9"/>
    <w:rsid w:val="39FC5695"/>
    <w:rsid w:val="3A006D8E"/>
    <w:rsid w:val="3A3651E5"/>
    <w:rsid w:val="3A744481"/>
    <w:rsid w:val="3A810742"/>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D56BA7"/>
    <w:rsid w:val="4AEB7664"/>
    <w:rsid w:val="4AFD7C19"/>
    <w:rsid w:val="4B0567D1"/>
    <w:rsid w:val="4B236AAE"/>
    <w:rsid w:val="4B707271"/>
    <w:rsid w:val="4B9739F7"/>
    <w:rsid w:val="4BEE2503"/>
    <w:rsid w:val="4BF8563C"/>
    <w:rsid w:val="4C245A30"/>
    <w:rsid w:val="4C3F6E70"/>
    <w:rsid w:val="4CB6685F"/>
    <w:rsid w:val="4CC367FE"/>
    <w:rsid w:val="4CC94FB6"/>
    <w:rsid w:val="4D077F3C"/>
    <w:rsid w:val="4D123355"/>
    <w:rsid w:val="4D2A3B31"/>
    <w:rsid w:val="4D312C52"/>
    <w:rsid w:val="4D905305"/>
    <w:rsid w:val="4D964A72"/>
    <w:rsid w:val="4D9C1254"/>
    <w:rsid w:val="4E1778C3"/>
    <w:rsid w:val="4E4411D0"/>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3A0998"/>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D012AC"/>
    <w:rsid w:val="60E06759"/>
    <w:rsid w:val="60FA2EE8"/>
    <w:rsid w:val="61054A27"/>
    <w:rsid w:val="610A52BC"/>
    <w:rsid w:val="611D2366"/>
    <w:rsid w:val="61421856"/>
    <w:rsid w:val="615227C4"/>
    <w:rsid w:val="61654E3F"/>
    <w:rsid w:val="6182292A"/>
    <w:rsid w:val="619F7F92"/>
    <w:rsid w:val="61F94C26"/>
    <w:rsid w:val="62000E56"/>
    <w:rsid w:val="624172D9"/>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05BEB"/>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1A4EC1"/>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C356CD"/>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4"/>
    <w:qFormat/>
    <w:uiPriority w:val="0"/>
    <w:pPr>
      <w:ind w:firstLine="420"/>
    </w:pPr>
    <w:rPr>
      <w:rFonts w:hAnsi="Calibri" w:cs="Times New Roman"/>
      <w:snapToGrid/>
      <w:szCs w:val="20"/>
    </w:rPr>
  </w:style>
  <w:style w:type="paragraph" w:styleId="1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1"/>
    <w:link w:val="125"/>
    <w:qFormat/>
    <w:uiPriority w:val="0"/>
    <w:pPr>
      <w:adjustRightInd/>
      <w:spacing w:after="120" w:line="240" w:lineRule="auto"/>
      <w:ind w:left="420" w:leftChars="200" w:firstLine="210"/>
    </w:pPr>
    <w:rPr>
      <w:sz w:val="21"/>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5"/>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Placeholder Text"/>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 w:type="character" w:customStyle="1" w:styleId="975">
    <w:name w:val="font141"/>
    <w:basedOn w:val="65"/>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C:\Users\ADMINI~1\AppData\Local\Temp\ksohtml\clip_image10.png" TargetMode="External"/><Relationship Id="rId37" Type="http://schemas.openxmlformats.org/officeDocument/2006/relationships/image" Target="media/image9.png"/><Relationship Id="rId36" Type="http://schemas.openxmlformats.org/officeDocument/2006/relationships/image" Target="C:\Users\ADMINI~1\AppData\Local\Temp\ksohtml\clip_image9.png" TargetMode="External"/><Relationship Id="rId35" Type="http://schemas.openxmlformats.org/officeDocument/2006/relationships/image" Target="media/image8.png"/><Relationship Id="rId34" Type="http://schemas.openxmlformats.org/officeDocument/2006/relationships/image" Target="C:\Users\ADMINI~1\AppData\Local\Temp\ksohtml\clip_image11.png" TargetMode="External"/><Relationship Id="rId33" Type="http://schemas.openxmlformats.org/officeDocument/2006/relationships/image" Target="media/image7.png"/><Relationship Id="rId32" Type="http://schemas.openxmlformats.org/officeDocument/2006/relationships/image" Target="C:\Users\ADMINI~1\AppData\Local\Temp\ksohtml\clip_image3.png" TargetMode="External"/><Relationship Id="rId31" Type="http://schemas.openxmlformats.org/officeDocument/2006/relationships/image" Target="media/image6.png"/><Relationship Id="rId30" Type="http://schemas.openxmlformats.org/officeDocument/2006/relationships/image" Target="C:\Users\ADMINI~1\AppData\Local\Temp\ksohtml\clip_image2.png" TargetMode="External"/><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C:\Users\ADMINI~1\AppData\Local\Temp\ksohtml\clip_image13.png" TargetMode="External"/><Relationship Id="rId27" Type="http://schemas.openxmlformats.org/officeDocument/2006/relationships/image" Target="media/image4.png"/><Relationship Id="rId26" Type="http://schemas.openxmlformats.org/officeDocument/2006/relationships/image" Target="C:\Users\ADMINI~1\AppData\Local\Temp\ksohtml\clip_image17.png" TargetMode="External"/><Relationship Id="rId25" Type="http://schemas.openxmlformats.org/officeDocument/2006/relationships/image" Target="media/image3.png"/><Relationship Id="rId24" Type="http://schemas.openxmlformats.org/officeDocument/2006/relationships/image" Target="C:\Users\ADMINI~1\AppData\Local\Temp\ksohtml\clip_image15.png" TargetMode="External"/><Relationship Id="rId23" Type="http://schemas.openxmlformats.org/officeDocument/2006/relationships/image" Target="media/image2.png"/><Relationship Id="rId22" Type="http://schemas.openxmlformats.org/officeDocument/2006/relationships/image" Target="C:\Users\ADMINI~1\AppData\Local\Temp\ksohtml\clip_image16.png" TargetMode="Externa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28442</Words>
  <Characters>33668</Characters>
  <Lines>271</Lines>
  <Paragraphs>76</Paragraphs>
  <ScaleCrop>false</ScaleCrop>
  <LinksUpToDate>false</LinksUpToDate>
  <CharactersWithSpaces>35311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2025-07-10T03:35:20Z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5111E4E4C19D41E4956D55E2D38AA48F_13</vt:lpwstr>
  </property>
  <property fmtid="{D5CDD505-2E9C-101B-9397-08002B2CF9AE}" pid="5" name="KSOTemplateDocerSaveRecord">
    <vt:lpwstr>eyJoZGlkIjoiZGIwNTQ4ZjE1NTM1NTNkNGQ4YmVjYTFkZWY5MDU3MzIiLCJ1c2VySWQiOiIzMjA1MzA2NjMifQ==</vt:lpwstr>
  </property>
</Properties>
</file>