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b/>
          <w:spacing w:val="-6"/>
          <w:sz w:val="52"/>
          <w:szCs w:val="72"/>
          <w:highlight w:val="none"/>
        </w:rPr>
      </w:pPr>
      <w:r>
        <w:rPr>
          <w:rFonts w:hint="eastAsia" w:ascii="宋体" w:hAnsi="宋体"/>
          <w:b/>
          <w:spacing w:val="-6"/>
          <w:sz w:val="52"/>
          <w:szCs w:val="72"/>
          <w:highlight w:val="none"/>
        </w:rPr>
        <w:t>浙江工商职业技术学院</w:t>
      </w:r>
    </w:p>
    <w:p>
      <w:pPr>
        <w:spacing w:line="360" w:lineRule="auto"/>
        <w:jc w:val="center"/>
        <w:rPr>
          <w:rFonts w:ascii="宋体" w:hAnsi="宋体"/>
          <w:b/>
          <w:sz w:val="72"/>
          <w:szCs w:val="72"/>
          <w:highlight w:val="none"/>
        </w:rPr>
      </w:pPr>
    </w:p>
    <w:p>
      <w:pPr>
        <w:pStyle w:val="80"/>
        <w:rPr>
          <w:rFonts w:ascii="宋体" w:hAnsi="宋体" w:eastAsia="宋体" w:cs="宋体"/>
          <w:color w:val="auto"/>
          <w:highlight w:val="none"/>
        </w:rPr>
      </w:pPr>
    </w:p>
    <w:p>
      <w:pPr>
        <w:spacing w:line="360" w:lineRule="auto"/>
        <w:jc w:val="center"/>
        <w:rPr>
          <w:rFonts w:ascii="宋体" w:hAnsi="宋体"/>
          <w:b/>
          <w:spacing w:val="-6"/>
          <w:sz w:val="72"/>
          <w:szCs w:val="72"/>
          <w:highlight w:val="none"/>
        </w:rPr>
      </w:pPr>
      <w:r>
        <w:rPr>
          <w:rFonts w:hint="eastAsia" w:ascii="宋体" w:hAnsi="宋体"/>
          <w:b/>
          <w:spacing w:val="-6"/>
          <w:sz w:val="72"/>
          <w:szCs w:val="72"/>
          <w:highlight w:val="none"/>
        </w:rPr>
        <w:t>公开招标文件</w:t>
      </w:r>
    </w:p>
    <w:p>
      <w:pPr>
        <w:spacing w:line="360" w:lineRule="auto"/>
        <w:jc w:val="center"/>
        <w:rPr>
          <w:rFonts w:ascii="宋体" w:hAnsi="宋体"/>
          <w:sz w:val="44"/>
          <w:szCs w:val="44"/>
          <w:highlight w:val="none"/>
        </w:rPr>
      </w:pPr>
      <w:r>
        <w:rPr>
          <w:rFonts w:hint="eastAsia" w:ascii="宋体" w:hAnsi="宋体"/>
          <w:sz w:val="44"/>
          <w:szCs w:val="44"/>
          <w:highlight w:val="none"/>
        </w:rPr>
        <w:t>(电子交易)</w:t>
      </w:r>
    </w:p>
    <w:p>
      <w:pPr>
        <w:pStyle w:val="80"/>
        <w:rPr>
          <w:rFonts w:ascii="宋体" w:hAnsi="宋体" w:eastAsia="宋体" w:cs="宋体"/>
          <w:color w:val="auto"/>
          <w:sz w:val="44"/>
          <w:szCs w:val="44"/>
          <w:highlight w:val="none"/>
        </w:rPr>
      </w:pPr>
    </w:p>
    <w:p>
      <w:pPr>
        <w:pStyle w:val="237"/>
        <w:rPr>
          <w:rFonts w:ascii="宋体" w:hAnsi="宋体" w:cs="宋体"/>
          <w:highlight w:val="none"/>
        </w:rPr>
      </w:pPr>
    </w:p>
    <w:p>
      <w:pPr>
        <w:spacing w:line="360" w:lineRule="auto"/>
        <w:jc w:val="center"/>
        <w:rPr>
          <w:rFonts w:ascii="宋体" w:hAnsi="宋体"/>
          <w:sz w:val="44"/>
          <w:szCs w:val="44"/>
          <w:highlight w:val="none"/>
        </w:rPr>
      </w:pPr>
    </w:p>
    <w:p>
      <w:pPr>
        <w:snapToGrid w:val="0"/>
        <w:spacing w:line="360" w:lineRule="auto"/>
        <w:rPr>
          <w:rFonts w:ascii="宋体" w:hAnsi="宋体"/>
          <w:b/>
          <w:bCs/>
          <w:sz w:val="32"/>
          <w:szCs w:val="32"/>
          <w:highlight w:val="none"/>
        </w:rPr>
      </w:pPr>
      <w:r>
        <w:rPr>
          <w:rFonts w:hint="eastAsia" w:ascii="宋体" w:hAnsi="宋体"/>
          <w:b/>
          <w:bCs/>
          <w:sz w:val="32"/>
          <w:szCs w:val="32"/>
          <w:highlight w:val="none"/>
        </w:rPr>
        <w:t>项目名称：浙江工商职业技术学院</w:t>
      </w:r>
      <w:r>
        <w:rPr>
          <w:rFonts w:hint="eastAsia" w:ascii="宋体" w:hAnsi="宋体"/>
          <w:b/>
          <w:bCs/>
          <w:sz w:val="32"/>
          <w:szCs w:val="32"/>
          <w:highlight w:val="none"/>
          <w:lang w:eastAsia="zh-CN"/>
        </w:rPr>
        <w:t>数字媒体技术专业国家级课程资源库建设项目</w:t>
      </w:r>
    </w:p>
    <w:p>
      <w:pPr>
        <w:snapToGrid w:val="0"/>
        <w:spacing w:line="360" w:lineRule="auto"/>
        <w:rPr>
          <w:rFonts w:ascii="宋体" w:hAnsi="宋体"/>
          <w:b/>
          <w:bCs/>
          <w:sz w:val="32"/>
          <w:szCs w:val="32"/>
          <w:highlight w:val="none"/>
        </w:rPr>
      </w:pPr>
      <w:r>
        <w:rPr>
          <w:rFonts w:hint="eastAsia" w:ascii="宋体" w:hAnsi="宋体"/>
          <w:b/>
          <w:bCs/>
          <w:sz w:val="32"/>
          <w:szCs w:val="32"/>
          <w:highlight w:val="none"/>
        </w:rPr>
        <w:t>项目编号：ZJZX-</w:t>
      </w:r>
      <w:r>
        <w:rPr>
          <w:rFonts w:hint="eastAsia" w:ascii="宋体" w:hAnsi="宋体"/>
          <w:b/>
          <w:bCs/>
          <w:sz w:val="32"/>
          <w:szCs w:val="32"/>
          <w:highlight w:val="none"/>
          <w:lang w:eastAsia="zh-CN"/>
        </w:rPr>
        <w:t>ZJGS202507G</w:t>
      </w:r>
    </w:p>
    <w:p>
      <w:pPr>
        <w:snapToGrid w:val="0"/>
        <w:spacing w:line="360" w:lineRule="auto"/>
        <w:rPr>
          <w:rFonts w:ascii="宋体" w:hAnsi="宋体"/>
          <w:b/>
          <w:bCs/>
          <w:sz w:val="32"/>
          <w:szCs w:val="32"/>
          <w:highlight w:val="none"/>
        </w:rPr>
      </w:pPr>
      <w:r>
        <w:rPr>
          <w:rFonts w:hint="eastAsia" w:ascii="宋体" w:hAnsi="宋体"/>
          <w:b/>
          <w:bCs/>
          <w:sz w:val="32"/>
          <w:szCs w:val="32"/>
          <w:highlight w:val="none"/>
        </w:rPr>
        <w:t>采 购 人：浙江工商职业技术学院</w:t>
      </w:r>
    </w:p>
    <w:p>
      <w:pPr>
        <w:snapToGrid w:val="0"/>
        <w:spacing w:line="360" w:lineRule="auto"/>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pPr>
        <w:snapToGrid w:val="0"/>
        <w:spacing w:line="360" w:lineRule="auto"/>
        <w:rPr>
          <w:rFonts w:ascii="宋体" w:hAnsi="宋体"/>
          <w:b/>
          <w:bCs/>
          <w:sz w:val="32"/>
          <w:szCs w:val="32"/>
          <w:highlight w:val="none"/>
        </w:rPr>
      </w:pPr>
      <w:r>
        <w:rPr>
          <w:rFonts w:hint="eastAsia" w:ascii="宋体" w:hAnsi="宋体"/>
          <w:b/>
          <w:bCs/>
          <w:sz w:val="32"/>
          <w:szCs w:val="32"/>
          <w:highlight w:val="none"/>
        </w:rPr>
        <w:t>时    间：二〇二五年</w:t>
      </w:r>
      <w:r>
        <w:rPr>
          <w:rFonts w:hint="eastAsia" w:ascii="宋体" w:hAnsi="宋体"/>
          <w:b/>
          <w:bCs/>
          <w:sz w:val="32"/>
          <w:szCs w:val="32"/>
          <w:highlight w:val="none"/>
          <w:lang w:eastAsia="zh-CN"/>
        </w:rPr>
        <w:t>七</w:t>
      </w:r>
      <w:r>
        <w:rPr>
          <w:rFonts w:hint="eastAsia" w:ascii="宋体" w:hAnsi="宋体"/>
          <w:b/>
          <w:bCs/>
          <w:sz w:val="32"/>
          <w:szCs w:val="32"/>
          <w:highlight w:val="none"/>
        </w:rPr>
        <w:t>月</w:t>
      </w: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sz w:val="48"/>
          <w:szCs w:val="48"/>
          <w:highlight w:val="none"/>
        </w:rPr>
      </w:pPr>
    </w:p>
    <w:p>
      <w:pPr>
        <w:spacing w:line="360" w:lineRule="auto"/>
        <w:jc w:val="center"/>
        <w:rPr>
          <w:rFonts w:ascii="宋体" w:hAnsi="宋体" w:cs="宋体"/>
          <w:sz w:val="24"/>
          <w:highlight w:val="none"/>
        </w:rPr>
      </w:pP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pStyle w:val="45"/>
        <w:tabs>
          <w:tab w:val="right" w:leader="dot" w:pos="9070"/>
        </w:tabs>
        <w:spacing w:line="480" w:lineRule="auto"/>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"_Toc1090" </w:instrText>
      </w:r>
      <w:r>
        <w:rPr>
          <w:highlight w:val="none"/>
        </w:rPr>
        <w:fldChar w:fldCharType="separate"/>
      </w:r>
      <w:r>
        <w:rPr>
          <w:rFonts w:hint="eastAsia" w:ascii="宋体" w:hAnsi="宋体" w:cs="宋体"/>
          <w:sz w:val="28"/>
          <w:szCs w:val="28"/>
          <w:highlight w:val="none"/>
        </w:rPr>
        <w:t>第一部分   招标公告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_Toc1090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5"/>
        <w:tabs>
          <w:tab w:val="right" w:leader="dot" w:pos="9070"/>
        </w:tabs>
        <w:spacing w:line="480" w:lineRule="auto"/>
        <w:rPr>
          <w:rFonts w:ascii="宋体" w:hAnsi="宋体" w:cs="宋体"/>
          <w:sz w:val="28"/>
          <w:szCs w:val="28"/>
          <w:highlight w:val="none"/>
        </w:rPr>
      </w:pPr>
      <w:r>
        <w:rPr>
          <w:highlight w:val="none"/>
        </w:rPr>
        <w:fldChar w:fldCharType="begin"/>
      </w:r>
      <w:r>
        <w:rPr>
          <w:highlight w:val="none"/>
        </w:rPr>
        <w:instrText xml:space="preserve"> HYPERLINK \l "_Toc4678" </w:instrText>
      </w:r>
      <w:r>
        <w:rPr>
          <w:highlight w:val="none"/>
        </w:rPr>
        <w:fldChar w:fldCharType="separate"/>
      </w:r>
      <w:r>
        <w:rPr>
          <w:rFonts w:hint="eastAsia" w:ascii="宋体" w:hAnsi="宋体" w:cs="宋体"/>
          <w:sz w:val="28"/>
          <w:szCs w:val="28"/>
          <w:highlight w:val="none"/>
        </w:rPr>
        <w:t>第二部分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_Toc4678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5"/>
        <w:tabs>
          <w:tab w:val="right" w:leader="dot" w:pos="9070"/>
        </w:tabs>
        <w:spacing w:line="480" w:lineRule="auto"/>
        <w:rPr>
          <w:rFonts w:ascii="宋体" w:hAnsi="宋体" w:cs="宋体"/>
          <w:sz w:val="28"/>
          <w:szCs w:val="28"/>
          <w:highlight w:val="none"/>
        </w:rPr>
      </w:pPr>
      <w:r>
        <w:rPr>
          <w:highlight w:val="none"/>
        </w:rPr>
        <w:fldChar w:fldCharType="begin"/>
      </w:r>
      <w:r>
        <w:rPr>
          <w:highlight w:val="none"/>
        </w:rPr>
        <w:instrText xml:space="preserve"> HYPERLINK \l "_Toc16032" </w:instrText>
      </w:r>
      <w:r>
        <w:rPr>
          <w:highlight w:val="none"/>
        </w:rPr>
        <w:fldChar w:fldCharType="separate"/>
      </w:r>
      <w:r>
        <w:rPr>
          <w:rFonts w:hint="eastAsia" w:ascii="宋体" w:hAnsi="宋体" w:cs="宋体"/>
          <w:sz w:val="28"/>
          <w:szCs w:val="28"/>
          <w:highlight w:val="none"/>
        </w:rPr>
        <w:t>第三部分   采购需求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_Toc16032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5"/>
        <w:tabs>
          <w:tab w:val="right" w:leader="dot" w:pos="9070"/>
        </w:tabs>
        <w:spacing w:line="480" w:lineRule="auto"/>
        <w:rPr>
          <w:rFonts w:ascii="宋体" w:hAnsi="宋体" w:cs="宋体"/>
          <w:sz w:val="28"/>
          <w:szCs w:val="28"/>
          <w:highlight w:val="none"/>
        </w:rPr>
      </w:pPr>
      <w:r>
        <w:rPr>
          <w:highlight w:val="none"/>
        </w:rPr>
        <w:fldChar w:fldCharType="begin"/>
      </w:r>
      <w:r>
        <w:rPr>
          <w:highlight w:val="none"/>
        </w:rPr>
        <w:instrText xml:space="preserve"> HYPERLINK \l "_Toc20244" </w:instrText>
      </w:r>
      <w:r>
        <w:rPr>
          <w:highlight w:val="none"/>
        </w:rPr>
        <w:fldChar w:fldCharType="separate"/>
      </w:r>
      <w:r>
        <w:rPr>
          <w:rFonts w:hint="eastAsia" w:ascii="宋体" w:hAnsi="宋体" w:cs="宋体"/>
          <w:sz w:val="28"/>
          <w:szCs w:val="28"/>
          <w:highlight w:val="none"/>
        </w:rPr>
        <w:t>第四部分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_Toc20244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5"/>
        <w:tabs>
          <w:tab w:val="right" w:leader="dot" w:pos="9070"/>
        </w:tabs>
        <w:spacing w:line="480" w:lineRule="auto"/>
        <w:rPr>
          <w:rFonts w:ascii="宋体" w:hAnsi="宋体" w:cs="宋体"/>
          <w:sz w:val="28"/>
          <w:szCs w:val="28"/>
          <w:highlight w:val="none"/>
        </w:rPr>
      </w:pPr>
      <w:r>
        <w:rPr>
          <w:highlight w:val="none"/>
        </w:rPr>
        <w:fldChar w:fldCharType="begin"/>
      </w:r>
      <w:r>
        <w:rPr>
          <w:highlight w:val="none"/>
        </w:rPr>
        <w:instrText xml:space="preserve"> HYPERLINK \l "_Toc8900" </w:instrText>
      </w:r>
      <w:r>
        <w:rPr>
          <w:highlight w:val="none"/>
        </w:rPr>
        <w:fldChar w:fldCharType="separate"/>
      </w:r>
      <w:r>
        <w:rPr>
          <w:rFonts w:hint="eastAsia" w:ascii="宋体" w:hAnsi="宋体" w:cs="宋体"/>
          <w:sz w:val="28"/>
          <w:szCs w:val="28"/>
          <w:highlight w:val="none"/>
        </w:rPr>
        <w:t>第五部分   拟签订的合同文本</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_Toc8900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5"/>
        <w:tabs>
          <w:tab w:val="right" w:leader="dot" w:pos="9070"/>
        </w:tabs>
        <w:spacing w:line="480" w:lineRule="auto"/>
        <w:rPr>
          <w:rFonts w:ascii="宋体" w:hAnsi="宋体" w:cs="宋体"/>
          <w:sz w:val="28"/>
          <w:szCs w:val="28"/>
          <w:highlight w:val="none"/>
        </w:rPr>
      </w:pPr>
      <w:r>
        <w:rPr>
          <w:highlight w:val="none"/>
        </w:rPr>
        <w:fldChar w:fldCharType="begin"/>
      </w:r>
      <w:r>
        <w:rPr>
          <w:highlight w:val="none"/>
        </w:rPr>
        <w:instrText xml:space="preserve"> HYPERLINK \l "_Toc10980" </w:instrText>
      </w:r>
      <w:r>
        <w:rPr>
          <w:highlight w:val="none"/>
        </w:rPr>
        <w:fldChar w:fldCharType="separate"/>
      </w:r>
      <w:r>
        <w:rPr>
          <w:rFonts w:hint="eastAsia" w:ascii="宋体" w:hAnsi="宋体" w:cs="宋体"/>
          <w:sz w:val="28"/>
          <w:szCs w:val="28"/>
          <w:highlight w:val="none"/>
        </w:rPr>
        <w:t>第六部分   应提交的有关格式范例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_Toc10980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spacing w:line="480" w:lineRule="auto"/>
        <w:rPr>
          <w:rFonts w:ascii="宋体" w:hAnsi="宋体" w:cs="宋体"/>
          <w:sz w:val="32"/>
          <w:szCs w:val="32"/>
          <w:highlight w:val="none"/>
        </w:rPr>
      </w:pPr>
      <w:r>
        <w:rPr>
          <w:rFonts w:hint="eastAsia" w:ascii="宋体" w:hAnsi="宋体" w:cs="宋体"/>
          <w:sz w:val="28"/>
          <w:szCs w:val="28"/>
          <w:highlight w:val="none"/>
        </w:rPr>
        <w:fldChar w:fldCharType="end"/>
      </w:r>
    </w:p>
    <w:p>
      <w:pPr>
        <w:spacing w:line="360" w:lineRule="auto"/>
        <w:ind w:firstLine="550" w:firstLineChars="229"/>
        <w:rPr>
          <w:rFonts w:ascii="宋体" w:hAnsi="宋体" w:cs="宋体"/>
          <w:sz w:val="24"/>
          <w:highlight w:val="none"/>
        </w:rPr>
      </w:pPr>
      <w:bookmarkStart w:id="1" w:name="_Hlt91233176"/>
      <w:bookmarkEnd w:id="1"/>
      <w:bookmarkStart w:id="2" w:name="_Toc91899869"/>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ind w:firstLine="550"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_Toc1090"/>
      <w:bookmarkStart w:id="9" w:name="第二部分"/>
      <w:bookmarkStart w:id="10" w:name="_Toc91899870"/>
      <w:bookmarkStart w:id="11" w:name="_Toc91899871"/>
      <w:r>
        <w:rPr>
          <w:rFonts w:hint="eastAsia" w:ascii="宋体" w:hAnsi="宋体" w:cs="宋体"/>
          <w:b/>
          <w:sz w:val="36"/>
          <w:szCs w:val="20"/>
          <w:highlight w:val="none"/>
        </w:rPr>
        <w:t>第一部分 招标公告</w:t>
      </w:r>
      <w:bookmarkEnd w:id="8"/>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浙江工商职业技术学院</w:t>
      </w:r>
      <w:r>
        <w:rPr>
          <w:rFonts w:hint="eastAsia" w:ascii="宋体" w:hAnsi="宋体" w:cs="宋体"/>
          <w:sz w:val="24"/>
          <w:highlight w:val="none"/>
          <w:u w:val="single"/>
          <w:lang w:eastAsia="zh-CN"/>
        </w:rPr>
        <w:t>数字媒体技术专业国家级课程资源库建设</w:t>
      </w:r>
      <w:r>
        <w:rPr>
          <w:rFonts w:hint="eastAsia" w:ascii="宋体" w:hAnsi="宋体" w:cs="宋体"/>
          <w:sz w:val="24"/>
          <w:highlight w:val="none"/>
        </w:rPr>
        <w:t>招标项目的潜在投标人应在政采云平</w:t>
      </w:r>
      <w:r>
        <w:rPr>
          <w:rFonts w:hint="eastAsia" w:ascii="宋体" w:hAnsi="宋体" w:cs="宋体"/>
          <w:bCs/>
          <w:sz w:val="24"/>
          <w:highlight w:val="none"/>
        </w:rPr>
        <w:t>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Fonts w:hint="eastAsia" w:ascii="宋体" w:hAnsi="宋体" w:cs="宋体"/>
          <w:bCs/>
          <w:sz w:val="24"/>
          <w:highlight w:val="none"/>
        </w:rPr>
        <w:t>https://www.zcygov.cn/）获取（下载）招标文件，并于2025年</w:t>
      </w:r>
      <w:r>
        <w:rPr>
          <w:rFonts w:hint="eastAsia" w:ascii="宋体" w:hAnsi="宋体" w:cs="宋体"/>
          <w:bCs/>
          <w:sz w:val="24"/>
          <w:highlight w:val="none"/>
          <w:lang w:val="en-US" w:eastAsia="zh-CN"/>
        </w:rPr>
        <w:t>8</w:t>
      </w:r>
      <w:r>
        <w:rPr>
          <w:rFonts w:hint="eastAsia" w:ascii="宋体" w:hAnsi="宋体" w:cs="宋体"/>
          <w:bCs/>
          <w:sz w:val="24"/>
          <w:highlight w:val="none"/>
        </w:rPr>
        <w:t>月</w:t>
      </w:r>
      <w:r>
        <w:rPr>
          <w:rFonts w:hint="eastAsia" w:ascii="宋体" w:hAnsi="宋体" w:cs="宋体"/>
          <w:bCs/>
          <w:sz w:val="24"/>
          <w:highlight w:val="none"/>
          <w:lang w:val="en-US" w:eastAsia="zh-CN"/>
        </w:rPr>
        <w:t>6</w:t>
      </w:r>
      <w:r>
        <w:rPr>
          <w:rFonts w:hint="eastAsia" w:ascii="宋体" w:hAnsi="宋体" w:cs="宋体"/>
          <w:bCs/>
          <w:sz w:val="24"/>
          <w:highlight w:val="none"/>
        </w:rPr>
        <w:t>日</w:t>
      </w:r>
      <w:r>
        <w:rPr>
          <w:rFonts w:hint="eastAsia" w:ascii="宋体" w:hAnsi="宋体" w:cs="宋体"/>
          <w:bCs/>
          <w:sz w:val="24"/>
          <w:highlight w:val="none"/>
          <w:lang w:val="en-US" w:eastAsia="zh-CN"/>
        </w:rPr>
        <w:t>09</w:t>
      </w:r>
      <w:r>
        <w:rPr>
          <w:rFonts w:hint="eastAsia" w:ascii="宋体" w:hAnsi="宋体" w:cs="宋体"/>
          <w:bCs/>
          <w:sz w:val="24"/>
          <w:highlight w:val="none"/>
        </w:rPr>
        <w:t>时</w:t>
      </w:r>
      <w:r>
        <w:rPr>
          <w:rFonts w:hint="eastAsia" w:ascii="宋体" w:hAnsi="宋体" w:cs="宋体"/>
          <w:bCs/>
          <w:sz w:val="24"/>
          <w:highlight w:val="none"/>
          <w:lang w:val="en-US" w:eastAsia="zh-CN"/>
        </w:rPr>
        <w:t>0</w:t>
      </w:r>
      <w:r>
        <w:rPr>
          <w:rFonts w:hint="eastAsia" w:ascii="宋体" w:hAnsi="宋体" w:cs="宋体"/>
          <w:bCs/>
          <w:sz w:val="24"/>
          <w:highlight w:val="none"/>
        </w:rPr>
        <w:t>0分</w:t>
      </w:r>
      <w:r>
        <w:rPr>
          <w:rFonts w:hint="eastAsia" w:ascii="宋体" w:hAnsi="宋体" w:cs="宋体"/>
          <w:bCs/>
          <w:sz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ascii="宋体" w:hAnsi="宋体" w:cs="宋体"/>
          <w:sz w:val="24"/>
          <w:highlight w:val="none"/>
        </w:rPr>
      </w:pPr>
      <w:r>
        <w:rPr>
          <w:rFonts w:hint="eastAsia" w:ascii="宋体" w:hAnsi="宋体" w:cs="宋体"/>
          <w:b/>
          <w:sz w:val="24"/>
          <w:highlight w:val="none"/>
        </w:rPr>
        <w:t>项目编号：</w:t>
      </w:r>
      <w:r>
        <w:rPr>
          <w:rFonts w:hint="eastAsia" w:ascii="宋体" w:hAnsi="宋体" w:cs="宋体"/>
          <w:bCs/>
          <w:sz w:val="24"/>
          <w:highlight w:val="none"/>
        </w:rPr>
        <w:t>ZJZX-</w:t>
      </w:r>
      <w:r>
        <w:rPr>
          <w:rFonts w:hint="eastAsia" w:ascii="宋体" w:hAnsi="宋体" w:cs="宋体"/>
          <w:bCs/>
          <w:sz w:val="24"/>
          <w:highlight w:val="none"/>
          <w:lang w:eastAsia="zh-CN"/>
        </w:rPr>
        <w:t>ZJGS202507G</w:t>
      </w:r>
    </w:p>
    <w:p>
      <w:pPr>
        <w:spacing w:line="360" w:lineRule="auto"/>
        <w:rPr>
          <w:rFonts w:ascii="宋体" w:hAnsi="宋体" w:cs="宋体"/>
          <w:bCs/>
          <w:sz w:val="24"/>
          <w:highlight w:val="none"/>
        </w:rPr>
      </w:pPr>
      <w:r>
        <w:rPr>
          <w:rFonts w:hint="eastAsia" w:ascii="宋体" w:hAnsi="宋体" w:cs="宋体"/>
          <w:b/>
          <w:sz w:val="24"/>
          <w:highlight w:val="none"/>
        </w:rPr>
        <w:t>项目名称：</w:t>
      </w:r>
      <w:r>
        <w:rPr>
          <w:rFonts w:hint="eastAsia" w:ascii="宋体" w:hAnsi="宋体" w:cs="宋体"/>
          <w:bCs/>
          <w:sz w:val="24"/>
          <w:highlight w:val="none"/>
        </w:rPr>
        <w:t>浙江工商职业技术学院</w:t>
      </w:r>
      <w:r>
        <w:rPr>
          <w:rFonts w:hint="eastAsia" w:ascii="宋体" w:hAnsi="宋体" w:cs="宋体"/>
          <w:bCs/>
          <w:sz w:val="24"/>
          <w:highlight w:val="none"/>
          <w:lang w:eastAsia="zh-CN"/>
        </w:rPr>
        <w:t>数字媒体技术专业国家级课程资源库建设项目</w:t>
      </w:r>
    </w:p>
    <w:p>
      <w:pPr>
        <w:spacing w:line="360" w:lineRule="auto"/>
        <w:rPr>
          <w:rFonts w:ascii="宋体" w:hAnsi="宋体" w:cs="宋体"/>
          <w:sz w:val="24"/>
          <w:highlight w:val="none"/>
        </w:rPr>
      </w:pPr>
      <w:r>
        <w:rPr>
          <w:rFonts w:hint="eastAsia" w:ascii="宋体" w:hAnsi="宋体" w:cs="宋体"/>
          <w:b/>
          <w:sz w:val="24"/>
          <w:highlight w:val="none"/>
        </w:rPr>
        <w:t>预算金额（元）：</w:t>
      </w:r>
      <w:r>
        <w:rPr>
          <w:rFonts w:hint="eastAsia" w:ascii="宋体" w:hAnsi="宋体" w:cs="宋体"/>
          <w:bCs/>
          <w:sz w:val="24"/>
          <w:highlight w:val="none"/>
        </w:rPr>
        <w:t>400000</w:t>
      </w:r>
    </w:p>
    <w:p>
      <w:pPr>
        <w:spacing w:line="360" w:lineRule="auto"/>
        <w:rPr>
          <w:rFonts w:ascii="宋体" w:hAnsi="宋体" w:cs="宋体"/>
          <w:sz w:val="24"/>
          <w:highlight w:val="none"/>
        </w:rPr>
      </w:pPr>
      <w:r>
        <w:rPr>
          <w:rFonts w:hint="eastAsia" w:ascii="宋体" w:hAnsi="宋体" w:cs="宋体"/>
          <w:b/>
          <w:sz w:val="24"/>
          <w:highlight w:val="none"/>
        </w:rPr>
        <w:t>最高限价（元）：</w:t>
      </w:r>
    </w:p>
    <w:p>
      <w:pPr>
        <w:spacing w:line="360" w:lineRule="auto"/>
        <w:ind w:firstLine="480"/>
        <w:rPr>
          <w:rFonts w:ascii="宋体" w:hAnsi="宋体" w:cs="宋体"/>
          <w:b/>
          <w:sz w:val="24"/>
          <w:highlight w:val="none"/>
        </w:rPr>
      </w:pPr>
      <w:r>
        <w:rPr>
          <w:rFonts w:hint="eastAsia" w:ascii="宋体" w:hAnsi="宋体" w:cs="宋体"/>
          <w:b/>
          <w:sz w:val="24"/>
          <w:highlight w:val="none"/>
        </w:rPr>
        <w:t>采购需求：</w:t>
      </w:r>
    </w:p>
    <w:p>
      <w:pPr>
        <w:spacing w:line="360" w:lineRule="auto"/>
        <w:ind w:firstLine="720"/>
        <w:rPr>
          <w:rFonts w:ascii="宋体" w:hAnsi="宋体" w:cs="宋体"/>
          <w:bCs/>
          <w:sz w:val="24"/>
          <w:highlight w:val="none"/>
        </w:rPr>
      </w:pPr>
      <w:r>
        <w:rPr>
          <w:rFonts w:hint="eastAsia" w:ascii="宋体" w:hAnsi="宋体" w:cs="宋体"/>
          <w:bCs/>
          <w:sz w:val="24"/>
          <w:highlight w:val="none"/>
        </w:rPr>
        <w:t>标项名称:</w:t>
      </w:r>
      <w:r>
        <w:rPr>
          <w:rFonts w:hint="eastAsia" w:ascii="宋体" w:hAnsi="宋体" w:cs="宋体"/>
          <w:bCs/>
          <w:sz w:val="24"/>
          <w:highlight w:val="none"/>
          <w:lang w:eastAsia="zh-CN"/>
        </w:rPr>
        <w:t>数字媒体技术专业国家级课程资源库建设</w:t>
      </w:r>
      <w:r>
        <w:rPr>
          <w:rFonts w:hint="eastAsia" w:ascii="宋体" w:hAnsi="宋体" w:cs="宋体"/>
          <w:bCs/>
          <w:sz w:val="24"/>
          <w:highlight w:val="none"/>
        </w:rPr>
        <w:t> </w:t>
      </w:r>
      <w:r>
        <w:rPr>
          <w:rFonts w:hint="eastAsia" w:ascii="宋体" w:hAnsi="宋体" w:cs="宋体"/>
          <w:bCs/>
          <w:sz w:val="24"/>
          <w:highlight w:val="none"/>
        </w:rPr>
        <w:br w:type="textWrapping"/>
      </w:r>
      <w:r>
        <w:rPr>
          <w:rFonts w:hint="eastAsia" w:ascii="宋体" w:hAnsi="宋体" w:cs="宋体"/>
          <w:bCs/>
          <w:sz w:val="24"/>
          <w:highlight w:val="none"/>
        </w:rPr>
        <w:t>    数量: 1  </w:t>
      </w:r>
      <w:r>
        <w:rPr>
          <w:rFonts w:hint="eastAsia" w:ascii="宋体" w:hAnsi="宋体" w:cs="宋体"/>
          <w:bCs/>
          <w:sz w:val="24"/>
          <w:highlight w:val="none"/>
        </w:rPr>
        <w:br w:type="textWrapping"/>
      </w:r>
      <w:r>
        <w:rPr>
          <w:rFonts w:hint="eastAsia" w:ascii="宋体" w:hAnsi="宋体" w:cs="宋体"/>
          <w:bCs/>
          <w:sz w:val="24"/>
          <w:highlight w:val="none"/>
        </w:rPr>
        <w:t>    预算金额（元）:400000</w:t>
      </w:r>
      <w:r>
        <w:rPr>
          <w:rFonts w:hint="eastAsia" w:ascii="宋体" w:hAnsi="宋体" w:cs="宋体"/>
          <w:bCs/>
          <w:sz w:val="24"/>
          <w:highlight w:val="none"/>
        </w:rPr>
        <w:br w:type="textWrapping"/>
      </w:r>
      <w:r>
        <w:rPr>
          <w:rFonts w:hint="eastAsia" w:ascii="宋体" w:hAnsi="宋体" w:cs="宋体"/>
          <w:bCs/>
          <w:sz w:val="24"/>
          <w:highlight w:val="none"/>
        </w:rPr>
        <w:t>    简要规格描述或项目基本概况介绍、用途：详见“第三部分  采购需求”。 </w:t>
      </w:r>
      <w:r>
        <w:rPr>
          <w:rFonts w:hint="eastAsia" w:ascii="宋体" w:hAnsi="宋体" w:cs="宋体"/>
          <w:bCs/>
          <w:sz w:val="24"/>
          <w:highlight w:val="none"/>
        </w:rPr>
        <w:br w:type="textWrapping"/>
      </w:r>
      <w:r>
        <w:rPr>
          <w:rFonts w:hint="eastAsia" w:ascii="宋体" w:hAnsi="宋体" w:cs="宋体"/>
          <w:bCs/>
          <w:sz w:val="24"/>
          <w:highlight w:val="none"/>
        </w:rPr>
        <w:t>    备注：/ </w:t>
      </w:r>
    </w:p>
    <w:p>
      <w:pPr>
        <w:spacing w:line="360" w:lineRule="auto"/>
        <w:ind w:firstLine="720"/>
        <w:rPr>
          <w:rFonts w:ascii="宋体" w:hAnsi="宋体" w:cs="宋体"/>
          <w:bCs/>
          <w:sz w:val="24"/>
          <w:highlight w:val="none"/>
        </w:rPr>
      </w:pPr>
      <w:r>
        <w:rPr>
          <w:rFonts w:hint="eastAsia" w:ascii="宋体" w:hAnsi="宋体" w:cs="宋体"/>
          <w:bCs/>
          <w:sz w:val="24"/>
          <w:highlight w:val="none"/>
        </w:rPr>
        <w:t>合同履约期限：标项1，合同签订后，2025年10月30日前完成交付每门课程300分钟课程拍摄与制作，2026年8月30日前完成交付每门课程600分钟课程数字人录制与制作。</w:t>
      </w:r>
    </w:p>
    <w:p>
      <w:pPr>
        <w:spacing w:line="360" w:lineRule="auto"/>
        <w:rPr>
          <w:rFonts w:ascii="宋体" w:hAnsi="宋体" w:cs="宋体"/>
          <w:bCs/>
          <w:sz w:val="24"/>
          <w:highlight w:val="none"/>
        </w:rPr>
      </w:pPr>
      <w:r>
        <w:rPr>
          <w:rFonts w:hint="eastAsia" w:ascii="宋体" w:hAnsi="宋体" w:cs="宋体"/>
          <w:bCs/>
          <w:sz w:val="24"/>
          <w:highlight w:val="none"/>
        </w:rPr>
        <w:t>    本项目（否）接受联合体投标。</w:t>
      </w:r>
    </w:p>
    <w:p>
      <w:pPr>
        <w:spacing w:line="360" w:lineRule="auto"/>
        <w:rPr>
          <w:rFonts w:ascii="宋体" w:hAnsi="宋体" w:cs="宋体"/>
          <w:b/>
          <w:sz w:val="24"/>
          <w:highlight w:val="none"/>
        </w:rPr>
      </w:pPr>
      <w:r>
        <w:rPr>
          <w:rFonts w:hint="eastAsia" w:ascii="宋体" w:hAnsi="宋体" w:cs="宋体"/>
          <w:b/>
          <w:sz w:val="24"/>
          <w:highlight w:val="none"/>
        </w:rPr>
        <w:t>二、</w:t>
      </w:r>
      <w:bookmarkStart w:id="12" w:name="_Hlk101132948"/>
      <w:r>
        <w:rPr>
          <w:rFonts w:hint="eastAsia" w:ascii="宋体" w:hAnsi="宋体" w:cs="宋体"/>
          <w:b/>
          <w:sz w:val="24"/>
          <w:highlight w:val="none"/>
        </w:rPr>
        <w:t>申请人的资格要求</w:t>
      </w:r>
      <w:bookmarkEnd w:id="12"/>
      <w:r>
        <w:rPr>
          <w:rFonts w:hint="eastAsia" w:ascii="宋体" w:hAnsi="宋体" w:cs="宋体"/>
          <w:b/>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2.落实政府采购政策需满足的资格要求：本项目专门面向中小企业采购。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3.本项目的特定资格要求：无</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u w:val="single"/>
        </w:rPr>
        <w:t>/</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6</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2025年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0分</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0分</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sz w:val="24"/>
          <w:highlight w:val="none"/>
        </w:rPr>
        <w:br w:type="textWrapping"/>
      </w:r>
      <w:r>
        <w:rPr>
          <w:rFonts w:hint="eastAsia" w:ascii="宋体" w:hAnsi="宋体" w:cs="宋体"/>
          <w:sz w:val="24"/>
          <w:highlight w:val="none"/>
        </w:rPr>
        <w:t>    4.其他事项：（1）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s="宋体"/>
          <w:sz w:val="24"/>
          <w:highlight w:val="none"/>
        </w:rPr>
        <w:br w:type="textWrapping"/>
      </w:r>
      <w:r>
        <w:rPr>
          <w:rFonts w:hint="eastAsia" w:ascii="宋体" w:hAnsi="宋体" w:cs="宋体"/>
          <w:sz w:val="24"/>
          <w:highlight w:val="none"/>
        </w:rPr>
        <w:t>（2）本项目采取电子招投标，电子招投标有关事项说明：</w:t>
      </w:r>
      <w:r>
        <w:rPr>
          <w:rFonts w:hint="eastAsia" w:ascii="宋体" w:hAnsi="宋体" w:cs="宋体"/>
          <w:sz w:val="24"/>
          <w:highlight w:val="none"/>
        </w:rPr>
        <w:br w:type="textWrapping"/>
      </w:r>
      <w:r>
        <w:rPr>
          <w:rFonts w:hint="eastAsia" w:ascii="宋体" w:hAnsi="宋体" w:cs="宋体"/>
          <w:sz w:val="24"/>
          <w:highlight w:val="none"/>
        </w:rPr>
        <w:t>A.本项目通过“浙江政府采购网（http://zfcg.czt.zj.gov.cn）”实行电子投标，供应商须安装客户端软件，并按照招标文件和电子交易平台的要求制作投标文件。</w:t>
      </w:r>
      <w:r>
        <w:rPr>
          <w:rFonts w:hint="eastAsia" w:ascii="宋体" w:hAnsi="宋体" w:cs="宋体"/>
          <w:sz w:val="24"/>
          <w:highlight w:val="none"/>
        </w:rPr>
        <w:br w:type="textWrapping"/>
      </w:r>
      <w:r>
        <w:rPr>
          <w:rFonts w:hint="eastAsia" w:ascii="宋体" w:hAnsi="宋体" w:cs="宋体"/>
          <w:sz w:val="24"/>
          <w:highlight w:val="none"/>
        </w:rPr>
        <w:t>客户端软件下载方式：供应商可通过“浙江政府采购网-下载专区-电子交易客户端”进行下载。</w:t>
      </w:r>
      <w:r>
        <w:rPr>
          <w:rFonts w:hint="eastAsia" w:ascii="宋体" w:hAnsi="宋体" w:cs="宋体"/>
          <w:sz w:val="24"/>
          <w:highlight w:val="none"/>
        </w:rPr>
        <w:br w:type="textWrapping"/>
      </w:r>
      <w:r>
        <w:rPr>
          <w:rFonts w:hint="eastAsia" w:ascii="宋体" w:hAnsi="宋体" w:cs="宋体"/>
          <w:sz w:val="24"/>
          <w:highlight w:val="none"/>
        </w:rPr>
        <w:t>B.供应商须申领CA，并在浙江政府采购网完成绑定方可进行投标文件的编制，CA相关操作可参考“浙江政府采购网-下载专区-电子交易客户端-CA驱动和申领流程”。</w:t>
      </w:r>
      <w:r>
        <w:rPr>
          <w:rFonts w:hint="eastAsia" w:ascii="宋体" w:hAnsi="宋体" w:cs="宋体"/>
          <w:sz w:val="24"/>
          <w:highlight w:val="none"/>
        </w:rPr>
        <w:br w:type="textWrapping"/>
      </w:r>
      <w:r>
        <w:rPr>
          <w:rFonts w:hint="eastAsia" w:ascii="宋体" w:hAnsi="宋体" w:cs="宋体"/>
          <w:sz w:val="24"/>
          <w:highlight w:val="none"/>
        </w:rPr>
        <w:t>（3）单位负责人为同一人或者存在直接控股、管理关系的不同供应商，不得同时参加同一合同项下的投标。</w:t>
      </w:r>
      <w:r>
        <w:rPr>
          <w:rFonts w:hint="eastAsia" w:ascii="宋体" w:hAnsi="宋体" w:cs="宋体"/>
          <w:sz w:val="24"/>
          <w:highlight w:val="none"/>
        </w:rPr>
        <w:br w:type="textWrapping"/>
      </w:r>
      <w:r>
        <w:rPr>
          <w:rFonts w:hint="eastAsia" w:ascii="宋体" w:hAnsi="宋体" w:cs="宋体"/>
          <w:sz w:val="24"/>
          <w:highlight w:val="none"/>
        </w:rPr>
        <w:t>（4）为项目提供整体设计、规范编制或者项目管理、监理、检测等服务的供应商，不得参加该项目的投标</w:t>
      </w:r>
      <w:r>
        <w:rPr>
          <w:rFonts w:hint="eastAsia" w:ascii="宋体" w:hAnsi="宋体" w:cs="宋体"/>
          <w:sz w:val="24"/>
          <w:highlight w:val="none"/>
        </w:rPr>
        <w:br w:type="textWrapping"/>
      </w:r>
      <w:r>
        <w:rPr>
          <w:rFonts w:hint="eastAsia" w:ascii="宋体" w:hAnsi="宋体" w:cs="宋体"/>
          <w:sz w:val="24"/>
          <w:highlight w:val="none"/>
        </w:rPr>
        <w:t>（5）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 </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名    称：浙江工商职业技术学院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地址：宁波市机场路1988号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项目联系人（询问）：韩老师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联系方式（询问）：0574-87422346</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项目质疑联系人：陈老师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联系电话：0574-87422200</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称：浙江致信招标代理有限公司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址：宁波市鄞州区紫诚路清华宁波科创园2号楼11层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业务联系人：毛</w:t>
      </w:r>
      <w:r>
        <w:rPr>
          <w:rFonts w:hint="eastAsia" w:ascii="宋体" w:hAnsi="宋体" w:cs="宋体"/>
          <w:sz w:val="24"/>
          <w:highlight w:val="none"/>
          <w:lang w:eastAsia="zh-CN"/>
        </w:rPr>
        <w:t>工</w:t>
      </w:r>
      <w:r>
        <w:rPr>
          <w:rFonts w:hint="eastAsia" w:ascii="宋体" w:hAnsi="宋体" w:cs="宋体"/>
          <w:sz w:val="24"/>
          <w:highlight w:val="none"/>
        </w:rPr>
        <w:t>、徐锦峰、俞磊、张小燕、朱梅黎、沈诗佳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联系电话：0574-63816102,15258368500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传    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质疑联系人：尤依婷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联系电话：0571-88026807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网站系统问题咨询：注册、账号等，4008817190</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3.该项目由采购人处理采购争议。质疑环节，采购人委托采购代理机构处理的，可由采购代理机构答复。对质疑答复不满意的，向采购人内部设置的采购监督机构反映。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政策咨询：何一平、冯华，0571-87058424、87055741</w:t>
      </w:r>
    </w:p>
    <w:p>
      <w:pPr>
        <w:spacing w:line="360" w:lineRule="auto"/>
        <w:ind w:firstLine="480" w:firstLineChars="200"/>
        <w:rPr>
          <w:highlight w:val="none"/>
        </w:rPr>
      </w:pPr>
      <w:r>
        <w:rPr>
          <w:rFonts w:hint="eastAsia" w:ascii="宋体" w:hAnsi="宋体" w:cs="宋体"/>
          <w:sz w:val="24"/>
          <w:highlight w:val="none"/>
        </w:rPr>
        <w:t>预算金额未达100万元的采购项目，由采购人处理采购争议。</w:t>
      </w:r>
      <w:r>
        <w:rPr>
          <w:rFonts w:hint="eastAsia" w:ascii="宋体" w:hAnsi="宋体" w:cs="宋体"/>
          <w:sz w:val="24"/>
          <w:highlight w:val="none"/>
        </w:rPr>
        <w:br w:type="textWrapping"/>
      </w:r>
      <w:r>
        <w:rPr>
          <w:rFonts w:hint="eastAsia" w:ascii="仿宋" w:hAnsi="仿宋" w:eastAsia="仿宋" w:cs="仿宋"/>
          <w:sz w:val="27"/>
          <w:szCs w:val="27"/>
          <w:highlight w:val="none"/>
        </w:rPr>
        <w:t>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34"/>
        <w:spacing w:line="360" w:lineRule="auto"/>
        <w:rPr>
          <w:rFonts w:hAnsi="宋体" w:cs="宋体"/>
          <w:b/>
          <w:sz w:val="36"/>
          <w:szCs w:val="20"/>
          <w:highlight w:val="none"/>
        </w:rPr>
      </w:pPr>
    </w:p>
    <w:p>
      <w:pPr>
        <w:pStyle w:val="3"/>
        <w:rPr>
          <w:rFonts w:ascii="宋体" w:hAnsi="宋体" w:eastAsia="宋体" w:cs="宋体"/>
          <w:snapToGrid w:val="0"/>
          <w:highlight w:val="none"/>
        </w:rPr>
      </w:pPr>
      <w:r>
        <w:rPr>
          <w:rFonts w:hint="eastAsia" w:ascii="宋体" w:hAnsi="宋体" w:eastAsia="宋体" w:cs="宋体"/>
          <w:highlight w:val="none"/>
        </w:rPr>
        <w:br w:type="page"/>
      </w:r>
    </w:p>
    <w:p>
      <w:pPr>
        <w:adjustRightInd/>
        <w:spacing w:line="360" w:lineRule="auto"/>
        <w:jc w:val="center"/>
        <w:outlineLvl w:val="0"/>
        <w:rPr>
          <w:rFonts w:ascii="宋体" w:hAnsi="宋体" w:cs="宋体"/>
          <w:b/>
          <w:sz w:val="36"/>
          <w:szCs w:val="20"/>
          <w:highlight w:val="none"/>
        </w:rPr>
      </w:pPr>
      <w:bookmarkStart w:id="13" w:name="_Toc4678"/>
      <w:r>
        <w:rPr>
          <w:rFonts w:hint="eastAsia" w:ascii="宋体" w:hAnsi="宋体" w:cs="宋体"/>
          <w:b/>
          <w:sz w:val="36"/>
          <w:szCs w:val="20"/>
          <w:highlight w:val="none"/>
        </w:rPr>
        <w:t>第二部分</w:t>
      </w:r>
      <w:bookmarkEnd w:id="9"/>
      <w:r>
        <w:rPr>
          <w:rFonts w:hint="eastAsia" w:ascii="宋体" w:hAnsi="宋体" w:cs="宋体"/>
          <w:b/>
          <w:sz w:val="36"/>
          <w:szCs w:val="20"/>
          <w:highlight w:val="none"/>
        </w:rPr>
        <w:t xml:space="preserve"> 投标人须知</w:t>
      </w:r>
      <w:bookmarkEnd w:id="10"/>
      <w:bookmarkEnd w:id="13"/>
    </w:p>
    <w:p>
      <w:pPr>
        <w:adjustRightInd/>
        <w:spacing w:line="360" w:lineRule="auto"/>
        <w:ind w:firstLine="3845" w:firstLineChars="1197"/>
        <w:outlineLvl w:val="0"/>
        <w:rPr>
          <w:rFonts w:ascii="宋体" w:hAnsi="宋体" w:cs="宋体"/>
          <w:b/>
          <w:sz w:val="32"/>
          <w:szCs w:val="20"/>
          <w:highlight w:val="none"/>
        </w:rPr>
      </w:pPr>
      <w:bookmarkStart w:id="14" w:name="_Toc31047"/>
      <w:r>
        <w:rPr>
          <w:rFonts w:hint="eastAsia" w:ascii="宋体" w:hAnsi="宋体" w:cs="宋体"/>
          <w:b/>
          <w:sz w:val="32"/>
          <w:szCs w:val="20"/>
          <w:highlight w:val="none"/>
        </w:rPr>
        <w:t>前附表</w:t>
      </w:r>
      <w:bookmarkEnd w:id="14"/>
    </w:p>
    <w:tbl>
      <w:tblPr>
        <w:tblStyle w:val="73"/>
        <w:tblW w:w="929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highlight w:val="none"/>
              </w:rPr>
            </w:pPr>
            <w:r>
              <w:rPr>
                <w:rFonts w:hint="eastAsia" w:ascii="宋体" w:hAnsi="宋体" w:cs="宋体"/>
                <w:kern w:val="0"/>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823" w:type="dxa"/>
            <w:tcBorders>
              <w:top w:val="single" w:color="000000" w:sz="8" w:space="0"/>
              <w:left w:val="single" w:color="000000" w:sz="2" w:space="0"/>
              <w:bottom w:val="single" w:color="000000" w:sz="8" w:space="0"/>
              <w:right w:val="single" w:color="000000" w:sz="8" w:space="0"/>
            </w:tcBorders>
            <w:vAlign w:val="center"/>
          </w:tcPr>
          <w:p>
            <w:pPr>
              <w:widowControl/>
              <w:jc w:val="left"/>
              <w:textAlignment w:val="center"/>
              <w:rPr>
                <w:rFonts w:ascii="宋体" w:hAnsi="宋体" w:cs="宋体"/>
                <w:highlight w:val="none"/>
              </w:rPr>
            </w:pPr>
            <w:r>
              <w:rPr>
                <w:rFonts w:hint="eastAsia" w:ascii="宋体" w:hAnsi="宋体" w:cs="宋体"/>
                <w:kern w:val="0"/>
                <w:sz w:val="24"/>
                <w:highlight w:val="none"/>
              </w:rPr>
              <w:t>标的：</w:t>
            </w:r>
            <w:r>
              <w:rPr>
                <w:rFonts w:hint="eastAsia" w:ascii="宋体" w:hAnsi="宋体" w:cs="宋体"/>
                <w:kern w:val="0"/>
                <w:sz w:val="24"/>
                <w:highlight w:val="none"/>
                <w:u w:val="single"/>
                <w:lang w:eastAsia="zh-CN"/>
              </w:rPr>
              <w:t>数字媒体技术专业国家级课程资源库建设项目</w:t>
            </w:r>
            <w:r>
              <w:rPr>
                <w:rFonts w:hint="eastAsia" w:ascii="宋体" w:hAnsi="宋体" w:cs="宋体"/>
                <w:kern w:val="0"/>
                <w:sz w:val="24"/>
                <w:highlight w:val="none"/>
              </w:rPr>
              <w:t>，属于</w:t>
            </w:r>
            <w:r>
              <w:rPr>
                <w:rFonts w:hint="eastAsia" w:ascii="宋体" w:hAnsi="宋体" w:cs="宋体"/>
                <w:kern w:val="0"/>
                <w:sz w:val="24"/>
                <w:highlight w:val="none"/>
                <w:u w:val="single"/>
              </w:rPr>
              <w:t>软件和信息技术服务业</w:t>
            </w:r>
            <w:r>
              <w:rPr>
                <w:rFonts w:hint="eastAsia" w:ascii="宋体" w:hAnsi="宋体" w:cs="宋体"/>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r>
              <w:rPr>
                <w:rFonts w:hint="eastAsia" w:ascii="宋体" w:hAnsi="宋体" w:cs="宋体"/>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kern w:val="0"/>
                <w:sz w:val="24"/>
                <w:highlight w:val="none"/>
              </w:rPr>
              <w:t>☐ A</w:t>
            </w:r>
            <w:r>
              <w:rPr>
                <w:rFonts w:hint="eastAsia" w:ascii="宋体" w:hAnsi="宋体" w:cs="宋体"/>
                <w:sz w:val="24"/>
                <w:highlight w:val="none"/>
              </w:rPr>
              <w:t>同意将非主体、非关键性的工作分包。</w:t>
            </w:r>
          </w:p>
          <w:p>
            <w:pPr>
              <w:spacing w:line="360" w:lineRule="auto"/>
              <w:rPr>
                <w:rFonts w:ascii="宋体" w:hAnsi="宋体" w:cs="宋体"/>
                <w:sz w:val="24"/>
                <w:highlight w:val="none"/>
              </w:rPr>
            </w:pPr>
            <w:r>
              <w:rPr>
                <w:rFonts w:ascii="Wingdings" w:hAnsi="Wingdings" w:cs="宋体"/>
                <w:kern w:val="0"/>
                <w:sz w:val="24"/>
                <w:highlight w:val="none"/>
              </w:rPr>
              <w:t></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时间：,地点：，联系人：，联系方式：</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ascii="Wingdings" w:hAnsi="Wingdings"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b/>
                <w:sz w:val="24"/>
                <w:highlight w:val="none"/>
              </w:rPr>
            </w:pPr>
            <w:r>
              <w:rPr>
                <w:rFonts w:hint="eastAsia" w:ascii="宋体" w:hAnsi="宋体" w:cs="宋体"/>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kern w:val="0"/>
                <w:sz w:val="24"/>
                <w:highlight w:val="none"/>
              </w:rPr>
              <w:t>☐A</w:t>
            </w:r>
            <w:r>
              <w:rPr>
                <w:rFonts w:hint="eastAsia" w:ascii="宋体" w:hAnsi="宋体" w:cs="宋体"/>
                <w:sz w:val="24"/>
                <w:highlight w:val="none"/>
              </w:rPr>
              <w:t>不组织。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（1）在评审时安排每个供应商进行视频演示。每个供应商时间不超过</w:t>
            </w:r>
            <w:r>
              <w:rPr>
                <w:rFonts w:hint="eastAsia" w:ascii="宋体" w:hAnsi="宋体" w:cs="宋体"/>
                <w:kern w:val="0"/>
                <w:sz w:val="24"/>
                <w:highlight w:val="none"/>
                <w:u w:val="single"/>
              </w:rPr>
              <w:t>5</w:t>
            </w:r>
            <w:r>
              <w:rPr>
                <w:rFonts w:hint="eastAsia" w:ascii="宋体" w:hAnsi="宋体" w:cs="宋体"/>
                <w:kern w:val="0"/>
                <w:sz w:val="24"/>
                <w:highlight w:val="none"/>
              </w:rPr>
              <w:t>分钟，演示以响应文件解密时间先后次序为准，演示内容详见评分标准。</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（2）演示方式：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系统演示及讲解过程录制视频，该录制视频演示时长不超过5分钟以mp4格式存储于U盘。演示视频可以EMS或顺丰邮寄形式在投标截止时间前递交：</w:t>
            </w:r>
            <w:r>
              <w:rPr>
                <w:rFonts w:hint="eastAsia" w:ascii="宋体" w:hAnsi="宋体" w:cs="宋体"/>
                <w:kern w:val="0"/>
                <w:sz w:val="24"/>
                <w:highlight w:val="none"/>
                <w:u w:val="single"/>
              </w:rPr>
              <w:t>宁波市翠柏路89号宁波工程学院公共培训平台大楼A座1112室</w:t>
            </w:r>
            <w:r>
              <w:rPr>
                <w:rFonts w:hint="eastAsia" w:ascii="宋体" w:hAnsi="宋体" w:cs="宋体"/>
                <w:kern w:val="0"/>
                <w:sz w:val="24"/>
                <w:highlight w:val="none"/>
              </w:rPr>
              <w:t>。</w:t>
            </w:r>
          </w:p>
          <w:p>
            <w:pPr>
              <w:spacing w:line="360" w:lineRule="auto"/>
              <w:rPr>
                <w:rFonts w:ascii="宋体" w:hAnsi="宋体" w:cs="宋体"/>
                <w:b/>
                <w:kern w:val="0"/>
                <w:sz w:val="24"/>
                <w:highlight w:val="none"/>
                <w:lang w:val="zh-CN"/>
              </w:rPr>
            </w:pPr>
            <w:r>
              <w:rPr>
                <w:rFonts w:hint="eastAsia" w:ascii="宋体" w:hAnsi="宋体" w:cs="宋体"/>
                <w:b/>
                <w:bCs/>
                <w:kern w:val="0"/>
                <w:sz w:val="24"/>
                <w:highlight w:val="none"/>
              </w:rPr>
              <w:t>注：因供应商自身原因导致无法演示或者演示效果不理想的，责任自负。</w:t>
            </w:r>
            <w:r>
              <w:rPr>
                <w:rFonts w:hint="eastAsia" w:ascii="宋体" w:hAnsi="宋体" w:cs="Helvetica"/>
                <w:b/>
                <w:bCs/>
                <w:kern w:val="0"/>
                <w:sz w:val="24"/>
                <w:highlight w:val="none"/>
              </w:rPr>
              <w:t>未提供演示，投标无效。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82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82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highlight w:val="none"/>
              </w:rPr>
              <w:t>;</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投标文件形式</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本项目实行电子投标。</w:t>
            </w:r>
          </w:p>
          <w:p>
            <w:pPr>
              <w:spacing w:line="360" w:lineRule="auto"/>
              <w:rPr>
                <w:rFonts w:ascii="宋体" w:hAnsi="宋体" w:cs="宋体"/>
                <w:sz w:val="24"/>
                <w:highlight w:val="none"/>
              </w:rPr>
            </w:pPr>
            <w:r>
              <w:rPr>
                <w:rFonts w:hint="eastAsia" w:ascii="宋体" w:hAnsi="宋体" w:cs="宋体"/>
                <w:sz w:val="24"/>
                <w:highlight w:val="none"/>
              </w:rPr>
              <w:t>供应商应准备三种形式的投标文件：电子加密投标文件、以介质存储的数据电文形式的备份投标文件、备份纸质投标文件。</w:t>
            </w:r>
          </w:p>
          <w:p>
            <w:pPr>
              <w:spacing w:line="360" w:lineRule="auto"/>
              <w:rPr>
                <w:rFonts w:ascii="宋体" w:hAnsi="宋体" w:cs="宋体"/>
                <w:b/>
                <w:bCs/>
                <w:sz w:val="24"/>
                <w:highlight w:val="none"/>
              </w:rPr>
            </w:pPr>
            <w:r>
              <w:rPr>
                <w:rFonts w:hint="eastAsia" w:ascii="宋体" w:hAnsi="宋体" w:cs="宋体"/>
                <w:b/>
                <w:bCs/>
                <w:sz w:val="24"/>
                <w:highlight w:val="none"/>
              </w:rPr>
              <w:t>1.“电子加密投标文件”是指通过“政采云电子交易客户端”完成投标文件编制后生成并加密的数据电文形式的投标文件（后缀格式为.jmbs）（必须提供）</w:t>
            </w:r>
          </w:p>
          <w:p>
            <w:pPr>
              <w:spacing w:line="360" w:lineRule="auto"/>
              <w:rPr>
                <w:rFonts w:ascii="宋体" w:hAnsi="宋体" w:cs="宋体"/>
                <w:sz w:val="24"/>
                <w:highlight w:val="none"/>
              </w:rPr>
            </w:pPr>
            <w:r>
              <w:rPr>
                <w:rFonts w:hint="eastAsia" w:ascii="宋体" w:hAnsi="宋体" w:cs="宋体"/>
                <w:sz w:val="24"/>
                <w:highlight w:val="none"/>
              </w:rPr>
              <w:t>2.“备份电子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不强制要求提供）</w:t>
            </w:r>
          </w:p>
          <w:p>
            <w:pPr>
              <w:spacing w:line="360" w:lineRule="auto"/>
              <w:rPr>
                <w:rFonts w:ascii="宋体" w:hAnsi="宋体" w:cs="宋体"/>
                <w:kern w:val="28"/>
                <w:sz w:val="24"/>
                <w:highlight w:val="none"/>
              </w:rPr>
            </w:pPr>
            <w:r>
              <w:rPr>
                <w:rFonts w:hint="eastAsia" w:ascii="宋体" w:hAnsi="宋体" w:cs="宋体"/>
                <w:b/>
                <w:bCs/>
                <w:sz w:val="24"/>
                <w:highlight w:val="none"/>
              </w:rPr>
              <w:t>3.“备份纸质投标文件”是指与“电子加密投标文件”一致的纸质投标文件</w:t>
            </w:r>
            <w:r>
              <w:rPr>
                <w:rFonts w:hint="eastAsia" w:ascii="宋体" w:hAnsi="宋体" w:cs="宋体"/>
                <w:b/>
                <w:bCs/>
                <w:sz w:val="24"/>
                <w:highlight w:val="none"/>
                <w:lang w:eastAsia="zh-CN"/>
              </w:rPr>
              <w:t>（正本一份）</w:t>
            </w:r>
            <w:r>
              <w:rPr>
                <w:rFonts w:hint="eastAsia" w:ascii="宋体" w:hAnsi="宋体" w:cs="宋体"/>
                <w:b/>
                <w:bCs/>
                <w:sz w:val="24"/>
                <w:highlight w:val="none"/>
              </w:rPr>
              <w:t>用于采购人存档。投标截止时间前递交至宁波市翠柏路89号宁波工程学院公共培训平台大楼A座1108室。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采购机构代理费用</w:t>
            </w:r>
          </w:p>
        </w:tc>
        <w:tc>
          <w:tcPr>
            <w:tcW w:w="6823" w:type="dxa"/>
            <w:tcBorders>
              <w:top w:val="single" w:color="000000" w:sz="8" w:space="0"/>
              <w:left w:val="single" w:color="000000" w:sz="2" w:space="0"/>
              <w:bottom w:val="single" w:color="000000" w:sz="8" w:space="0"/>
              <w:right w:val="single" w:color="000000" w:sz="8" w:space="0"/>
            </w:tcBorders>
          </w:tcPr>
          <w:p>
            <w:pPr>
              <w:spacing w:line="360" w:lineRule="auto"/>
              <w:rPr>
                <w:rFonts w:ascii="宋体" w:hAnsi="宋体" w:cs="宋体"/>
                <w:sz w:val="24"/>
                <w:highlight w:val="none"/>
              </w:rPr>
            </w:pPr>
            <w:r>
              <w:rPr>
                <w:rFonts w:hint="eastAsia" w:ascii="宋体" w:hAnsi="宋体" w:cs="宋体"/>
                <w:sz w:val="24"/>
                <w:highlight w:val="none"/>
              </w:rPr>
              <w:t>1、采购代理服务以《国家发展改革委办公厅关于招标代理服务收费有关问题的通知》（发改价格[2011]534号）规定的收费标准的50%向中标（成交）供应商收取。若采购项目的采购代理服务费不足3500元的，统一按3500元计。</w:t>
            </w:r>
          </w:p>
          <w:p>
            <w:pPr>
              <w:spacing w:line="360" w:lineRule="auto"/>
              <w:rPr>
                <w:rFonts w:ascii="宋体" w:hAnsi="宋体" w:cs="宋体"/>
                <w:sz w:val="24"/>
                <w:highlight w:val="none"/>
              </w:rPr>
            </w:pPr>
            <w:r>
              <w:rPr>
                <w:rFonts w:hint="eastAsia" w:ascii="宋体" w:hAnsi="宋体" w:cs="宋体"/>
                <w:sz w:val="24"/>
                <w:highlight w:val="none"/>
              </w:rPr>
              <w:t>2、中标人在领取中标通知书后应向招标代理机构交纳招标代理服务费,若未按上述规定办理，需承担招标代理机构为实现债权的所有费用（包括但不限于律师费、催讨车旅费、保全担保费等）。</w:t>
            </w:r>
          </w:p>
          <w:p>
            <w:pPr>
              <w:spacing w:line="360" w:lineRule="auto"/>
              <w:rPr>
                <w:rFonts w:ascii="宋体" w:hAnsi="宋体" w:cs="宋体"/>
                <w:sz w:val="24"/>
                <w:highlight w:val="none"/>
              </w:rPr>
            </w:pPr>
            <w:r>
              <w:rPr>
                <w:rFonts w:hint="eastAsia" w:ascii="宋体" w:hAnsi="宋体" w:cs="宋体"/>
                <w:sz w:val="24"/>
                <w:highlight w:val="none"/>
              </w:rPr>
              <w:t>3、招标代理服务费以现金或电汇方式支付。</w:t>
            </w:r>
          </w:p>
          <w:p>
            <w:pPr>
              <w:spacing w:line="360" w:lineRule="auto"/>
              <w:rPr>
                <w:rFonts w:hint="eastAsia" w:ascii="宋体" w:hAnsi="宋体" w:cs="宋体"/>
                <w:kern w:val="28"/>
                <w:sz w:val="24"/>
                <w:highlight w:val="none"/>
              </w:rPr>
            </w:pPr>
            <w:r>
              <w:rPr>
                <w:rFonts w:hint="eastAsia" w:ascii="宋体" w:hAnsi="宋体" w:cs="宋体"/>
                <w:kern w:val="28"/>
                <w:sz w:val="24"/>
                <w:highlight w:val="none"/>
              </w:rPr>
              <w:t>户名：浙江致信招标代理有限公司嘉兴分公司</w:t>
            </w:r>
          </w:p>
          <w:p>
            <w:pPr>
              <w:spacing w:line="360" w:lineRule="auto"/>
              <w:rPr>
                <w:rFonts w:hint="eastAsia" w:ascii="宋体" w:hAnsi="宋体" w:cs="宋体"/>
                <w:kern w:val="28"/>
                <w:sz w:val="24"/>
                <w:highlight w:val="none"/>
              </w:rPr>
            </w:pPr>
            <w:r>
              <w:rPr>
                <w:rFonts w:hint="eastAsia" w:ascii="宋体" w:hAnsi="宋体" w:cs="宋体"/>
                <w:kern w:val="28"/>
                <w:sz w:val="24"/>
                <w:highlight w:val="none"/>
              </w:rPr>
              <w:t>账号：3301041060004497230</w:t>
            </w:r>
          </w:p>
          <w:p>
            <w:pPr>
              <w:spacing w:line="360" w:lineRule="auto"/>
              <w:rPr>
                <w:rFonts w:ascii="宋体" w:hAnsi="宋体" w:cs="宋体"/>
                <w:kern w:val="28"/>
                <w:sz w:val="24"/>
                <w:highlight w:val="none"/>
              </w:rPr>
            </w:pPr>
            <w:r>
              <w:rPr>
                <w:rFonts w:hint="eastAsia" w:ascii="宋体" w:hAnsi="宋体" w:cs="宋体"/>
                <w:kern w:val="28"/>
                <w:sz w:val="24"/>
                <w:highlight w:val="none"/>
              </w:rPr>
              <w:t>开户行：杭州银行四季青支行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其他</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28"/>
                <w:sz w:val="24"/>
                <w:highlight w:val="none"/>
              </w:rPr>
            </w:pPr>
            <w:r>
              <w:rPr>
                <w:rFonts w:hint="eastAsia" w:ascii="宋体" w:hAnsi="宋体" w:cs="宋体"/>
                <w:sz w:val="24"/>
                <w:highlight w:val="none"/>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ascii="宋体" w:hAnsi="宋体" w:cs="宋体"/>
          <w:b/>
          <w:sz w:val="32"/>
          <w:szCs w:val="20"/>
          <w:highlight w:val="none"/>
        </w:rPr>
      </w:pPr>
    </w:p>
    <w:bookmarkEnd w:id="11"/>
    <w:p>
      <w:pPr>
        <w:adjustRightInd/>
        <w:spacing w:line="360" w:lineRule="auto"/>
        <w:ind w:firstLine="3845" w:firstLineChars="1197"/>
        <w:outlineLvl w:val="0"/>
        <w:rPr>
          <w:rFonts w:ascii="宋体" w:hAnsi="宋体" w:cs="宋体"/>
          <w:b/>
          <w:sz w:val="32"/>
          <w:szCs w:val="20"/>
          <w:highlight w:val="none"/>
        </w:rPr>
      </w:pPr>
      <w:bookmarkStart w:id="15" w:name="_Toc164416483"/>
      <w:bookmarkStart w:id="16" w:name="第三部分"/>
      <w:r>
        <w:rPr>
          <w:rFonts w:hint="eastAsia" w:ascii="宋体" w:hAnsi="宋体" w:cs="宋体"/>
          <w:b/>
          <w:sz w:val="32"/>
          <w:szCs w:val="20"/>
          <w:highlight w:val="none"/>
        </w:rPr>
        <w:br w:type="page"/>
      </w:r>
    </w:p>
    <w:p>
      <w:pPr>
        <w:adjustRightInd/>
        <w:spacing w:line="360" w:lineRule="auto"/>
        <w:ind w:firstLine="3845" w:firstLineChars="1197"/>
        <w:outlineLvl w:val="0"/>
        <w:rPr>
          <w:rFonts w:ascii="宋体" w:hAnsi="宋体" w:cs="宋体"/>
          <w:b/>
          <w:sz w:val="32"/>
          <w:szCs w:val="20"/>
          <w:highlight w:val="none"/>
        </w:rPr>
      </w:pPr>
      <w:bookmarkStart w:id="17" w:name="_Toc652"/>
      <w:r>
        <w:rPr>
          <w:rFonts w:hint="eastAsia" w:ascii="宋体" w:hAnsi="宋体" w:cs="宋体"/>
          <w:b/>
          <w:sz w:val="32"/>
          <w:szCs w:val="20"/>
          <w:highlight w:val="none"/>
        </w:rPr>
        <w:t>一、总则</w:t>
      </w:r>
      <w:bookmarkEnd w:id="17"/>
    </w:p>
    <w:p>
      <w:pPr>
        <w:snapToGrid w:val="0"/>
        <w:spacing w:line="360" w:lineRule="auto"/>
        <w:ind w:firstLine="219" w:firstLineChars="91"/>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218" w:firstLineChars="91"/>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ind w:firstLine="219" w:firstLineChars="91"/>
        <w:outlineLvl w:val="0"/>
        <w:rPr>
          <w:rFonts w:ascii="宋体" w:hAnsi="宋体" w:cs="宋体"/>
          <w:b/>
          <w:sz w:val="24"/>
          <w:highlight w:val="none"/>
        </w:rPr>
      </w:pPr>
      <w:bookmarkStart w:id="18" w:name="_Toc6039"/>
      <w:r>
        <w:rPr>
          <w:rFonts w:hint="eastAsia" w:ascii="宋体" w:hAnsi="宋体" w:cs="宋体"/>
          <w:b/>
          <w:sz w:val="24"/>
          <w:highlight w:val="none"/>
        </w:rPr>
        <w:t>2.定义</w:t>
      </w:r>
      <w:bookmarkEnd w:id="18"/>
    </w:p>
    <w:p>
      <w:pPr>
        <w:spacing w:line="360" w:lineRule="auto"/>
        <w:ind w:firstLine="218" w:firstLineChars="91"/>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218" w:firstLineChars="91"/>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pPr>
        <w:spacing w:line="360" w:lineRule="auto"/>
        <w:ind w:firstLine="218" w:firstLineChars="91"/>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218" w:firstLineChars="91"/>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218" w:firstLineChars="91"/>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w:t>
      </w:r>
    </w:p>
    <w:p>
      <w:pPr>
        <w:spacing w:line="360" w:lineRule="auto"/>
        <w:ind w:firstLine="218" w:firstLineChars="91"/>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pPr>
        <w:spacing w:line="360" w:lineRule="auto"/>
        <w:ind w:firstLine="218" w:firstLineChars="91"/>
        <w:rPr>
          <w:rFonts w:ascii="宋体" w:hAnsi="宋体" w:cs="宋体"/>
          <w:sz w:val="24"/>
          <w:highlight w:val="none"/>
        </w:rPr>
      </w:pPr>
      <w:r>
        <w:rPr>
          <w:rFonts w:hint="eastAsia" w:ascii="宋体" w:hAnsi="宋体" w:cs="宋体"/>
          <w:sz w:val="24"/>
          <w:highlight w:val="none"/>
        </w:rPr>
        <w:t>2.7 “▲” 系指实质性要求条款，“★” 系指重要技术参数，“</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sz w:val="24"/>
          <w:highlight w:val="none"/>
        </w:rPr>
        <w:t>联合协议或者分包意向协议约定小微企业的合同份额占到合同总金额30%以上的</w:t>
      </w:r>
      <w:bookmarkEnd w:id="20"/>
      <w:r>
        <w:rPr>
          <w:rFonts w:hint="eastAsia" w:ascii="宋体" w:hAnsi="宋体" w:cs="宋体"/>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pStyle w:val="890"/>
        <w:shd w:val="clear" w:color="auto" w:fill="FFFFFF"/>
        <w:snapToGrid w:val="0"/>
        <w:spacing w:before="0" w:beforeAutospacing="0" w:after="0" w:afterAutospacing="0" w:line="360" w:lineRule="auto"/>
        <w:ind w:firstLine="400"/>
        <w:contextualSpacing/>
        <w:rPr>
          <w:highlight w:val="none"/>
          <w:lang w:val="zh-CN"/>
        </w:rPr>
      </w:pPr>
      <w:r>
        <w:rPr>
          <w:rFonts w:hint="eastAsia"/>
          <w:highlight w:val="none"/>
          <w:lang w:val="zh-CN"/>
        </w:rPr>
        <w:t>4.1在线询问、质疑、投诉</w:t>
      </w:r>
    </w:p>
    <w:p>
      <w:pPr>
        <w:pStyle w:val="890"/>
        <w:shd w:val="clear" w:color="auto" w:fill="FFFFFF"/>
        <w:snapToGrid w:val="0"/>
        <w:spacing w:before="0" w:beforeAutospacing="0" w:after="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pPr>
        <w:pStyle w:val="34"/>
        <w:spacing w:line="360" w:lineRule="auto"/>
        <w:ind w:firstLine="480" w:firstLineChars="200"/>
        <w:rPr>
          <w:rFonts w:hAnsi="宋体" w:cs="宋体"/>
          <w:sz w:val="24"/>
          <w:highlight w:val="none"/>
        </w:rPr>
      </w:pPr>
      <w:r>
        <w:rPr>
          <w:rFonts w:hint="eastAsia" w:hAnsi="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hAnsi="宋体" w:cs="宋体"/>
          <w:sz w:val="24"/>
          <w:highlight w:val="none"/>
        </w:rPr>
      </w:pPr>
      <w:r>
        <w:rPr>
          <w:rFonts w:hint="eastAsia" w:hAnsi="宋体" w:cs="宋体"/>
          <w:sz w:val="24"/>
          <w:highlight w:val="none"/>
        </w:rPr>
        <w:t>质疑函范本及制作说明详见附件2。</w:t>
      </w:r>
    </w:p>
    <w:p>
      <w:pPr>
        <w:pStyle w:val="34"/>
        <w:spacing w:line="360" w:lineRule="auto"/>
        <w:ind w:firstLine="480" w:firstLineChars="200"/>
        <w:rPr>
          <w:rFonts w:hAnsi="宋体" w:cs="宋体"/>
          <w:sz w:val="24"/>
          <w:highlight w:val="none"/>
        </w:rPr>
      </w:pPr>
      <w:r>
        <w:rPr>
          <w:rFonts w:hint="eastAsia" w:hAnsi="宋体" w:cs="宋体"/>
          <w:sz w:val="24"/>
          <w:highlight w:val="none"/>
        </w:rPr>
        <w:t>4.3.4对同一采购程序环节的质疑，供应商须在法定质疑期内一次性提出。</w:t>
      </w:r>
    </w:p>
    <w:p>
      <w:pPr>
        <w:pStyle w:val="34"/>
        <w:spacing w:line="360" w:lineRule="auto"/>
        <w:ind w:firstLine="480" w:firstLineChars="200"/>
        <w:rPr>
          <w:rFonts w:hAnsi="宋体" w:cs="宋体"/>
          <w:sz w:val="24"/>
          <w:highlight w:val="none"/>
        </w:rPr>
      </w:pPr>
      <w:r>
        <w:rPr>
          <w:rFonts w:hint="eastAsia" w:hAnsi="宋体" w:cs="宋体"/>
          <w:sz w:val="24"/>
          <w:highlight w:val="none"/>
          <w:lang w:val="zh-CN"/>
        </w:rPr>
        <w:t>4.3</w:t>
      </w:r>
      <w:r>
        <w:rPr>
          <w:rFonts w:hint="eastAsia" w:hAnsi="宋体" w:cs="宋体"/>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Ansi="宋体" w:cs="宋体"/>
          <w:sz w:val="24"/>
          <w:highlight w:val="none"/>
        </w:rPr>
      </w:pPr>
      <w:r>
        <w:rPr>
          <w:rFonts w:hint="eastAsia" w:hAnsi="宋体" w:cs="宋体"/>
          <w:sz w:val="24"/>
          <w:highlight w:val="none"/>
          <w:lang w:val="zh-CN"/>
        </w:rPr>
        <w:t>4.3</w:t>
      </w:r>
      <w:r>
        <w:rPr>
          <w:rFonts w:hint="eastAsia" w:hAnsi="宋体" w:cs="宋体"/>
          <w:sz w:val="24"/>
          <w:highlight w:val="none"/>
        </w:rPr>
        <w:t>.6询问或者质疑事项可能影响采购结果的，采购人应当暂停签订合同，已经签订合同的，应当中止履行合同。</w:t>
      </w:r>
    </w:p>
    <w:p>
      <w:pPr>
        <w:pStyle w:val="34"/>
        <w:spacing w:line="360" w:lineRule="auto"/>
        <w:ind w:firstLine="480" w:firstLineChars="200"/>
        <w:rPr>
          <w:rFonts w:hAnsi="宋体" w:cs="宋体"/>
          <w:sz w:val="24"/>
          <w:highlight w:val="none"/>
          <w:lang w:val="zh-CN"/>
        </w:rPr>
      </w:pPr>
      <w:r>
        <w:rPr>
          <w:rFonts w:hint="eastAsia" w:hAnsi="宋体" w:cs="宋体"/>
          <w:sz w:val="24"/>
          <w:highlight w:val="none"/>
          <w:lang w:val="zh-CN"/>
        </w:rPr>
        <w:t>4.4供应商投诉</w:t>
      </w:r>
    </w:p>
    <w:p>
      <w:pPr>
        <w:pStyle w:val="34"/>
        <w:spacing w:line="360" w:lineRule="auto"/>
        <w:ind w:firstLine="480" w:firstLineChars="200"/>
        <w:rPr>
          <w:rFonts w:hAnsi="宋体" w:cs="宋体"/>
          <w:sz w:val="24"/>
          <w:highlight w:val="none"/>
        </w:rPr>
      </w:pPr>
      <w:r>
        <w:rPr>
          <w:rFonts w:hint="eastAsia" w:hAnsi="宋体" w:cs="宋体"/>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hAnsi="宋体" w:cs="宋体"/>
          <w:sz w:val="24"/>
          <w:highlight w:val="none"/>
        </w:rPr>
      </w:pPr>
      <w:r>
        <w:rPr>
          <w:rFonts w:hint="eastAsia" w:hAnsi="宋体" w:cs="宋体"/>
          <w:sz w:val="24"/>
          <w:highlight w:val="none"/>
        </w:rPr>
        <w:t>4.4.</w:t>
      </w:r>
      <w:r>
        <w:rPr>
          <w:rFonts w:hint="eastAsia" w:hAnsi="宋体" w:cs="宋体"/>
          <w:sz w:val="24"/>
          <w:highlight w:val="none"/>
          <w:lang w:val="zh-CN"/>
        </w:rPr>
        <w:t>2</w:t>
      </w:r>
      <w:r>
        <w:rPr>
          <w:rFonts w:hint="eastAsia" w:hAnsi="宋体" w:cs="宋体"/>
          <w:sz w:val="24"/>
          <w:highlight w:val="none"/>
        </w:rPr>
        <w:t>供应商投诉的事项不得超出已质疑事项的范围，基于质疑答复内容提出的投诉事项除外。</w:t>
      </w:r>
    </w:p>
    <w:p>
      <w:pPr>
        <w:pStyle w:val="34"/>
        <w:spacing w:line="360" w:lineRule="auto"/>
        <w:ind w:firstLine="480" w:firstLineChars="200"/>
        <w:rPr>
          <w:rFonts w:hAnsi="宋体" w:cs="宋体"/>
          <w:sz w:val="24"/>
          <w:highlight w:val="none"/>
        </w:rPr>
      </w:pPr>
      <w:r>
        <w:rPr>
          <w:rFonts w:hint="eastAsia" w:hAnsi="宋体" w:cs="宋体"/>
          <w:sz w:val="24"/>
          <w:highlight w:val="none"/>
        </w:rPr>
        <w:t>4.4.3供应商投诉应当有明确的请求和必要的证明材料。</w:t>
      </w:r>
    </w:p>
    <w:p>
      <w:pPr>
        <w:pStyle w:val="34"/>
        <w:spacing w:line="360" w:lineRule="auto"/>
        <w:ind w:firstLine="480" w:firstLineChars="200"/>
        <w:rPr>
          <w:rFonts w:hAnsi="宋体" w:cs="宋体"/>
          <w:sz w:val="24"/>
          <w:highlight w:val="none"/>
        </w:rPr>
      </w:pPr>
      <w:r>
        <w:rPr>
          <w:rFonts w:hint="eastAsia" w:hAnsi="宋体" w:cs="宋体"/>
          <w:sz w:val="24"/>
          <w:highlight w:val="none"/>
        </w:rPr>
        <w:t>4.4.4 以联合体形式参加政府采购活动的，其投诉应当由组成联合体的所有供应商共同提出。</w:t>
      </w:r>
    </w:p>
    <w:p>
      <w:pPr>
        <w:pStyle w:val="34"/>
        <w:spacing w:line="360" w:lineRule="auto"/>
        <w:ind w:firstLine="480" w:firstLineChars="200"/>
        <w:rPr>
          <w:rFonts w:hAnsi="宋体" w:cs="宋体"/>
          <w:sz w:val="24"/>
          <w:highlight w:val="none"/>
        </w:rPr>
      </w:pPr>
      <w:r>
        <w:rPr>
          <w:rFonts w:hint="eastAsia" w:hAnsi="宋体" w:cs="宋体"/>
          <w:sz w:val="24"/>
          <w:highlight w:val="none"/>
        </w:rPr>
        <w:t>投诉书范本及制作说明详见附件3。</w:t>
      </w:r>
    </w:p>
    <w:p>
      <w:pPr>
        <w:pStyle w:val="133"/>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bookmarkStart w:id="21" w:name="_Toc17110"/>
      <w:r>
        <w:rPr>
          <w:rFonts w:hint="eastAsia" w:ascii="宋体" w:hAnsi="宋体" w:cs="宋体"/>
          <w:b/>
          <w:sz w:val="32"/>
          <w:szCs w:val="20"/>
          <w:highlight w:val="none"/>
        </w:rPr>
        <w:t>二、招标文件的构成、澄清、修改</w:t>
      </w:r>
      <w:bookmarkEnd w:id="21"/>
    </w:p>
    <w:p>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33"/>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hAnsi="宋体" w:cs="宋体"/>
          <w:sz w:val="18"/>
          <w:szCs w:val="18"/>
          <w:highlight w:val="none"/>
          <w:lang w:val="en-US"/>
        </w:rPr>
      </w:pPr>
    </w:p>
    <w:p>
      <w:pPr>
        <w:adjustRightInd/>
        <w:spacing w:line="360" w:lineRule="auto"/>
        <w:jc w:val="center"/>
        <w:outlineLvl w:val="0"/>
        <w:rPr>
          <w:rFonts w:ascii="宋体" w:hAnsi="宋体" w:cs="宋体"/>
          <w:b/>
          <w:sz w:val="30"/>
          <w:szCs w:val="20"/>
          <w:highlight w:val="none"/>
        </w:rPr>
      </w:pPr>
      <w:bookmarkStart w:id="22" w:name="_Toc19239"/>
      <w:r>
        <w:rPr>
          <w:rFonts w:hint="eastAsia" w:ascii="宋体" w:hAnsi="宋体" w:cs="宋体"/>
          <w:b/>
          <w:sz w:val="30"/>
          <w:szCs w:val="20"/>
          <w:highlight w:val="none"/>
        </w:rPr>
        <w:t>三、投标</w:t>
      </w:r>
      <w:bookmarkEnd w:id="22"/>
    </w:p>
    <w:p>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1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11.1资格文件：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11.1.1营业执照副本复印件（加盖投标人公章）；</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11.1.3中小企业声明函。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2" w:firstLineChars="200"/>
        <w:rPr>
          <w:rFonts w:ascii="宋体" w:hAnsi="宋体" w:cs="宋体"/>
          <w:b/>
          <w:sz w:val="24"/>
          <w:highlight w:val="none"/>
          <w:lang w:val="zh-CN"/>
        </w:rPr>
      </w:pPr>
      <w:r>
        <w:rPr>
          <w:rFonts w:hint="eastAsia" w:ascii="宋体" w:hAnsi="宋体" w:cs="宋体"/>
          <w:b/>
          <w:sz w:val="24"/>
          <w:highlight w:val="none"/>
          <w:lang w:val="zh-CN"/>
        </w:rPr>
        <w:t>11.</w:t>
      </w:r>
      <w:r>
        <w:rPr>
          <w:rFonts w:hint="eastAsia" w:ascii="宋体" w:hAnsi="宋体" w:cs="宋体"/>
          <w:b/>
          <w:sz w:val="24"/>
          <w:highlight w:val="none"/>
        </w:rPr>
        <w:t>2商务技术</w:t>
      </w:r>
      <w:r>
        <w:rPr>
          <w:rFonts w:hint="eastAsia" w:ascii="宋体" w:hAnsi="宋体" w:cs="宋体"/>
          <w:b/>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11.2.1目录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11.2.2投标函；</w:t>
      </w:r>
    </w:p>
    <w:p>
      <w:pPr>
        <w:pStyle w:val="725"/>
        <w:spacing w:line="360" w:lineRule="auto"/>
        <w:ind w:left="720" w:firstLine="240" w:firstLineChars="100"/>
        <w:rPr>
          <w:rFonts w:cs="宋体"/>
          <w:highlight w:val="none"/>
        </w:rPr>
      </w:pPr>
      <w:r>
        <w:rPr>
          <w:rFonts w:hint="eastAsia" w:cs="宋体"/>
          <w:highlight w:val="none"/>
        </w:rPr>
        <w:t>11.2.3营业执照副本复印件（加盖投标人公章）</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11.2.5投标人股权信息表；</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11.2.6详细的“交货清单”；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11.2.7技术规范偏离表；</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11.2.8商务条款偏离表；</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11.2.9完成的类似项目一览表（附合同复印件）；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11.2.10项目实施方案；</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11.2.11专业拍摄设备；</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11.2.12教学视频拍摄制作基地；</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11.2.13制作团队；</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11.2.14服务要求响应；</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11.2.15政府采购政策；</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11.2.16第四部分“评标办法”中要求提供的资料。</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rPr>
        <w:t>11.2.17</w:t>
      </w:r>
      <w:r>
        <w:rPr>
          <w:rFonts w:hint="eastAsia" w:ascii="宋体" w:hAnsi="宋体" w:cs="宋体"/>
          <w:sz w:val="24"/>
          <w:highlight w:val="none"/>
          <w:lang w:val="zh-CN"/>
        </w:rPr>
        <w:t>政府采购供应商廉洁自律承诺书；</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rPr>
        <w:t>11.2.18</w:t>
      </w:r>
      <w:r>
        <w:rPr>
          <w:rFonts w:hint="eastAsia" w:ascii="宋体" w:hAnsi="宋体" w:cs="宋体"/>
          <w:sz w:val="24"/>
          <w:highlight w:val="none"/>
          <w:lang w:val="zh-CN"/>
        </w:rPr>
        <w:t>缴纳采购代理服务费承诺书；</w:t>
      </w:r>
    </w:p>
    <w:p>
      <w:pPr>
        <w:snapToGrid w:val="0"/>
        <w:spacing w:line="360" w:lineRule="auto"/>
        <w:ind w:firstLine="482" w:firstLineChars="200"/>
        <w:rPr>
          <w:rFonts w:ascii="宋体" w:hAnsi="宋体" w:cs="宋体"/>
          <w:b/>
          <w:bCs/>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 xml:space="preserve">报价文件：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pPr>
        <w:pStyle w:val="725"/>
        <w:spacing w:line="360" w:lineRule="auto"/>
        <w:ind w:left="480" w:firstLine="480" w:firstLineChars="200"/>
        <w:rPr>
          <w:rFonts w:cs="宋体"/>
          <w:highlight w:val="none"/>
        </w:rPr>
      </w:pPr>
      <w:r>
        <w:rPr>
          <w:rFonts w:hint="eastAsia" w:cs="宋体"/>
          <w:highlight w:val="none"/>
        </w:rPr>
        <w:t>11.3.</w:t>
      </w:r>
      <w:bookmarkStart w:id="23" w:name="_Toc5746"/>
      <w:bookmarkStart w:id="24" w:name="_Toc6461"/>
      <w:r>
        <w:rPr>
          <w:rFonts w:hint="eastAsia" w:cs="宋体"/>
          <w:highlight w:val="none"/>
        </w:rPr>
        <w:t>2投标人针对报价需要说明的其他文件和说明。</w:t>
      </w:r>
      <w:bookmarkEnd w:id="23"/>
      <w:bookmarkEnd w:id="24"/>
    </w:p>
    <w:p>
      <w:pPr>
        <w:pStyle w:val="82"/>
        <w:spacing w:line="360" w:lineRule="auto"/>
        <w:ind w:firstLine="460"/>
        <w:rPr>
          <w:rFonts w:ascii="宋体" w:hAnsi="宋体" w:cs="宋体"/>
          <w:highlight w:val="none"/>
        </w:rPr>
      </w:pP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133"/>
        <w:snapToGrid w:val="0"/>
        <w:spacing w:before="0"/>
        <w:ind w:firstLine="0" w:firstLineChars="0"/>
        <w:outlineLvl w:val="0"/>
        <w:rPr>
          <w:rFonts w:ascii="宋体" w:hAnsi="宋体" w:cs="宋体"/>
          <w:b/>
          <w:szCs w:val="24"/>
          <w:highlight w:val="none"/>
        </w:rPr>
      </w:pPr>
      <w:bookmarkStart w:id="25" w:name="_Toc30841"/>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25"/>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33"/>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3"/>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3"/>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33"/>
        <w:spacing w:before="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pPr>
        <w:pStyle w:val="133"/>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6"/>
        <w:spacing w:line="360" w:lineRule="auto"/>
        <w:ind w:firstLine="360" w:firstLineChars="150"/>
        <w:rPr>
          <w:rFonts w:cs="宋体"/>
          <w:szCs w:val="21"/>
          <w:highlight w:val="none"/>
        </w:rPr>
      </w:pPr>
      <w:r>
        <w:rPr>
          <w:rFonts w:hint="eastAsia" w:cs="宋体"/>
          <w:szCs w:val="21"/>
          <w:highlight w:val="none"/>
        </w:rPr>
        <w:t>有招标文件第四部分</w:t>
      </w:r>
      <w:r>
        <w:rPr>
          <w:rFonts w:hint="eastAsia" w:cs="宋体"/>
          <w:highlight w:val="none"/>
        </w:rPr>
        <w:t>4.2规定</w:t>
      </w:r>
      <w:r>
        <w:rPr>
          <w:rFonts w:hint="eastAsia" w:cs="宋体"/>
          <w:szCs w:val="21"/>
          <w:highlight w:val="none"/>
        </w:rPr>
        <w:t>的情形之一的，投标无效：</w:t>
      </w:r>
    </w:p>
    <w:p>
      <w:pPr>
        <w:pStyle w:val="133"/>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33"/>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3"/>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sz w:val="32"/>
          <w:highlight w:val="none"/>
        </w:rPr>
      </w:pPr>
    </w:p>
    <w:p>
      <w:pPr>
        <w:pStyle w:val="133"/>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投标文件未按时解密，投标人提供了备份投标文件的，以备份投标文件作为依据。投标文件已按时解密的，备份投标文件自动失效。</w:t>
      </w:r>
    </w:p>
    <w:p>
      <w:pPr>
        <w:pStyle w:val="34"/>
        <w:spacing w:line="360" w:lineRule="auto"/>
        <w:ind w:firstLine="361" w:firstLineChars="150"/>
        <w:rPr>
          <w:rFonts w:hAnsi="宋体" w:cs="仿宋_GB2312"/>
          <w:b/>
          <w:sz w:val="24"/>
          <w:szCs w:val="24"/>
          <w:highlight w:val="none"/>
        </w:rPr>
      </w:pPr>
      <w:r>
        <w:rPr>
          <w:rFonts w:hint="eastAsia" w:hAnsi="宋体" w:cs="宋体"/>
          <w:b/>
          <w:sz w:val="24"/>
          <w:szCs w:val="20"/>
          <w:highlight w:val="none"/>
        </w:rPr>
        <w:t>　</w:t>
      </w:r>
      <w:r>
        <w:rPr>
          <w:rFonts w:hint="eastAsia" w:hAnsi="宋体" w:cs="仿宋_GB2312"/>
          <w:b/>
          <w:sz w:val="24"/>
          <w:szCs w:val="24"/>
          <w:highlight w:val="none"/>
        </w:rPr>
        <w:t>18.4投标文件解密结束，各投标人签署《政府采购活动现场确认声明书》（格式见附件），签署完成后，扫描发送至邮箱：</w:t>
      </w:r>
      <w:r>
        <w:rPr>
          <w:highlight w:val="none"/>
        </w:rPr>
        <w:fldChar w:fldCharType="begin"/>
      </w:r>
      <w:r>
        <w:rPr>
          <w:highlight w:val="none"/>
        </w:rPr>
        <w:instrText xml:space="preserve"> HYPERLINK "mailto:834007470@qq.com；" </w:instrText>
      </w:r>
      <w:r>
        <w:rPr>
          <w:highlight w:val="none"/>
        </w:rPr>
        <w:fldChar w:fldCharType="separate"/>
      </w:r>
      <w:r>
        <w:rPr>
          <w:rFonts w:hint="eastAsia" w:hAnsi="宋体" w:cs="仿宋_GB2312"/>
          <w:b/>
          <w:sz w:val="24"/>
          <w:szCs w:val="24"/>
          <w:highlight w:val="none"/>
        </w:rPr>
        <w:t>253656196@qq.com；</w:t>
      </w:r>
      <w:r>
        <w:rPr>
          <w:rFonts w:hint="eastAsia" w:hAnsi="宋体" w:cs="仿宋_GB2312"/>
          <w:b/>
          <w:sz w:val="24"/>
          <w:szCs w:val="24"/>
          <w:highlight w:val="none"/>
        </w:rPr>
        <w:fldChar w:fldCharType="end"/>
      </w:r>
    </w:p>
    <w:p>
      <w:pPr>
        <w:widowControl/>
        <w:spacing w:line="360" w:lineRule="auto"/>
        <w:jc w:val="left"/>
        <w:rPr>
          <w:rFonts w:ascii="宋体" w:hAnsi="宋体" w:cs="宋体"/>
          <w:b/>
          <w:sz w:val="24"/>
          <w:szCs w:val="20"/>
          <w:highlight w:val="none"/>
        </w:rPr>
      </w:pPr>
      <w:r>
        <w:rPr>
          <w:rFonts w:hint="eastAsia" w:ascii="宋体" w:hAnsi="宋体" w:cs="宋体"/>
          <w:b/>
          <w:sz w:val="24"/>
          <w:szCs w:val="20"/>
          <w:highlight w:val="none"/>
        </w:rPr>
        <w:t>19、资格审查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pPr>
        <w:pStyle w:val="133"/>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33"/>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3"/>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bookmarkStart w:id="26" w:name="_Toc12389"/>
      <w:r>
        <w:rPr>
          <w:rFonts w:hint="eastAsia" w:ascii="宋体" w:hAnsi="宋体" w:cs="宋体"/>
          <w:b/>
          <w:sz w:val="36"/>
          <w:szCs w:val="36"/>
          <w:highlight w:val="none"/>
        </w:rPr>
        <w:t>五、评标</w:t>
      </w:r>
      <w:bookmarkEnd w:id="26"/>
    </w:p>
    <w:p>
      <w:pPr>
        <w:spacing w:line="360" w:lineRule="auto"/>
        <w:rPr>
          <w:rFonts w:ascii="宋体" w:hAnsi="宋体" w:cs="宋体"/>
          <w:b/>
          <w:sz w:val="24"/>
          <w:highlight w:val="none"/>
        </w:rPr>
      </w:pPr>
      <w:bookmarkStart w:id="27"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bookmarkStart w:id="28" w:name="_Toc20717"/>
      <w:r>
        <w:rPr>
          <w:rFonts w:hint="eastAsia" w:ascii="宋体" w:hAnsi="宋体" w:cs="宋体"/>
          <w:b/>
          <w:sz w:val="36"/>
          <w:szCs w:val="36"/>
          <w:highlight w:val="none"/>
        </w:rPr>
        <w:t>六、定 标</w:t>
      </w:r>
      <w:bookmarkEnd w:id="28"/>
    </w:p>
    <w:p>
      <w:pPr>
        <w:pStyle w:val="26"/>
        <w:spacing w:line="360" w:lineRule="auto"/>
        <w:ind w:left="479" w:hanging="479" w:hangingChars="199"/>
        <w:rPr>
          <w:rFonts w:cs="宋体"/>
          <w:b/>
          <w:highlight w:val="none"/>
        </w:rPr>
      </w:pPr>
      <w:r>
        <w:rPr>
          <w:rFonts w:hint="eastAsia" w:cs="宋体"/>
          <w:b/>
          <w:highlight w:val="none"/>
        </w:rPr>
        <w:t>22. 确定中标供应商</w:t>
      </w:r>
    </w:p>
    <w:p>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480"/>
        <w:rPr>
          <w:rFonts w:ascii="宋体" w:hAnsi="宋体" w:cs="宋体"/>
          <w:szCs w:val="24"/>
          <w:highlight w:val="none"/>
        </w:rPr>
      </w:pPr>
      <w:r>
        <w:rPr>
          <w:rFonts w:ascii="宋体" w:hAnsi="宋体" w:cs="宋体"/>
          <w:szCs w:val="24"/>
          <w:highlight w:val="none"/>
        </w:rPr>
        <w:t>本项目由评标委员会推荐2名中标候选人，采购人在评标委员会推荐的中标候选人名单中按顺序确定中标人。若第一中标候选人放弃中标、或投标过程中所提供的资料有失实或弄虚作假的、或因不可抗力提出不能履行合同的，或不能在招标文件规定的期限内提交履约保证金（如有）的，采购人可视情况选择排名第二的中标候选人为中标人，也可以重新开展政府采购活动。</w:t>
      </w:r>
    </w:p>
    <w:p>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pStyle w:val="133"/>
        <w:snapToGrid w:val="0"/>
        <w:spacing w:before="0"/>
        <w:ind w:firstLine="480"/>
        <w:rPr>
          <w:rFonts w:ascii="宋体" w:hAnsi="宋体" w:cs="宋体"/>
          <w:szCs w:val="24"/>
          <w:highlight w:val="none"/>
        </w:rPr>
      </w:pPr>
      <w:r>
        <w:rPr>
          <w:rFonts w:hint="eastAsia" w:ascii="宋体" w:hAnsi="宋体" w:cs="宋体"/>
          <w:szCs w:val="24"/>
          <w:highlight w:val="none"/>
        </w:rPr>
        <w:t>23.1自中标人确定之日起2个工作日内，采购代理机构通过电子交易平台向中标人发出中标通知书，同时编制发布采购结果公告。采购代理机构也可以以纸质形式进行中标通知。</w:t>
      </w:r>
    </w:p>
    <w:p>
      <w:pPr>
        <w:pStyle w:val="133"/>
        <w:snapToGrid w:val="0"/>
        <w:spacing w:before="0"/>
        <w:ind w:firstLine="480"/>
        <w:rPr>
          <w:rFonts w:ascii="宋体" w:hAnsi="宋体" w:cs="宋体"/>
          <w:szCs w:val="24"/>
          <w:highlight w:val="none"/>
        </w:rPr>
      </w:pPr>
      <w:r>
        <w:rPr>
          <w:rFonts w:hint="eastAsia" w:ascii="宋体" w:hAnsi="宋体" w:cs="宋体"/>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Style w:val="133"/>
        <w:snapToGrid w:val="0"/>
        <w:spacing w:before="0"/>
        <w:ind w:firstLine="480"/>
        <w:rPr>
          <w:rFonts w:ascii="宋体" w:hAnsi="宋体" w:cs="宋体"/>
          <w:szCs w:val="24"/>
          <w:highlight w:val="none"/>
        </w:rPr>
      </w:pPr>
      <w:r>
        <w:rPr>
          <w:rFonts w:hint="eastAsia" w:ascii="宋体" w:hAnsi="宋体" w:cs="宋体"/>
          <w:szCs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6"/>
        <w:spacing w:line="360" w:lineRule="auto"/>
        <w:ind w:left="479" w:hanging="479" w:hangingChars="199"/>
        <w:rPr>
          <w:rFonts w:cs="宋体"/>
          <w:b/>
          <w:highlight w:val="none"/>
        </w:rPr>
      </w:pPr>
      <w:r>
        <w:rPr>
          <w:rFonts w:hint="eastAsia" w:cs="宋体"/>
          <w:b/>
          <w:highlight w:val="none"/>
        </w:rPr>
        <w:t>25. 合同的签订</w:t>
      </w:r>
    </w:p>
    <w:p>
      <w:pPr>
        <w:pStyle w:val="133"/>
        <w:snapToGrid w:val="0"/>
        <w:spacing w:before="0"/>
        <w:ind w:firstLine="480"/>
        <w:rPr>
          <w:rFonts w:ascii="宋体" w:hAnsi="宋体" w:cs="宋体"/>
          <w:szCs w:val="24"/>
          <w:highlight w:val="none"/>
        </w:rPr>
      </w:pPr>
      <w:r>
        <w:rPr>
          <w:rFonts w:hint="eastAsia" w:ascii="宋体" w:hAnsi="宋体" w:cs="宋体"/>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highlight w:val="none"/>
        </w:rPr>
      </w:pPr>
      <w:r>
        <w:rPr>
          <w:rFonts w:hint="eastAsia" w:ascii="宋体" w:hAnsi="宋体" w:cs="宋体"/>
          <w:highlight w:val="none"/>
        </w:rPr>
        <w:t>25.3中标供应商拒绝与采购人签订合同的，采购人可以按照评审报告推荐的中标或者成交候选人名单排序，确定下一候选人为中标供应商，也可以重新开展政府采购活动。</w:t>
      </w: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33"/>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6</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highlight w:val="none"/>
        </w:rPr>
      </w:pPr>
      <w:r>
        <w:rPr>
          <w:rFonts w:hint="eastAsia" w:ascii="宋体" w:hAnsi="宋体" w:cs="宋体"/>
          <w:highlight w:val="none"/>
        </w:rPr>
        <w:t xml:space="preserve">26.1电子交易平台发生故障而无法登录访问的； </w:t>
      </w:r>
    </w:p>
    <w:p>
      <w:pPr>
        <w:pStyle w:val="133"/>
        <w:snapToGrid w:val="0"/>
        <w:spacing w:before="0"/>
        <w:ind w:firstLine="480"/>
        <w:rPr>
          <w:rFonts w:ascii="宋体" w:hAnsi="宋体" w:cs="宋体"/>
          <w:highlight w:val="none"/>
        </w:rPr>
      </w:pPr>
      <w:r>
        <w:rPr>
          <w:rFonts w:hint="eastAsia" w:ascii="宋体" w:hAnsi="宋体" w:cs="宋体"/>
          <w:highlight w:val="none"/>
        </w:rPr>
        <w:t>26.2电子交易平台应用或数据库出现错误，不能进行正常操作的；</w:t>
      </w:r>
    </w:p>
    <w:p>
      <w:pPr>
        <w:pStyle w:val="133"/>
        <w:snapToGrid w:val="0"/>
        <w:spacing w:before="0"/>
        <w:ind w:firstLine="480"/>
        <w:rPr>
          <w:rFonts w:ascii="宋体" w:hAnsi="宋体" w:cs="宋体"/>
          <w:highlight w:val="none"/>
        </w:rPr>
      </w:pPr>
      <w:r>
        <w:rPr>
          <w:rFonts w:hint="eastAsia" w:ascii="宋体" w:hAnsi="宋体" w:cs="宋体"/>
          <w:highlight w:val="none"/>
        </w:rPr>
        <w:t>26.3电子交易平台发现严重安全漏洞，有潜在泄密危险的；</w:t>
      </w:r>
    </w:p>
    <w:p>
      <w:pPr>
        <w:pStyle w:val="133"/>
        <w:snapToGrid w:val="0"/>
        <w:spacing w:before="0"/>
        <w:ind w:firstLine="480"/>
        <w:rPr>
          <w:rFonts w:ascii="宋体" w:hAnsi="宋体" w:cs="宋体"/>
          <w:highlight w:val="none"/>
        </w:rPr>
      </w:pPr>
      <w:r>
        <w:rPr>
          <w:rFonts w:hint="eastAsia" w:ascii="宋体" w:hAnsi="宋体" w:cs="宋体"/>
          <w:highlight w:val="none"/>
        </w:rPr>
        <w:t xml:space="preserve">26.4病毒发作导致不能进行正常操作的； </w:t>
      </w:r>
    </w:p>
    <w:p>
      <w:pPr>
        <w:pStyle w:val="133"/>
        <w:snapToGrid w:val="0"/>
        <w:spacing w:before="0"/>
        <w:ind w:firstLine="480"/>
        <w:rPr>
          <w:rFonts w:ascii="宋体" w:hAnsi="宋体" w:cs="宋体"/>
          <w:highlight w:val="none"/>
        </w:rPr>
      </w:pPr>
      <w:r>
        <w:rPr>
          <w:rFonts w:hint="eastAsia" w:ascii="宋体" w:hAnsi="宋体" w:cs="宋体"/>
          <w:highlight w:val="none"/>
        </w:rPr>
        <w:t>26.5其他无法保证电子交易的公平、公正和安全的情况。</w:t>
      </w:r>
    </w:p>
    <w:p>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bookmarkEnd w:id="27"/>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5"/>
    <w:bookmarkEnd w:id="16"/>
    <w:p>
      <w:pPr>
        <w:spacing w:line="360" w:lineRule="auto"/>
        <w:jc w:val="center"/>
        <w:outlineLvl w:val="0"/>
        <w:rPr>
          <w:rFonts w:ascii="宋体" w:hAnsi="宋体" w:cs="宋体"/>
          <w:b/>
          <w:sz w:val="36"/>
          <w:szCs w:val="36"/>
          <w:highlight w:val="none"/>
        </w:rPr>
      </w:pPr>
      <w:bookmarkStart w:id="29" w:name="_Toc16032"/>
      <w:bookmarkStart w:id="30" w:name="第四部分"/>
      <w:r>
        <w:rPr>
          <w:rFonts w:hint="eastAsia" w:ascii="宋体" w:hAnsi="宋体" w:cs="宋体"/>
          <w:b/>
          <w:sz w:val="36"/>
          <w:szCs w:val="36"/>
          <w:highlight w:val="none"/>
        </w:rPr>
        <w:t>第三部分   采购需求</w:t>
      </w:r>
      <w:bookmarkEnd w:id="29"/>
    </w:p>
    <w:p>
      <w:pPr>
        <w:spacing w:line="360" w:lineRule="auto"/>
        <w:rPr>
          <w:rFonts w:ascii="宋体" w:hAnsi="宋体" w:cs="宋体"/>
          <w:b/>
          <w:bCs/>
          <w:sz w:val="24"/>
          <w:highlight w:val="none"/>
        </w:rPr>
      </w:pPr>
      <w:r>
        <w:rPr>
          <w:rFonts w:hint="eastAsia" w:ascii="宋体" w:hAnsi="宋体" w:cs="宋体"/>
          <w:b/>
          <w:bCs/>
          <w:sz w:val="24"/>
          <w:highlight w:val="none"/>
        </w:rPr>
        <w:t>一、采购项目名称：国家资源库课程拍摄制作</w:t>
      </w:r>
    </w:p>
    <w:p>
      <w:pPr>
        <w:spacing w:line="360" w:lineRule="auto"/>
        <w:rPr>
          <w:rFonts w:ascii="宋体" w:hAnsi="宋体" w:cs="宋体"/>
          <w:sz w:val="24"/>
          <w:highlight w:val="none"/>
        </w:rPr>
      </w:pPr>
      <w:r>
        <w:rPr>
          <w:rFonts w:hint="eastAsia" w:ascii="宋体" w:hAnsi="宋体" w:cs="宋体"/>
          <w:sz w:val="24"/>
          <w:highlight w:val="none"/>
        </w:rPr>
        <w:t>本项目主要有《影视剪辑》、《三维动画设计》、《影视后期特效与合成》、《数字交互设计》4门课程。</w:t>
      </w:r>
    </w:p>
    <w:p>
      <w:pPr>
        <w:spacing w:line="360" w:lineRule="auto"/>
        <w:rPr>
          <w:rFonts w:ascii="宋体" w:hAnsi="宋体" w:cs="宋体"/>
          <w:b/>
          <w:bCs/>
          <w:sz w:val="24"/>
          <w:highlight w:val="none"/>
        </w:rPr>
      </w:pPr>
      <w:r>
        <w:rPr>
          <w:rFonts w:hint="eastAsia" w:ascii="宋体" w:hAnsi="宋体" w:cs="宋体"/>
          <w:b/>
          <w:bCs/>
          <w:sz w:val="24"/>
          <w:highlight w:val="none"/>
        </w:rPr>
        <w:t>二、服务、技术要求及其他</w:t>
      </w:r>
    </w:p>
    <w:p>
      <w:pPr>
        <w:spacing w:line="360" w:lineRule="auto"/>
        <w:rPr>
          <w:rFonts w:cs="宋体"/>
          <w:sz w:val="24"/>
          <w:highlight w:val="none"/>
        </w:rPr>
      </w:pPr>
      <w:r>
        <w:rPr>
          <w:rFonts w:hint="eastAsia" w:cs="宋体"/>
          <w:sz w:val="24"/>
          <w:highlight w:val="none"/>
        </w:rPr>
        <w:t>（一）服务范围：</w:t>
      </w:r>
    </w:p>
    <w:p>
      <w:pPr>
        <w:spacing w:line="360" w:lineRule="auto"/>
        <w:ind w:firstLine="480" w:firstLineChars="200"/>
        <w:rPr>
          <w:rFonts w:cs="宋体"/>
          <w:sz w:val="24"/>
          <w:highlight w:val="none"/>
        </w:rPr>
      </w:pPr>
      <w:r>
        <w:rPr>
          <w:rFonts w:hint="eastAsia" w:cs="宋体"/>
          <w:sz w:val="24"/>
          <w:highlight w:val="none"/>
        </w:rPr>
        <w:t>课程教案PPT制作设计、实景录制置景、拍摄、人物造型设计及化妆、服装配备、数字人制作、AI数字人内容生成、后期制作（含剪辑、调色、动画和特效）、中英文双语字幕、视频包装、后期维护（含900分钟以内课程补拍、修改、资源、素材上传平台及审核等）。</w:t>
      </w:r>
    </w:p>
    <w:p>
      <w:pPr>
        <w:spacing w:line="360" w:lineRule="auto"/>
        <w:rPr>
          <w:rFonts w:cs="宋体"/>
          <w:sz w:val="24"/>
          <w:highlight w:val="none"/>
        </w:rPr>
      </w:pPr>
      <w:r>
        <w:rPr>
          <w:rFonts w:hint="eastAsia" w:cs="宋体"/>
          <w:sz w:val="24"/>
          <w:highlight w:val="none"/>
        </w:rPr>
        <w:t xml:space="preserve">（二）服务要求： </w:t>
      </w:r>
    </w:p>
    <w:p>
      <w:pPr>
        <w:spacing w:line="360" w:lineRule="auto"/>
        <w:rPr>
          <w:rFonts w:cs="宋体"/>
          <w:sz w:val="24"/>
          <w:highlight w:val="none"/>
        </w:rPr>
      </w:pPr>
      <w:r>
        <w:rPr>
          <w:rFonts w:hint="eastAsia" w:cs="宋体"/>
          <w:sz w:val="24"/>
          <w:highlight w:val="none"/>
        </w:rPr>
        <w:t xml:space="preserve">1、禁止业务外包，公司制作团队应具有丰富的课堂拍摄及制作经验，人员高效且稳定。 </w:t>
      </w:r>
    </w:p>
    <w:p>
      <w:pPr>
        <w:spacing w:line="360" w:lineRule="auto"/>
        <w:rPr>
          <w:rFonts w:cs="宋体"/>
          <w:sz w:val="24"/>
          <w:highlight w:val="none"/>
        </w:rPr>
      </w:pPr>
      <w:r>
        <w:rPr>
          <w:rFonts w:hint="eastAsia" w:cs="宋体"/>
          <w:sz w:val="24"/>
          <w:highlight w:val="none"/>
        </w:rPr>
        <w:t>2、拍摄前，制作公司须与校方及授课老师进行沟通，制定详细的总体拍摄方案，经校方审核通过后由制作公司实施，相关费用包含在中标价格中。</w:t>
      </w:r>
    </w:p>
    <w:p>
      <w:pPr>
        <w:spacing w:line="360" w:lineRule="auto"/>
        <w:rPr>
          <w:rFonts w:cs="宋体"/>
          <w:sz w:val="24"/>
          <w:highlight w:val="none"/>
        </w:rPr>
      </w:pPr>
      <w:r>
        <w:rPr>
          <w:rFonts w:hint="eastAsia" w:cs="宋体"/>
          <w:sz w:val="24"/>
          <w:highlight w:val="none"/>
        </w:rPr>
        <w:t xml:space="preserve">3、拍摄时，制作公司须有专业人员在学校周边（5公里内）园区或固定场所，布置好拍摄场地，保证录制流畅。 </w:t>
      </w:r>
    </w:p>
    <w:p>
      <w:pPr>
        <w:spacing w:line="360" w:lineRule="auto"/>
        <w:rPr>
          <w:rFonts w:cs="宋体"/>
          <w:sz w:val="24"/>
          <w:highlight w:val="none"/>
        </w:rPr>
      </w:pPr>
      <w:r>
        <w:rPr>
          <w:rFonts w:hint="eastAsia" w:cs="宋体"/>
          <w:sz w:val="24"/>
          <w:highlight w:val="none"/>
        </w:rPr>
        <w:t xml:space="preserve">4、创作人员须有较高的艺术审美，能够满足在线课程的制作要求和视听美感。 </w:t>
      </w:r>
    </w:p>
    <w:p>
      <w:pPr>
        <w:spacing w:line="360" w:lineRule="auto"/>
        <w:rPr>
          <w:rFonts w:cs="宋体"/>
          <w:sz w:val="24"/>
          <w:highlight w:val="none"/>
        </w:rPr>
      </w:pPr>
      <w:r>
        <w:rPr>
          <w:rFonts w:hint="eastAsia" w:cs="宋体"/>
          <w:sz w:val="24"/>
          <w:highlight w:val="none"/>
        </w:rPr>
        <w:t xml:space="preserve">5、配备专职独立制作的人员和设备，以保证按照校方要求交付合格成片。 </w:t>
      </w:r>
    </w:p>
    <w:p>
      <w:pPr>
        <w:spacing w:line="360" w:lineRule="auto"/>
        <w:rPr>
          <w:rFonts w:cs="宋体"/>
          <w:sz w:val="24"/>
          <w:highlight w:val="none"/>
        </w:rPr>
      </w:pPr>
      <w:r>
        <w:rPr>
          <w:rFonts w:hint="eastAsia" w:cs="宋体"/>
          <w:sz w:val="24"/>
          <w:highlight w:val="none"/>
        </w:rPr>
        <w:t xml:space="preserve">6、后期编辑制作需按照校方要求进行，并积极补拍镜头，确保整体效果。 </w:t>
      </w:r>
    </w:p>
    <w:p>
      <w:pPr>
        <w:spacing w:line="360" w:lineRule="auto"/>
        <w:rPr>
          <w:rFonts w:cs="宋体"/>
          <w:sz w:val="24"/>
          <w:highlight w:val="none"/>
        </w:rPr>
      </w:pPr>
      <w:r>
        <w:rPr>
          <w:rFonts w:hint="eastAsia" w:cs="宋体"/>
          <w:sz w:val="24"/>
          <w:highlight w:val="none"/>
        </w:rPr>
        <w:t>7、必须给对白、旁白和讲解添加中英文双语字幕，字幕颜色原则上白色黑边，并以单独文件进行保存。如有变更，则与课程负责人协商确定。</w:t>
      </w:r>
    </w:p>
    <w:p>
      <w:pPr>
        <w:spacing w:line="360" w:lineRule="auto"/>
        <w:rPr>
          <w:rFonts w:cs="宋体"/>
          <w:sz w:val="24"/>
          <w:highlight w:val="none"/>
        </w:rPr>
      </w:pPr>
      <w:r>
        <w:rPr>
          <w:rFonts w:hint="eastAsia" w:cs="宋体"/>
          <w:sz w:val="24"/>
          <w:highlight w:val="none"/>
        </w:rPr>
        <w:t xml:space="preserve">8、硬件设备要求：摄制组必须使用至少三套SONY FX6及以上电影级摄影机，专业灯光器材及轨道等辅助器材，专业航拍器，专业剪辑系统及达芬奇调色系统。（不低于以上配置）；航拍设备：大疆御3pro以上；录音棚音频工作站，使用专业级话筒，满足在线课程摄制特殊要求的专业录音及相关拍摄装置以及配套的后期制作设备。  </w:t>
      </w:r>
    </w:p>
    <w:p>
      <w:pPr>
        <w:spacing w:line="360" w:lineRule="auto"/>
        <w:rPr>
          <w:rFonts w:cs="宋体"/>
          <w:sz w:val="24"/>
          <w:highlight w:val="none"/>
        </w:rPr>
      </w:pPr>
      <w:r>
        <w:rPr>
          <w:rFonts w:hint="eastAsia" w:cs="宋体"/>
          <w:sz w:val="24"/>
          <w:highlight w:val="none"/>
        </w:rPr>
        <w:t>9、课程制作至少达到甲方提供的样片制作标准要求，交付完成后，需要维护不少于12个月时间。</w:t>
      </w:r>
    </w:p>
    <w:p>
      <w:pPr>
        <w:spacing w:line="360" w:lineRule="auto"/>
        <w:rPr>
          <w:rFonts w:cs="宋体"/>
          <w:sz w:val="24"/>
          <w:highlight w:val="none"/>
        </w:rPr>
      </w:pPr>
      <w:r>
        <w:rPr>
          <w:rFonts w:hint="eastAsia" w:cs="宋体"/>
          <w:sz w:val="24"/>
          <w:highlight w:val="none"/>
        </w:rPr>
        <w:t xml:space="preserve">（三）技术要求（课程拍摄制作技术标准）： </w:t>
      </w:r>
    </w:p>
    <w:p>
      <w:pPr>
        <w:spacing w:line="360" w:lineRule="auto"/>
        <w:rPr>
          <w:rFonts w:cs="宋体"/>
          <w:sz w:val="24"/>
          <w:highlight w:val="none"/>
        </w:rPr>
      </w:pPr>
      <w:r>
        <w:rPr>
          <w:rFonts w:hint="eastAsia" w:cs="宋体"/>
          <w:sz w:val="24"/>
          <w:highlight w:val="none"/>
        </w:rPr>
        <w:t>1、录制场地：根据课程性质由课程负责人选定录制场地，一般分为室内与室外。要求分别如下：</w:t>
      </w:r>
    </w:p>
    <w:p>
      <w:pPr>
        <w:spacing w:line="360" w:lineRule="auto"/>
        <w:rPr>
          <w:rFonts w:cs="宋体"/>
          <w:sz w:val="24"/>
          <w:highlight w:val="none"/>
        </w:rPr>
      </w:pPr>
      <w:r>
        <w:rPr>
          <w:rFonts w:hint="eastAsia" w:cs="宋体"/>
          <w:sz w:val="24"/>
          <w:highlight w:val="none"/>
        </w:rPr>
        <w:t>①室内场地要求光线充足，配备必要的专业影视灯光设备；环境安静、整洁，避免在镜头中出现有广告嫌疑或与课程无关的标识等内容。</w:t>
      </w:r>
    </w:p>
    <w:p>
      <w:pPr>
        <w:spacing w:line="360" w:lineRule="auto"/>
        <w:rPr>
          <w:rFonts w:cs="宋体"/>
          <w:sz w:val="24"/>
          <w:highlight w:val="none"/>
        </w:rPr>
      </w:pPr>
      <w:r>
        <w:rPr>
          <w:rFonts w:hint="eastAsia" w:cs="宋体"/>
          <w:sz w:val="24"/>
          <w:highlight w:val="none"/>
        </w:rPr>
        <w:t>②室外环境要求光线适宜，如有必要，需配备移动灯光设备；在室外环境录制时，需综合考虑灯光、声音等效果。</w:t>
      </w:r>
    </w:p>
    <w:p>
      <w:pPr>
        <w:spacing w:line="360" w:lineRule="auto"/>
        <w:rPr>
          <w:rFonts w:cs="宋体"/>
          <w:sz w:val="24"/>
          <w:highlight w:val="none"/>
        </w:rPr>
      </w:pPr>
      <w:r>
        <w:rPr>
          <w:rFonts w:hint="eastAsia" w:cs="宋体"/>
          <w:sz w:val="24"/>
          <w:highlight w:val="none"/>
        </w:rPr>
        <w:t>2、录制要求</w:t>
      </w:r>
    </w:p>
    <w:p>
      <w:pPr>
        <w:spacing w:line="360" w:lineRule="auto"/>
        <w:rPr>
          <w:rFonts w:cs="宋体"/>
          <w:sz w:val="24"/>
          <w:highlight w:val="none"/>
        </w:rPr>
      </w:pPr>
      <w:r>
        <w:rPr>
          <w:rFonts w:hint="eastAsia" w:cs="宋体"/>
          <w:sz w:val="24"/>
          <w:highlight w:val="none"/>
        </w:rPr>
        <w:t>①课程制作时长：每门课程教学视频时长不少于900分钟。</w:t>
      </w:r>
    </w:p>
    <w:p>
      <w:pPr>
        <w:spacing w:line="360" w:lineRule="auto"/>
        <w:rPr>
          <w:rFonts w:cs="宋体"/>
          <w:sz w:val="24"/>
          <w:highlight w:val="none"/>
        </w:rPr>
      </w:pPr>
      <w:r>
        <w:rPr>
          <w:rFonts w:hint="eastAsia" w:cs="宋体"/>
          <w:sz w:val="24"/>
          <w:highlight w:val="none"/>
        </w:rPr>
        <w:t>②课程制作标准：课程内容以能力点的形式切割成若干内容精简的小单元（小节），每一节视频以5—15分钟。每个章节至少开发1个大实操任务（至少包含5个10分钟内的教学微课）或3个小实操任务（至少包含3个10分钟内的教学微课）作为理论知识点的实践补充；每门课教学资源建成上线时，所有教学资源中的50%为原创资源，非原创资源需在上传资源库平台时标注资源引用来源。在视频的后期制作中，应编辑删除与教学无关的内容，且中间使用素材及工程文件需要制作方提供。</w:t>
      </w:r>
    </w:p>
    <w:p>
      <w:pPr>
        <w:spacing w:line="360" w:lineRule="auto"/>
        <w:rPr>
          <w:rFonts w:cs="宋体"/>
          <w:sz w:val="24"/>
          <w:highlight w:val="none"/>
        </w:rPr>
      </w:pPr>
      <w:r>
        <w:rPr>
          <w:rFonts w:hint="eastAsia" w:cs="宋体"/>
          <w:sz w:val="24"/>
          <w:highlight w:val="none"/>
        </w:rPr>
        <w:t>③课程制作内容：供货商负责课程教案PPT制作设计、拍摄场地设计搭建、数字人制作、视频录制、动画制作、后期制作等。教师在录制前应对授课过程中使用的多媒体课件（PPT、音视频、动画等）认真检查，确保内容无误，排版格式规范，版面简洁美观清晰，符合拍摄要求。在拍摄时应针对实际情况选择适当的拍摄方式，与后期制作统筹策划，确保成片中的多媒体演示、实物展示及板书完整、清晰。</w:t>
      </w:r>
    </w:p>
    <w:p>
      <w:pPr>
        <w:spacing w:line="360" w:lineRule="auto"/>
        <w:rPr>
          <w:rFonts w:cs="宋体"/>
          <w:sz w:val="24"/>
          <w:highlight w:val="none"/>
        </w:rPr>
      </w:pPr>
      <w:r>
        <w:rPr>
          <w:rFonts w:hint="eastAsia" w:cs="宋体"/>
          <w:sz w:val="24"/>
          <w:highlight w:val="none"/>
        </w:rPr>
        <w:t>④课程制作形式：成片视频和音频确保一般的电脑或移动终端都可以正常播放。</w:t>
      </w:r>
    </w:p>
    <w:p>
      <w:pPr>
        <w:spacing w:line="360" w:lineRule="auto"/>
        <w:rPr>
          <w:rFonts w:cs="宋体"/>
          <w:sz w:val="24"/>
          <w:highlight w:val="none"/>
        </w:rPr>
      </w:pPr>
      <w:r>
        <w:rPr>
          <w:rFonts w:hint="eastAsia" w:cs="宋体"/>
          <w:sz w:val="24"/>
          <w:highlight w:val="none"/>
        </w:rPr>
        <w:t xml:space="preserve">3、后期制作要求 </w:t>
      </w:r>
    </w:p>
    <w:p>
      <w:pPr>
        <w:spacing w:line="360" w:lineRule="auto"/>
        <w:rPr>
          <w:rFonts w:cs="宋体"/>
          <w:sz w:val="24"/>
          <w:highlight w:val="none"/>
        </w:rPr>
      </w:pPr>
      <w:r>
        <w:rPr>
          <w:rFonts w:hint="eastAsia" w:cs="宋体"/>
          <w:sz w:val="24"/>
          <w:highlight w:val="none"/>
        </w:rPr>
        <w:t xml:space="preserve">①片头与片尾：根据课程内容，以原创设计制作片头，片头不超过10秒。包括：学校LOGO、课程名称、节次、主讲教师姓名、专业技术职务、单位等信息。片尾包括版权单位、录制时间等信息。 </w:t>
      </w:r>
    </w:p>
    <w:p>
      <w:pPr>
        <w:spacing w:line="360" w:lineRule="auto"/>
        <w:rPr>
          <w:rFonts w:cs="宋体"/>
          <w:sz w:val="24"/>
          <w:highlight w:val="none"/>
        </w:rPr>
      </w:pPr>
      <w:r>
        <w:rPr>
          <w:rFonts w:hint="eastAsia" w:cs="宋体"/>
          <w:sz w:val="24"/>
          <w:highlight w:val="none"/>
        </w:rPr>
        <w:t>②动画：应充分满足在线课程内容要求，在此基础上</w:t>
      </w:r>
      <w:r>
        <w:rPr>
          <w:rFonts w:hint="eastAsia" w:cs="宋体"/>
          <w:highlight w:val="none"/>
        </w:rPr>
        <w:t>针对每个内容进行设计</w:t>
      </w:r>
      <w:r>
        <w:rPr>
          <w:rFonts w:hint="eastAsia" w:cs="宋体"/>
          <w:sz w:val="24"/>
          <w:highlight w:val="none"/>
        </w:rPr>
        <w:t xml:space="preserve">、制作，动画的形式要将老师课程的重点内容表现出来，动画表现形式要多样化。 </w:t>
      </w:r>
    </w:p>
    <w:p>
      <w:pPr>
        <w:spacing w:line="360" w:lineRule="auto"/>
        <w:rPr>
          <w:rFonts w:cs="宋体"/>
          <w:sz w:val="24"/>
          <w:highlight w:val="none"/>
        </w:rPr>
      </w:pPr>
      <w:r>
        <w:rPr>
          <w:rFonts w:hint="eastAsia" w:cs="宋体"/>
          <w:sz w:val="24"/>
          <w:highlight w:val="none"/>
        </w:rPr>
        <w:t>③技术指标</w:t>
      </w:r>
    </w:p>
    <w:p>
      <w:pPr>
        <w:spacing w:line="360" w:lineRule="auto"/>
        <w:rPr>
          <w:rFonts w:cs="宋体"/>
          <w:sz w:val="24"/>
          <w:highlight w:val="none"/>
        </w:rPr>
      </w:pPr>
      <w:r>
        <w:rPr>
          <w:rFonts w:hint="eastAsia" w:cs="宋体"/>
          <w:sz w:val="24"/>
          <w:highlight w:val="none"/>
        </w:rPr>
        <w:t xml:space="preserve">a.视频信号源 </w:t>
      </w:r>
    </w:p>
    <w:p>
      <w:pPr>
        <w:spacing w:line="360" w:lineRule="auto"/>
        <w:rPr>
          <w:rFonts w:cs="宋体"/>
          <w:sz w:val="24"/>
          <w:highlight w:val="none"/>
        </w:rPr>
      </w:pPr>
      <w:r>
        <w:rPr>
          <w:rFonts w:hint="eastAsia" w:cs="宋体"/>
          <w:sz w:val="24"/>
          <w:highlight w:val="none"/>
        </w:rPr>
        <w:t xml:space="preserve">稳定性：全片音视频同步，性能稳定，无失帧现象，图像无抖动跳跃，色彩无突变，编辑点处图像稳定，视频对焦清晰。 </w:t>
      </w:r>
    </w:p>
    <w:p>
      <w:pPr>
        <w:spacing w:line="360" w:lineRule="auto"/>
        <w:rPr>
          <w:rFonts w:cs="宋体"/>
          <w:sz w:val="24"/>
          <w:highlight w:val="none"/>
        </w:rPr>
      </w:pPr>
      <w:r>
        <w:rPr>
          <w:rFonts w:hint="eastAsia" w:cs="宋体"/>
          <w:sz w:val="24"/>
          <w:highlight w:val="none"/>
        </w:rPr>
        <w:t xml:space="preserve">信噪比：图像信噪比不低于55dB，无明显杂波。 </w:t>
      </w:r>
    </w:p>
    <w:p>
      <w:pPr>
        <w:spacing w:line="360" w:lineRule="auto"/>
        <w:rPr>
          <w:rFonts w:cs="宋体"/>
          <w:sz w:val="24"/>
          <w:highlight w:val="none"/>
        </w:rPr>
      </w:pPr>
      <w:r>
        <w:rPr>
          <w:rFonts w:hint="eastAsia" w:cs="宋体"/>
          <w:sz w:val="24"/>
          <w:highlight w:val="none"/>
        </w:rPr>
        <w:t xml:space="preserve">色调：白平衡正确，无明显偏色，多机拍摄的镜头衔接处无明显色差。  </w:t>
      </w:r>
    </w:p>
    <w:p>
      <w:pPr>
        <w:spacing w:line="360" w:lineRule="auto"/>
        <w:rPr>
          <w:rFonts w:cs="宋体"/>
          <w:sz w:val="24"/>
          <w:highlight w:val="none"/>
        </w:rPr>
      </w:pPr>
      <w:r>
        <w:rPr>
          <w:rFonts w:hint="eastAsia" w:cs="宋体"/>
          <w:sz w:val="24"/>
          <w:highlight w:val="none"/>
        </w:rPr>
        <w:t xml:space="preserve">b.音频信号源 </w:t>
      </w:r>
    </w:p>
    <w:p>
      <w:pPr>
        <w:spacing w:line="360" w:lineRule="auto"/>
        <w:rPr>
          <w:rFonts w:cs="宋体"/>
          <w:sz w:val="24"/>
          <w:highlight w:val="none"/>
        </w:rPr>
      </w:pPr>
      <w:r>
        <w:rPr>
          <w:rFonts w:hint="eastAsia" w:cs="宋体"/>
          <w:sz w:val="24"/>
          <w:highlight w:val="none"/>
        </w:rPr>
        <w:t xml:space="preserve">声道：中文内容音频信号采用双声道混音，包含：音乐、音效、同期声。 </w:t>
      </w:r>
    </w:p>
    <w:p>
      <w:pPr>
        <w:spacing w:line="360" w:lineRule="auto"/>
        <w:rPr>
          <w:rFonts w:cs="宋体"/>
          <w:sz w:val="24"/>
          <w:highlight w:val="none"/>
        </w:rPr>
      </w:pPr>
      <w:r>
        <w:rPr>
          <w:rFonts w:hint="eastAsia" w:cs="宋体"/>
          <w:sz w:val="24"/>
          <w:highlight w:val="none"/>
        </w:rPr>
        <w:t xml:space="preserve">电平指标：-2db —— -8db声音应无明显失真、放音过冲、过弱。 </w:t>
      </w:r>
    </w:p>
    <w:p>
      <w:pPr>
        <w:spacing w:line="360" w:lineRule="auto"/>
        <w:rPr>
          <w:rFonts w:cs="宋体"/>
          <w:sz w:val="24"/>
          <w:highlight w:val="none"/>
        </w:rPr>
      </w:pPr>
      <w:r>
        <w:rPr>
          <w:rFonts w:hint="eastAsia" w:cs="宋体"/>
          <w:sz w:val="24"/>
          <w:highlight w:val="none"/>
        </w:rPr>
        <w:t>音频信噪比不低于48db。</w:t>
      </w:r>
    </w:p>
    <w:p>
      <w:pPr>
        <w:spacing w:line="360" w:lineRule="auto"/>
        <w:rPr>
          <w:rFonts w:cs="宋体"/>
          <w:sz w:val="24"/>
          <w:highlight w:val="none"/>
        </w:rPr>
      </w:pPr>
      <w:r>
        <w:rPr>
          <w:rFonts w:hint="eastAsia" w:cs="宋体"/>
          <w:sz w:val="24"/>
          <w:highlight w:val="none"/>
        </w:rPr>
        <w:t>声音和画面要求同步，无交流声或其他杂音等缺陷。</w:t>
      </w:r>
    </w:p>
    <w:p>
      <w:pPr>
        <w:spacing w:line="360" w:lineRule="auto"/>
        <w:rPr>
          <w:rFonts w:cs="宋体"/>
          <w:sz w:val="24"/>
          <w:highlight w:val="none"/>
        </w:rPr>
      </w:pPr>
      <w:r>
        <w:rPr>
          <w:rFonts w:hint="eastAsia" w:cs="宋体"/>
          <w:sz w:val="24"/>
          <w:highlight w:val="none"/>
        </w:rPr>
        <w:t>伴音清晰、饱满、圆润，无失真、噪声杂音干扰、音量忽大忽小现象。解说声与现场声无明显比例失调，解说声与背景音乐无明显比例失调。</w:t>
      </w:r>
    </w:p>
    <w:p>
      <w:pPr>
        <w:pStyle w:val="14"/>
        <w:ind w:firstLine="0"/>
        <w:rPr>
          <w:szCs w:val="24"/>
          <w:highlight w:val="none"/>
        </w:rPr>
      </w:pPr>
      <w:r>
        <w:rPr>
          <w:rFonts w:hint="eastAsia"/>
          <w:szCs w:val="24"/>
          <w:highlight w:val="none"/>
        </w:rPr>
        <w:t>4、</w:t>
      </w:r>
      <w:r>
        <w:rPr>
          <w:rFonts w:hint="eastAsia"/>
          <w:szCs w:val="24"/>
          <w:highlight w:val="none"/>
          <w:lang w:val="en-US"/>
        </w:rPr>
        <w:t>3D</w:t>
      </w:r>
      <w:r>
        <w:rPr>
          <w:rFonts w:hint="eastAsia"/>
          <w:szCs w:val="24"/>
          <w:highlight w:val="none"/>
        </w:rPr>
        <w:t>数字人制作要求</w:t>
      </w:r>
    </w:p>
    <w:p>
      <w:pPr>
        <w:pStyle w:val="14"/>
        <w:ind w:firstLine="0"/>
        <w:rPr>
          <w:szCs w:val="24"/>
          <w:highlight w:val="none"/>
        </w:rPr>
      </w:pPr>
      <w:r>
        <w:rPr>
          <w:rFonts w:hint="eastAsia"/>
          <w:szCs w:val="24"/>
          <w:highlight w:val="none"/>
          <w:lang w:val="en-US"/>
        </w:rPr>
        <w:t>①每门课程采集3位老师制作数字人，共计12人。需要对老师真人全身采集，对老师形象真实还原</w:t>
      </w:r>
      <w:r>
        <w:rPr>
          <w:rFonts w:hint="eastAsia"/>
          <w:szCs w:val="24"/>
          <w:highlight w:val="none"/>
        </w:rPr>
        <w:t>，</w:t>
      </w:r>
      <w:r>
        <w:rPr>
          <w:rFonts w:hint="eastAsia"/>
          <w:szCs w:val="24"/>
          <w:highlight w:val="none"/>
          <w:lang w:val="en-US"/>
        </w:rPr>
        <w:t>每门课程</w:t>
      </w:r>
      <w:r>
        <w:rPr>
          <w:rFonts w:hint="eastAsia"/>
          <w:szCs w:val="24"/>
          <w:highlight w:val="none"/>
        </w:rPr>
        <w:t xml:space="preserve">数字人授课内容时长不少于 </w:t>
      </w:r>
      <w:r>
        <w:rPr>
          <w:rFonts w:hint="eastAsia"/>
          <w:szCs w:val="24"/>
          <w:highlight w:val="none"/>
          <w:lang w:val="en-US"/>
        </w:rPr>
        <w:t>6</w:t>
      </w:r>
      <w:r>
        <w:rPr>
          <w:rFonts w:hint="eastAsia"/>
          <w:szCs w:val="24"/>
          <w:highlight w:val="none"/>
        </w:rPr>
        <w:t>00 分钟。</w:t>
      </w:r>
    </w:p>
    <w:p>
      <w:pPr>
        <w:pStyle w:val="14"/>
        <w:ind w:firstLine="0"/>
        <w:rPr>
          <w:szCs w:val="24"/>
          <w:highlight w:val="none"/>
        </w:rPr>
      </w:pPr>
      <w:r>
        <w:rPr>
          <w:rFonts w:hint="eastAsia"/>
          <w:szCs w:val="24"/>
          <w:highlight w:val="none"/>
          <w:lang w:val="en-US"/>
        </w:rPr>
        <w:t>②</w:t>
      </w:r>
      <w:r>
        <w:rPr>
          <w:rFonts w:hint="eastAsia"/>
          <w:szCs w:val="24"/>
          <w:highlight w:val="none"/>
        </w:rPr>
        <w:t>形象参数:利用虚拟演播室及高质量数字摄影机采集教师形象，需注重形象细节，确保视觉效果的真实与自然。</w:t>
      </w:r>
    </w:p>
    <w:p>
      <w:pPr>
        <w:pStyle w:val="14"/>
        <w:ind w:firstLine="0"/>
        <w:rPr>
          <w:szCs w:val="24"/>
          <w:highlight w:val="none"/>
        </w:rPr>
      </w:pPr>
      <w:r>
        <w:rPr>
          <w:rFonts w:hint="eastAsia"/>
          <w:szCs w:val="24"/>
          <w:highlight w:val="none"/>
          <w:lang w:val="en-US"/>
        </w:rPr>
        <w:t>③</w:t>
      </w:r>
      <w:r>
        <w:rPr>
          <w:rFonts w:hint="eastAsia"/>
          <w:szCs w:val="24"/>
          <w:highlight w:val="none"/>
        </w:rPr>
        <w:t>动作参数:通过优化动画技术和使用高级运动捕捉设备，体现流畅且自然的数字人动作，体现真实感。确保数字人动作的自然度和流畅度，以及授课视频中数字人嘴形的自然贴合。</w:t>
      </w:r>
    </w:p>
    <w:p>
      <w:pPr>
        <w:pStyle w:val="14"/>
        <w:ind w:firstLine="0"/>
        <w:rPr>
          <w:szCs w:val="24"/>
          <w:highlight w:val="none"/>
        </w:rPr>
      </w:pPr>
      <w:r>
        <w:rPr>
          <w:rFonts w:hint="eastAsia"/>
          <w:szCs w:val="24"/>
          <w:highlight w:val="none"/>
          <w:lang w:val="en-US"/>
        </w:rPr>
        <w:t>④</w:t>
      </w:r>
      <w:r>
        <w:rPr>
          <w:rFonts w:hint="eastAsia"/>
          <w:szCs w:val="24"/>
          <w:highlight w:val="none"/>
        </w:rPr>
        <w:t>语音与情感参数:</w:t>
      </w:r>
      <w:r>
        <w:rPr>
          <w:rFonts w:hint="eastAsia"/>
          <w:szCs w:val="24"/>
          <w:highlight w:val="none"/>
          <w:lang w:val="en-US"/>
        </w:rPr>
        <w:t>声音需要老师真人声音采集，</w:t>
      </w:r>
      <w:r>
        <w:rPr>
          <w:rFonts w:hint="eastAsia"/>
          <w:szCs w:val="24"/>
          <w:highlight w:val="none"/>
        </w:rPr>
        <w:t>具备优秀的语音识别和情感表达能力，使数字人更具人性化，通过采用先进的语音识别、语音合成技术和丰富的情感表现手法，提升数字人在这一方面的表现；</w:t>
      </w:r>
    </w:p>
    <w:p>
      <w:pPr>
        <w:pStyle w:val="14"/>
        <w:ind w:firstLine="0"/>
        <w:rPr>
          <w:szCs w:val="24"/>
          <w:highlight w:val="none"/>
        </w:rPr>
      </w:pPr>
      <w:r>
        <w:rPr>
          <w:rFonts w:hint="eastAsia"/>
          <w:szCs w:val="24"/>
          <w:highlight w:val="none"/>
          <w:lang w:val="en-US"/>
        </w:rPr>
        <w:t>⑤</w:t>
      </w:r>
      <w:r>
        <w:rPr>
          <w:rFonts w:hint="eastAsia"/>
          <w:szCs w:val="24"/>
          <w:highlight w:val="none"/>
        </w:rPr>
        <w:t>学习能力与适应性参数:通过引人深度学习、自然语言大模型等技术，提高数字人的自学能力和生成精度，使数字人能够更好地满足用户</w:t>
      </w:r>
      <w:r>
        <w:rPr>
          <w:rFonts w:hint="eastAsia"/>
          <w:szCs w:val="24"/>
          <w:highlight w:val="none"/>
          <w:lang w:val="en-US"/>
        </w:rPr>
        <w:t>多语言授课的</w:t>
      </w:r>
      <w:r>
        <w:rPr>
          <w:rFonts w:hint="eastAsia"/>
          <w:szCs w:val="24"/>
          <w:highlight w:val="none"/>
        </w:rPr>
        <w:t>需求。</w:t>
      </w:r>
    </w:p>
    <w:p>
      <w:pPr>
        <w:spacing w:line="360" w:lineRule="auto"/>
        <w:rPr>
          <w:rFonts w:cs="宋体"/>
          <w:sz w:val="24"/>
          <w:highlight w:val="none"/>
        </w:rPr>
      </w:pPr>
      <w:r>
        <w:rPr>
          <w:rFonts w:hint="eastAsia" w:cs="宋体"/>
          <w:sz w:val="24"/>
          <w:highlight w:val="none"/>
        </w:rPr>
        <w:t>1.3作品及原始素材的保管</w:t>
      </w:r>
    </w:p>
    <w:p>
      <w:pPr>
        <w:spacing w:line="360" w:lineRule="auto"/>
        <w:ind w:firstLine="480" w:firstLineChars="200"/>
        <w:rPr>
          <w:rFonts w:cs="宋体"/>
          <w:sz w:val="24"/>
          <w:highlight w:val="none"/>
        </w:rPr>
      </w:pPr>
      <w:r>
        <w:rPr>
          <w:rFonts w:hint="eastAsia" w:cs="宋体"/>
          <w:sz w:val="24"/>
          <w:highlight w:val="none"/>
        </w:rPr>
        <w:t>课程制作完成后，公司需将作品及原始素材、工程文件等材料及时上交至学校相关人员及课程负责人。交付完成后，公司还需保留作品及原始素材不少于三个月时间。</w:t>
      </w:r>
    </w:p>
    <w:p>
      <w:pPr>
        <w:spacing w:line="360" w:lineRule="auto"/>
        <w:rPr>
          <w:rFonts w:cs="宋体"/>
          <w:sz w:val="24"/>
          <w:highlight w:val="none"/>
        </w:rPr>
      </w:pPr>
      <w:r>
        <w:rPr>
          <w:rFonts w:hint="eastAsia" w:cs="宋体"/>
          <w:sz w:val="24"/>
          <w:highlight w:val="none"/>
        </w:rPr>
        <w:t xml:space="preserve">1.4视、音频交付文件 </w:t>
      </w:r>
    </w:p>
    <w:p>
      <w:pPr>
        <w:spacing w:line="360" w:lineRule="auto"/>
        <w:rPr>
          <w:rFonts w:cs="宋体"/>
          <w:sz w:val="24"/>
          <w:highlight w:val="none"/>
        </w:rPr>
      </w:pPr>
      <w:bookmarkStart w:id="31" w:name="_Toc435540762"/>
      <w:r>
        <w:rPr>
          <w:rFonts w:hint="eastAsia" w:cs="宋体"/>
          <w:sz w:val="24"/>
          <w:highlight w:val="none"/>
        </w:rPr>
        <w:t>1、交付载体：所有视频文件刻录在DVD+R光盘或移动硬盘上，对刻录光盘要做封口处理。每张DVD+R光盘可以刻录多讲内容，并在盘面上注明光盘中的内容清单（标记学校名称、课程名称、节次及标题、主讲教师、时长等）。</w:t>
      </w:r>
    </w:p>
    <w:p>
      <w:pPr>
        <w:spacing w:line="360" w:lineRule="auto"/>
        <w:rPr>
          <w:rFonts w:cs="宋体"/>
          <w:sz w:val="24"/>
          <w:highlight w:val="none"/>
        </w:rPr>
      </w:pPr>
      <w:r>
        <w:rPr>
          <w:rFonts w:hint="eastAsia" w:cs="宋体"/>
          <w:sz w:val="24"/>
          <w:highlight w:val="none"/>
        </w:rPr>
        <w:t xml:space="preserve">2、视频压缩格式及技术参数 </w:t>
      </w:r>
    </w:p>
    <w:p>
      <w:pPr>
        <w:spacing w:line="360" w:lineRule="auto"/>
        <w:rPr>
          <w:rFonts w:cs="宋体"/>
          <w:sz w:val="24"/>
          <w:highlight w:val="none"/>
        </w:rPr>
      </w:pPr>
      <w:r>
        <w:rPr>
          <w:rFonts w:hint="eastAsia" w:cs="宋体"/>
          <w:sz w:val="24"/>
          <w:highlight w:val="none"/>
        </w:rPr>
        <w:t xml:space="preserve">①视频压缩采用H.264/AVC (MPEG-4 Part10)编码(包含中英文字幕)。 </w:t>
      </w:r>
    </w:p>
    <w:p>
      <w:pPr>
        <w:spacing w:line="360" w:lineRule="auto"/>
        <w:rPr>
          <w:rFonts w:cs="宋体"/>
          <w:sz w:val="24"/>
          <w:highlight w:val="none"/>
        </w:rPr>
      </w:pPr>
      <w:r>
        <w:rPr>
          <w:rFonts w:hint="eastAsia" w:cs="宋体"/>
          <w:sz w:val="24"/>
          <w:highlight w:val="none"/>
        </w:rPr>
        <w:t>②视频分辨率为1080p：画面尺寸设定为 1920×1080。</w:t>
      </w:r>
    </w:p>
    <w:p>
      <w:pPr>
        <w:spacing w:line="360" w:lineRule="auto"/>
        <w:rPr>
          <w:rFonts w:cs="宋体"/>
          <w:sz w:val="24"/>
          <w:highlight w:val="none"/>
        </w:rPr>
      </w:pPr>
      <w:r>
        <w:rPr>
          <w:rFonts w:hint="eastAsia" w:cs="宋体"/>
          <w:sz w:val="24"/>
          <w:highlight w:val="none"/>
        </w:rPr>
        <w:t>③视频画幅宽高比：采用高清16:9拍摄。</w:t>
      </w:r>
    </w:p>
    <w:p>
      <w:pPr>
        <w:spacing w:line="360" w:lineRule="auto"/>
        <w:rPr>
          <w:rFonts w:cs="宋体"/>
          <w:sz w:val="24"/>
          <w:highlight w:val="none"/>
        </w:rPr>
      </w:pPr>
      <w:r>
        <w:rPr>
          <w:rFonts w:hint="eastAsia" w:cs="宋体"/>
          <w:sz w:val="24"/>
          <w:highlight w:val="none"/>
        </w:rPr>
        <w:t>④视频帧率为25帧/秒 。</w:t>
      </w:r>
    </w:p>
    <w:p>
      <w:pPr>
        <w:spacing w:line="360" w:lineRule="auto"/>
        <w:rPr>
          <w:rFonts w:cs="宋体"/>
          <w:sz w:val="24"/>
          <w:highlight w:val="none"/>
        </w:rPr>
      </w:pPr>
      <w:r>
        <w:rPr>
          <w:rFonts w:hint="eastAsia" w:cs="宋体"/>
          <w:sz w:val="24"/>
          <w:highlight w:val="none"/>
        </w:rPr>
        <w:t>⑤扫描方式采用逐行扫描 。</w:t>
      </w:r>
    </w:p>
    <w:p>
      <w:pPr>
        <w:spacing w:line="360" w:lineRule="auto"/>
        <w:rPr>
          <w:rFonts w:cs="宋体"/>
          <w:sz w:val="24"/>
          <w:highlight w:val="none"/>
        </w:rPr>
      </w:pPr>
      <w:r>
        <w:rPr>
          <w:rFonts w:hint="eastAsia" w:cs="宋体"/>
          <w:sz w:val="24"/>
          <w:highlight w:val="none"/>
        </w:rPr>
        <w:t xml:space="preserve">3、音频压缩格式及技术参数 </w:t>
      </w:r>
    </w:p>
    <w:p>
      <w:pPr>
        <w:spacing w:line="360" w:lineRule="auto"/>
        <w:rPr>
          <w:rFonts w:cs="宋体"/>
          <w:sz w:val="24"/>
          <w:highlight w:val="none"/>
        </w:rPr>
      </w:pPr>
      <w:r>
        <w:rPr>
          <w:rFonts w:hint="eastAsia" w:cs="宋体"/>
          <w:sz w:val="24"/>
          <w:highlight w:val="none"/>
        </w:rPr>
        <w:t xml:space="preserve">①音频压缩采用AAC(MPEG4 Part3)格式。 </w:t>
      </w:r>
    </w:p>
    <w:p>
      <w:pPr>
        <w:spacing w:line="360" w:lineRule="auto"/>
        <w:rPr>
          <w:rFonts w:cs="宋体"/>
          <w:sz w:val="24"/>
          <w:highlight w:val="none"/>
        </w:rPr>
      </w:pPr>
      <w:r>
        <w:rPr>
          <w:rFonts w:hint="eastAsia" w:cs="宋体"/>
          <w:sz w:val="24"/>
          <w:highlight w:val="none"/>
        </w:rPr>
        <w:t xml:space="preserve">②采样率48KHz。 </w:t>
      </w:r>
    </w:p>
    <w:p>
      <w:pPr>
        <w:spacing w:line="360" w:lineRule="auto"/>
        <w:rPr>
          <w:rFonts w:cs="宋体"/>
          <w:sz w:val="24"/>
          <w:highlight w:val="none"/>
        </w:rPr>
      </w:pPr>
      <w:r>
        <w:rPr>
          <w:rFonts w:hint="eastAsia" w:cs="宋体"/>
          <w:sz w:val="24"/>
          <w:highlight w:val="none"/>
        </w:rPr>
        <w:t>③音频码流率128Kbps (恒定) 。</w:t>
      </w:r>
    </w:p>
    <w:p>
      <w:pPr>
        <w:spacing w:line="360" w:lineRule="auto"/>
        <w:rPr>
          <w:highlight w:val="none"/>
        </w:rPr>
        <w:sectPr>
          <w:pgSz w:w="11907" w:h="16840"/>
          <w:pgMar w:top="1247" w:right="1304" w:bottom="1021" w:left="1304" w:header="720" w:footer="720" w:gutter="0"/>
          <w:cols w:space="720" w:num="1"/>
          <w:docGrid w:linePitch="286" w:charSpace="0"/>
        </w:sectPr>
      </w:pPr>
      <w:r>
        <w:rPr>
          <w:rFonts w:hint="eastAsia" w:cs="宋体"/>
          <w:sz w:val="24"/>
          <w:highlight w:val="none"/>
        </w:rPr>
        <w:t>④必须是双声道，必须做混音、压限等优化音频的处理</w:t>
      </w:r>
      <w:bookmarkEnd w:id="31"/>
      <w:r>
        <w:rPr>
          <w:rFonts w:hint="eastAsia"/>
          <w:highlight w:val="none"/>
        </w:rPr>
        <w:t>。</w:t>
      </w:r>
    </w:p>
    <w:p>
      <w:pPr>
        <w:pStyle w:val="82"/>
        <w:ind w:firstLine="0" w:firstLineChars="0"/>
        <w:rPr>
          <w:rFonts w:ascii="宋体" w:hAnsi="宋体" w:cs="宋体"/>
          <w:b/>
          <w:highlight w:val="none"/>
        </w:rPr>
      </w:pPr>
      <w:r>
        <w:rPr>
          <w:rFonts w:hint="eastAsia" w:ascii="宋体" w:hAnsi="宋体" w:cs="宋体"/>
          <w:b/>
          <w:highlight w:val="none"/>
        </w:rPr>
        <w:t>三 、商务条款</w:t>
      </w:r>
    </w:p>
    <w:tbl>
      <w:tblPr>
        <w:tblStyle w:val="73"/>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53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项目</w:t>
            </w:r>
          </w:p>
        </w:tc>
        <w:tc>
          <w:tcPr>
            <w:tcW w:w="659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253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交付时间</w:t>
            </w:r>
          </w:p>
        </w:tc>
        <w:tc>
          <w:tcPr>
            <w:tcW w:w="6593" w:type="dxa"/>
            <w:vAlign w:val="center"/>
          </w:tcPr>
          <w:p>
            <w:pPr>
              <w:spacing w:line="360" w:lineRule="auto"/>
              <w:jc w:val="left"/>
              <w:rPr>
                <w:rFonts w:hint="eastAsia" w:ascii="宋体" w:hAnsi="宋体" w:cs="宋体"/>
                <w:bCs/>
                <w:sz w:val="24"/>
                <w:highlight w:val="none"/>
              </w:rPr>
            </w:pPr>
            <w:r>
              <w:rPr>
                <w:rFonts w:hint="eastAsia" w:ascii="宋体" w:hAnsi="宋体" w:cs="宋体"/>
                <w:bCs/>
                <w:sz w:val="24"/>
                <w:highlight w:val="none"/>
              </w:rPr>
              <w:t>合同签订后，2025年10月30日前完成交付每门课程300分钟课程拍摄与制作，2026年8月30日前完成交付每门课程600分钟课程数字人录制与制作。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253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验收</w:t>
            </w:r>
          </w:p>
        </w:tc>
        <w:tc>
          <w:tcPr>
            <w:tcW w:w="6593" w:type="dxa"/>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按照第三部分：</w:t>
            </w:r>
            <w:r>
              <w:rPr>
                <w:rFonts w:hint="eastAsia" w:ascii="宋体" w:hAnsi="宋体" w:cs="宋体"/>
                <w:sz w:val="24"/>
                <w:highlight w:val="none"/>
              </w:rPr>
              <w:t>服务、技术要求及其他要求验收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3</w:t>
            </w:r>
          </w:p>
        </w:tc>
        <w:tc>
          <w:tcPr>
            <w:tcW w:w="253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履约保证金</w:t>
            </w:r>
          </w:p>
        </w:tc>
        <w:tc>
          <w:tcPr>
            <w:tcW w:w="6593" w:type="dxa"/>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(1)履约保证金金额：合同总价的1%。</w:t>
            </w:r>
          </w:p>
          <w:p>
            <w:pPr>
              <w:spacing w:line="360" w:lineRule="auto"/>
              <w:jc w:val="left"/>
              <w:rPr>
                <w:rFonts w:ascii="宋体" w:hAnsi="宋体" w:cs="宋体"/>
                <w:bCs/>
                <w:sz w:val="24"/>
                <w:highlight w:val="none"/>
              </w:rPr>
            </w:pPr>
            <w:r>
              <w:rPr>
                <w:rFonts w:hint="eastAsia" w:ascii="宋体" w:hAnsi="宋体" w:cs="宋体"/>
                <w:bCs/>
                <w:sz w:val="24"/>
                <w:highlight w:val="none"/>
              </w:rPr>
              <w:t>(2)履约保证金形式：转账或银行、保险公司出具的保函形式。</w:t>
            </w:r>
          </w:p>
          <w:p>
            <w:pPr>
              <w:spacing w:line="360" w:lineRule="auto"/>
              <w:jc w:val="left"/>
              <w:rPr>
                <w:rFonts w:ascii="宋体" w:hAnsi="宋体" w:cs="宋体"/>
                <w:bCs/>
                <w:sz w:val="24"/>
                <w:highlight w:val="none"/>
              </w:rPr>
            </w:pPr>
            <w:r>
              <w:rPr>
                <w:rFonts w:hint="eastAsia" w:ascii="宋体" w:hAnsi="宋体" w:cs="宋体"/>
                <w:bCs/>
                <w:sz w:val="24"/>
                <w:highlight w:val="none"/>
              </w:rPr>
              <w:t>(3)履约保证金递交时间：合同签订后7个工作日内。</w:t>
            </w:r>
          </w:p>
          <w:p>
            <w:pPr>
              <w:spacing w:line="360" w:lineRule="auto"/>
              <w:jc w:val="left"/>
              <w:rPr>
                <w:rFonts w:ascii="宋体" w:hAnsi="宋体" w:cs="宋体"/>
                <w:bCs/>
                <w:sz w:val="24"/>
                <w:highlight w:val="none"/>
              </w:rPr>
            </w:pPr>
            <w:r>
              <w:rPr>
                <w:rFonts w:hint="eastAsia" w:ascii="宋体" w:hAnsi="宋体" w:cs="宋体"/>
                <w:bCs/>
                <w:sz w:val="24"/>
                <w:highlight w:val="none"/>
              </w:rPr>
              <w:t>(4)履约保证金退还时间：最终验收后。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4</w:t>
            </w:r>
          </w:p>
        </w:tc>
        <w:tc>
          <w:tcPr>
            <w:tcW w:w="253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付款方式</w:t>
            </w:r>
          </w:p>
        </w:tc>
        <w:tc>
          <w:tcPr>
            <w:tcW w:w="6593" w:type="dxa"/>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付款方法和条件：</w:t>
            </w:r>
          </w:p>
          <w:p>
            <w:pPr>
              <w:spacing w:line="360" w:lineRule="auto"/>
              <w:jc w:val="left"/>
              <w:rPr>
                <w:rFonts w:ascii="宋体" w:hAnsi="宋体" w:cs="宋体"/>
                <w:b/>
                <w:bCs/>
                <w:sz w:val="24"/>
                <w:highlight w:val="none"/>
              </w:rPr>
            </w:pPr>
            <w:r>
              <w:rPr>
                <w:rFonts w:hint="eastAsia" w:ascii="宋体" w:hAnsi="宋体" w:cs="宋体"/>
                <w:b/>
                <w:bCs/>
                <w:sz w:val="24"/>
                <w:highlight w:val="none"/>
              </w:rPr>
              <w:t>付款条件：通过验收(初验和终验)。</w:t>
            </w:r>
          </w:p>
          <w:p>
            <w:pPr>
              <w:spacing w:line="360" w:lineRule="auto"/>
              <w:jc w:val="left"/>
              <w:rPr>
                <w:rFonts w:ascii="宋体" w:hAnsi="宋体" w:cs="宋体"/>
                <w:bCs/>
                <w:sz w:val="24"/>
                <w:highlight w:val="none"/>
              </w:rPr>
            </w:pPr>
            <w:r>
              <w:rPr>
                <w:rFonts w:hint="eastAsia" w:ascii="宋体" w:hAnsi="宋体" w:cs="宋体"/>
                <w:bCs/>
                <w:sz w:val="24"/>
                <w:highlight w:val="none"/>
              </w:rPr>
              <w:t>付款方式：合同生效具备实施条件，供应商完成课程拍摄内容后，7个工作日内，采购人向供应商支付合同总金额40%的预付款（供应商需提交银行、保险公司等金融机构出具的预付款保函或其他担保措施。供应商在签订合同时，表示无需预付款或主动要求降低预付款比例的，可不适用本条款）；安装调试完毕并验收通过后，采购人支付中标人合同总价的60%。每次付款前，中标人应开具正规、足额的发票，否则甲方有权拒绝付款。</w:t>
            </w:r>
          </w:p>
          <w:p>
            <w:pPr>
              <w:spacing w:line="360" w:lineRule="auto"/>
              <w:ind w:firstLine="480" w:firstLineChars="200"/>
              <w:jc w:val="left"/>
              <w:rPr>
                <w:rFonts w:ascii="宋体" w:hAnsi="宋体" w:cs="宋体"/>
                <w:bCs/>
                <w:sz w:val="24"/>
                <w:highlight w:val="none"/>
              </w:rPr>
            </w:pPr>
            <w:r>
              <w:rPr>
                <w:rFonts w:ascii="宋体" w:hAnsi="宋体" w:cs="宋体"/>
                <w:sz w:val="24"/>
                <w:highlight w:val="none"/>
              </w:rPr>
              <w:t>采购人为实行国库集中支付改革的单位，采购人需向财政国库支付机构提出申请支付令、办理国库支付手续，财政国库支付机构支付流程时间不计入采购人付款期限。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5</w:t>
            </w:r>
          </w:p>
        </w:tc>
        <w:tc>
          <w:tcPr>
            <w:tcW w:w="2533"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违约责任</w:t>
            </w:r>
          </w:p>
        </w:tc>
        <w:tc>
          <w:tcPr>
            <w:tcW w:w="6593" w:type="dxa"/>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1、中标人逾期履行合同的，自逾期之日起，向采购人每日偿付合同总价千分之二的滞纳金；中标人逾期10日不能交货的，视为中标人不能交货，采购人有权解除合同，中标人应承担违约责任，应向采购人支付合同总价百分之五的违约金。</w:t>
            </w:r>
          </w:p>
          <w:p>
            <w:pPr>
              <w:spacing w:line="360" w:lineRule="auto"/>
              <w:jc w:val="left"/>
              <w:rPr>
                <w:rFonts w:ascii="宋体" w:hAnsi="宋体" w:cs="宋体"/>
                <w:bCs/>
                <w:sz w:val="24"/>
                <w:highlight w:val="none"/>
              </w:rPr>
            </w:pPr>
            <w:r>
              <w:rPr>
                <w:rFonts w:hint="eastAsia" w:ascii="宋体" w:hAnsi="宋体" w:cs="宋体"/>
                <w:bCs/>
                <w:sz w:val="24"/>
                <w:highlight w:val="none"/>
              </w:rPr>
              <w:t>2、中标人放弃中标、中标资格导致重新采购的，应当承担支付代理费和专家评审费等费用在内的赔偿责任。</w:t>
            </w:r>
          </w:p>
        </w:tc>
      </w:tr>
    </w:tbl>
    <w:p>
      <w:pPr>
        <w:pStyle w:val="15"/>
        <w:rPr>
          <w:rFonts w:hAnsi="宋体" w:cs="宋体"/>
          <w:highlight w:val="none"/>
        </w:rPr>
      </w:pPr>
    </w:p>
    <w:p>
      <w:pPr>
        <w:jc w:val="left"/>
        <w:rPr>
          <w:rFonts w:ascii="宋体" w:hAnsi="宋体" w:cs="宋体"/>
          <w:b/>
          <w:sz w:val="36"/>
          <w:szCs w:val="36"/>
          <w:highlight w:val="none"/>
        </w:rPr>
      </w:pPr>
      <w:bookmarkStart w:id="32" w:name="_Toc20244"/>
      <w:r>
        <w:rPr>
          <w:rFonts w:hint="eastAsia" w:ascii="宋体" w:hAnsi="宋体" w:cs="宋体"/>
          <w:b/>
          <w:sz w:val="36"/>
          <w:szCs w:val="36"/>
          <w:highlight w:val="none"/>
        </w:rPr>
        <w:br w:type="page"/>
      </w:r>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3" w:name="_Toc184310331"/>
      <w:bookmarkEnd w:id="33"/>
      <w:bookmarkStart w:id="34" w:name="_Toc184308102"/>
      <w:bookmarkEnd w:id="34"/>
      <w:bookmarkStart w:id="35" w:name="_Toc184312082"/>
      <w:bookmarkEnd w:id="35"/>
      <w:bookmarkStart w:id="36" w:name="_Toc184310326"/>
      <w:bookmarkEnd w:id="36"/>
      <w:bookmarkStart w:id="37" w:name="_Toc184314458"/>
      <w:bookmarkEnd w:id="37"/>
      <w:bookmarkStart w:id="38" w:name="_Toc184314419"/>
      <w:bookmarkEnd w:id="38"/>
      <w:bookmarkStart w:id="39" w:name="_Toc184314479"/>
      <w:bookmarkEnd w:id="39"/>
      <w:bookmarkStart w:id="40" w:name="_Toc184313256"/>
      <w:bookmarkEnd w:id="40"/>
      <w:bookmarkStart w:id="41" w:name="_Toc184310344"/>
      <w:bookmarkEnd w:id="41"/>
      <w:bookmarkStart w:id="42" w:name="_Toc184312091"/>
      <w:bookmarkEnd w:id="42"/>
      <w:bookmarkStart w:id="43" w:name="_Toc184312115"/>
      <w:bookmarkEnd w:id="43"/>
      <w:bookmarkStart w:id="44" w:name="_Toc184314472"/>
      <w:bookmarkEnd w:id="44"/>
      <w:bookmarkStart w:id="45" w:name="_Toc184310291"/>
      <w:bookmarkEnd w:id="45"/>
      <w:bookmarkStart w:id="46" w:name="_Toc184310276"/>
      <w:bookmarkEnd w:id="46"/>
      <w:bookmarkStart w:id="47" w:name="_Toc184312139"/>
      <w:bookmarkEnd w:id="47"/>
      <w:bookmarkStart w:id="48" w:name="_Toc184310330"/>
      <w:bookmarkEnd w:id="48"/>
      <w:bookmarkStart w:id="49" w:name="_Toc184312099"/>
      <w:bookmarkEnd w:id="49"/>
      <w:bookmarkStart w:id="50" w:name="_Toc184310332"/>
      <w:bookmarkEnd w:id="50"/>
      <w:bookmarkStart w:id="51" w:name="_Toc184310293"/>
      <w:bookmarkEnd w:id="51"/>
      <w:bookmarkStart w:id="52" w:name="_Toc184314418"/>
      <w:bookmarkEnd w:id="52"/>
      <w:bookmarkStart w:id="53" w:name="_Toc184313281"/>
      <w:bookmarkEnd w:id="53"/>
      <w:bookmarkStart w:id="54" w:name="_Toc184308069"/>
      <w:bookmarkEnd w:id="54"/>
      <w:bookmarkStart w:id="55" w:name="_Toc184308101"/>
      <w:bookmarkEnd w:id="55"/>
      <w:bookmarkStart w:id="56" w:name="_Toc184314437"/>
      <w:bookmarkEnd w:id="56"/>
      <w:bookmarkStart w:id="57" w:name="_Toc184310283"/>
      <w:bookmarkEnd w:id="57"/>
      <w:bookmarkStart w:id="58" w:name="_Toc184310303"/>
      <w:bookmarkEnd w:id="58"/>
      <w:bookmarkStart w:id="59" w:name="_Toc184314468"/>
      <w:bookmarkEnd w:id="59"/>
      <w:bookmarkStart w:id="60" w:name="_Toc184314453"/>
      <w:bookmarkEnd w:id="60"/>
      <w:bookmarkStart w:id="61" w:name="_Toc184314434"/>
      <w:bookmarkEnd w:id="61"/>
      <w:bookmarkStart w:id="62" w:name="_Toc184314444"/>
      <w:bookmarkEnd w:id="62"/>
      <w:bookmarkStart w:id="63" w:name="_Toc184308042"/>
      <w:bookmarkEnd w:id="63"/>
      <w:bookmarkStart w:id="64" w:name="_Toc184308087"/>
      <w:bookmarkEnd w:id="64"/>
      <w:bookmarkStart w:id="65" w:name="_Toc184313240"/>
      <w:bookmarkEnd w:id="65"/>
      <w:bookmarkStart w:id="66" w:name="_Toc184312138"/>
      <w:bookmarkEnd w:id="66"/>
      <w:bookmarkStart w:id="67" w:name="_Toc184314438"/>
      <w:bookmarkEnd w:id="67"/>
      <w:bookmarkStart w:id="68" w:name="_Toc184313262"/>
      <w:bookmarkEnd w:id="68"/>
      <w:bookmarkStart w:id="69" w:name="_Toc184314465"/>
      <w:bookmarkEnd w:id="69"/>
      <w:bookmarkStart w:id="70" w:name="_Toc184314413"/>
      <w:bookmarkEnd w:id="70"/>
      <w:bookmarkStart w:id="71" w:name="_Toc184308098"/>
      <w:bookmarkEnd w:id="71"/>
      <w:bookmarkStart w:id="72" w:name="_Toc184314466"/>
      <w:bookmarkEnd w:id="72"/>
      <w:bookmarkStart w:id="73" w:name="_Toc184313300"/>
      <w:bookmarkEnd w:id="73"/>
      <w:bookmarkStart w:id="74" w:name="_Toc184312119"/>
      <w:bookmarkEnd w:id="74"/>
      <w:bookmarkStart w:id="75" w:name="_Toc184308041"/>
      <w:bookmarkEnd w:id="75"/>
      <w:bookmarkStart w:id="76" w:name="_Toc184313304"/>
      <w:bookmarkEnd w:id="76"/>
      <w:bookmarkStart w:id="77" w:name="_Toc184314426"/>
      <w:bookmarkEnd w:id="77"/>
      <w:bookmarkStart w:id="78" w:name="_Toc184313278"/>
      <w:bookmarkEnd w:id="78"/>
      <w:bookmarkStart w:id="79" w:name="_Toc184310292"/>
      <w:bookmarkEnd w:id="79"/>
      <w:bookmarkStart w:id="80" w:name="_Toc184313254"/>
      <w:bookmarkEnd w:id="80"/>
      <w:bookmarkStart w:id="81" w:name="_Toc184314461"/>
      <w:bookmarkEnd w:id="81"/>
      <w:bookmarkStart w:id="82" w:name="_Toc184313259"/>
      <w:bookmarkEnd w:id="82"/>
      <w:bookmarkStart w:id="83" w:name="_Toc184310285"/>
      <w:bookmarkEnd w:id="83"/>
      <w:bookmarkStart w:id="84" w:name="_Toc184308057"/>
      <w:bookmarkEnd w:id="84"/>
      <w:bookmarkStart w:id="85" w:name="_Toc184314443"/>
      <w:bookmarkEnd w:id="85"/>
      <w:bookmarkStart w:id="86" w:name="_Toc184314450"/>
      <w:bookmarkEnd w:id="86"/>
      <w:bookmarkStart w:id="87" w:name="_Toc184308086"/>
      <w:bookmarkEnd w:id="87"/>
      <w:bookmarkStart w:id="88" w:name="_Toc184314441"/>
      <w:bookmarkEnd w:id="88"/>
      <w:bookmarkStart w:id="89" w:name="_Toc184313286"/>
      <w:bookmarkEnd w:id="89"/>
      <w:bookmarkStart w:id="90" w:name="_Toc184308085"/>
      <w:bookmarkEnd w:id="90"/>
      <w:bookmarkStart w:id="91" w:name="_Toc184308065"/>
      <w:bookmarkEnd w:id="91"/>
      <w:bookmarkStart w:id="92" w:name="_Toc184312077"/>
      <w:bookmarkEnd w:id="92"/>
      <w:bookmarkStart w:id="93" w:name="_Toc184310277"/>
      <w:bookmarkEnd w:id="93"/>
      <w:bookmarkStart w:id="94" w:name="_Toc184312100"/>
      <w:bookmarkEnd w:id="94"/>
      <w:bookmarkStart w:id="95" w:name="_Toc184313309"/>
      <w:bookmarkEnd w:id="95"/>
      <w:bookmarkStart w:id="96" w:name="_Toc184308091"/>
      <w:bookmarkEnd w:id="96"/>
      <w:bookmarkStart w:id="97" w:name="_Toc184312067"/>
      <w:bookmarkEnd w:id="97"/>
      <w:bookmarkStart w:id="98" w:name="_Toc184312070"/>
      <w:bookmarkEnd w:id="98"/>
      <w:bookmarkStart w:id="99" w:name="_Toc184310274"/>
      <w:bookmarkEnd w:id="99"/>
      <w:bookmarkStart w:id="100" w:name="_Toc184310279"/>
      <w:bookmarkEnd w:id="100"/>
      <w:bookmarkStart w:id="101" w:name="_Toc184308105"/>
      <w:bookmarkEnd w:id="101"/>
      <w:bookmarkStart w:id="102" w:name="_Toc184313263"/>
      <w:bookmarkEnd w:id="102"/>
      <w:bookmarkStart w:id="103" w:name="_Toc184314459"/>
      <w:bookmarkEnd w:id="103"/>
      <w:bookmarkStart w:id="104" w:name="_Toc184308066"/>
      <w:bookmarkEnd w:id="104"/>
      <w:bookmarkStart w:id="105" w:name="_Toc184312074"/>
      <w:bookmarkEnd w:id="105"/>
      <w:bookmarkStart w:id="106" w:name="_Toc184312068"/>
      <w:bookmarkEnd w:id="106"/>
      <w:bookmarkStart w:id="107" w:name="_Toc184310307"/>
      <w:bookmarkEnd w:id="107"/>
      <w:bookmarkStart w:id="108" w:name="_Toc184313273"/>
      <w:bookmarkEnd w:id="108"/>
      <w:bookmarkStart w:id="109" w:name="_Toc184313297"/>
      <w:bookmarkEnd w:id="109"/>
      <w:bookmarkStart w:id="110" w:name="_Toc184312118"/>
      <w:bookmarkEnd w:id="110"/>
      <w:bookmarkStart w:id="111" w:name="_Toc184308081"/>
      <w:bookmarkEnd w:id="111"/>
      <w:bookmarkStart w:id="112" w:name="_Toc184313280"/>
      <w:bookmarkEnd w:id="112"/>
      <w:bookmarkStart w:id="113" w:name="_Toc184312092"/>
      <w:bookmarkEnd w:id="113"/>
      <w:bookmarkStart w:id="114" w:name="_Toc184314478"/>
      <w:bookmarkEnd w:id="114"/>
      <w:bookmarkStart w:id="115" w:name="_Toc184308092"/>
      <w:bookmarkEnd w:id="115"/>
      <w:bookmarkStart w:id="116" w:name="_Toc184312098"/>
      <w:bookmarkEnd w:id="116"/>
      <w:bookmarkStart w:id="117" w:name="_Toc184308055"/>
      <w:bookmarkEnd w:id="117"/>
      <w:bookmarkStart w:id="118" w:name="_Toc184308036"/>
      <w:bookmarkEnd w:id="118"/>
      <w:bookmarkStart w:id="119" w:name="_Toc184308103"/>
      <w:bookmarkEnd w:id="119"/>
      <w:bookmarkStart w:id="120" w:name="_Toc184313267"/>
      <w:bookmarkEnd w:id="120"/>
      <w:bookmarkStart w:id="121" w:name="_Toc184314439"/>
      <w:bookmarkEnd w:id="121"/>
      <w:bookmarkStart w:id="122" w:name="_Toc184310336"/>
      <w:bookmarkEnd w:id="122"/>
      <w:bookmarkStart w:id="123" w:name="_Toc184310311"/>
      <w:bookmarkEnd w:id="123"/>
      <w:bookmarkStart w:id="124" w:name="_Toc184310320"/>
      <w:bookmarkEnd w:id="124"/>
      <w:bookmarkStart w:id="125" w:name="_Toc184308082"/>
      <w:bookmarkEnd w:id="125"/>
      <w:bookmarkStart w:id="126" w:name="_Toc184312106"/>
      <w:bookmarkEnd w:id="126"/>
      <w:bookmarkStart w:id="127" w:name="_Toc184314431"/>
      <w:bookmarkEnd w:id="127"/>
      <w:bookmarkStart w:id="128" w:name="_Toc184313253"/>
      <w:bookmarkEnd w:id="128"/>
      <w:bookmarkStart w:id="129" w:name="_Toc184313277"/>
      <w:bookmarkEnd w:id="129"/>
      <w:bookmarkStart w:id="130" w:name="_Toc184313302"/>
      <w:bookmarkEnd w:id="130"/>
      <w:bookmarkStart w:id="131" w:name="_Toc184310321"/>
      <w:bookmarkEnd w:id="131"/>
      <w:bookmarkStart w:id="132" w:name="_Toc184314447"/>
      <w:bookmarkEnd w:id="132"/>
      <w:bookmarkStart w:id="133" w:name="_Toc184308072"/>
      <w:bookmarkEnd w:id="133"/>
      <w:bookmarkStart w:id="134" w:name="_Toc184313274"/>
      <w:bookmarkEnd w:id="134"/>
      <w:bookmarkStart w:id="135" w:name="_Toc184310286"/>
      <w:bookmarkEnd w:id="135"/>
      <w:bookmarkStart w:id="136" w:name="_Toc184308090"/>
      <w:bookmarkEnd w:id="136"/>
      <w:bookmarkStart w:id="137" w:name="_Toc184308040"/>
      <w:bookmarkEnd w:id="137"/>
      <w:bookmarkStart w:id="138" w:name="_Toc184308058"/>
      <w:bookmarkEnd w:id="138"/>
      <w:bookmarkStart w:id="139" w:name="_Toc184312126"/>
      <w:bookmarkEnd w:id="139"/>
      <w:bookmarkStart w:id="140" w:name="_Toc184308071"/>
      <w:bookmarkEnd w:id="140"/>
      <w:bookmarkStart w:id="141" w:name="_Toc184314454"/>
      <w:bookmarkEnd w:id="141"/>
      <w:bookmarkStart w:id="142" w:name="_Toc184313308"/>
      <w:bookmarkEnd w:id="142"/>
      <w:bookmarkStart w:id="143" w:name="_Toc184313241"/>
      <w:bookmarkEnd w:id="143"/>
      <w:bookmarkStart w:id="144" w:name="_Toc184314477"/>
      <w:bookmarkEnd w:id="144"/>
      <w:bookmarkStart w:id="145" w:name="_Toc184313255"/>
      <w:bookmarkEnd w:id="145"/>
      <w:bookmarkStart w:id="146" w:name="_Toc184314427"/>
      <w:bookmarkEnd w:id="146"/>
      <w:bookmarkStart w:id="147" w:name="_Toc184310342"/>
      <w:bookmarkEnd w:id="147"/>
      <w:bookmarkStart w:id="148" w:name="_Toc184312085"/>
      <w:bookmarkEnd w:id="148"/>
      <w:bookmarkStart w:id="149" w:name="_Toc184310302"/>
      <w:bookmarkEnd w:id="149"/>
      <w:bookmarkStart w:id="150" w:name="_Toc184310287"/>
      <w:bookmarkEnd w:id="150"/>
      <w:bookmarkStart w:id="151" w:name="_Toc184314415"/>
      <w:bookmarkEnd w:id="151"/>
      <w:bookmarkStart w:id="152" w:name="_Toc184313306"/>
      <w:bookmarkEnd w:id="152"/>
      <w:bookmarkStart w:id="153" w:name="_Toc184312069"/>
      <w:bookmarkEnd w:id="153"/>
      <w:bookmarkStart w:id="154" w:name="_Toc184312080"/>
      <w:bookmarkEnd w:id="154"/>
      <w:bookmarkStart w:id="155" w:name="_Toc184308051"/>
      <w:bookmarkEnd w:id="155"/>
      <w:bookmarkStart w:id="156" w:name="_Toc184313248"/>
      <w:bookmarkEnd w:id="156"/>
      <w:bookmarkStart w:id="157" w:name="_Toc184314417"/>
      <w:bookmarkEnd w:id="157"/>
      <w:bookmarkStart w:id="158" w:name="_Toc184308074"/>
      <w:bookmarkEnd w:id="158"/>
      <w:bookmarkStart w:id="159" w:name="_Toc184314440"/>
      <w:bookmarkEnd w:id="159"/>
      <w:bookmarkStart w:id="160" w:name="_Toc184313238"/>
      <w:bookmarkEnd w:id="160"/>
      <w:bookmarkStart w:id="161" w:name="_Toc184313264"/>
      <w:bookmarkEnd w:id="161"/>
      <w:bookmarkStart w:id="162" w:name="_Toc184313266"/>
      <w:bookmarkEnd w:id="162"/>
      <w:bookmarkStart w:id="163" w:name="_Toc184313287"/>
      <w:bookmarkEnd w:id="163"/>
      <w:bookmarkStart w:id="164" w:name="_Toc184310339"/>
      <w:bookmarkEnd w:id="164"/>
      <w:bookmarkStart w:id="165" w:name="_Toc184312103"/>
      <w:bookmarkEnd w:id="165"/>
      <w:bookmarkStart w:id="166" w:name="_Toc184313261"/>
      <w:bookmarkEnd w:id="166"/>
      <w:bookmarkStart w:id="167" w:name="_Toc184312113"/>
      <w:bookmarkEnd w:id="167"/>
      <w:bookmarkStart w:id="168" w:name="_Toc184314435"/>
      <w:bookmarkEnd w:id="168"/>
      <w:bookmarkStart w:id="169" w:name="_Toc184312084"/>
      <w:bookmarkEnd w:id="169"/>
      <w:bookmarkStart w:id="170" w:name="_Toc184314430"/>
      <w:bookmarkEnd w:id="170"/>
      <w:bookmarkStart w:id="171" w:name="_Toc184308045"/>
      <w:bookmarkEnd w:id="171"/>
      <w:bookmarkStart w:id="172" w:name="_Toc184313242"/>
      <w:bookmarkEnd w:id="172"/>
      <w:bookmarkStart w:id="173" w:name="_Toc184310308"/>
      <w:bookmarkEnd w:id="173"/>
      <w:bookmarkStart w:id="174" w:name="_Toc184312105"/>
      <w:bookmarkEnd w:id="174"/>
      <w:bookmarkStart w:id="175" w:name="_Toc184314424"/>
      <w:bookmarkEnd w:id="175"/>
      <w:bookmarkStart w:id="176" w:name="_Toc184312131"/>
      <w:bookmarkEnd w:id="176"/>
      <w:bookmarkStart w:id="177" w:name="_Toc184314476"/>
      <w:bookmarkEnd w:id="177"/>
      <w:bookmarkStart w:id="178" w:name="_Toc184313244"/>
      <w:bookmarkEnd w:id="178"/>
      <w:bookmarkStart w:id="179" w:name="_Toc184312101"/>
      <w:bookmarkEnd w:id="179"/>
      <w:bookmarkStart w:id="180" w:name="_Toc184312073"/>
      <w:bookmarkEnd w:id="180"/>
      <w:bookmarkStart w:id="181" w:name="_Toc184314481"/>
      <w:bookmarkEnd w:id="181"/>
      <w:bookmarkStart w:id="182" w:name="_Toc184310280"/>
      <w:bookmarkEnd w:id="182"/>
      <w:bookmarkStart w:id="183" w:name="_Toc184308053"/>
      <w:bookmarkEnd w:id="183"/>
      <w:bookmarkStart w:id="184" w:name="_Toc184314442"/>
      <w:bookmarkEnd w:id="184"/>
      <w:bookmarkStart w:id="185" w:name="_Toc184313294"/>
      <w:bookmarkEnd w:id="185"/>
      <w:bookmarkStart w:id="186" w:name="_Toc184310273"/>
      <w:bookmarkEnd w:id="186"/>
      <w:bookmarkStart w:id="187" w:name="_Toc184310317"/>
      <w:bookmarkEnd w:id="187"/>
      <w:bookmarkStart w:id="188" w:name="_Toc184310322"/>
      <w:bookmarkEnd w:id="188"/>
      <w:bookmarkStart w:id="189" w:name="_Toc184313303"/>
      <w:bookmarkEnd w:id="189"/>
      <w:bookmarkStart w:id="190" w:name="_Toc184310338"/>
      <w:bookmarkEnd w:id="190"/>
      <w:bookmarkStart w:id="191" w:name="_Toc184312111"/>
      <w:bookmarkEnd w:id="191"/>
      <w:bookmarkStart w:id="192" w:name="_Toc184310334"/>
      <w:bookmarkEnd w:id="192"/>
      <w:bookmarkStart w:id="193" w:name="_Toc184312109"/>
      <w:bookmarkEnd w:id="193"/>
      <w:bookmarkStart w:id="194" w:name="_Toc184312129"/>
      <w:bookmarkEnd w:id="194"/>
      <w:bookmarkStart w:id="195" w:name="_Toc184310284"/>
      <w:bookmarkEnd w:id="195"/>
      <w:bookmarkStart w:id="196" w:name="_Toc184308044"/>
      <w:bookmarkEnd w:id="196"/>
      <w:bookmarkStart w:id="197" w:name="_Toc184310323"/>
      <w:bookmarkEnd w:id="197"/>
      <w:bookmarkStart w:id="198" w:name="_Toc184308049"/>
      <w:bookmarkEnd w:id="198"/>
      <w:bookmarkStart w:id="199" w:name="_Toc184310294"/>
      <w:bookmarkEnd w:id="199"/>
      <w:bookmarkStart w:id="200" w:name="_Toc184308089"/>
      <w:bookmarkEnd w:id="200"/>
      <w:bookmarkStart w:id="201" w:name="_Toc184310288"/>
      <w:bookmarkEnd w:id="201"/>
      <w:bookmarkStart w:id="202" w:name="_Toc184310313"/>
      <w:bookmarkEnd w:id="202"/>
      <w:bookmarkStart w:id="203" w:name="_Toc184313298"/>
      <w:bookmarkEnd w:id="203"/>
      <w:bookmarkStart w:id="204" w:name="_Toc184312076"/>
      <w:bookmarkEnd w:id="204"/>
      <w:bookmarkStart w:id="205" w:name="_Toc184310340"/>
      <w:bookmarkEnd w:id="205"/>
      <w:bookmarkStart w:id="206" w:name="_Toc184312097"/>
      <w:bookmarkEnd w:id="206"/>
      <w:bookmarkStart w:id="207" w:name="_Toc184314460"/>
      <w:bookmarkEnd w:id="207"/>
      <w:bookmarkStart w:id="208" w:name="_Toc184314416"/>
      <w:bookmarkEnd w:id="208"/>
      <w:bookmarkStart w:id="209" w:name="_Toc184314410"/>
      <w:bookmarkEnd w:id="209"/>
      <w:bookmarkStart w:id="210" w:name="_Toc184308093"/>
      <w:bookmarkEnd w:id="210"/>
      <w:bookmarkStart w:id="211" w:name="_Toc184312124"/>
      <w:bookmarkEnd w:id="211"/>
      <w:bookmarkStart w:id="212" w:name="_Toc184312072"/>
      <w:bookmarkEnd w:id="212"/>
      <w:bookmarkStart w:id="213" w:name="_Toc184314474"/>
      <w:bookmarkEnd w:id="213"/>
      <w:bookmarkStart w:id="214" w:name="_Toc184312095"/>
      <w:bookmarkEnd w:id="214"/>
      <w:bookmarkStart w:id="215" w:name="_Toc184308063"/>
      <w:bookmarkEnd w:id="215"/>
      <w:bookmarkStart w:id="216" w:name="_Toc184314429"/>
      <w:bookmarkEnd w:id="216"/>
      <w:bookmarkStart w:id="217" w:name="_Toc184313252"/>
      <w:bookmarkEnd w:id="217"/>
      <w:bookmarkStart w:id="218" w:name="_Toc184308037"/>
      <w:bookmarkEnd w:id="218"/>
      <w:bookmarkStart w:id="219" w:name="_Toc184308107"/>
      <w:bookmarkEnd w:id="219"/>
      <w:bookmarkStart w:id="220" w:name="_Toc184310272"/>
      <w:bookmarkEnd w:id="220"/>
      <w:bookmarkStart w:id="221" w:name="_Toc184313290"/>
      <w:bookmarkEnd w:id="221"/>
      <w:bookmarkStart w:id="222" w:name="_Toc184313283"/>
      <w:bookmarkEnd w:id="222"/>
      <w:bookmarkStart w:id="223" w:name="_Toc184308099"/>
      <w:bookmarkEnd w:id="223"/>
      <w:bookmarkStart w:id="224" w:name="_Toc184314448"/>
      <w:bookmarkEnd w:id="224"/>
      <w:bookmarkStart w:id="225" w:name="_Toc184312104"/>
      <w:bookmarkEnd w:id="225"/>
      <w:bookmarkStart w:id="226" w:name="_Toc184310318"/>
      <w:bookmarkEnd w:id="226"/>
      <w:bookmarkStart w:id="227" w:name="_Toc184313260"/>
      <w:bookmarkEnd w:id="227"/>
      <w:bookmarkStart w:id="228" w:name="_Toc184313257"/>
      <w:bookmarkEnd w:id="228"/>
      <w:bookmarkStart w:id="229" w:name="_Toc184308094"/>
      <w:bookmarkEnd w:id="229"/>
      <w:bookmarkStart w:id="230" w:name="_Toc184313269"/>
      <w:bookmarkEnd w:id="230"/>
      <w:bookmarkStart w:id="231" w:name="_Toc184314467"/>
      <w:bookmarkEnd w:id="231"/>
      <w:bookmarkStart w:id="232" w:name="_Toc184313305"/>
      <w:bookmarkEnd w:id="232"/>
      <w:bookmarkStart w:id="233" w:name="_Toc184314420"/>
      <w:bookmarkEnd w:id="233"/>
      <w:bookmarkStart w:id="234" w:name="_Toc184310301"/>
      <w:bookmarkEnd w:id="234"/>
      <w:bookmarkStart w:id="235" w:name="_Toc184310310"/>
      <w:bookmarkEnd w:id="235"/>
      <w:bookmarkStart w:id="236" w:name="_Toc184310335"/>
      <w:bookmarkEnd w:id="236"/>
      <w:bookmarkStart w:id="237" w:name="_Toc184313285"/>
      <w:bookmarkEnd w:id="237"/>
      <w:bookmarkStart w:id="238" w:name="_Toc184308079"/>
      <w:bookmarkEnd w:id="238"/>
      <w:bookmarkStart w:id="239" w:name="_Toc184310327"/>
      <w:bookmarkEnd w:id="239"/>
      <w:bookmarkStart w:id="240" w:name="_Toc184314421"/>
      <w:bookmarkEnd w:id="240"/>
      <w:bookmarkStart w:id="241" w:name="_Toc184314464"/>
      <w:bookmarkEnd w:id="241"/>
      <w:bookmarkStart w:id="242" w:name="_Toc184310337"/>
      <w:bookmarkEnd w:id="242"/>
      <w:bookmarkStart w:id="243" w:name="_Toc184308039"/>
      <w:bookmarkEnd w:id="243"/>
      <w:bookmarkStart w:id="244" w:name="_Toc184308073"/>
      <w:bookmarkEnd w:id="244"/>
      <w:bookmarkStart w:id="245" w:name="_Toc184312087"/>
      <w:bookmarkEnd w:id="245"/>
      <w:bookmarkStart w:id="246" w:name="_Toc184308050"/>
      <w:bookmarkEnd w:id="246"/>
      <w:bookmarkStart w:id="247" w:name="_Toc184308061"/>
      <w:bookmarkEnd w:id="247"/>
      <w:bookmarkStart w:id="248" w:name="_Toc184314449"/>
      <w:bookmarkEnd w:id="248"/>
      <w:bookmarkStart w:id="249" w:name="_Toc184310325"/>
      <w:bookmarkEnd w:id="249"/>
      <w:bookmarkStart w:id="250" w:name="_Toc184308078"/>
      <w:bookmarkEnd w:id="250"/>
      <w:bookmarkStart w:id="251" w:name="_Toc184312086"/>
      <w:bookmarkEnd w:id="251"/>
      <w:bookmarkStart w:id="252" w:name="_Toc184310299"/>
      <w:bookmarkEnd w:id="252"/>
      <w:bookmarkStart w:id="253" w:name="_Toc184310282"/>
      <w:bookmarkEnd w:id="253"/>
      <w:bookmarkStart w:id="254" w:name="_Toc184314422"/>
      <w:bookmarkEnd w:id="254"/>
      <w:bookmarkStart w:id="255" w:name="_Toc184312125"/>
      <w:bookmarkEnd w:id="255"/>
      <w:bookmarkStart w:id="256" w:name="_Toc184308064"/>
      <w:bookmarkEnd w:id="256"/>
      <w:bookmarkStart w:id="257" w:name="_Toc184313299"/>
      <w:bookmarkEnd w:id="257"/>
      <w:bookmarkStart w:id="258" w:name="_Toc184308047"/>
      <w:bookmarkEnd w:id="258"/>
      <w:bookmarkStart w:id="259" w:name="_Toc184312112"/>
      <w:bookmarkEnd w:id="259"/>
      <w:bookmarkStart w:id="260" w:name="_Toc184308080"/>
      <w:bookmarkEnd w:id="260"/>
      <w:bookmarkStart w:id="261" w:name="_Toc184312122"/>
      <w:bookmarkEnd w:id="261"/>
      <w:bookmarkStart w:id="262" w:name="_Toc184308108"/>
      <w:bookmarkEnd w:id="262"/>
      <w:bookmarkStart w:id="263" w:name="_Toc184312093"/>
      <w:bookmarkEnd w:id="263"/>
      <w:bookmarkStart w:id="264" w:name="_Toc184313279"/>
      <w:bookmarkEnd w:id="264"/>
      <w:bookmarkStart w:id="265" w:name="_Toc184312114"/>
      <w:bookmarkEnd w:id="265"/>
      <w:bookmarkStart w:id="266" w:name="_Toc184314451"/>
      <w:bookmarkEnd w:id="266"/>
      <w:bookmarkStart w:id="267" w:name="_Toc184313271"/>
      <w:bookmarkEnd w:id="267"/>
      <w:bookmarkStart w:id="268" w:name="_Toc184312102"/>
      <w:bookmarkEnd w:id="268"/>
      <w:bookmarkStart w:id="269" w:name="_Toc184312096"/>
      <w:bookmarkEnd w:id="269"/>
      <w:bookmarkStart w:id="270" w:name="_Toc184308038"/>
      <w:bookmarkEnd w:id="270"/>
      <w:bookmarkStart w:id="271" w:name="_Toc184312083"/>
      <w:bookmarkEnd w:id="271"/>
      <w:bookmarkStart w:id="272" w:name="_Toc184308096"/>
      <w:bookmarkEnd w:id="272"/>
      <w:bookmarkStart w:id="273" w:name="_Toc184312116"/>
      <w:bookmarkEnd w:id="273"/>
      <w:bookmarkStart w:id="274" w:name="_Toc184312130"/>
      <w:bookmarkEnd w:id="274"/>
      <w:bookmarkStart w:id="275" w:name="_Toc184312108"/>
      <w:bookmarkEnd w:id="275"/>
      <w:bookmarkStart w:id="276" w:name="_Toc184310305"/>
      <w:bookmarkEnd w:id="276"/>
      <w:bookmarkStart w:id="277" w:name="_Toc184308076"/>
      <w:bookmarkEnd w:id="277"/>
      <w:bookmarkStart w:id="278" w:name="_Toc184314463"/>
      <w:bookmarkEnd w:id="278"/>
      <w:bookmarkStart w:id="279" w:name="_Toc184312094"/>
      <w:bookmarkEnd w:id="279"/>
      <w:bookmarkStart w:id="280" w:name="_Toc184314411"/>
      <w:bookmarkEnd w:id="280"/>
      <w:bookmarkStart w:id="281" w:name="_Toc184312075"/>
      <w:bookmarkEnd w:id="281"/>
      <w:bookmarkStart w:id="282" w:name="_Toc184314473"/>
      <w:bookmarkEnd w:id="282"/>
      <w:bookmarkStart w:id="283" w:name="_Toc184310341"/>
      <w:bookmarkEnd w:id="283"/>
      <w:bookmarkStart w:id="284" w:name="_Toc184313295"/>
      <w:bookmarkEnd w:id="284"/>
      <w:bookmarkStart w:id="285" w:name="_Toc184314433"/>
      <w:bookmarkEnd w:id="285"/>
      <w:bookmarkStart w:id="286" w:name="_Toc184312128"/>
      <w:bookmarkEnd w:id="286"/>
      <w:bookmarkStart w:id="287" w:name="_Toc184310333"/>
      <w:bookmarkEnd w:id="287"/>
      <w:bookmarkStart w:id="288" w:name="_Toc184313292"/>
      <w:bookmarkEnd w:id="288"/>
      <w:bookmarkStart w:id="289" w:name="_Toc184312137"/>
      <w:bookmarkEnd w:id="289"/>
      <w:bookmarkStart w:id="290" w:name="_Toc184314457"/>
      <w:bookmarkEnd w:id="290"/>
      <w:bookmarkStart w:id="291" w:name="_Toc184308100"/>
      <w:bookmarkEnd w:id="291"/>
      <w:bookmarkStart w:id="292" w:name="_Toc184308059"/>
      <w:bookmarkEnd w:id="292"/>
      <w:bookmarkStart w:id="293" w:name="_Toc184310306"/>
      <w:bookmarkEnd w:id="293"/>
      <w:bookmarkStart w:id="294" w:name="_Toc184314480"/>
      <w:bookmarkEnd w:id="294"/>
      <w:bookmarkStart w:id="295" w:name="_Toc184313270"/>
      <w:bookmarkEnd w:id="295"/>
      <w:bookmarkStart w:id="296" w:name="_Toc184314475"/>
      <w:bookmarkEnd w:id="296"/>
      <w:bookmarkStart w:id="297" w:name="_Toc184310343"/>
      <w:bookmarkEnd w:id="297"/>
      <w:bookmarkStart w:id="298" w:name="_Toc184314414"/>
      <w:bookmarkEnd w:id="298"/>
      <w:bookmarkStart w:id="299" w:name="_Toc184313268"/>
      <w:bookmarkEnd w:id="299"/>
      <w:bookmarkStart w:id="300" w:name="_Toc184314428"/>
      <w:bookmarkEnd w:id="300"/>
      <w:bookmarkStart w:id="301" w:name="_Toc184314436"/>
      <w:bookmarkEnd w:id="301"/>
      <w:bookmarkStart w:id="302" w:name="_Toc184313265"/>
      <w:bookmarkEnd w:id="302"/>
      <w:bookmarkStart w:id="303" w:name="_Toc184308084"/>
      <w:bookmarkEnd w:id="303"/>
      <w:bookmarkStart w:id="304" w:name="_Toc184314425"/>
      <w:bookmarkEnd w:id="304"/>
      <w:bookmarkStart w:id="305" w:name="_Toc184314412"/>
      <w:bookmarkEnd w:id="305"/>
      <w:bookmarkStart w:id="306" w:name="_Toc184308083"/>
      <w:bookmarkEnd w:id="306"/>
      <w:bookmarkStart w:id="307" w:name="_Toc184313301"/>
      <w:bookmarkEnd w:id="307"/>
      <w:bookmarkStart w:id="308" w:name="_Toc184310290"/>
      <w:bookmarkEnd w:id="308"/>
      <w:bookmarkStart w:id="309" w:name="_Toc184308062"/>
      <w:bookmarkEnd w:id="309"/>
      <w:bookmarkStart w:id="310" w:name="_Toc184308060"/>
      <w:bookmarkEnd w:id="310"/>
      <w:bookmarkStart w:id="311" w:name="_Toc184313276"/>
      <w:bookmarkEnd w:id="311"/>
      <w:bookmarkStart w:id="312" w:name="_Toc184313249"/>
      <w:bookmarkEnd w:id="312"/>
      <w:bookmarkStart w:id="313" w:name="_Toc184314469"/>
      <w:bookmarkEnd w:id="313"/>
      <w:bookmarkStart w:id="314" w:name="_Toc184313251"/>
      <w:bookmarkEnd w:id="314"/>
      <w:bookmarkStart w:id="315" w:name="_Toc184308067"/>
      <w:bookmarkEnd w:id="315"/>
      <w:bookmarkStart w:id="316" w:name="_Toc184312071"/>
      <w:bookmarkEnd w:id="316"/>
      <w:bookmarkStart w:id="317" w:name="_Toc184308095"/>
      <w:bookmarkEnd w:id="317"/>
      <w:bookmarkStart w:id="318" w:name="_Toc184310328"/>
      <w:bookmarkEnd w:id="318"/>
      <w:bookmarkStart w:id="319" w:name="_Toc184310314"/>
      <w:bookmarkEnd w:id="319"/>
      <w:bookmarkStart w:id="320" w:name="_Toc184313289"/>
      <w:bookmarkEnd w:id="320"/>
      <w:bookmarkStart w:id="321" w:name="_Toc184308048"/>
      <w:bookmarkEnd w:id="321"/>
      <w:bookmarkStart w:id="322" w:name="_Toc184310275"/>
      <w:bookmarkEnd w:id="322"/>
      <w:bookmarkStart w:id="323" w:name="_Toc184310329"/>
      <w:bookmarkEnd w:id="323"/>
      <w:bookmarkStart w:id="324" w:name="_Toc184312123"/>
      <w:bookmarkEnd w:id="324"/>
      <w:bookmarkStart w:id="325" w:name="_Toc184313246"/>
      <w:bookmarkEnd w:id="325"/>
      <w:bookmarkStart w:id="326" w:name="_Toc184313243"/>
      <w:bookmarkEnd w:id="326"/>
      <w:bookmarkStart w:id="327" w:name="_Toc184310304"/>
      <w:bookmarkEnd w:id="327"/>
      <w:bookmarkStart w:id="328" w:name="_Toc184314455"/>
      <w:bookmarkEnd w:id="328"/>
      <w:bookmarkStart w:id="329" w:name="_Toc184313307"/>
      <w:bookmarkEnd w:id="329"/>
      <w:bookmarkStart w:id="330" w:name="_Toc184310315"/>
      <w:bookmarkEnd w:id="330"/>
      <w:bookmarkStart w:id="331" w:name="_Toc184312089"/>
      <w:bookmarkEnd w:id="331"/>
      <w:bookmarkStart w:id="332" w:name="_Toc184312120"/>
      <w:bookmarkEnd w:id="332"/>
      <w:bookmarkStart w:id="333" w:name="_Toc184310298"/>
      <w:bookmarkEnd w:id="333"/>
      <w:bookmarkStart w:id="334" w:name="_Toc184313258"/>
      <w:bookmarkEnd w:id="334"/>
      <w:bookmarkStart w:id="335" w:name="_Toc184308056"/>
      <w:bookmarkEnd w:id="335"/>
      <w:bookmarkStart w:id="336" w:name="_Toc184308054"/>
      <w:bookmarkEnd w:id="336"/>
      <w:bookmarkStart w:id="337" w:name="_Toc184314452"/>
      <w:bookmarkEnd w:id="337"/>
      <w:bookmarkStart w:id="338" w:name="_Toc184312110"/>
      <w:bookmarkEnd w:id="338"/>
      <w:bookmarkStart w:id="339" w:name="_Toc184312133"/>
      <w:bookmarkEnd w:id="339"/>
      <w:bookmarkStart w:id="340" w:name="_Toc184308052"/>
      <w:bookmarkEnd w:id="340"/>
      <w:bookmarkStart w:id="341" w:name="_Toc184310289"/>
      <w:bookmarkEnd w:id="341"/>
      <w:bookmarkStart w:id="342" w:name="_Toc184314456"/>
      <w:bookmarkEnd w:id="342"/>
      <w:bookmarkStart w:id="343" w:name="_Toc184308088"/>
      <w:bookmarkEnd w:id="343"/>
      <w:bookmarkStart w:id="344" w:name="_Toc184313291"/>
      <w:bookmarkEnd w:id="344"/>
      <w:bookmarkStart w:id="345" w:name="_Toc184312079"/>
      <w:bookmarkEnd w:id="345"/>
      <w:bookmarkStart w:id="346" w:name="_Toc184312127"/>
      <w:bookmarkEnd w:id="346"/>
      <w:bookmarkStart w:id="347" w:name="_Toc184313245"/>
      <w:bookmarkEnd w:id="347"/>
      <w:bookmarkStart w:id="348" w:name="_Toc184312132"/>
      <w:bookmarkEnd w:id="348"/>
      <w:bookmarkStart w:id="349" w:name="_Toc184314471"/>
      <w:bookmarkEnd w:id="349"/>
      <w:bookmarkStart w:id="350" w:name="_Toc184313288"/>
      <w:bookmarkEnd w:id="350"/>
      <w:bookmarkStart w:id="351" w:name="_Toc184308075"/>
      <w:bookmarkEnd w:id="351"/>
      <w:bookmarkStart w:id="352" w:name="_Toc184308077"/>
      <w:bookmarkEnd w:id="352"/>
      <w:bookmarkStart w:id="353" w:name="_Toc184310296"/>
      <w:bookmarkEnd w:id="353"/>
      <w:bookmarkStart w:id="354" w:name="_Toc184312081"/>
      <w:bookmarkEnd w:id="354"/>
      <w:bookmarkStart w:id="355" w:name="_Toc184313272"/>
      <w:bookmarkEnd w:id="355"/>
      <w:bookmarkStart w:id="356" w:name="_Toc184310281"/>
      <w:bookmarkEnd w:id="356"/>
      <w:bookmarkStart w:id="357" w:name="_Toc184314445"/>
      <w:bookmarkEnd w:id="357"/>
      <w:bookmarkStart w:id="358" w:name="_Toc184313275"/>
      <w:bookmarkEnd w:id="358"/>
      <w:bookmarkStart w:id="359" w:name="_Toc184308043"/>
      <w:bookmarkEnd w:id="359"/>
      <w:bookmarkStart w:id="360" w:name="_Toc184308068"/>
      <w:bookmarkEnd w:id="360"/>
      <w:bookmarkStart w:id="361" w:name="_Toc184310316"/>
      <w:bookmarkEnd w:id="361"/>
      <w:bookmarkStart w:id="362" w:name="_Toc184314462"/>
      <w:bookmarkEnd w:id="362"/>
      <w:bookmarkStart w:id="363" w:name="_Toc184312135"/>
      <w:bookmarkEnd w:id="363"/>
      <w:bookmarkStart w:id="364" w:name="_Toc184313293"/>
      <w:bookmarkEnd w:id="364"/>
      <w:bookmarkStart w:id="365" w:name="_Toc184310309"/>
      <w:bookmarkEnd w:id="365"/>
      <w:bookmarkStart w:id="366" w:name="_Toc184310295"/>
      <w:bookmarkEnd w:id="366"/>
      <w:bookmarkStart w:id="367" w:name="_Toc184314446"/>
      <w:bookmarkEnd w:id="367"/>
      <w:bookmarkStart w:id="368" w:name="_Toc184313250"/>
      <w:bookmarkEnd w:id="368"/>
      <w:bookmarkStart w:id="369" w:name="_Toc184310312"/>
      <w:bookmarkEnd w:id="369"/>
      <w:bookmarkStart w:id="370" w:name="_Toc184312107"/>
      <w:bookmarkEnd w:id="370"/>
      <w:bookmarkStart w:id="371" w:name="_Toc184313282"/>
      <w:bookmarkEnd w:id="371"/>
      <w:bookmarkStart w:id="372" w:name="_Toc184314470"/>
      <w:bookmarkEnd w:id="372"/>
      <w:bookmarkStart w:id="373" w:name="_Toc184308097"/>
      <w:bookmarkEnd w:id="373"/>
      <w:bookmarkStart w:id="374" w:name="_Toc184313247"/>
      <w:bookmarkEnd w:id="374"/>
      <w:bookmarkStart w:id="375" w:name="_Toc184312078"/>
      <w:bookmarkEnd w:id="375"/>
      <w:bookmarkStart w:id="376" w:name="_Toc184313239"/>
      <w:bookmarkEnd w:id="376"/>
      <w:bookmarkStart w:id="377" w:name="_Toc184310324"/>
      <w:bookmarkEnd w:id="377"/>
      <w:bookmarkStart w:id="378" w:name="_Toc184312136"/>
      <w:bookmarkEnd w:id="378"/>
      <w:bookmarkStart w:id="379" w:name="_Toc184313284"/>
      <w:bookmarkEnd w:id="379"/>
      <w:bookmarkStart w:id="380" w:name="_Toc184310297"/>
      <w:bookmarkEnd w:id="380"/>
      <w:bookmarkStart w:id="381" w:name="_Toc184308104"/>
      <w:bookmarkEnd w:id="381"/>
      <w:bookmarkStart w:id="382" w:name="_Toc184308106"/>
      <w:bookmarkEnd w:id="382"/>
      <w:bookmarkStart w:id="383" w:name="_Toc184312088"/>
      <w:bookmarkEnd w:id="383"/>
      <w:bookmarkStart w:id="384" w:name="_Toc184313296"/>
      <w:bookmarkEnd w:id="384"/>
      <w:bookmarkStart w:id="385" w:name="_Toc184308070"/>
      <w:bookmarkEnd w:id="385"/>
      <w:bookmarkStart w:id="386" w:name="_Toc184312134"/>
      <w:bookmarkEnd w:id="386"/>
      <w:bookmarkStart w:id="387" w:name="_Toc184312090"/>
      <w:bookmarkEnd w:id="387"/>
      <w:bookmarkStart w:id="388" w:name="_Toc184313310"/>
      <w:bookmarkEnd w:id="388"/>
      <w:bookmarkStart w:id="389" w:name="_Toc184312117"/>
      <w:bookmarkEnd w:id="389"/>
      <w:bookmarkStart w:id="390" w:name="_Toc184314432"/>
      <w:bookmarkEnd w:id="390"/>
      <w:bookmarkStart w:id="391" w:name="_Toc184314423"/>
      <w:bookmarkEnd w:id="391"/>
      <w:bookmarkStart w:id="392" w:name="_Toc184310319"/>
      <w:bookmarkEnd w:id="392"/>
      <w:bookmarkStart w:id="393" w:name="_Toc184314482"/>
      <w:bookmarkEnd w:id="393"/>
      <w:bookmarkStart w:id="394" w:name="_Toc184312121"/>
      <w:bookmarkEnd w:id="394"/>
      <w:bookmarkStart w:id="395" w:name="_Toc184310300"/>
      <w:bookmarkEnd w:id="395"/>
      <w:bookmarkStart w:id="396" w:name="_Toc184308046"/>
      <w:bookmarkEnd w:id="396"/>
      <w:bookmarkStart w:id="397" w:name="_Toc184310278"/>
      <w:bookmarkEnd w:id="397"/>
      <w:r>
        <w:rPr>
          <w:rFonts w:hint="eastAsia" w:ascii="宋体" w:hAnsi="宋体" w:cs="宋体"/>
          <w:b/>
          <w:sz w:val="36"/>
          <w:szCs w:val="36"/>
          <w:highlight w:val="none"/>
        </w:rPr>
        <w:t>评标办法</w:t>
      </w:r>
      <w:bookmarkEnd w:id="32"/>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pPr>
        <w:spacing w:line="360" w:lineRule="auto"/>
        <w:ind w:firstLine="422"/>
        <w:jc w:val="center"/>
        <w:rPr>
          <w:rFonts w:ascii="宋体" w:hAnsi="宋体" w:cs="宋体"/>
          <w:b/>
          <w:sz w:val="24"/>
          <w:highlight w:val="none"/>
        </w:rPr>
      </w:pPr>
      <w:r>
        <w:rPr>
          <w:rFonts w:hint="eastAsia" w:ascii="宋体" w:hAnsi="宋体" w:cs="宋体"/>
          <w:b/>
          <w:sz w:val="24"/>
          <w:highlight w:val="none"/>
        </w:rPr>
        <w:t>资格审查表</w:t>
      </w:r>
    </w:p>
    <w:tbl>
      <w:tblPr>
        <w:tblStyle w:val="73"/>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 xml:space="preserve">提供有效的营业执照副本（或事业法人登记证副本或其他登记证明材料）原件扫描件或者电子营业执照 </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（1）如供应商是企业（包括合伙企业），提供在工商部门注册的有效“企业法人营业执照”或“营业执照”；</w:t>
            </w:r>
          </w:p>
          <w:p>
            <w:pPr>
              <w:spacing w:line="360" w:lineRule="auto"/>
              <w:jc w:val="left"/>
              <w:rPr>
                <w:rFonts w:ascii="宋体" w:hAnsi="宋体" w:cs="宋体"/>
                <w:sz w:val="24"/>
                <w:highlight w:val="none"/>
              </w:rPr>
            </w:pPr>
            <w:r>
              <w:rPr>
                <w:rFonts w:hint="eastAsia" w:ascii="宋体" w:hAnsi="宋体" w:cs="宋体"/>
                <w:sz w:val="24"/>
                <w:highlight w:val="none"/>
              </w:rPr>
              <w:t>（2）如供应商是事业单位，提供有效的“事业单位法人证书”；</w:t>
            </w:r>
          </w:p>
          <w:p>
            <w:pPr>
              <w:spacing w:line="360" w:lineRule="auto"/>
              <w:jc w:val="left"/>
              <w:rPr>
                <w:rFonts w:ascii="宋体" w:hAnsi="宋体" w:cs="宋体"/>
                <w:sz w:val="24"/>
                <w:highlight w:val="none"/>
              </w:rPr>
            </w:pPr>
            <w:r>
              <w:rPr>
                <w:rFonts w:hint="eastAsia" w:ascii="宋体" w:hAnsi="宋体" w:cs="宋体"/>
                <w:sz w:val="24"/>
                <w:highlight w:val="none"/>
              </w:rPr>
              <w:t>（3）如供应商是非企业专业服务机构的，提供执业许可证等证明文件；</w:t>
            </w:r>
          </w:p>
          <w:p>
            <w:pPr>
              <w:spacing w:line="360" w:lineRule="auto"/>
              <w:jc w:val="left"/>
              <w:rPr>
                <w:rFonts w:ascii="宋体" w:hAnsi="宋体" w:cs="宋体"/>
                <w:sz w:val="24"/>
                <w:highlight w:val="none"/>
              </w:rPr>
            </w:pPr>
            <w:r>
              <w:rPr>
                <w:rFonts w:hint="eastAsia" w:ascii="宋体" w:hAnsi="宋体" w:cs="宋体"/>
                <w:sz w:val="24"/>
                <w:highlight w:val="none"/>
              </w:rPr>
              <w:t>（4）如供应商是个体工商户，提供有效的“个体工商户营业执照”；</w:t>
            </w:r>
          </w:p>
          <w:p>
            <w:pPr>
              <w:spacing w:line="360" w:lineRule="auto"/>
              <w:jc w:val="left"/>
              <w:rPr>
                <w:rFonts w:ascii="宋体" w:hAnsi="宋体" w:cs="宋体"/>
                <w:sz w:val="24"/>
                <w:highlight w:val="none"/>
              </w:rPr>
            </w:pPr>
            <w:r>
              <w:rPr>
                <w:rFonts w:hint="eastAsia" w:ascii="宋体" w:hAnsi="宋体" w:cs="宋体"/>
                <w:sz w:val="24"/>
                <w:highlight w:val="none"/>
              </w:rPr>
              <w:t>（5）如供应商是自然人，提供有效的自然人身份证明。</w:t>
            </w:r>
          </w:p>
          <w:p>
            <w:pPr>
              <w:spacing w:line="360" w:lineRule="auto"/>
              <w:jc w:val="left"/>
              <w:rPr>
                <w:rFonts w:ascii="宋体" w:hAnsi="宋体" w:cs="宋体"/>
                <w:sz w:val="24"/>
                <w:highlight w:val="none"/>
              </w:rPr>
            </w:pPr>
            <w:r>
              <w:rPr>
                <w:rFonts w:hint="eastAsia" w:ascii="宋体" w:hAnsi="宋体" w:cs="宋体"/>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制造商为中小企业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ascii="宋体" w:hAnsi="宋体" w:cs="宋体"/>
                <w:sz w:val="24"/>
                <w:highlight w:val="none"/>
              </w:rPr>
            </w:pPr>
            <w:r>
              <w:rPr>
                <w:rFonts w:hint="eastAsia" w:ascii="宋体" w:hAnsi="宋体" w:cs="宋体"/>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本项目不接受联合体响应</w:t>
            </w:r>
          </w:p>
        </w:tc>
      </w:tr>
    </w:tbl>
    <w:p>
      <w:pPr>
        <w:spacing w:line="360" w:lineRule="auto"/>
        <w:ind w:firstLine="422"/>
        <w:rPr>
          <w:rFonts w:ascii="宋体" w:hAnsi="宋体" w:cs="宋体"/>
          <w:b/>
          <w:bCs/>
          <w:sz w:val="24"/>
          <w:highlight w:val="none"/>
        </w:rPr>
      </w:pPr>
      <w:r>
        <w:rPr>
          <w:rFonts w:hint="eastAsia" w:ascii="宋体" w:hAnsi="宋体" w:cs="宋体"/>
          <w:b/>
          <w:sz w:val="24"/>
          <w:highlight w:val="none"/>
        </w:rPr>
        <w:t>注：</w:t>
      </w:r>
      <w:r>
        <w:rPr>
          <w:rFonts w:hint="eastAsia" w:ascii="宋体" w:hAnsi="宋体" w:cs="宋体"/>
          <w:b/>
          <w:bCs/>
          <w:sz w:val="24"/>
          <w:highlight w:val="none"/>
        </w:rPr>
        <w:t>1、上述资格证明文件未按采购文件要求附入响应文件中的，资格性审查不合格。</w:t>
      </w:r>
    </w:p>
    <w:p>
      <w:pPr>
        <w:spacing w:line="360" w:lineRule="auto"/>
        <w:ind w:firstLine="422"/>
        <w:rPr>
          <w:rFonts w:ascii="宋体" w:hAnsi="宋体" w:cs="宋体"/>
          <w:b/>
          <w:bCs/>
          <w:sz w:val="24"/>
          <w:highlight w:val="none"/>
        </w:rPr>
      </w:pPr>
      <w:r>
        <w:rPr>
          <w:rFonts w:hint="eastAsia" w:ascii="宋体" w:hAnsi="宋体" w:cs="宋体"/>
          <w:b/>
          <w:bCs/>
          <w:sz w:val="24"/>
          <w:highlight w:val="none"/>
        </w:rPr>
        <w:t>2、上述审查项目中，任意一项不符合的，资格性审查不合格。</w:t>
      </w:r>
    </w:p>
    <w:p>
      <w:pPr>
        <w:spacing w:line="360" w:lineRule="auto"/>
        <w:ind w:firstLine="422"/>
        <w:jc w:val="center"/>
        <w:rPr>
          <w:rFonts w:ascii="宋体" w:hAnsi="宋体" w:cs="宋体"/>
          <w:b/>
          <w:sz w:val="24"/>
          <w:highlight w:val="none"/>
        </w:rPr>
      </w:pPr>
      <w:r>
        <w:rPr>
          <w:rFonts w:hint="eastAsia" w:ascii="宋体" w:hAnsi="宋体" w:cs="宋体"/>
          <w:b/>
          <w:sz w:val="24"/>
          <w:highlight w:val="none"/>
        </w:rPr>
        <w:t>符合性审查表(可放弃关联)</w:t>
      </w:r>
    </w:p>
    <w:tbl>
      <w:tblPr>
        <w:tblStyle w:val="73"/>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2545" w:type="dxa"/>
          </w:tcPr>
          <w:p>
            <w:pPr>
              <w:spacing w:line="360" w:lineRule="auto"/>
              <w:jc w:val="center"/>
              <w:rPr>
                <w:rFonts w:ascii="宋体" w:hAnsi="宋体" w:cs="宋体"/>
                <w:b/>
                <w:sz w:val="24"/>
                <w:highlight w:val="none"/>
              </w:rPr>
            </w:pPr>
            <w:r>
              <w:rPr>
                <w:rFonts w:hint="eastAsia" w:ascii="宋体" w:hAnsi="宋体" w:cs="宋体"/>
                <w:b/>
                <w:sz w:val="24"/>
                <w:highlight w:val="none"/>
              </w:rPr>
              <w:t>审查项目</w:t>
            </w:r>
          </w:p>
        </w:tc>
        <w:tc>
          <w:tcPr>
            <w:tcW w:w="6150" w:type="dxa"/>
          </w:tcPr>
          <w:p>
            <w:pPr>
              <w:spacing w:line="360" w:lineRule="auto"/>
              <w:jc w:val="center"/>
              <w:rPr>
                <w:rFonts w:ascii="宋体" w:hAnsi="宋体" w:cs="宋体"/>
                <w:b/>
                <w:sz w:val="24"/>
                <w:highlight w:val="none"/>
              </w:rPr>
            </w:pPr>
            <w:r>
              <w:rPr>
                <w:rFonts w:hint="eastAsia" w:ascii="宋体" w:hAnsi="宋体" w:cs="宋体"/>
                <w:b/>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254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响应文件的签署盖章</w:t>
            </w:r>
          </w:p>
        </w:tc>
        <w:tc>
          <w:tcPr>
            <w:tcW w:w="6150"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254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实质性条款响应</w:t>
            </w:r>
          </w:p>
        </w:tc>
        <w:tc>
          <w:tcPr>
            <w:tcW w:w="6150" w:type="dxa"/>
            <w:vAlign w:val="center"/>
          </w:tcPr>
          <w:p>
            <w:pPr>
              <w:spacing w:line="360" w:lineRule="auto"/>
              <w:rPr>
                <w:rFonts w:ascii="宋体" w:hAnsi="宋体" w:cs="宋体"/>
                <w:sz w:val="24"/>
                <w:highlight w:val="none"/>
              </w:rPr>
            </w:pPr>
            <w:r>
              <w:rPr>
                <w:rFonts w:hint="eastAsia" w:ascii="宋体" w:hAnsi="宋体" w:cs="宋体"/>
                <w:sz w:val="24"/>
                <w:highlight w:val="none"/>
              </w:rPr>
              <w:t>响应文件完全满足采购文件的实质性条款（即标注▲号条款）无负偏离的。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254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法定代表人授权书</w:t>
            </w:r>
          </w:p>
        </w:tc>
        <w:tc>
          <w:tcPr>
            <w:tcW w:w="6150" w:type="dxa"/>
            <w:vAlign w:val="center"/>
          </w:tcPr>
          <w:p>
            <w:pPr>
              <w:spacing w:line="360" w:lineRule="auto"/>
              <w:rPr>
                <w:rFonts w:ascii="宋体" w:hAnsi="宋体" w:cs="宋体"/>
                <w:sz w:val="24"/>
                <w:highlight w:val="none"/>
              </w:rPr>
            </w:pPr>
            <w:r>
              <w:rPr>
                <w:rFonts w:hint="eastAsia" w:ascii="宋体" w:hAnsi="宋体" w:cs="宋体"/>
                <w:sz w:val="24"/>
                <w:highlight w:val="none"/>
              </w:rP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254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无效响应条款响应</w:t>
            </w:r>
          </w:p>
        </w:tc>
        <w:tc>
          <w:tcPr>
            <w:tcW w:w="6150" w:type="dxa"/>
            <w:vAlign w:val="center"/>
          </w:tcPr>
          <w:p>
            <w:pPr>
              <w:spacing w:line="360" w:lineRule="auto"/>
              <w:rPr>
                <w:rFonts w:ascii="宋体" w:hAnsi="宋体" w:cs="宋体"/>
                <w:sz w:val="24"/>
                <w:highlight w:val="none"/>
              </w:rPr>
            </w:pPr>
            <w:r>
              <w:rPr>
                <w:rFonts w:hint="eastAsia" w:ascii="宋体" w:hAnsi="宋体" w:cs="宋体"/>
                <w:sz w:val="24"/>
                <w:highlight w:val="none"/>
              </w:rPr>
              <w:t>响应文件没有采购文件中规定的其它无效响应条款的。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5</w:t>
            </w:r>
          </w:p>
        </w:tc>
        <w:tc>
          <w:tcPr>
            <w:tcW w:w="254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其他</w:t>
            </w:r>
          </w:p>
        </w:tc>
        <w:tc>
          <w:tcPr>
            <w:tcW w:w="6150" w:type="dxa"/>
            <w:vAlign w:val="center"/>
          </w:tcPr>
          <w:p>
            <w:pPr>
              <w:spacing w:line="360" w:lineRule="auto"/>
              <w:rPr>
                <w:rFonts w:ascii="宋体" w:hAnsi="宋体" w:cs="宋体"/>
                <w:sz w:val="24"/>
                <w:highlight w:val="none"/>
              </w:rPr>
            </w:pPr>
            <w:r>
              <w:rPr>
                <w:rFonts w:hint="eastAsia" w:ascii="宋体" w:hAnsi="宋体" w:cs="宋体"/>
                <w:sz w:val="24"/>
                <w:highlight w:val="none"/>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6</w:t>
            </w:r>
          </w:p>
        </w:tc>
        <w:tc>
          <w:tcPr>
            <w:tcW w:w="254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其他</w:t>
            </w:r>
          </w:p>
        </w:tc>
        <w:tc>
          <w:tcPr>
            <w:tcW w:w="6150" w:type="dxa"/>
            <w:vAlign w:val="center"/>
          </w:tcPr>
          <w:p>
            <w:pPr>
              <w:spacing w:line="360" w:lineRule="auto"/>
              <w:rPr>
                <w:rFonts w:ascii="宋体" w:hAnsi="宋体" w:cs="宋体"/>
                <w:sz w:val="24"/>
                <w:highlight w:val="none"/>
              </w:rPr>
            </w:pPr>
            <w:r>
              <w:rPr>
                <w:rFonts w:hint="eastAsia" w:ascii="宋体" w:hAnsi="宋体" w:cs="宋体"/>
                <w:sz w:val="24"/>
                <w:highlight w:val="none"/>
              </w:rPr>
              <w:t>按有关法律、法规、规章不属于响应无效的。</w:t>
            </w:r>
          </w:p>
        </w:tc>
      </w:tr>
    </w:tbl>
    <w:p>
      <w:pPr>
        <w:spacing w:line="360" w:lineRule="auto"/>
        <w:ind w:firstLine="422"/>
        <w:rPr>
          <w:rFonts w:ascii="宋体" w:hAnsi="宋体" w:cs="宋体"/>
          <w:b/>
          <w:sz w:val="24"/>
          <w:highlight w:val="none"/>
        </w:rPr>
      </w:pPr>
      <w:r>
        <w:rPr>
          <w:rFonts w:hint="eastAsia" w:ascii="宋体" w:hAnsi="宋体" w:cs="宋体"/>
          <w:b/>
          <w:sz w:val="24"/>
          <w:highlight w:val="none"/>
        </w:rPr>
        <w:t>注：上述审查项目中，任意一项不符合的，符合性审查不合格。</w:t>
      </w:r>
    </w:p>
    <w:p>
      <w:pPr>
        <w:spacing w:line="400" w:lineRule="exact"/>
        <w:ind w:firstLine="422"/>
        <w:jc w:val="center"/>
        <w:rPr>
          <w:rFonts w:cs="宋体"/>
          <w:b/>
          <w:szCs w:val="21"/>
          <w:highlight w:val="none"/>
        </w:rPr>
      </w:pPr>
      <w:r>
        <w:rPr>
          <w:rFonts w:hint="eastAsia" w:cs="宋体"/>
          <w:b/>
          <w:szCs w:val="21"/>
          <w:highlight w:val="none"/>
        </w:rPr>
        <w:t>评分表</w:t>
      </w:r>
    </w:p>
    <w:tbl>
      <w:tblPr>
        <w:tblStyle w:val="73"/>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ascii="宋体" w:hAnsi="宋体" w:cs="宋体"/>
                <w:b/>
                <w:sz w:val="24"/>
                <w:highlight w:val="none"/>
              </w:rPr>
            </w:pPr>
            <w:r>
              <w:rPr>
                <w:rFonts w:hint="eastAsia" w:ascii="宋体" w:hAnsi="宋体" w:cs="宋体"/>
                <w:b/>
                <w:sz w:val="24"/>
                <w:highlight w:val="none"/>
              </w:rPr>
              <w:t>评分项目</w:t>
            </w:r>
          </w:p>
        </w:tc>
        <w:tc>
          <w:tcPr>
            <w:tcW w:w="8019" w:type="dxa"/>
            <w:gridSpan w:val="2"/>
            <w:vAlign w:val="center"/>
          </w:tcPr>
          <w:p>
            <w:pPr>
              <w:spacing w:line="360" w:lineRule="auto"/>
              <w:jc w:val="center"/>
              <w:textAlignment w:val="baseline"/>
              <w:rPr>
                <w:rFonts w:ascii="宋体" w:hAnsi="宋体" w:cs="宋体"/>
                <w:b/>
                <w:sz w:val="24"/>
                <w:highlight w:val="none"/>
              </w:rPr>
            </w:pPr>
            <w:r>
              <w:rPr>
                <w:rFonts w:hint="eastAsia" w:ascii="宋体" w:hAnsi="宋体" w:cs="宋体"/>
                <w:b/>
                <w:sz w:val="24"/>
                <w:highlight w:val="none"/>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ascii="宋体" w:hAnsi="宋体" w:cs="宋体"/>
                <w:b/>
                <w:sz w:val="24"/>
                <w:highlight w:val="none"/>
              </w:rPr>
            </w:pPr>
            <w:r>
              <w:rPr>
                <w:rFonts w:hint="eastAsia" w:ascii="宋体" w:hAnsi="宋体" w:cs="宋体"/>
                <w:b/>
                <w:sz w:val="24"/>
                <w:highlight w:val="none"/>
              </w:rPr>
              <w:t>投标报价（20分）</w:t>
            </w:r>
          </w:p>
        </w:tc>
        <w:tc>
          <w:tcPr>
            <w:tcW w:w="1519" w:type="dxa"/>
            <w:vAlign w:val="center"/>
          </w:tcPr>
          <w:p>
            <w:pPr>
              <w:spacing w:line="360" w:lineRule="auto"/>
              <w:ind w:right="-21" w:rightChars="-10"/>
              <w:jc w:val="center"/>
              <w:rPr>
                <w:rFonts w:ascii="宋体" w:hAnsi="宋体" w:cs="宋体"/>
                <w:b/>
                <w:sz w:val="24"/>
                <w:highlight w:val="none"/>
              </w:rPr>
            </w:pPr>
            <w:r>
              <w:rPr>
                <w:rFonts w:hint="eastAsia" w:ascii="宋体" w:hAnsi="宋体" w:cs="宋体"/>
                <w:b/>
                <w:sz w:val="24"/>
                <w:highlight w:val="none"/>
              </w:rPr>
              <w:t>价格分（20分）</w:t>
            </w:r>
          </w:p>
        </w:tc>
        <w:tc>
          <w:tcPr>
            <w:tcW w:w="6500"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评标基准价=满足招标文件要求的参与评审价格中的最低价；</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评标基准价得分为满分。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参与评审价格=投标报价</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投标报价得分=（评标基准价/参与评审价格）×</w:t>
            </w:r>
            <w:r>
              <w:rPr>
                <w:rFonts w:hint="eastAsia" w:ascii="宋体" w:hAnsi="宋体" w:cs="宋体"/>
                <w:bCs/>
                <w:sz w:val="24"/>
                <w:highlight w:val="none"/>
              </w:rPr>
              <w:t>2</w:t>
            </w:r>
            <w:r>
              <w:rPr>
                <w:rFonts w:hint="eastAsia" w:ascii="宋体" w:hAnsi="宋体" w:cs="宋体"/>
                <w:bCs/>
                <w:sz w:val="24"/>
                <w:highlight w:val="none"/>
                <w:lang w:val="zh-CN"/>
              </w:rPr>
              <w:t>0分</w:t>
            </w:r>
          </w:p>
          <w:p>
            <w:pPr>
              <w:snapToGrid w:val="0"/>
              <w:spacing w:line="360" w:lineRule="auto"/>
              <w:jc w:val="left"/>
              <w:rPr>
                <w:rFonts w:ascii="宋体" w:hAnsi="宋体" w:cs="宋体"/>
                <w:sz w:val="24"/>
                <w:highlight w:val="none"/>
              </w:rPr>
            </w:pPr>
            <w:r>
              <w:rPr>
                <w:rFonts w:hint="eastAsia" w:ascii="宋体" w:hAnsi="宋体" w:cs="宋体"/>
                <w:bCs/>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1283" w:type="dxa"/>
            <w:vAlign w:val="center"/>
          </w:tcPr>
          <w:p>
            <w:pPr>
              <w:spacing w:line="360" w:lineRule="auto"/>
              <w:ind w:right="-21" w:rightChars="-10"/>
              <w:jc w:val="center"/>
              <w:rPr>
                <w:rFonts w:ascii="宋体" w:hAnsi="宋体" w:cs="宋体"/>
                <w:b/>
                <w:sz w:val="24"/>
                <w:highlight w:val="none"/>
              </w:rPr>
            </w:pPr>
            <w:r>
              <w:rPr>
                <w:rFonts w:hint="eastAsia" w:ascii="宋体" w:hAnsi="宋体" w:cs="宋体"/>
                <w:b/>
                <w:sz w:val="24"/>
                <w:highlight w:val="none"/>
              </w:rPr>
              <w:t>商务（2分）</w:t>
            </w:r>
          </w:p>
        </w:tc>
        <w:tc>
          <w:tcPr>
            <w:tcW w:w="1519" w:type="dxa"/>
            <w:vAlign w:val="center"/>
          </w:tcPr>
          <w:p>
            <w:pPr>
              <w:snapToGrid w:val="0"/>
              <w:spacing w:line="288" w:lineRule="auto"/>
              <w:jc w:val="center"/>
              <w:rPr>
                <w:rFonts w:ascii="宋体" w:hAnsi="宋体" w:cs="宋体"/>
                <w:b/>
                <w:sz w:val="24"/>
                <w:highlight w:val="none"/>
              </w:rPr>
            </w:pPr>
            <w:r>
              <w:rPr>
                <w:rFonts w:hint="eastAsia" w:ascii="宋体" w:hAnsi="宋体" w:cs="宋体"/>
                <w:b/>
                <w:bCs/>
                <w:sz w:val="24"/>
                <w:highlight w:val="none"/>
              </w:rPr>
              <w:t>业绩（2分）</w:t>
            </w:r>
          </w:p>
        </w:tc>
        <w:tc>
          <w:tcPr>
            <w:tcW w:w="6500"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【客观分】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投标人提供自20</w:t>
            </w:r>
            <w:r>
              <w:rPr>
                <w:rFonts w:hint="eastAsia" w:ascii="宋体" w:hAnsi="宋体" w:cs="宋体"/>
                <w:bCs/>
                <w:sz w:val="24"/>
                <w:highlight w:val="none"/>
              </w:rPr>
              <w:t>22</w:t>
            </w:r>
            <w:r>
              <w:rPr>
                <w:rFonts w:hint="eastAsia" w:ascii="宋体" w:hAnsi="宋体" w:cs="宋体"/>
                <w:bCs/>
                <w:sz w:val="24"/>
                <w:highlight w:val="none"/>
                <w:lang w:val="zh-CN"/>
              </w:rPr>
              <w:t>年1月1日以来（以合同签订时间为准）同类合同业绩（以提供的合同扫描件为准）：每提供1份合同业绩得</w:t>
            </w:r>
            <w:r>
              <w:rPr>
                <w:rFonts w:hint="eastAsia" w:ascii="宋体" w:hAnsi="宋体" w:cs="宋体"/>
                <w:bCs/>
                <w:sz w:val="24"/>
                <w:highlight w:val="none"/>
              </w:rPr>
              <w:t>1</w:t>
            </w:r>
            <w:r>
              <w:rPr>
                <w:rFonts w:hint="eastAsia" w:ascii="宋体" w:hAnsi="宋体" w:cs="宋体"/>
                <w:bCs/>
                <w:sz w:val="24"/>
                <w:highlight w:val="none"/>
                <w:lang w:val="zh-CN"/>
              </w:rPr>
              <w:t>分，最高得</w:t>
            </w:r>
            <w:r>
              <w:rPr>
                <w:rFonts w:hint="eastAsia" w:ascii="宋体" w:hAnsi="宋体" w:cs="宋体"/>
                <w:bCs/>
                <w:sz w:val="24"/>
                <w:highlight w:val="none"/>
              </w:rPr>
              <w:t>2</w:t>
            </w:r>
            <w:r>
              <w:rPr>
                <w:rFonts w:hint="eastAsia" w:ascii="宋体" w:hAnsi="宋体" w:cs="宋体"/>
                <w:bCs/>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83" w:type="dxa"/>
            <w:vMerge w:val="restart"/>
            <w:vAlign w:val="center"/>
          </w:tcPr>
          <w:p>
            <w:pPr>
              <w:spacing w:line="360" w:lineRule="auto"/>
              <w:ind w:right="-21" w:rightChars="-10"/>
              <w:jc w:val="center"/>
              <w:rPr>
                <w:rFonts w:ascii="宋体" w:hAnsi="宋体" w:cs="宋体"/>
                <w:b/>
                <w:sz w:val="24"/>
                <w:highlight w:val="none"/>
              </w:rPr>
            </w:pPr>
            <w:r>
              <w:rPr>
                <w:rFonts w:hint="eastAsia" w:ascii="宋体" w:hAnsi="宋体" w:cs="宋体"/>
                <w:b/>
                <w:sz w:val="24"/>
                <w:highlight w:val="none"/>
              </w:rPr>
              <w:t>技术（78分）</w:t>
            </w:r>
          </w:p>
        </w:tc>
        <w:tc>
          <w:tcPr>
            <w:tcW w:w="1519" w:type="dxa"/>
            <w:vAlign w:val="center"/>
          </w:tcPr>
          <w:p>
            <w:pPr>
              <w:snapToGrid w:val="0"/>
              <w:spacing w:line="288" w:lineRule="auto"/>
              <w:jc w:val="center"/>
              <w:rPr>
                <w:rFonts w:ascii="宋体" w:hAnsi="宋体" w:cs="宋体"/>
                <w:b/>
                <w:bCs/>
                <w:sz w:val="24"/>
                <w:highlight w:val="none"/>
              </w:rPr>
            </w:pPr>
            <w:r>
              <w:rPr>
                <w:rFonts w:hint="eastAsia" w:ascii="宋体" w:hAnsi="宋体" w:cs="宋体"/>
                <w:b/>
                <w:bCs/>
                <w:sz w:val="24"/>
                <w:highlight w:val="none"/>
              </w:rPr>
              <w:t>技术响应程度（20分）</w:t>
            </w:r>
          </w:p>
        </w:tc>
        <w:tc>
          <w:tcPr>
            <w:tcW w:w="6500"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【客观分】对招标文件的技术参数条款</w:t>
            </w:r>
            <w:r>
              <w:rPr>
                <w:rFonts w:hint="eastAsia" w:ascii="宋体" w:hAnsi="宋体" w:cs="宋体"/>
                <w:bCs/>
                <w:sz w:val="24"/>
                <w:highlight w:val="none"/>
              </w:rPr>
              <w:t>(采购需求</w:t>
            </w:r>
            <w:r>
              <w:rPr>
                <w:rFonts w:hint="eastAsia" w:ascii="宋体" w:hAnsi="宋体" w:cs="宋体"/>
                <w:bCs/>
                <w:sz w:val="24"/>
                <w:highlight w:val="none"/>
                <w:lang w:val="zh-CN"/>
              </w:rPr>
              <w:t>二、服务、技术要求及其他</w:t>
            </w:r>
            <w:r>
              <w:rPr>
                <w:rFonts w:hint="eastAsia" w:ascii="宋体" w:hAnsi="宋体" w:cs="宋体"/>
                <w:bCs/>
                <w:sz w:val="24"/>
                <w:highlight w:val="none"/>
              </w:rPr>
              <w:t>)</w:t>
            </w:r>
            <w:r>
              <w:rPr>
                <w:rFonts w:hint="eastAsia" w:ascii="宋体" w:hAnsi="宋体" w:cs="宋体"/>
                <w:bCs/>
                <w:sz w:val="24"/>
                <w:highlight w:val="none"/>
                <w:lang w:val="zh-CN"/>
              </w:rPr>
              <w:t>响应情况进行综合评议。技术参数“▲”项为关键技术参数必须满足，不得出现负偏离，否则视为无效标，技术参数负偏离扣</w:t>
            </w:r>
            <w:r>
              <w:rPr>
                <w:rFonts w:hint="eastAsia" w:ascii="宋体" w:hAnsi="宋体" w:cs="宋体"/>
                <w:bCs/>
                <w:sz w:val="24"/>
                <w:highlight w:val="none"/>
              </w:rPr>
              <w:t>2</w:t>
            </w:r>
            <w:r>
              <w:rPr>
                <w:rFonts w:hint="eastAsia" w:ascii="宋体" w:hAnsi="宋体" w:cs="宋体"/>
                <w:bCs/>
                <w:sz w:val="24"/>
                <w:highlight w:val="none"/>
                <w:lang w:val="zh-CN"/>
              </w:rPr>
              <w:t>分，</w:t>
            </w:r>
            <w:r>
              <w:rPr>
                <w:rFonts w:hint="eastAsia" w:ascii="宋体" w:hAnsi="宋体" w:cs="宋体"/>
                <w:bCs/>
                <w:sz w:val="24"/>
                <w:highlight w:val="none"/>
              </w:rPr>
              <w:t>20</w:t>
            </w:r>
            <w:r>
              <w:rPr>
                <w:rFonts w:hint="eastAsia" w:ascii="宋体" w:hAnsi="宋体" w:cs="宋体"/>
                <w:bCs/>
                <w:sz w:val="24"/>
                <w:highlight w:val="none"/>
                <w:lang w:val="zh-CN"/>
              </w:rPr>
              <w:t>分扣完作无效标处理。不与演示重复扣分。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1" w:hRule="atLeast"/>
        </w:trPr>
        <w:tc>
          <w:tcPr>
            <w:tcW w:w="1283" w:type="dxa"/>
            <w:vMerge w:val="continue"/>
            <w:vAlign w:val="center"/>
          </w:tcPr>
          <w:p>
            <w:pPr>
              <w:spacing w:line="360" w:lineRule="auto"/>
              <w:ind w:right="-21" w:rightChars="-10"/>
              <w:jc w:val="center"/>
              <w:rPr>
                <w:rFonts w:ascii="宋体" w:hAnsi="宋体" w:cs="宋体"/>
                <w:b/>
                <w:sz w:val="24"/>
                <w:highlight w:val="none"/>
              </w:rPr>
            </w:pPr>
          </w:p>
        </w:tc>
        <w:tc>
          <w:tcPr>
            <w:tcW w:w="1519" w:type="dxa"/>
            <w:vMerge w:val="restart"/>
            <w:vAlign w:val="center"/>
          </w:tcPr>
          <w:p>
            <w:pPr>
              <w:spacing w:line="360" w:lineRule="exact"/>
              <w:jc w:val="left"/>
              <w:rPr>
                <w:rFonts w:ascii="宋体" w:hAnsi="宋体" w:cs="宋体"/>
                <w:b/>
                <w:bCs/>
                <w:sz w:val="24"/>
                <w:highlight w:val="none"/>
              </w:rPr>
            </w:pPr>
            <w:r>
              <w:rPr>
                <w:rFonts w:hint="eastAsia" w:ascii="宋体" w:hAnsi="宋体" w:cs="宋体"/>
                <w:b/>
                <w:bCs/>
                <w:sz w:val="24"/>
                <w:highlight w:val="none"/>
              </w:rPr>
              <w:t>项目实施方案（25分）</w:t>
            </w:r>
          </w:p>
        </w:tc>
        <w:tc>
          <w:tcPr>
            <w:tcW w:w="6500"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根据投标人制定本项目拍摄实施计划方案，方案全面详实，针对性强，完全满足采购要求得5分；方案全面，针对性较强，基本满足采购要求得4分；方案有缺项或部分不满足，针对性弱，得3分；方案较差，无实质性内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Merge w:val="continue"/>
            <w:vAlign w:val="center"/>
          </w:tcPr>
          <w:p>
            <w:pPr>
              <w:spacing w:line="360" w:lineRule="exact"/>
              <w:jc w:val="left"/>
              <w:rPr>
                <w:rFonts w:ascii="宋体" w:hAnsi="宋体" w:cs="宋体"/>
                <w:b/>
                <w:bCs/>
                <w:sz w:val="24"/>
                <w:highlight w:val="none"/>
              </w:rPr>
            </w:pPr>
          </w:p>
        </w:tc>
        <w:tc>
          <w:tcPr>
            <w:tcW w:w="6500"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根据投标人制定本项目制作实施计划方案，方案全面详实，针对性强，完全满足采购要求得5分；方案全面，针对性较强，基本满足采购要求得4分；方案有缺项或部分不满足，针对性弱，得3分；方案较差，无实质性内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Merge w:val="continue"/>
            <w:vAlign w:val="center"/>
          </w:tcPr>
          <w:p>
            <w:pPr>
              <w:spacing w:line="360" w:lineRule="exact"/>
              <w:jc w:val="left"/>
              <w:rPr>
                <w:rFonts w:ascii="宋体" w:hAnsi="宋体" w:cs="宋体"/>
                <w:b/>
                <w:bCs/>
                <w:sz w:val="24"/>
                <w:highlight w:val="none"/>
              </w:rPr>
            </w:pPr>
          </w:p>
        </w:tc>
        <w:tc>
          <w:tcPr>
            <w:tcW w:w="6500" w:type="dxa"/>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根据投标人制定本项目质量保障措施方案，方案全面详实，针对性强，完全满足采购要求得5分；方案全面，针对性较强，基本满足采购要求得4分；方案有缺项或部分不满足，针对性弱，得3分；方案较差，无实质性内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Merge w:val="continue"/>
            <w:vAlign w:val="center"/>
          </w:tcPr>
          <w:p>
            <w:pPr>
              <w:spacing w:line="360" w:lineRule="exact"/>
              <w:jc w:val="left"/>
              <w:rPr>
                <w:rFonts w:ascii="宋体" w:hAnsi="宋体" w:cs="宋体"/>
                <w:b/>
                <w:bCs/>
                <w:sz w:val="24"/>
                <w:highlight w:val="none"/>
              </w:rPr>
            </w:pPr>
          </w:p>
        </w:tc>
        <w:tc>
          <w:tcPr>
            <w:tcW w:w="6500"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根据投标人提供完善的培训指导方案，方案全面详实，操作性强，完全满足采购要求得5分；方案全面，操作性较强，基本满足采购要求得4分；方案有缺项或部分不满足，操作性弱，得3分；方案较差，无实质性内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Merge w:val="continue"/>
            <w:shd w:val="clear" w:color="auto" w:fill="auto"/>
            <w:vAlign w:val="center"/>
          </w:tcPr>
          <w:p>
            <w:pPr>
              <w:snapToGrid w:val="0"/>
              <w:spacing w:line="288" w:lineRule="auto"/>
              <w:jc w:val="center"/>
              <w:rPr>
                <w:rFonts w:ascii="宋体" w:hAnsi="宋体" w:cs="宋体"/>
                <w:b/>
                <w:bCs/>
                <w:sz w:val="24"/>
                <w:highlight w:val="none"/>
              </w:rPr>
            </w:pPr>
          </w:p>
        </w:tc>
        <w:tc>
          <w:tcPr>
            <w:tcW w:w="6500" w:type="dxa"/>
            <w:shd w:val="clear" w:color="auto" w:fill="auto"/>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【主观分】根据投标人提供完善的培训指导方案，</w:t>
            </w:r>
            <w:r>
              <w:rPr>
                <w:rFonts w:hint="eastAsia" w:ascii="宋体" w:hAnsi="宋体" w:cs="宋体"/>
                <w:bCs/>
                <w:sz w:val="24"/>
                <w:highlight w:val="none"/>
              </w:rPr>
              <w:t>投标人能为采购方提供教学内所需素材及案例工程文件做为教学使用，课程当用使用音乐有版权，需能版权说明。</w:t>
            </w:r>
            <w:r>
              <w:rPr>
                <w:rFonts w:hint="eastAsia" w:ascii="宋体" w:hAnsi="宋体" w:cs="宋体"/>
                <w:bCs/>
                <w:sz w:val="24"/>
                <w:highlight w:val="none"/>
                <w:lang w:val="zh-CN"/>
              </w:rPr>
              <w:t>方案全面详实，操作性强，完全满足采购要求得5分；方案全面，操作性较强，基本满足采购要求得4分；方案有缺项或部分不满足，操作性弱，得3分；方案较差，无实质性内容，得1分。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Align w:val="center"/>
          </w:tcPr>
          <w:p>
            <w:pPr>
              <w:snapToGrid w:val="0"/>
              <w:spacing w:line="288" w:lineRule="auto"/>
              <w:jc w:val="center"/>
              <w:rPr>
                <w:rFonts w:ascii="宋体" w:hAnsi="宋体" w:cs="宋体"/>
                <w:b/>
                <w:bCs/>
                <w:sz w:val="24"/>
                <w:highlight w:val="none"/>
              </w:rPr>
            </w:pPr>
            <w:r>
              <w:rPr>
                <w:rFonts w:hint="eastAsia" w:ascii="宋体" w:hAnsi="宋体" w:cs="宋体"/>
                <w:b/>
                <w:bCs/>
                <w:sz w:val="24"/>
                <w:highlight w:val="none"/>
              </w:rPr>
              <w:t>专业拍摄设备（5分）</w:t>
            </w:r>
          </w:p>
        </w:tc>
        <w:tc>
          <w:tcPr>
            <w:tcW w:w="6500" w:type="dxa"/>
            <w:vAlign w:val="center"/>
          </w:tcPr>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【主观分】根据投标人针对本项目提供的专业拍摄设备等情况综合评议、酌情打分：</w:t>
            </w:r>
          </w:p>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能满足多种拍摄需求、录制设备配置高的得5</w:t>
            </w:r>
            <w:r>
              <w:rPr>
                <w:rFonts w:hint="eastAsia" w:ascii="宋体" w:hAnsi="宋体" w:cs="宋体"/>
                <w:bCs/>
                <w:sz w:val="24"/>
                <w:highlight w:val="none"/>
                <w:lang w:val="zh-CN"/>
              </w:rPr>
              <w:t>分；</w:t>
            </w:r>
          </w:p>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能满足多种拍摄需求、录制设备配置良好的得3</w:t>
            </w:r>
            <w:r>
              <w:rPr>
                <w:rFonts w:hint="eastAsia" w:ascii="宋体" w:hAnsi="宋体" w:cs="宋体"/>
                <w:bCs/>
                <w:sz w:val="24"/>
                <w:highlight w:val="none"/>
                <w:lang w:val="zh-CN"/>
              </w:rPr>
              <w:t>分；</w:t>
            </w:r>
          </w:p>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能满足基本拍摄需求、录制设备配置一般的得1</w:t>
            </w:r>
            <w:r>
              <w:rPr>
                <w:rFonts w:hint="eastAsia" w:ascii="宋体" w:hAnsi="宋体" w:cs="宋体"/>
                <w:bCs/>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Align w:val="center"/>
          </w:tcPr>
          <w:p>
            <w:pPr>
              <w:snapToGrid w:val="0"/>
              <w:spacing w:line="288" w:lineRule="auto"/>
              <w:jc w:val="center"/>
              <w:rPr>
                <w:rFonts w:ascii="宋体" w:hAnsi="宋体" w:cs="宋体"/>
                <w:b/>
                <w:bCs/>
                <w:sz w:val="24"/>
                <w:highlight w:val="none"/>
              </w:rPr>
            </w:pPr>
            <w:r>
              <w:rPr>
                <w:rFonts w:hint="eastAsia" w:ascii="宋体" w:hAnsi="宋体" w:cs="宋体"/>
                <w:b/>
                <w:bCs/>
                <w:sz w:val="24"/>
                <w:highlight w:val="none"/>
              </w:rPr>
              <w:t>教学视频拍摄制作基地（8分）</w:t>
            </w:r>
          </w:p>
        </w:tc>
        <w:tc>
          <w:tcPr>
            <w:tcW w:w="6500" w:type="dxa"/>
            <w:vAlign w:val="center"/>
          </w:tcPr>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【主观分】投标人针对本项目设置的教学视频拍摄制作基地（包含影棚拍摄区、教师发展活动区、工作区等场地）：</w:t>
            </w:r>
          </w:p>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教学视频拍摄制作基地交通便利且设备配置齐全的得8分；</w:t>
            </w:r>
          </w:p>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教学视频拍摄制作基地交通便利距离较近且设备相对齐全得4分；</w:t>
            </w:r>
          </w:p>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教学视频拍摄制作基地设备简陋或路程远的得2分，</w:t>
            </w:r>
          </w:p>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无场地不得分。</w:t>
            </w:r>
          </w:p>
          <w:p>
            <w:pPr>
              <w:snapToGrid w:val="0"/>
              <w:spacing w:line="360" w:lineRule="auto"/>
              <w:jc w:val="left"/>
              <w:rPr>
                <w:rFonts w:hint="eastAsia" w:ascii="宋体" w:hAnsi="宋体" w:cs="宋体"/>
                <w:bCs/>
                <w:sz w:val="24"/>
                <w:highlight w:val="none"/>
                <w:lang w:val="zh-CN"/>
              </w:rPr>
            </w:pPr>
            <w:r>
              <w:rPr>
                <w:rFonts w:hint="eastAsia" w:ascii="宋体" w:hAnsi="宋体" w:cs="宋体"/>
                <w:bCs/>
                <w:sz w:val="24"/>
                <w:highlight w:val="none"/>
                <w:lang w:val="zh-CN"/>
              </w:rPr>
              <w:t>须提供拍摄制作场地证明材料以及教学视频拍摄制作基地现场照片，第三方公司授权服务场地不得分。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Align w:val="center"/>
          </w:tcPr>
          <w:p>
            <w:pPr>
              <w:snapToGrid w:val="0"/>
              <w:spacing w:line="288" w:lineRule="auto"/>
              <w:jc w:val="center"/>
              <w:rPr>
                <w:rFonts w:ascii="宋体" w:hAnsi="宋体" w:cs="宋体"/>
                <w:b/>
                <w:bCs/>
                <w:sz w:val="24"/>
                <w:highlight w:val="none"/>
              </w:rPr>
            </w:pPr>
            <w:r>
              <w:rPr>
                <w:rFonts w:hint="eastAsia" w:ascii="宋体" w:hAnsi="宋体" w:cs="宋体"/>
                <w:b/>
                <w:bCs/>
                <w:sz w:val="24"/>
                <w:highlight w:val="none"/>
              </w:rPr>
              <w:t>制作团队（5分）</w:t>
            </w:r>
          </w:p>
        </w:tc>
        <w:tc>
          <w:tcPr>
            <w:tcW w:w="6500"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根据投标人针对本项目拟投入项目负责人及制作团队数量、团队人员的配置、实施经验、能力等（拍摄团队必须是专注于从事高校慕课课程拍摄与制作的专业团队，在为我校服务期间应派遣专业课程制作团队,至少包含专业的课程策划师、视频录制人员、后期制作人员等，能够做到根据我校具体的课程拍摄数量及交付时间的要求，来安排拍摄团队的人员及团队数量）进行综合评议，酌情打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组建的项目团队人员配备齐全，专业水平高，制作经验丰富的得</w:t>
            </w:r>
            <w:r>
              <w:rPr>
                <w:rFonts w:hint="eastAsia" w:ascii="宋体" w:hAnsi="宋体" w:cs="宋体"/>
                <w:bCs/>
                <w:sz w:val="24"/>
                <w:highlight w:val="none"/>
              </w:rPr>
              <w:t>5</w:t>
            </w:r>
            <w:r>
              <w:rPr>
                <w:rFonts w:hint="eastAsia" w:ascii="宋体" w:hAnsi="宋体" w:cs="宋体"/>
                <w:bCs/>
                <w:sz w:val="24"/>
                <w:highlight w:val="none"/>
                <w:lang w:val="zh-CN"/>
              </w:rPr>
              <w:t>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人员配备比较齐全，专业水平比较高，制作经验比较丰富的得</w:t>
            </w:r>
            <w:r>
              <w:rPr>
                <w:rFonts w:hint="eastAsia" w:ascii="宋体" w:hAnsi="宋体" w:cs="宋体"/>
                <w:bCs/>
                <w:sz w:val="24"/>
                <w:highlight w:val="none"/>
              </w:rPr>
              <w:t>3</w:t>
            </w:r>
            <w:r>
              <w:rPr>
                <w:rFonts w:hint="eastAsia" w:ascii="宋体" w:hAnsi="宋体" w:cs="宋体"/>
                <w:bCs/>
                <w:sz w:val="24"/>
                <w:highlight w:val="none"/>
                <w:lang w:val="zh-CN"/>
              </w:rPr>
              <w:t>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人员配备欠齐全，专业水平一般，制作经验较少的得</w:t>
            </w:r>
            <w:r>
              <w:rPr>
                <w:rFonts w:hint="eastAsia" w:ascii="宋体" w:hAnsi="宋体" w:cs="宋体"/>
                <w:bCs/>
                <w:sz w:val="24"/>
                <w:highlight w:val="none"/>
              </w:rPr>
              <w:t>1</w:t>
            </w:r>
            <w:r>
              <w:rPr>
                <w:rFonts w:hint="eastAsia" w:ascii="宋体" w:hAnsi="宋体" w:cs="宋体"/>
                <w:bCs/>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Align w:val="center"/>
          </w:tcPr>
          <w:p>
            <w:pPr>
              <w:snapToGrid w:val="0"/>
              <w:spacing w:line="288" w:lineRule="auto"/>
              <w:jc w:val="center"/>
              <w:rPr>
                <w:rFonts w:ascii="宋体" w:hAnsi="宋体" w:cs="宋体"/>
                <w:b/>
                <w:bCs/>
                <w:sz w:val="24"/>
                <w:highlight w:val="none"/>
              </w:rPr>
            </w:pPr>
            <w:r>
              <w:rPr>
                <w:rFonts w:hint="eastAsia" w:ascii="宋体" w:hAnsi="宋体" w:cs="宋体"/>
                <w:b/>
                <w:bCs/>
                <w:sz w:val="24"/>
                <w:highlight w:val="none"/>
              </w:rPr>
              <w:t>服务要求响应（5分）</w:t>
            </w:r>
          </w:p>
        </w:tc>
        <w:tc>
          <w:tcPr>
            <w:tcW w:w="6500"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【客观分】根据投标人提供的服务要求响应情况进行打分。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1、</w:t>
            </w:r>
            <w:r>
              <w:rPr>
                <w:rFonts w:hint="eastAsia" w:ascii="宋体" w:hAnsi="宋体" w:cs="宋体"/>
                <w:bCs/>
                <w:sz w:val="24"/>
                <w:highlight w:val="none"/>
                <w:lang w:val="zh-CN"/>
              </w:rPr>
              <w:t>（提供不少于5×8小时的咨询服务，在接到售后服务或后期服务的要求，在30分钟内做出响应，</w:t>
            </w:r>
            <w:r>
              <w:rPr>
                <w:rFonts w:hint="eastAsia" w:ascii="宋体" w:hAnsi="宋体" w:cs="宋体"/>
                <w:bCs/>
                <w:sz w:val="24"/>
                <w:highlight w:val="none"/>
              </w:rPr>
              <w:t>1</w:t>
            </w:r>
            <w:r>
              <w:rPr>
                <w:rFonts w:hint="eastAsia" w:ascii="宋体" w:hAnsi="宋体" w:cs="宋体"/>
                <w:bCs/>
                <w:sz w:val="24"/>
                <w:highlight w:val="none"/>
                <w:lang w:val="zh-CN"/>
              </w:rPr>
              <w:t>小时内到达现场），得</w:t>
            </w:r>
            <w:r>
              <w:rPr>
                <w:rFonts w:hint="eastAsia" w:ascii="宋体" w:hAnsi="宋体" w:cs="宋体"/>
                <w:bCs/>
                <w:sz w:val="24"/>
                <w:highlight w:val="none"/>
              </w:rPr>
              <w:t>5分</w:t>
            </w:r>
            <w:r>
              <w:rPr>
                <w:rFonts w:hint="eastAsia" w:ascii="宋体" w:hAnsi="宋体" w:cs="宋体"/>
                <w:bCs/>
                <w:sz w:val="24"/>
                <w:highlight w:val="none"/>
                <w:lang w:val="zh-CN"/>
              </w:rPr>
              <w:t>；</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2、</w:t>
            </w:r>
            <w:r>
              <w:rPr>
                <w:rFonts w:hint="eastAsia" w:ascii="宋体" w:hAnsi="宋体" w:cs="宋体"/>
                <w:bCs/>
                <w:sz w:val="24"/>
                <w:highlight w:val="none"/>
                <w:lang w:val="zh-CN"/>
              </w:rPr>
              <w:t>（提供不少于5×8小时的咨询服务，在接到售后服务或后期服务的要求，在30分钟内做出响应，</w:t>
            </w:r>
            <w:r>
              <w:rPr>
                <w:rFonts w:hint="eastAsia" w:ascii="宋体" w:hAnsi="宋体" w:cs="宋体"/>
                <w:bCs/>
                <w:sz w:val="24"/>
                <w:highlight w:val="none"/>
              </w:rPr>
              <w:t>2</w:t>
            </w:r>
            <w:r>
              <w:rPr>
                <w:rFonts w:hint="eastAsia" w:ascii="宋体" w:hAnsi="宋体" w:cs="宋体"/>
                <w:bCs/>
                <w:sz w:val="24"/>
                <w:highlight w:val="none"/>
                <w:lang w:val="zh-CN"/>
              </w:rPr>
              <w:t>小时内到达现场），得</w:t>
            </w:r>
            <w:r>
              <w:rPr>
                <w:rFonts w:hint="eastAsia" w:ascii="宋体" w:hAnsi="宋体" w:cs="宋体"/>
                <w:bCs/>
                <w:sz w:val="24"/>
                <w:highlight w:val="none"/>
              </w:rPr>
              <w:t>3分</w:t>
            </w:r>
            <w:r>
              <w:rPr>
                <w:rFonts w:hint="eastAsia" w:ascii="宋体" w:hAnsi="宋体" w:cs="宋体"/>
                <w:bCs/>
                <w:sz w:val="24"/>
                <w:highlight w:val="none"/>
                <w:lang w:val="zh-CN"/>
              </w:rPr>
              <w:t>；</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3、</w:t>
            </w:r>
            <w:r>
              <w:rPr>
                <w:rFonts w:hint="eastAsia" w:ascii="宋体" w:hAnsi="宋体" w:cs="宋体"/>
                <w:bCs/>
                <w:sz w:val="24"/>
                <w:highlight w:val="none"/>
                <w:lang w:val="zh-CN"/>
              </w:rPr>
              <w:t>（提供不少于5×8小时的咨询服务，在接到售后服务或后期服务的要求，在30分钟内做出响应，</w:t>
            </w:r>
            <w:r>
              <w:rPr>
                <w:rFonts w:hint="eastAsia" w:ascii="宋体" w:hAnsi="宋体" w:cs="宋体"/>
                <w:bCs/>
                <w:sz w:val="24"/>
                <w:highlight w:val="none"/>
              </w:rPr>
              <w:t>4</w:t>
            </w:r>
            <w:r>
              <w:rPr>
                <w:rFonts w:hint="eastAsia" w:ascii="宋体" w:hAnsi="宋体" w:cs="宋体"/>
                <w:bCs/>
                <w:sz w:val="24"/>
                <w:highlight w:val="none"/>
                <w:lang w:val="zh-CN"/>
              </w:rPr>
              <w:t>小时内到达现场），得</w:t>
            </w:r>
            <w:r>
              <w:rPr>
                <w:rFonts w:hint="eastAsia" w:ascii="宋体" w:hAnsi="宋体" w:cs="宋体"/>
                <w:bCs/>
                <w:sz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83" w:type="dxa"/>
            <w:vMerge w:val="continue"/>
            <w:vAlign w:val="center"/>
          </w:tcPr>
          <w:p>
            <w:pPr>
              <w:widowControl/>
              <w:spacing w:line="360" w:lineRule="auto"/>
              <w:rPr>
                <w:rFonts w:ascii="宋体" w:hAnsi="宋体" w:cs="宋体"/>
                <w:sz w:val="24"/>
                <w:highlight w:val="none"/>
              </w:rPr>
            </w:pPr>
            <w:bookmarkStart w:id="448" w:name="_GoBack" w:colFirst="2" w:colLast="2"/>
          </w:p>
        </w:tc>
        <w:tc>
          <w:tcPr>
            <w:tcW w:w="1519" w:type="dxa"/>
            <w:vAlign w:val="center"/>
          </w:tcPr>
          <w:p>
            <w:pPr>
              <w:snapToGrid w:val="0"/>
              <w:spacing w:line="288" w:lineRule="auto"/>
              <w:jc w:val="center"/>
              <w:rPr>
                <w:rFonts w:ascii="宋体" w:hAnsi="宋体" w:cs="宋体"/>
                <w:b/>
                <w:bCs/>
                <w:sz w:val="24"/>
                <w:highlight w:val="none"/>
              </w:rPr>
            </w:pPr>
            <w:r>
              <w:rPr>
                <w:rFonts w:hint="eastAsia" w:ascii="宋体" w:hAnsi="宋体" w:cs="宋体"/>
                <w:b/>
                <w:bCs/>
                <w:sz w:val="24"/>
                <w:highlight w:val="none"/>
              </w:rPr>
              <w:t>样片（10分）</w:t>
            </w:r>
          </w:p>
        </w:tc>
        <w:tc>
          <w:tcPr>
            <w:tcW w:w="6500"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【主观分】投标人针对本次</w:t>
            </w:r>
            <w:r>
              <w:rPr>
                <w:rFonts w:hint="eastAsia" w:ascii="宋体" w:hAnsi="宋体" w:cs="宋体"/>
                <w:bCs/>
                <w:sz w:val="24"/>
                <w:highlight w:val="none"/>
                <w:lang w:val="zh-CN"/>
              </w:rPr>
              <w:t>招标课程</w:t>
            </w:r>
            <w:r>
              <w:rPr>
                <w:rFonts w:hint="eastAsia" w:ascii="宋体" w:hAnsi="宋体" w:cs="宋体"/>
                <w:bCs/>
                <w:sz w:val="24"/>
                <w:highlight w:val="none"/>
                <w:lang w:val="zh-CN"/>
              </w:rPr>
              <w:t>制作一个视频课程样片提交（要求时长为5分钟，超时部分不予播放，拷入U盘，未提供样片的投标无效，要求能用普通电脑播放，由投标人承担现场播放失败所造成的一切后果），由评委进行综合评议，</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对供应商样片(片头创作、音乐、后期动画制作等)制作水平包括相应学科课程特点提供的设计思想与制作手法、典型场景、景别设计、拍摄，动画制作等进行综合打分，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（评分范围：样片设计思想与制作手法、典型场景、景别设计、拍摄、动画制作、拍摄手法新颖，制作模式丰富的得</w:t>
            </w:r>
            <w:r>
              <w:rPr>
                <w:rFonts w:hint="eastAsia" w:ascii="宋体" w:hAnsi="宋体" w:cs="宋体"/>
                <w:bCs/>
                <w:sz w:val="24"/>
                <w:highlight w:val="none"/>
              </w:rPr>
              <w:t>10</w:t>
            </w:r>
            <w:r>
              <w:rPr>
                <w:rFonts w:hint="eastAsia" w:ascii="宋体" w:hAnsi="宋体" w:cs="宋体"/>
                <w:bCs/>
                <w:sz w:val="24"/>
                <w:highlight w:val="none"/>
                <w:lang w:val="zh-CN"/>
              </w:rPr>
              <w:t>分；样片设计思想</w:t>
            </w:r>
            <w:r>
              <w:rPr>
                <w:rFonts w:hint="eastAsia" w:ascii="宋体" w:hAnsi="宋体" w:cs="宋体"/>
                <w:bCs/>
                <w:sz w:val="24"/>
                <w:highlight w:val="none"/>
              </w:rPr>
              <w:t>、</w:t>
            </w:r>
            <w:r>
              <w:rPr>
                <w:rFonts w:hint="eastAsia" w:ascii="宋体" w:hAnsi="宋体" w:cs="宋体"/>
                <w:bCs/>
                <w:sz w:val="24"/>
                <w:highlight w:val="none"/>
                <w:lang w:val="zh-CN"/>
              </w:rPr>
              <w:t>制作手法、典型场景、景别设计、拍摄、动画制作、拍摄手法、制作模式有缺陷的每项扣</w:t>
            </w:r>
            <w:r>
              <w:rPr>
                <w:rFonts w:hint="eastAsia" w:ascii="宋体" w:hAnsi="宋体" w:cs="宋体"/>
                <w:bCs/>
                <w:sz w:val="24"/>
                <w:highlight w:val="none"/>
              </w:rPr>
              <w:t>2分，扣完为止</w:t>
            </w:r>
            <w:r>
              <w:rPr>
                <w:rFonts w:hint="eastAsia" w:ascii="宋体" w:hAnsi="宋体" w:cs="宋体"/>
                <w:bCs/>
                <w:sz w:val="24"/>
                <w:highlight w:val="none"/>
                <w:lang w:val="zh-CN"/>
              </w:rPr>
              <w:t>。）</w:t>
            </w:r>
          </w:p>
        </w:tc>
      </w:tr>
      <w:bookmarkEnd w:id="448"/>
    </w:tbl>
    <w:p>
      <w:pPr>
        <w:pStyle w:val="61"/>
        <w:jc w:val="left"/>
        <w:rPr>
          <w:rFonts w:ascii="宋体" w:hAnsi="宋体" w:cs="宋体"/>
          <w:sz w:val="20"/>
          <w:highlight w:val="none"/>
          <w:shd w:val="clear" w:color="auto" w:fill="FFFFFF"/>
        </w:rPr>
      </w:pPr>
    </w:p>
    <w:p>
      <w:pPr>
        <w:pStyle w:val="61"/>
        <w:jc w:val="left"/>
        <w:rPr>
          <w:highlight w:val="none"/>
          <w:lang w:val="en-US"/>
        </w:rPr>
      </w:pPr>
      <w:r>
        <w:rPr>
          <w:rFonts w:hint="eastAsia" w:ascii="宋体" w:hAnsi="宋体" w:cs="宋体"/>
          <w:sz w:val="20"/>
          <w:highlight w:val="none"/>
          <w:shd w:val="clear" w:color="auto" w:fill="FFFFFF"/>
        </w:rPr>
        <w:t>*</w:t>
      </w:r>
      <w:r>
        <w:rPr>
          <w:rFonts w:hint="eastAsia" w:ascii="宋体" w:hAnsi="宋体" w:cs="宋体"/>
          <w:highlight w:val="none"/>
        </w:rPr>
        <w:t>备注：投标人编制投标文件（商务技术文件部分）时，建议按此目录（序号和内容）提供评标标准相应的商务技术资料。</w:t>
      </w:r>
    </w:p>
    <w:p>
      <w:pPr>
        <w:pStyle w:val="61"/>
        <w:rPr>
          <w:highlight w:val="none"/>
          <w:lang w:val="en-US"/>
        </w:rPr>
      </w:pPr>
    </w:p>
    <w:p>
      <w:pPr>
        <w:snapToGrid w:val="0"/>
        <w:spacing w:line="360" w:lineRule="auto"/>
        <w:rPr>
          <w:rFonts w:ascii="宋体" w:hAnsi="宋体" w:cs="宋体"/>
          <w:b/>
          <w:sz w:val="24"/>
          <w:highlight w:val="none"/>
        </w:rPr>
      </w:pPr>
      <w:r>
        <w:rPr>
          <w:rFonts w:hint="eastAsia" w:ascii="宋体" w:hAnsi="宋体" w:cs="宋体"/>
          <w:b/>
          <w:sz w:val="24"/>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24"/>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24"/>
          <w:highlight w:val="none"/>
        </w:rPr>
      </w:pPr>
      <w:bookmarkStart w:id="398" w:name="_Toc12759"/>
      <w:r>
        <w:rPr>
          <w:rFonts w:hint="eastAsia" w:ascii="宋体" w:hAnsi="宋体" w:cs="宋体"/>
          <w:b/>
          <w:sz w:val="24"/>
          <w:highlight w:val="none"/>
        </w:rPr>
        <w:t>三、评标程序</w:t>
      </w:r>
      <w:bookmarkEnd w:id="398"/>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33"/>
        <w:spacing w:before="0"/>
        <w:ind w:firstLine="509"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ascii="宋体" w:hAnsi="宋体" w:cs="宋体"/>
          <w:b/>
          <w:sz w:val="24"/>
          <w:highlight w:val="none"/>
        </w:rPr>
      </w:pPr>
      <w:r>
        <w:rPr>
          <w:rFonts w:hint="eastAsia" w:ascii="宋体" w:hAnsi="宋体" w:cs="宋体"/>
          <w:b/>
          <w:sz w:val="24"/>
          <w:highlight w:val="none"/>
        </w:rPr>
        <w:t>四、评标中的其他事项</w:t>
      </w:r>
    </w:p>
    <w:p>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4.2.13不同供应商的电子投标（响应）文件上传计算机的网卡MAC地址或硬盘序列号等硬件信息相同的；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4.2.15不同供应商的投标（响应）文件的内容存在三处（含）以上错误一致的；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4.2.16不同供应商联系人为同一人或不同联系人的联系电话一致的。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4.2.17法律、法规、规章（适用本市的）及省级以上规范性文件（适用本市的）规定的其他无效情形。</w:t>
      </w:r>
    </w:p>
    <w:p>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6"/>
        <w:snapToGrid w:val="0"/>
        <w:spacing w:line="360" w:lineRule="auto"/>
        <w:rPr>
          <w:rFonts w:cs="宋体"/>
          <w:highlight w:val="none"/>
        </w:rPr>
      </w:pPr>
      <w:r>
        <w:rPr>
          <w:rFonts w:hint="eastAsia" w:cs="宋体"/>
          <w:highlight w:val="none"/>
        </w:rPr>
        <w:t>5.2出现影响采购公正的违法、违规行为的；</w:t>
      </w:r>
    </w:p>
    <w:p>
      <w:pPr>
        <w:pStyle w:val="26"/>
        <w:snapToGrid w:val="0"/>
        <w:spacing w:line="360" w:lineRule="auto"/>
        <w:rPr>
          <w:rFonts w:cs="宋体"/>
          <w:highlight w:val="none"/>
        </w:rPr>
      </w:pPr>
      <w:r>
        <w:rPr>
          <w:rFonts w:hint="eastAsia" w:cs="宋体"/>
          <w:highlight w:val="none"/>
        </w:rPr>
        <w:t>5.3投标人的报价均超过了采购预算，采购人不能支付的；</w:t>
      </w:r>
    </w:p>
    <w:p>
      <w:pPr>
        <w:pStyle w:val="26"/>
        <w:snapToGrid w:val="0"/>
        <w:spacing w:line="360" w:lineRule="auto"/>
        <w:rPr>
          <w:rFonts w:cs="宋体"/>
          <w:highlight w:val="none"/>
        </w:rPr>
      </w:pPr>
      <w:r>
        <w:rPr>
          <w:rFonts w:hint="eastAsia" w:cs="宋体"/>
          <w:highlight w:val="none"/>
        </w:rPr>
        <w:t>5.4因重大变故，采购任务取消的。</w:t>
      </w:r>
    </w:p>
    <w:p>
      <w:pPr>
        <w:pStyle w:val="26"/>
        <w:snapToGrid w:val="0"/>
        <w:spacing w:line="360" w:lineRule="auto"/>
        <w:rPr>
          <w:rFonts w:cs="宋体"/>
          <w:highlight w:val="none"/>
        </w:rPr>
      </w:pPr>
      <w:r>
        <w:rPr>
          <w:rFonts w:hint="eastAsia" w:cs="宋体"/>
          <w:highlight w:val="none"/>
        </w:rPr>
        <w:t>废标后，采购代理机构应当将废标理由通知所有投标人。</w:t>
      </w:r>
    </w:p>
    <w:p>
      <w:pPr>
        <w:pStyle w:val="2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6"/>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6"/>
        <w:snapToGrid w:val="0"/>
        <w:spacing w:line="360" w:lineRule="auto"/>
        <w:rPr>
          <w:rFonts w:cs="宋体"/>
          <w:b/>
          <w:sz w:val="36"/>
          <w:szCs w:val="36"/>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9" w:name="_Toc86217003"/>
      <w:bookmarkStart w:id="400" w:name="第五部分"/>
    </w:p>
    <w:p>
      <w:pPr>
        <w:rPr>
          <w:rFonts w:ascii="宋体" w:hAnsi="宋体" w:cs="宋体"/>
          <w:b/>
          <w:sz w:val="36"/>
          <w:szCs w:val="36"/>
          <w:highlight w:val="none"/>
        </w:rPr>
      </w:pPr>
      <w:r>
        <w:rPr>
          <w:rFonts w:hint="eastAsia" w:ascii="宋体" w:hAnsi="宋体" w:cs="宋体"/>
          <w:b/>
          <w:sz w:val="36"/>
          <w:szCs w:val="36"/>
          <w:highlight w:val="none"/>
        </w:rPr>
        <w:br w:type="page"/>
      </w:r>
    </w:p>
    <w:p>
      <w:pPr>
        <w:spacing w:line="360" w:lineRule="auto"/>
        <w:ind w:left="720" w:leftChars="343" w:firstLine="1084" w:firstLineChars="300"/>
        <w:outlineLvl w:val="0"/>
        <w:rPr>
          <w:rFonts w:ascii="宋体" w:hAnsi="宋体" w:cs="宋体"/>
          <w:b/>
          <w:sz w:val="36"/>
          <w:szCs w:val="36"/>
          <w:highlight w:val="none"/>
        </w:rPr>
      </w:pPr>
      <w:bookmarkStart w:id="401" w:name="_Toc8900"/>
      <w:r>
        <w:rPr>
          <w:rFonts w:hint="eastAsia" w:ascii="宋体" w:hAnsi="宋体" w:cs="宋体"/>
          <w:b/>
          <w:sz w:val="36"/>
          <w:szCs w:val="36"/>
          <w:highlight w:val="none"/>
        </w:rPr>
        <w:t>第五部分 拟签订的合同文本</w:t>
      </w:r>
      <w:bookmarkEnd w:id="401"/>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 xml:space="preserve">项目名称：      </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项目编号：</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甲方：（买方）</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乙方：（卖方）</w:t>
      </w:r>
    </w:p>
    <w:p>
      <w:pPr>
        <w:pStyle w:val="34"/>
        <w:snapToGrid w:val="0"/>
        <w:spacing w:before="120" w:after="120" w:line="360" w:lineRule="auto"/>
        <w:rPr>
          <w:rFonts w:hAnsi="宋体" w:cs="宋体"/>
          <w:sz w:val="24"/>
          <w:szCs w:val="24"/>
          <w:highlight w:val="none"/>
        </w:rPr>
      </w:pPr>
      <w:bookmarkStart w:id="402" w:name="_Toc1093_WPSOffice_Level2"/>
      <w:bookmarkStart w:id="403" w:name="_Toc18302_WPSOffice_Level2"/>
      <w:r>
        <w:rPr>
          <w:rFonts w:hint="eastAsia" w:hAnsi="宋体" w:cs="宋体"/>
          <w:sz w:val="24"/>
          <w:szCs w:val="24"/>
          <w:highlight w:val="none"/>
        </w:rPr>
        <w:t xml:space="preserve">甲、乙双方根据 </w:t>
      </w:r>
      <w:r>
        <w:rPr>
          <w:rFonts w:hint="eastAsia" w:hAnsi="宋体" w:cs="宋体"/>
          <w:sz w:val="24"/>
          <w:szCs w:val="24"/>
          <w:highlight w:val="none"/>
          <w:u w:val="single"/>
        </w:rPr>
        <w:t xml:space="preserve">  关于ABC单位XYZ项目  竞争性磋商    </w:t>
      </w:r>
      <w:r>
        <w:rPr>
          <w:rFonts w:hint="eastAsia" w:hAnsi="宋体" w:cs="宋体"/>
          <w:sz w:val="24"/>
          <w:szCs w:val="24"/>
          <w:highlight w:val="none"/>
        </w:rPr>
        <w:t>的结果，签署本合同。</w:t>
      </w:r>
      <w:bookmarkEnd w:id="402"/>
      <w:bookmarkEnd w:id="403"/>
    </w:p>
    <w:p>
      <w:pPr>
        <w:pStyle w:val="34"/>
        <w:snapToGrid w:val="0"/>
        <w:spacing w:before="120" w:after="120" w:line="360" w:lineRule="auto"/>
        <w:rPr>
          <w:rFonts w:hAnsi="宋体" w:cs="宋体"/>
          <w:sz w:val="24"/>
          <w:szCs w:val="24"/>
          <w:highlight w:val="none"/>
        </w:rPr>
      </w:pPr>
      <w:bookmarkStart w:id="404" w:name="_Toc16241_WPSOffice_Level2"/>
      <w:bookmarkStart w:id="405" w:name="_Toc9272_WPSOffice_Level2"/>
      <w:r>
        <w:rPr>
          <w:rFonts w:hint="eastAsia" w:hAnsi="宋体" w:cs="宋体"/>
          <w:sz w:val="24"/>
          <w:szCs w:val="24"/>
          <w:highlight w:val="none"/>
        </w:rPr>
        <w:t>一、服务内容</w:t>
      </w:r>
      <w:bookmarkEnd w:id="404"/>
      <w:bookmarkEnd w:id="405"/>
    </w:p>
    <w:p>
      <w:pPr>
        <w:spacing w:line="360" w:lineRule="auto"/>
        <w:rPr>
          <w:rFonts w:ascii="宋体" w:hAnsi="宋体" w:cs="宋体"/>
          <w:sz w:val="24"/>
          <w:highlight w:val="none"/>
        </w:rPr>
      </w:pPr>
    </w:p>
    <w:p>
      <w:pPr>
        <w:pStyle w:val="34"/>
        <w:snapToGrid w:val="0"/>
        <w:spacing w:before="120" w:after="120" w:line="360" w:lineRule="auto"/>
        <w:rPr>
          <w:rFonts w:hAnsi="宋体" w:cs="宋体"/>
          <w:sz w:val="24"/>
          <w:szCs w:val="24"/>
          <w:highlight w:val="none"/>
        </w:rPr>
      </w:pPr>
      <w:bookmarkStart w:id="406" w:name="_Toc17900_WPSOffice_Level2"/>
      <w:bookmarkStart w:id="407" w:name="_Toc26290_WPSOffice_Level2"/>
      <w:r>
        <w:rPr>
          <w:rFonts w:hint="eastAsia" w:hAnsi="宋体" w:cs="宋体"/>
          <w:sz w:val="24"/>
          <w:szCs w:val="24"/>
          <w:highlight w:val="none"/>
        </w:rPr>
        <w:t>二、合同金额</w:t>
      </w:r>
      <w:bookmarkEnd w:id="406"/>
      <w:bookmarkEnd w:id="407"/>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本合同金额为（大写）：____________________________________元（￥_______________元）人民币。</w:t>
      </w:r>
    </w:p>
    <w:p>
      <w:pPr>
        <w:pStyle w:val="34"/>
        <w:snapToGrid w:val="0"/>
        <w:spacing w:before="120" w:after="120" w:line="360" w:lineRule="auto"/>
        <w:rPr>
          <w:rFonts w:hAnsi="宋体" w:cs="宋体"/>
          <w:sz w:val="24"/>
          <w:szCs w:val="24"/>
          <w:highlight w:val="none"/>
        </w:rPr>
      </w:pPr>
      <w:bookmarkStart w:id="408" w:name="_Toc9678_WPSOffice_Level2"/>
      <w:bookmarkStart w:id="409" w:name="_Toc5335_WPSOffice_Level2"/>
      <w:r>
        <w:rPr>
          <w:rFonts w:hint="eastAsia" w:hAnsi="宋体" w:cs="宋体"/>
          <w:sz w:val="24"/>
          <w:szCs w:val="24"/>
          <w:highlight w:val="none"/>
        </w:rPr>
        <w:t>三、技术资料</w:t>
      </w:r>
      <w:bookmarkEnd w:id="408"/>
      <w:bookmarkEnd w:id="409"/>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1.乙方应按采购文件规定的时间向甲方提供有关技术资料。</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snapToGrid w:val="0"/>
        <w:spacing w:before="120" w:after="120" w:line="360" w:lineRule="auto"/>
        <w:ind w:left="410" w:hanging="410" w:hangingChars="171"/>
        <w:rPr>
          <w:rFonts w:hAnsi="宋体" w:cs="宋体"/>
          <w:sz w:val="24"/>
          <w:szCs w:val="24"/>
          <w:highlight w:val="none"/>
        </w:rPr>
      </w:pPr>
      <w:bookmarkStart w:id="410" w:name="_Toc14579_WPSOffice_Level2"/>
      <w:bookmarkStart w:id="411" w:name="_Toc19536_WPSOffice_Level2"/>
      <w:r>
        <w:rPr>
          <w:rFonts w:hint="eastAsia" w:hAnsi="宋体" w:cs="宋体"/>
          <w:sz w:val="24"/>
          <w:szCs w:val="24"/>
          <w:highlight w:val="none"/>
        </w:rPr>
        <w:t>四、知识产权</w:t>
      </w:r>
      <w:bookmarkEnd w:id="410"/>
      <w:bookmarkEnd w:id="411"/>
    </w:p>
    <w:p>
      <w:pPr>
        <w:pStyle w:val="34"/>
        <w:snapToGrid w:val="0"/>
        <w:spacing w:before="120" w:after="120" w:line="360" w:lineRule="auto"/>
        <w:ind w:left="410" w:hanging="410" w:hangingChars="171"/>
        <w:rPr>
          <w:rFonts w:hAnsi="宋体" w:cs="宋体"/>
          <w:bCs/>
          <w:sz w:val="24"/>
          <w:szCs w:val="24"/>
          <w:highlight w:val="none"/>
        </w:rPr>
      </w:pPr>
      <w:r>
        <w:rPr>
          <w:rFonts w:hint="eastAsia" w:hAnsi="宋体" w:cs="宋体"/>
          <w:sz w:val="24"/>
          <w:szCs w:val="24"/>
          <w:highlight w:val="none"/>
        </w:rPr>
        <w:t>乙方应保证提供服务过程中不会侵犯任何第三方的知识产权</w:t>
      </w:r>
      <w:r>
        <w:rPr>
          <w:rFonts w:hint="eastAsia" w:hAnsi="宋体" w:cs="宋体"/>
          <w:bCs/>
          <w:sz w:val="24"/>
          <w:szCs w:val="24"/>
          <w:highlight w:val="none"/>
        </w:rPr>
        <w:t>。</w:t>
      </w:r>
    </w:p>
    <w:p>
      <w:pPr>
        <w:pStyle w:val="34"/>
        <w:snapToGrid w:val="0"/>
        <w:spacing w:before="120" w:after="120" w:line="360" w:lineRule="auto"/>
        <w:ind w:left="408" w:hanging="408" w:hangingChars="170"/>
        <w:rPr>
          <w:rFonts w:hAnsi="宋体" w:cs="宋体"/>
          <w:sz w:val="24"/>
          <w:szCs w:val="24"/>
          <w:highlight w:val="none"/>
        </w:rPr>
      </w:pPr>
      <w:bookmarkStart w:id="412" w:name="_Toc21303_WPSOffice_Level2"/>
      <w:bookmarkStart w:id="413" w:name="_Toc26104_WPSOffice_Level2"/>
      <w:r>
        <w:rPr>
          <w:rFonts w:hint="eastAsia" w:hAnsi="宋体" w:cs="宋体"/>
          <w:sz w:val="24"/>
          <w:szCs w:val="24"/>
          <w:highlight w:val="none"/>
        </w:rPr>
        <w:t>五、履约保证金</w:t>
      </w:r>
      <w:bookmarkEnd w:id="412"/>
      <w:bookmarkEnd w:id="413"/>
    </w:p>
    <w:p>
      <w:pPr>
        <w:pStyle w:val="34"/>
        <w:snapToGrid w:val="0"/>
        <w:spacing w:before="120" w:after="120" w:line="360" w:lineRule="auto"/>
        <w:ind w:left="410" w:hanging="410" w:hangingChars="171"/>
        <w:rPr>
          <w:rFonts w:hAnsi="宋体" w:cs="宋体"/>
          <w:sz w:val="24"/>
          <w:szCs w:val="24"/>
          <w:highlight w:val="none"/>
        </w:rPr>
      </w:pPr>
      <w:bookmarkStart w:id="414" w:name="_Toc1897_WPSOffice_Level2"/>
      <w:bookmarkStart w:id="415" w:name="_Toc1292_WPSOffice_Level2"/>
      <w:r>
        <w:rPr>
          <w:rFonts w:hint="eastAsia" w:hAnsi="宋体" w:cs="宋体"/>
          <w:sz w:val="24"/>
          <w:szCs w:val="24"/>
          <w:highlight w:val="none"/>
        </w:rPr>
        <w:t>(1)履约保证金金额：合同总价的1%。</w:t>
      </w:r>
    </w:p>
    <w:p>
      <w:pPr>
        <w:pStyle w:val="34"/>
        <w:snapToGrid w:val="0"/>
        <w:spacing w:before="120" w:after="120" w:line="360" w:lineRule="auto"/>
        <w:ind w:left="410" w:hanging="410" w:hangingChars="171"/>
        <w:rPr>
          <w:rFonts w:hAnsi="宋体" w:cs="宋体"/>
          <w:sz w:val="24"/>
          <w:szCs w:val="24"/>
          <w:highlight w:val="none"/>
        </w:rPr>
      </w:pPr>
      <w:r>
        <w:rPr>
          <w:rFonts w:hint="eastAsia" w:hAnsi="宋体" w:cs="宋体"/>
          <w:sz w:val="24"/>
          <w:szCs w:val="24"/>
          <w:highlight w:val="none"/>
        </w:rPr>
        <w:t>(2)履约保证金形式：转账或银行、保险公司出具的保函形式。</w:t>
      </w:r>
    </w:p>
    <w:p>
      <w:pPr>
        <w:pStyle w:val="34"/>
        <w:snapToGrid w:val="0"/>
        <w:spacing w:before="120" w:after="120" w:line="360" w:lineRule="auto"/>
        <w:ind w:left="410" w:hanging="410" w:hangingChars="171"/>
        <w:rPr>
          <w:rFonts w:hAnsi="宋体" w:cs="宋体"/>
          <w:sz w:val="24"/>
          <w:szCs w:val="24"/>
          <w:highlight w:val="none"/>
        </w:rPr>
      </w:pPr>
      <w:r>
        <w:rPr>
          <w:rFonts w:hint="eastAsia" w:hAnsi="宋体" w:cs="宋体"/>
          <w:sz w:val="24"/>
          <w:szCs w:val="24"/>
          <w:highlight w:val="none"/>
        </w:rPr>
        <w:t>(3)履约保证金递交时间：合同签订后7个工作日内。</w:t>
      </w:r>
    </w:p>
    <w:p>
      <w:pPr>
        <w:pStyle w:val="34"/>
        <w:snapToGrid w:val="0"/>
        <w:spacing w:before="120" w:after="120" w:line="360" w:lineRule="auto"/>
        <w:ind w:left="410" w:hanging="410" w:hangingChars="171"/>
        <w:rPr>
          <w:rFonts w:hAnsi="宋体" w:cs="宋体"/>
          <w:sz w:val="24"/>
          <w:szCs w:val="24"/>
          <w:highlight w:val="none"/>
        </w:rPr>
      </w:pPr>
      <w:r>
        <w:rPr>
          <w:rFonts w:hint="eastAsia" w:hAnsi="宋体" w:cs="宋体"/>
          <w:sz w:val="24"/>
          <w:szCs w:val="24"/>
          <w:highlight w:val="none"/>
        </w:rPr>
        <w:t>(4)履约保证金退还时间：最终验收后。</w:t>
      </w:r>
    </w:p>
    <w:p>
      <w:pPr>
        <w:snapToGrid w:val="0"/>
        <w:spacing w:before="120" w:beforeLines="50" w:after="120" w:afterLines="50" w:line="360" w:lineRule="auto"/>
        <w:rPr>
          <w:rFonts w:ascii="宋体" w:hAnsi="宋体" w:cs="宋体"/>
          <w:sz w:val="24"/>
          <w:highlight w:val="none"/>
        </w:rPr>
      </w:pPr>
      <w:r>
        <w:rPr>
          <w:rFonts w:hint="eastAsia" w:ascii="宋体" w:hAnsi="宋体" w:cs="宋体"/>
          <w:sz w:val="24"/>
          <w:highlight w:val="none"/>
        </w:rPr>
        <w:t>六、转包或分包</w:t>
      </w:r>
      <w:bookmarkEnd w:id="414"/>
      <w:bookmarkEnd w:id="415"/>
    </w:p>
    <w:p>
      <w:pPr>
        <w:snapToGrid w:val="0"/>
        <w:spacing w:before="120" w:beforeLines="50" w:after="120" w:afterLines="50" w:line="360" w:lineRule="auto"/>
        <w:rPr>
          <w:rFonts w:ascii="宋体" w:hAnsi="宋体" w:cs="宋体"/>
          <w:sz w:val="24"/>
          <w:highlight w:val="none"/>
        </w:rPr>
      </w:pPr>
      <w:r>
        <w:rPr>
          <w:rFonts w:hint="eastAsia" w:ascii="宋体" w:hAnsi="宋体" w:cs="宋体"/>
          <w:sz w:val="24"/>
          <w:highlight w:val="none"/>
        </w:rPr>
        <w:t>1.本合同范围的服务，应由乙方直接供应，不得转让他人供应；</w:t>
      </w:r>
    </w:p>
    <w:p>
      <w:pPr>
        <w:snapToGrid w:val="0"/>
        <w:spacing w:before="120" w:beforeLines="50" w:after="120" w:afterLines="50" w:line="360" w:lineRule="auto"/>
        <w:rPr>
          <w:rFonts w:ascii="宋体" w:hAnsi="宋体" w:cs="宋体"/>
          <w:sz w:val="24"/>
          <w:highlight w:val="none"/>
        </w:rPr>
      </w:pPr>
      <w:r>
        <w:rPr>
          <w:rFonts w:hint="eastAsia" w:ascii="宋体" w:hAnsi="宋体" w:cs="宋体"/>
          <w:sz w:val="24"/>
          <w:highlight w:val="none"/>
        </w:rPr>
        <w:t>2.除非得到甲方的书面同意，乙方不得将本合同范围的服务全部或部分分包给他人供应；</w:t>
      </w:r>
    </w:p>
    <w:p>
      <w:pPr>
        <w:snapToGrid w:val="0"/>
        <w:spacing w:before="120" w:beforeLines="50" w:after="120" w:afterLines="50" w:line="360" w:lineRule="auto"/>
        <w:rPr>
          <w:rFonts w:ascii="宋体" w:hAnsi="宋体" w:cs="宋体"/>
          <w:sz w:val="24"/>
          <w:highlight w:val="none"/>
        </w:rPr>
      </w:pPr>
      <w:r>
        <w:rPr>
          <w:rFonts w:hint="eastAsia" w:ascii="宋体" w:hAnsi="宋体" w:cs="宋体"/>
          <w:sz w:val="24"/>
          <w:highlight w:val="none"/>
        </w:rPr>
        <w:t>3.如有转让和未经甲方同意的分包行为，甲方有权解除合同，没收履约保证金并追究乙方的违约责任。</w:t>
      </w:r>
    </w:p>
    <w:p>
      <w:pPr>
        <w:pStyle w:val="34"/>
        <w:snapToGrid w:val="0"/>
        <w:spacing w:before="120" w:after="120" w:line="360" w:lineRule="auto"/>
        <w:rPr>
          <w:rFonts w:hAnsi="宋体" w:cs="宋体"/>
          <w:sz w:val="24"/>
          <w:szCs w:val="24"/>
          <w:highlight w:val="none"/>
        </w:rPr>
      </w:pPr>
      <w:bookmarkStart w:id="416" w:name="_Toc5829_WPSOffice_Level2"/>
      <w:bookmarkStart w:id="417" w:name="_Toc25592_WPSOffice_Level2"/>
      <w:r>
        <w:rPr>
          <w:rFonts w:hint="eastAsia" w:hAnsi="宋体" w:cs="宋体"/>
          <w:sz w:val="24"/>
          <w:szCs w:val="24"/>
          <w:highlight w:val="none"/>
        </w:rPr>
        <w:t>七、合同履行时间、履行方式及履行地点</w:t>
      </w:r>
      <w:bookmarkEnd w:id="416"/>
      <w:bookmarkEnd w:id="417"/>
    </w:p>
    <w:p>
      <w:pPr>
        <w:pStyle w:val="34"/>
        <w:snapToGrid w:val="0"/>
        <w:spacing w:before="120" w:after="120" w:line="360" w:lineRule="auto"/>
        <w:rPr>
          <w:rFonts w:hAnsi="宋体" w:cs="宋体"/>
          <w:bCs/>
          <w:sz w:val="24"/>
          <w:szCs w:val="24"/>
          <w:highlight w:val="none"/>
        </w:rPr>
      </w:pPr>
      <w:r>
        <w:rPr>
          <w:rFonts w:hint="eastAsia" w:hAnsi="宋体" w:cs="宋体"/>
          <w:bCs/>
          <w:sz w:val="24"/>
          <w:szCs w:val="24"/>
          <w:highlight w:val="none"/>
        </w:rPr>
        <w:t xml:space="preserve">1. </w:t>
      </w:r>
      <w:r>
        <w:rPr>
          <w:rFonts w:hint="eastAsia" w:hAnsi="宋体" w:cs="宋体"/>
          <w:sz w:val="24"/>
          <w:szCs w:val="24"/>
          <w:highlight w:val="none"/>
        </w:rPr>
        <w:t>履行时间</w:t>
      </w:r>
      <w:r>
        <w:rPr>
          <w:rFonts w:hint="eastAsia" w:hAnsi="宋体" w:cs="宋体"/>
          <w:bCs/>
          <w:sz w:val="24"/>
          <w:szCs w:val="24"/>
          <w:highlight w:val="none"/>
        </w:rPr>
        <w:t>：</w:t>
      </w:r>
    </w:p>
    <w:p>
      <w:pPr>
        <w:pStyle w:val="34"/>
        <w:snapToGrid w:val="0"/>
        <w:spacing w:before="120" w:after="120" w:line="360" w:lineRule="auto"/>
        <w:rPr>
          <w:rFonts w:hAnsi="宋体" w:cs="宋体"/>
          <w:bCs/>
          <w:sz w:val="24"/>
          <w:szCs w:val="24"/>
          <w:highlight w:val="none"/>
        </w:rPr>
      </w:pPr>
      <w:r>
        <w:rPr>
          <w:rFonts w:hint="eastAsia" w:hAnsi="宋体" w:cs="宋体"/>
          <w:bCs/>
          <w:sz w:val="24"/>
          <w:szCs w:val="24"/>
          <w:highlight w:val="none"/>
        </w:rPr>
        <w:t xml:space="preserve">2. </w:t>
      </w:r>
      <w:r>
        <w:rPr>
          <w:rFonts w:hint="eastAsia" w:hAnsi="宋体" w:cs="宋体"/>
          <w:sz w:val="24"/>
          <w:szCs w:val="24"/>
          <w:highlight w:val="none"/>
        </w:rPr>
        <w:t>履行方式</w:t>
      </w:r>
      <w:r>
        <w:rPr>
          <w:rFonts w:hint="eastAsia" w:hAnsi="宋体" w:cs="宋体"/>
          <w:bCs/>
          <w:sz w:val="24"/>
          <w:szCs w:val="24"/>
          <w:highlight w:val="none"/>
        </w:rPr>
        <w:t>：</w:t>
      </w:r>
    </w:p>
    <w:p>
      <w:pPr>
        <w:pStyle w:val="34"/>
        <w:snapToGrid w:val="0"/>
        <w:spacing w:before="120" w:after="120" w:line="360" w:lineRule="auto"/>
        <w:rPr>
          <w:rFonts w:hAnsi="宋体" w:cs="宋体"/>
          <w:sz w:val="24"/>
          <w:szCs w:val="24"/>
          <w:highlight w:val="none"/>
        </w:rPr>
      </w:pPr>
      <w:r>
        <w:rPr>
          <w:rFonts w:hint="eastAsia" w:hAnsi="宋体" w:cs="宋体"/>
          <w:bCs/>
          <w:sz w:val="24"/>
          <w:szCs w:val="24"/>
          <w:highlight w:val="none"/>
        </w:rPr>
        <w:t xml:space="preserve">3. </w:t>
      </w:r>
      <w:r>
        <w:rPr>
          <w:rFonts w:hint="eastAsia" w:hAnsi="宋体" w:cs="宋体"/>
          <w:sz w:val="24"/>
          <w:szCs w:val="24"/>
          <w:highlight w:val="none"/>
        </w:rPr>
        <w:t>履行地点</w:t>
      </w:r>
      <w:r>
        <w:rPr>
          <w:rFonts w:hint="eastAsia" w:hAnsi="宋体" w:cs="宋体"/>
          <w:bCs/>
          <w:sz w:val="24"/>
          <w:szCs w:val="24"/>
          <w:highlight w:val="none"/>
        </w:rPr>
        <w:t>：</w:t>
      </w:r>
    </w:p>
    <w:p>
      <w:pPr>
        <w:pStyle w:val="34"/>
        <w:snapToGrid w:val="0"/>
        <w:spacing w:before="120" w:after="120" w:line="360" w:lineRule="auto"/>
        <w:rPr>
          <w:rFonts w:hAnsi="宋体" w:cs="宋体"/>
          <w:sz w:val="24"/>
          <w:szCs w:val="24"/>
          <w:highlight w:val="none"/>
        </w:rPr>
      </w:pPr>
      <w:bookmarkStart w:id="418" w:name="_Toc15987_WPSOffice_Level2"/>
      <w:bookmarkStart w:id="419" w:name="_Toc183_WPSOffice_Level2"/>
      <w:r>
        <w:rPr>
          <w:rFonts w:hint="eastAsia" w:hAnsi="宋体" w:cs="宋体"/>
          <w:sz w:val="24"/>
          <w:szCs w:val="24"/>
          <w:highlight w:val="none"/>
        </w:rPr>
        <w:t>八、款项支付</w:t>
      </w:r>
      <w:bookmarkEnd w:id="418"/>
      <w:bookmarkEnd w:id="419"/>
    </w:p>
    <w:p>
      <w:pPr>
        <w:rPr>
          <w:highlight w:val="none"/>
        </w:rPr>
      </w:pPr>
    </w:p>
    <w:p>
      <w:pPr>
        <w:snapToGrid w:val="0"/>
        <w:spacing w:before="120" w:beforeLines="50" w:after="120" w:afterLines="50" w:line="360" w:lineRule="auto"/>
        <w:rPr>
          <w:rFonts w:ascii="宋体" w:hAnsi="宋体" w:cs="宋体"/>
          <w:sz w:val="24"/>
          <w:highlight w:val="none"/>
        </w:rPr>
      </w:pPr>
      <w:bookmarkStart w:id="420" w:name="_Toc15141_WPSOffice_Level2"/>
      <w:bookmarkStart w:id="421" w:name="_Toc31396_WPSOffice_Level2"/>
      <w:r>
        <w:rPr>
          <w:rFonts w:hint="eastAsia" w:ascii="宋体" w:hAnsi="宋体" w:cs="宋体"/>
          <w:sz w:val="24"/>
          <w:highlight w:val="none"/>
        </w:rPr>
        <w:t>九、税费</w:t>
      </w:r>
      <w:bookmarkEnd w:id="420"/>
      <w:bookmarkEnd w:id="421"/>
    </w:p>
    <w:p>
      <w:pPr>
        <w:snapToGrid w:val="0"/>
        <w:spacing w:before="120" w:beforeLines="50" w:after="120" w:afterLines="50" w:line="360" w:lineRule="auto"/>
        <w:rPr>
          <w:rFonts w:ascii="宋体" w:hAnsi="宋体" w:cs="宋体"/>
          <w:sz w:val="24"/>
          <w:highlight w:val="none"/>
        </w:rPr>
      </w:pPr>
      <w:r>
        <w:rPr>
          <w:rFonts w:hint="eastAsia" w:ascii="宋体" w:hAnsi="宋体" w:cs="宋体"/>
          <w:sz w:val="24"/>
          <w:highlight w:val="none"/>
        </w:rPr>
        <w:t>本合同执行中相关的一切税费均由乙方负担。</w:t>
      </w:r>
    </w:p>
    <w:p>
      <w:pPr>
        <w:pStyle w:val="34"/>
        <w:snapToGrid w:val="0"/>
        <w:spacing w:before="120" w:after="120" w:line="360" w:lineRule="auto"/>
        <w:ind w:left="410" w:hanging="410" w:hangingChars="171"/>
        <w:rPr>
          <w:rFonts w:hAnsi="宋体" w:cs="宋体"/>
          <w:sz w:val="24"/>
          <w:szCs w:val="24"/>
          <w:highlight w:val="none"/>
        </w:rPr>
      </w:pPr>
      <w:bookmarkStart w:id="422" w:name="_Toc13195_WPSOffice_Level2"/>
      <w:bookmarkStart w:id="423" w:name="_Toc6548_WPSOffice_Level2"/>
      <w:r>
        <w:rPr>
          <w:rFonts w:hint="eastAsia" w:hAnsi="宋体" w:cs="宋体"/>
          <w:sz w:val="24"/>
          <w:szCs w:val="24"/>
          <w:highlight w:val="none"/>
        </w:rPr>
        <w:t>十、质量保证及后续服务</w:t>
      </w:r>
      <w:bookmarkEnd w:id="422"/>
      <w:bookmarkEnd w:id="423"/>
    </w:p>
    <w:p>
      <w:pPr>
        <w:pStyle w:val="34"/>
        <w:snapToGrid w:val="0"/>
        <w:spacing w:before="120" w:after="120" w:line="360" w:lineRule="auto"/>
        <w:ind w:left="410" w:hanging="410" w:hangingChars="171"/>
        <w:rPr>
          <w:rFonts w:hAnsi="宋体" w:cs="宋体"/>
          <w:sz w:val="24"/>
          <w:szCs w:val="24"/>
          <w:highlight w:val="none"/>
        </w:rPr>
      </w:pPr>
      <w:r>
        <w:rPr>
          <w:rFonts w:hint="eastAsia" w:hAnsi="宋体" w:cs="宋体"/>
          <w:sz w:val="24"/>
          <w:szCs w:val="24"/>
          <w:highlight w:val="none"/>
        </w:rPr>
        <w:t>1． 乙方应按磋商文件规定向甲方提供服务。</w:t>
      </w:r>
    </w:p>
    <w:p>
      <w:pPr>
        <w:pStyle w:val="34"/>
        <w:snapToGrid w:val="0"/>
        <w:spacing w:before="120" w:after="120" w:line="360" w:lineRule="auto"/>
        <w:ind w:left="480" w:hanging="480" w:hangingChars="200"/>
        <w:rPr>
          <w:rFonts w:hAnsi="宋体" w:cs="宋体"/>
          <w:sz w:val="24"/>
          <w:szCs w:val="24"/>
          <w:highlight w:val="none"/>
        </w:rPr>
      </w:pPr>
      <w:r>
        <w:rPr>
          <w:rFonts w:hint="eastAsia" w:hAnsi="宋体" w:cs="宋体"/>
          <w:sz w:val="24"/>
          <w:szCs w:val="24"/>
          <w:highlight w:val="none"/>
        </w:rPr>
        <w:t>2． 乙方提供的服务成果在服务质量保证期内发生故障，乙方应负责免费提供后续服务。对达不到要求者，根据实际情况，经双方协商，可按以下办法处理：</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⑴重做：由乙方承担所发生的全部费用。</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⑵贬值处理：由甲乙双方合议定价。</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⑶解除合同。</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3．如在使用过程中发生问题，乙方在接到甲方通知后在24小时内到达甲方现场。</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4．在服务质量保证期内，乙方应对出现的质量及安全问题负责处理解决并承担一切费用。</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5. 应在30分钟内对采购人的服务要求作出响应；需要在现场解决问题的，应在4小时内到达现场。</w:t>
      </w:r>
    </w:p>
    <w:p>
      <w:pPr>
        <w:pStyle w:val="34"/>
        <w:snapToGrid w:val="0"/>
        <w:spacing w:before="120" w:after="120" w:line="360" w:lineRule="auto"/>
        <w:rPr>
          <w:rFonts w:hAnsi="宋体" w:cs="宋体"/>
          <w:sz w:val="24"/>
          <w:szCs w:val="24"/>
          <w:highlight w:val="none"/>
        </w:rPr>
      </w:pPr>
      <w:bookmarkStart w:id="424" w:name="_Toc1592_WPSOffice_Level2"/>
      <w:bookmarkStart w:id="425" w:name="_Toc15017_WPSOffice_Level2"/>
      <w:r>
        <w:rPr>
          <w:rFonts w:hint="eastAsia" w:hAnsi="宋体" w:cs="宋体"/>
          <w:sz w:val="24"/>
          <w:szCs w:val="24"/>
          <w:highlight w:val="none"/>
        </w:rPr>
        <w:t>十一、违约责任</w:t>
      </w:r>
      <w:bookmarkEnd w:id="424"/>
      <w:bookmarkEnd w:id="425"/>
    </w:p>
    <w:p>
      <w:pPr>
        <w:pStyle w:val="34"/>
        <w:snapToGrid w:val="0"/>
        <w:spacing w:before="120" w:after="120" w:line="360" w:lineRule="auto"/>
        <w:ind w:left="410" w:hanging="410" w:hangingChars="171"/>
        <w:rPr>
          <w:rFonts w:hAnsi="宋体" w:cs="宋体"/>
          <w:sz w:val="24"/>
          <w:szCs w:val="24"/>
          <w:highlight w:val="none"/>
        </w:rPr>
      </w:pPr>
      <w:r>
        <w:rPr>
          <w:rFonts w:hint="eastAsia" w:hAnsi="宋体" w:cs="宋体"/>
          <w:sz w:val="24"/>
          <w:szCs w:val="24"/>
          <w:highlight w:val="none"/>
        </w:rPr>
        <w:t>1．甲方无正当理由拒收接受服务的，甲方向乙方偿付合同款项百分之五作为违约金。</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2．甲方无故逾期验收和办理款项支付手续的,甲方应按逾期付款总额每日万分之五向乙方支付违约金。</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 xml:space="preserve">3．乙方未能如期提供服务的，则每延期一天，按合同总金额的1‰作为违约金赔偿给甲方。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4"/>
        <w:snapToGrid w:val="0"/>
        <w:spacing w:before="120" w:after="120" w:line="360" w:lineRule="auto"/>
        <w:rPr>
          <w:rFonts w:hAnsi="宋体" w:cs="宋体"/>
          <w:sz w:val="24"/>
          <w:szCs w:val="24"/>
          <w:highlight w:val="none"/>
        </w:rPr>
      </w:pPr>
      <w:bookmarkStart w:id="426" w:name="_Toc450_WPSOffice_Level2"/>
      <w:bookmarkStart w:id="427" w:name="_Toc13418_WPSOffice_Level2"/>
      <w:r>
        <w:rPr>
          <w:rFonts w:hint="eastAsia" w:hAnsi="宋体" w:cs="宋体"/>
          <w:sz w:val="24"/>
          <w:szCs w:val="24"/>
          <w:highlight w:val="none"/>
        </w:rPr>
        <w:t>十二、不可抗力事件处理</w:t>
      </w:r>
      <w:bookmarkEnd w:id="426"/>
      <w:bookmarkEnd w:id="427"/>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1．在合同有效期内，任何一方因不可抗力事件导致不能履行合同，则合同履行期可延长，其延长期与不可抗力影响期相同。</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2．不可抗力事件发生后，应立即通知对方，并寄送有关权威机构出具的证明。</w:t>
      </w:r>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3．不可抗力事件延续120天以上，双方应通过友好协商，确定是否继续履行合同。</w:t>
      </w:r>
    </w:p>
    <w:p>
      <w:pPr>
        <w:pStyle w:val="34"/>
        <w:snapToGrid w:val="0"/>
        <w:spacing w:before="120" w:after="120" w:line="360" w:lineRule="auto"/>
        <w:rPr>
          <w:rFonts w:hAnsi="宋体" w:cs="宋体"/>
          <w:sz w:val="24"/>
          <w:szCs w:val="24"/>
          <w:highlight w:val="none"/>
        </w:rPr>
      </w:pPr>
      <w:bookmarkStart w:id="428" w:name="_Toc32484_WPSOffice_Level2"/>
      <w:bookmarkStart w:id="429" w:name="_Toc27676_WPSOffice_Level2"/>
      <w:r>
        <w:rPr>
          <w:rFonts w:hint="eastAsia" w:hAnsi="宋体" w:cs="宋体"/>
          <w:sz w:val="24"/>
          <w:szCs w:val="24"/>
          <w:highlight w:val="none"/>
        </w:rPr>
        <w:t>十四、诉讼</w:t>
      </w:r>
      <w:bookmarkEnd w:id="428"/>
      <w:bookmarkEnd w:id="429"/>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双方在执行合同中所发生的一切争议，应通过协商解决。如协商不成，可向甲方所在地法院起诉。</w:t>
      </w:r>
    </w:p>
    <w:p>
      <w:pPr>
        <w:pStyle w:val="34"/>
        <w:snapToGrid w:val="0"/>
        <w:spacing w:before="120" w:after="120" w:line="360" w:lineRule="auto"/>
        <w:rPr>
          <w:rFonts w:hAnsi="宋体" w:cs="宋体"/>
          <w:sz w:val="24"/>
          <w:szCs w:val="24"/>
          <w:highlight w:val="none"/>
        </w:rPr>
      </w:pPr>
      <w:bookmarkStart w:id="430" w:name="_Toc6381_WPSOffice_Level2"/>
      <w:bookmarkStart w:id="431" w:name="_Toc25175_WPSOffice_Level2"/>
      <w:r>
        <w:rPr>
          <w:rFonts w:hint="eastAsia" w:hAnsi="宋体" w:cs="宋体"/>
          <w:sz w:val="24"/>
          <w:szCs w:val="24"/>
          <w:highlight w:val="none"/>
        </w:rPr>
        <w:t>十五、合同生效及其它</w:t>
      </w:r>
      <w:bookmarkEnd w:id="430"/>
      <w:bookmarkEnd w:id="431"/>
    </w:p>
    <w:p>
      <w:pPr>
        <w:pStyle w:val="34"/>
        <w:snapToGrid w:val="0"/>
        <w:spacing w:before="120" w:after="120" w:line="360" w:lineRule="auto"/>
        <w:rPr>
          <w:rFonts w:hAnsi="宋体" w:cs="宋体"/>
          <w:sz w:val="24"/>
          <w:szCs w:val="24"/>
          <w:highlight w:val="none"/>
        </w:rPr>
      </w:pPr>
      <w:r>
        <w:rPr>
          <w:rFonts w:hint="eastAsia" w:hAnsi="宋体" w:cs="宋体"/>
          <w:sz w:val="24"/>
          <w:szCs w:val="24"/>
          <w:highlight w:val="none"/>
        </w:rPr>
        <w:t>1．合同经双方法定代表人或授权代表签字并加盖单位公章后生效。</w:t>
      </w:r>
    </w:p>
    <w:p>
      <w:pPr>
        <w:pStyle w:val="34"/>
        <w:snapToGrid w:val="0"/>
        <w:spacing w:before="120" w:after="120" w:line="360" w:lineRule="auto"/>
        <w:ind w:left="480" w:hanging="480" w:hangingChars="200"/>
        <w:rPr>
          <w:rFonts w:hAnsi="宋体" w:cs="宋体"/>
          <w:sz w:val="24"/>
          <w:szCs w:val="24"/>
          <w:highlight w:val="none"/>
        </w:rPr>
      </w:pPr>
      <w:r>
        <w:rPr>
          <w:rFonts w:hint="eastAsia" w:hAnsi="宋体" w:cs="宋体"/>
          <w:sz w:val="24"/>
          <w:szCs w:val="24"/>
          <w:highlight w:val="none"/>
        </w:rPr>
        <w:t>2．本合同未尽事宜，遵照《中华人民共和国民法典》有关条文执行。</w:t>
      </w:r>
    </w:p>
    <w:p>
      <w:pPr>
        <w:pStyle w:val="34"/>
        <w:snapToGrid w:val="0"/>
        <w:spacing w:before="120" w:after="120" w:line="360" w:lineRule="auto"/>
        <w:ind w:left="480" w:hanging="480" w:hangingChars="200"/>
        <w:rPr>
          <w:rFonts w:hAnsi="宋体" w:cs="宋体"/>
          <w:sz w:val="24"/>
          <w:szCs w:val="24"/>
          <w:highlight w:val="none"/>
        </w:rPr>
      </w:pPr>
      <w:r>
        <w:rPr>
          <w:rFonts w:hint="eastAsia" w:hAnsi="宋体" w:cs="宋体"/>
          <w:sz w:val="24"/>
          <w:szCs w:val="24"/>
          <w:highlight w:val="none"/>
        </w:rPr>
        <w:t>3．本合同正本一式两份，具有同等法律效力，甲乙双方各执一份；副本△份，(用途)。</w:t>
      </w:r>
    </w:p>
    <w:p>
      <w:pPr>
        <w:pStyle w:val="34"/>
        <w:widowControl/>
        <w:snapToGrid w:val="0"/>
        <w:spacing w:before="120" w:after="120" w:line="360" w:lineRule="auto"/>
        <w:ind w:left="420" w:hanging="420"/>
        <w:rPr>
          <w:rFonts w:hAnsi="宋体" w:cs="宋体"/>
          <w:bCs/>
          <w:sz w:val="24"/>
          <w:szCs w:val="24"/>
          <w:highlight w:val="none"/>
        </w:rPr>
      </w:pPr>
    </w:p>
    <w:p>
      <w:pPr>
        <w:pStyle w:val="34"/>
        <w:snapToGrid w:val="0"/>
        <w:spacing w:before="120" w:after="120" w:line="360" w:lineRule="auto"/>
        <w:ind w:firstLine="480" w:firstLineChars="200"/>
        <w:rPr>
          <w:rFonts w:hAnsi="宋体" w:cs="宋体"/>
          <w:bCs/>
          <w:sz w:val="24"/>
          <w:szCs w:val="24"/>
          <w:highlight w:val="none"/>
        </w:rPr>
      </w:pPr>
      <w:r>
        <w:rPr>
          <w:rFonts w:hint="eastAsia" w:hAnsi="宋体" w:cs="宋体"/>
          <w:bCs/>
          <w:sz w:val="24"/>
          <w:szCs w:val="24"/>
          <w:highlight w:val="none"/>
        </w:rPr>
        <w:t>甲方：                                         乙方：</w:t>
      </w:r>
    </w:p>
    <w:p>
      <w:pPr>
        <w:pStyle w:val="34"/>
        <w:snapToGrid w:val="0"/>
        <w:spacing w:before="120" w:after="120" w:line="360" w:lineRule="auto"/>
        <w:ind w:firstLine="480" w:firstLineChars="200"/>
        <w:rPr>
          <w:rFonts w:hAnsi="宋体" w:cs="宋体"/>
          <w:bCs/>
          <w:sz w:val="24"/>
          <w:szCs w:val="24"/>
          <w:highlight w:val="none"/>
        </w:rPr>
      </w:pPr>
      <w:r>
        <w:rPr>
          <w:rFonts w:hint="eastAsia" w:hAnsi="宋体" w:cs="宋体"/>
          <w:bCs/>
          <w:sz w:val="24"/>
          <w:szCs w:val="24"/>
          <w:highlight w:val="none"/>
        </w:rPr>
        <w:t>地址：                                         地址：</w:t>
      </w:r>
    </w:p>
    <w:p>
      <w:pPr>
        <w:pStyle w:val="34"/>
        <w:snapToGrid w:val="0"/>
        <w:spacing w:before="120" w:after="120" w:line="360" w:lineRule="auto"/>
        <w:ind w:firstLine="480" w:firstLineChars="200"/>
        <w:rPr>
          <w:rFonts w:hAnsi="宋体" w:cs="宋体"/>
          <w:bCs/>
          <w:sz w:val="24"/>
          <w:szCs w:val="24"/>
          <w:highlight w:val="none"/>
        </w:rPr>
      </w:pPr>
      <w:r>
        <w:rPr>
          <w:rFonts w:hint="eastAsia" w:hAnsi="宋体" w:cs="宋体"/>
          <w:bCs/>
          <w:sz w:val="24"/>
          <w:szCs w:val="24"/>
          <w:highlight w:val="none"/>
        </w:rPr>
        <w:t>法定代表人（或授权代表）：                     法定代表人（或授权代表）：</w:t>
      </w:r>
    </w:p>
    <w:p>
      <w:pPr>
        <w:ind w:firstLine="480"/>
        <w:rPr>
          <w:highlight w:val="none"/>
        </w:rPr>
      </w:pPr>
      <w:r>
        <w:rPr>
          <w:rFonts w:hint="eastAsia" w:hAnsi="宋体" w:cs="宋体"/>
          <w:bCs/>
          <w:sz w:val="24"/>
          <w:highlight w:val="none"/>
        </w:rPr>
        <w:t>签订日期：    年  月  日                       签订日期：    年  月  日</w:t>
      </w:r>
    </w:p>
    <w:p>
      <w:pPr>
        <w:spacing w:line="360" w:lineRule="auto"/>
        <w:ind w:firstLine="6240" w:firstLineChars="3000"/>
        <w:rPr>
          <w:rFonts w:ascii="宋体" w:hAnsi="宋体" w:cs="宋体"/>
          <w:spacing w:val="-16"/>
          <w:sz w:val="24"/>
          <w:highlight w:val="none"/>
        </w:rPr>
      </w:pPr>
    </w:p>
    <w:p>
      <w:pPr>
        <w:pStyle w:val="80"/>
        <w:spacing w:line="360" w:lineRule="auto"/>
        <w:rPr>
          <w:rFonts w:ascii="宋体" w:hAnsi="宋体" w:eastAsia="宋体" w:cs="宋体"/>
          <w:color w:val="auto"/>
          <w:highlight w:val="none"/>
        </w:rPr>
        <w:sectPr>
          <w:pgSz w:w="11906" w:h="16838"/>
          <w:pgMar w:top="1247" w:right="1304" w:bottom="1020" w:left="1304" w:header="720" w:footer="720" w:gutter="0"/>
          <w:cols w:space="0" w:num="1"/>
          <w:docGrid w:linePitch="286" w:charSpace="0"/>
        </w:sectPr>
      </w:pPr>
    </w:p>
    <w:p>
      <w:pPr>
        <w:spacing w:line="360" w:lineRule="auto"/>
        <w:ind w:left="-420" w:leftChars="-200" w:right="-420" w:rightChars="-200" w:firstLine="480" w:firstLineChars="200"/>
        <w:rPr>
          <w:rFonts w:ascii="宋体" w:hAnsi="宋体" w:cs="宋体"/>
          <w:sz w:val="24"/>
          <w:highlight w:val="none"/>
        </w:rPr>
      </w:pPr>
    </w:p>
    <w:p>
      <w:pPr>
        <w:spacing w:line="360" w:lineRule="auto"/>
        <w:ind w:left="720" w:firstLine="723" w:firstLineChars="200"/>
        <w:outlineLvl w:val="0"/>
        <w:rPr>
          <w:rFonts w:ascii="宋体" w:hAnsi="宋体" w:cs="宋体"/>
          <w:b/>
          <w:sz w:val="36"/>
          <w:szCs w:val="20"/>
          <w:highlight w:val="none"/>
        </w:rPr>
      </w:pPr>
      <w:bookmarkStart w:id="432" w:name="_Toc10980"/>
      <w:r>
        <w:rPr>
          <w:rFonts w:hint="eastAsia" w:ascii="宋体" w:hAnsi="宋体" w:cs="宋体"/>
          <w:b/>
          <w:sz w:val="36"/>
          <w:szCs w:val="20"/>
          <w:highlight w:val="none"/>
        </w:rPr>
        <w:t>第六部分</w:t>
      </w:r>
      <w:bookmarkEnd w:id="399"/>
      <w:bookmarkEnd w:id="400"/>
      <w:r>
        <w:rPr>
          <w:rFonts w:hint="eastAsia" w:ascii="宋体" w:hAnsi="宋体" w:cs="宋体"/>
          <w:b/>
          <w:sz w:val="36"/>
          <w:szCs w:val="20"/>
          <w:highlight w:val="none"/>
        </w:rPr>
        <w:t>应提交的有关格式范例</w:t>
      </w:r>
      <w:bookmarkEnd w:id="432"/>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bookmarkStart w:id="433" w:name="_Toc30716"/>
      <w:r>
        <w:rPr>
          <w:rFonts w:hint="eastAsia" w:ascii="宋体" w:hAnsi="宋体" w:cs="宋体"/>
          <w:b/>
          <w:kern w:val="0"/>
          <w:sz w:val="36"/>
          <w:szCs w:val="36"/>
          <w:highlight w:val="none"/>
        </w:rPr>
        <w:t>资格文件部分</w:t>
      </w:r>
      <w:bookmarkEnd w:id="433"/>
    </w:p>
    <w:p>
      <w:pPr>
        <w:spacing w:line="360" w:lineRule="auto"/>
        <w:jc w:val="center"/>
        <w:outlineLvl w:val="0"/>
        <w:rPr>
          <w:rFonts w:ascii="宋体" w:hAnsi="宋体" w:cs="宋体"/>
          <w:b/>
          <w:kern w:val="0"/>
          <w:sz w:val="36"/>
          <w:szCs w:val="36"/>
          <w:highlight w:val="none"/>
        </w:rPr>
      </w:pPr>
      <w:bookmarkStart w:id="434" w:name="_Toc15804"/>
      <w:r>
        <w:rPr>
          <w:rFonts w:hint="eastAsia" w:ascii="宋体" w:hAnsi="宋体" w:cs="宋体"/>
          <w:b/>
          <w:kern w:val="0"/>
          <w:sz w:val="36"/>
          <w:szCs w:val="36"/>
          <w:highlight w:val="none"/>
        </w:rPr>
        <w:t>目录</w:t>
      </w:r>
      <w:bookmarkEnd w:id="434"/>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（1）营业执照复印件………………………………………………………（页码）</w:t>
      </w:r>
    </w:p>
    <w:p>
      <w:pPr>
        <w:snapToGrid w:val="0"/>
        <w:spacing w:line="360" w:lineRule="auto"/>
        <w:rPr>
          <w:rFonts w:ascii="宋体" w:hAnsi="宋体" w:cs="宋体"/>
          <w:sz w:val="24"/>
          <w:highlight w:val="none"/>
        </w:rPr>
      </w:pPr>
      <w:r>
        <w:rPr>
          <w:rFonts w:hint="eastAsia" w:ascii="宋体" w:hAnsi="宋体" w:cs="宋体"/>
          <w:sz w:val="24"/>
          <w:highlight w:val="none"/>
        </w:rPr>
        <w:t>（2）符合参加政府采购活动应当具备的一般条件的承诺函……………（页码）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投标人名称(盖章)：</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二、落实政府采购政策需满足的资格要求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.专门面向中小企业，服务全部由符合政策要求的中小企业（或小微企业）承接的，提供相应的中小企业声明函（附件4）。 </w:t>
      </w:r>
    </w:p>
    <w:p>
      <w:pPr>
        <w:widowControl/>
        <w:spacing w:line="360" w:lineRule="auto"/>
        <w:ind w:firstLine="480"/>
        <w:jc w:val="left"/>
        <w:rPr>
          <w:rFonts w:ascii="宋体" w:hAnsi="宋体" w:cs="宋体"/>
          <w:sz w:val="24"/>
          <w:highlight w:val="none"/>
        </w:rPr>
      </w:pPr>
    </w:p>
    <w:p>
      <w:pPr>
        <w:spacing w:line="360" w:lineRule="auto"/>
        <w:ind w:firstLine="480" w:firstLineChars="200"/>
        <w:rPr>
          <w:rFonts w:ascii="宋体" w:hAnsi="宋体" w:cs="宋体"/>
          <w:sz w:val="24"/>
          <w:highlight w:val="none"/>
        </w:rPr>
      </w:pP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三、本项目的特定资格要求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bookmarkStart w:id="435" w:name="_Toc3353"/>
      <w:r>
        <w:rPr>
          <w:rFonts w:hint="eastAsia" w:ascii="宋体" w:hAnsi="宋体" w:cs="宋体"/>
          <w:b/>
          <w:kern w:val="0"/>
          <w:sz w:val="24"/>
          <w:highlight w:val="none"/>
        </w:rPr>
        <w:t>目录</w:t>
      </w:r>
      <w:bookmarkEnd w:id="435"/>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投标函………………………………………………………………………（页码）</w:t>
      </w:r>
    </w:p>
    <w:p>
      <w:pPr>
        <w:pStyle w:val="725"/>
        <w:numPr>
          <w:ilvl w:val="0"/>
          <w:numId w:val="1"/>
        </w:numPr>
        <w:spacing w:line="360" w:lineRule="auto"/>
        <w:rPr>
          <w:rFonts w:cs="宋体"/>
          <w:szCs w:val="24"/>
          <w:highlight w:val="none"/>
        </w:rPr>
      </w:pPr>
      <w:r>
        <w:rPr>
          <w:rFonts w:hint="eastAsia" w:cs="宋体"/>
          <w:szCs w:val="24"/>
          <w:highlight w:val="none"/>
        </w:rPr>
        <w:t>营业执照副本复印件（加盖投标人公章）………………………………（页码）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授权委托书或法定代表人（单位负责人、自然人本人）身份证明……（页码）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投标人股权信息表…………………………………………………………（页码）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详细的“交货清单”</w:t>
      </w:r>
      <w:r>
        <w:rPr>
          <w:rFonts w:hint="eastAsia" w:ascii="宋体" w:hAnsi="宋体" w:cs="宋体"/>
          <w:sz w:val="24"/>
          <w:highlight w:val="none"/>
          <w:lang w:val="zh-CN"/>
        </w:rPr>
        <w:t>………………………………………………………（页码）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技术规范偏离表……………………………………………………………（页码）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商务条款偏离表……………………………………………………………（页码）</w:t>
      </w:r>
    </w:p>
    <w:p>
      <w:pPr>
        <w:numPr>
          <w:ilvl w:val="0"/>
          <w:numId w:val="1"/>
        </w:numPr>
        <w:snapToGrid w:val="0"/>
        <w:spacing w:line="360" w:lineRule="auto"/>
        <w:rPr>
          <w:rFonts w:ascii="宋体" w:hAnsi="宋体" w:cs="宋体"/>
          <w:sz w:val="24"/>
          <w:highlight w:val="none"/>
          <w:lang w:val="zh-CN"/>
        </w:rPr>
      </w:pPr>
      <w:r>
        <w:rPr>
          <w:rFonts w:hint="eastAsia" w:ascii="宋体" w:hAnsi="宋体" w:cs="宋体"/>
          <w:sz w:val="24"/>
          <w:highlight w:val="none"/>
          <w:lang w:val="zh-CN"/>
        </w:rPr>
        <w:t>完成的类似项目一览表（附合同复印件）………………………………（页码）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项目实施方案………………………………………………………………（页码）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专业拍摄设备………………………………………………………………（页码）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教学视频拍摄制作基地……………………………………………………（页码）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制作团队……………………………………………………………………（页码）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服务要求响应………………………………………………………………（页码）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政府采购政策………………………………………………………………（页码）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第四部分“评标办法”中要求提供的资料………………………………（页码）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pPr>
        <w:numPr>
          <w:ilvl w:val="0"/>
          <w:numId w:val="1"/>
        </w:numPr>
        <w:snapToGrid w:val="0"/>
        <w:spacing w:line="360" w:lineRule="auto"/>
        <w:rPr>
          <w:rFonts w:ascii="宋体" w:hAnsi="宋体" w:cs="宋体"/>
          <w:sz w:val="24"/>
          <w:highlight w:val="none"/>
          <w:lang w:val="zh-CN"/>
        </w:rPr>
      </w:pPr>
      <w:r>
        <w:rPr>
          <w:rFonts w:hint="eastAsia" w:ascii="宋体" w:hAnsi="宋体" w:cs="宋体"/>
          <w:sz w:val="24"/>
          <w:highlight w:val="none"/>
          <w:lang w:val="zh-CN"/>
        </w:rPr>
        <w:t>缴纳采购代理服务费承诺书………………………………………………（页码）</w:t>
      </w:r>
    </w:p>
    <w:p>
      <w:pPr>
        <w:snapToGrid w:val="0"/>
        <w:spacing w:line="360" w:lineRule="auto"/>
        <w:ind w:left="42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kern w:val="0"/>
          <w:sz w:val="32"/>
          <w:szCs w:val="32"/>
          <w:highlight w:val="none"/>
        </w:rPr>
      </w:pPr>
      <w:bookmarkStart w:id="436" w:name="_Toc1561"/>
      <w:r>
        <w:rPr>
          <w:rFonts w:hint="eastAsia" w:ascii="宋体" w:hAnsi="宋体" w:cs="宋体"/>
          <w:b/>
          <w:kern w:val="0"/>
          <w:sz w:val="32"/>
          <w:szCs w:val="32"/>
          <w:highlight w:val="none"/>
        </w:rPr>
        <w:br w:type="page"/>
      </w:r>
    </w:p>
    <w:p>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bookmarkEnd w:id="436"/>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3.1在收到中标通知书后，在中标通知书规定的期限内与你方签订合同；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3.2在签订合同时不向你方提出附加条件；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3.3在合同约定的期限内完成合同规定的全部义务。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4、其他补充说明:。</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投标人名称(盖章)：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numPr>
          <w:ilvl w:val="0"/>
          <w:numId w:val="2"/>
        </w:num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营业执照副本复印件（加盖投标人公章）</w:t>
      </w:r>
    </w:p>
    <w:p>
      <w:pPr>
        <w:pStyle w:val="82"/>
        <w:ind w:firstLine="0" w:firstLineChars="0"/>
        <w:rPr>
          <w:rFonts w:ascii="宋体" w:hAnsi="宋体" w:cs="宋体"/>
          <w:highlight w:val="none"/>
          <w:lang w:val="zh-CN"/>
        </w:rPr>
      </w:pPr>
    </w:p>
    <w:tbl>
      <w:tblPr>
        <w:tblStyle w:val="7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5"/>
              <w:rPr>
                <w:rFonts w:hAnsi="宋体" w:cs="宋体"/>
                <w:highlight w:val="none"/>
              </w:rPr>
            </w:pPr>
          </w:p>
        </w:tc>
      </w:tr>
    </w:tbl>
    <w:p>
      <w:pPr>
        <w:pStyle w:val="15"/>
        <w:rPr>
          <w:rFonts w:hAnsi="宋体" w:cs="宋体"/>
          <w:highlight w:val="none"/>
        </w:rPr>
      </w:pPr>
    </w:p>
    <w:p>
      <w:pPr>
        <w:pStyle w:val="83"/>
        <w:rPr>
          <w:rFonts w:ascii="宋体" w:hAnsi="宋体" w:cs="宋体"/>
          <w:highlight w:val="none"/>
          <w:lang w:val="zh-CN"/>
        </w:rPr>
      </w:pPr>
    </w:p>
    <w:p>
      <w:pPr>
        <w:pStyle w:val="83"/>
        <w:rPr>
          <w:rFonts w:ascii="宋体" w:hAnsi="宋体" w:cs="宋体"/>
          <w:highlight w:val="none"/>
          <w:lang w:val="zh-CN"/>
        </w:rPr>
      </w:pPr>
    </w:p>
    <w:p>
      <w:pPr>
        <w:pStyle w:val="83"/>
        <w:rPr>
          <w:rFonts w:ascii="宋体" w:hAnsi="宋体" w:cs="宋体"/>
          <w:highlight w:val="none"/>
          <w:lang w:val="zh-CN"/>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rPr>
        <w:t>三、</w:t>
      </w:r>
      <w:r>
        <w:rPr>
          <w:rFonts w:hint="eastAsia" w:ascii="宋体" w:hAnsi="宋体" w:cs="宋体"/>
          <w:b/>
          <w:kern w:val="0"/>
          <w:sz w:val="32"/>
          <w:szCs w:val="32"/>
          <w:highlight w:val="none"/>
          <w:lang w:val="zh-CN"/>
        </w:rPr>
        <w:t>授权委托书或法定代表人（单位负责人、自然人本人）身份证明</w:t>
      </w:r>
    </w:p>
    <w:p>
      <w:pPr>
        <w:snapToGrid w:val="0"/>
        <w:spacing w:line="360" w:lineRule="auto"/>
        <w:rPr>
          <w:rFonts w:ascii="宋体" w:hAnsi="宋体" w:cs="宋体"/>
          <w:sz w:val="24"/>
          <w:highlight w:val="none"/>
        </w:rPr>
      </w:pPr>
    </w:p>
    <w:p>
      <w:pPr>
        <w:spacing w:line="400" w:lineRule="exact"/>
        <w:ind w:firstLine="422"/>
        <w:jc w:val="center"/>
        <w:rPr>
          <w:rFonts w:ascii="宋体" w:hAnsi="宋体" w:cs="宋体"/>
          <w:b/>
          <w:szCs w:val="21"/>
          <w:highlight w:val="none"/>
        </w:rPr>
      </w:pPr>
      <w:r>
        <w:rPr>
          <w:rFonts w:hint="eastAsia" w:ascii="宋体" w:hAnsi="宋体" w:cs="宋体"/>
          <w:b/>
          <w:szCs w:val="21"/>
          <w:highlight w:val="none"/>
        </w:rPr>
        <w:t>法定代表人身份证明</w:t>
      </w:r>
    </w:p>
    <w:p>
      <w:pPr>
        <w:ind w:firstLine="422"/>
        <w:rPr>
          <w:rFonts w:ascii="宋体" w:hAnsi="宋体" w:cs="宋体"/>
          <w:b/>
          <w:szCs w:val="21"/>
          <w:highlight w:val="none"/>
        </w:rPr>
      </w:pPr>
    </w:p>
    <w:p>
      <w:pPr>
        <w:spacing w:line="360" w:lineRule="auto"/>
        <w:ind w:firstLine="420"/>
        <w:rPr>
          <w:rFonts w:ascii="宋体" w:hAnsi="宋体" w:cs="宋体"/>
          <w:sz w:val="24"/>
          <w:highlight w:val="none"/>
        </w:rPr>
      </w:pPr>
      <w:r>
        <w:rPr>
          <w:rFonts w:hint="eastAsia" w:ascii="宋体" w:hAnsi="宋体" w:cs="宋体"/>
          <w:sz w:val="24"/>
          <w:highlight w:val="none"/>
        </w:rPr>
        <w:t>单位名称：</w:t>
      </w:r>
    </w:p>
    <w:p>
      <w:pPr>
        <w:spacing w:line="360" w:lineRule="auto"/>
        <w:ind w:firstLine="420"/>
        <w:rPr>
          <w:rFonts w:ascii="宋体" w:hAnsi="宋体" w:cs="宋体"/>
          <w:sz w:val="24"/>
          <w:highlight w:val="none"/>
        </w:rPr>
      </w:pPr>
      <w:r>
        <w:rPr>
          <w:rFonts w:hint="eastAsia" w:ascii="宋体" w:hAnsi="宋体" w:cs="宋体"/>
          <w:sz w:val="24"/>
          <w:highlight w:val="none"/>
        </w:rPr>
        <w:t>地    址：</w:t>
      </w:r>
    </w:p>
    <w:p>
      <w:pPr>
        <w:spacing w:line="360" w:lineRule="auto"/>
        <w:ind w:firstLine="420"/>
        <w:rPr>
          <w:rFonts w:ascii="宋体" w:hAnsi="宋体" w:cs="宋体"/>
          <w:sz w:val="24"/>
          <w:highlight w:val="none"/>
        </w:rPr>
      </w:pPr>
      <w:r>
        <w:rPr>
          <w:rFonts w:hint="eastAsia" w:ascii="宋体" w:hAnsi="宋体" w:cs="宋体"/>
          <w:sz w:val="24"/>
          <w:highlight w:val="none"/>
        </w:rPr>
        <w:t>姓    名： 性    别：</w:t>
      </w:r>
    </w:p>
    <w:p>
      <w:pPr>
        <w:spacing w:line="360" w:lineRule="auto"/>
        <w:ind w:firstLine="420"/>
        <w:rPr>
          <w:rFonts w:ascii="宋体" w:hAnsi="宋体" w:cs="宋体"/>
          <w:sz w:val="24"/>
          <w:highlight w:val="none"/>
          <w:u w:val="single"/>
        </w:rPr>
      </w:pPr>
      <w:r>
        <w:rPr>
          <w:rFonts w:hint="eastAsia" w:ascii="宋体" w:hAnsi="宋体" w:cs="宋体"/>
          <w:sz w:val="24"/>
          <w:highlight w:val="none"/>
        </w:rPr>
        <w:t>年    龄： 职    务：</w:t>
      </w:r>
    </w:p>
    <w:p>
      <w:pPr>
        <w:spacing w:line="360" w:lineRule="auto"/>
        <w:ind w:firstLine="420"/>
        <w:rPr>
          <w:rFonts w:ascii="宋体" w:hAnsi="宋体" w:cs="宋体"/>
          <w:sz w:val="24"/>
          <w:highlight w:val="none"/>
        </w:rPr>
      </w:pPr>
      <w:r>
        <w:rPr>
          <w:rFonts w:hint="eastAsia" w:ascii="宋体" w:hAnsi="宋体" w:cs="宋体"/>
          <w:sz w:val="24"/>
          <w:highlight w:val="none"/>
        </w:rPr>
        <w:t>身份证号码：</w:t>
      </w:r>
    </w:p>
    <w:p>
      <w:pPr>
        <w:spacing w:line="360" w:lineRule="auto"/>
        <w:ind w:firstLine="420"/>
        <w:rPr>
          <w:rFonts w:ascii="宋体" w:hAnsi="宋体" w:cs="宋体"/>
          <w:sz w:val="24"/>
          <w:highlight w:val="none"/>
        </w:rPr>
      </w:pPr>
      <w:r>
        <w:rPr>
          <w:rFonts w:hint="eastAsia" w:ascii="宋体" w:hAnsi="宋体" w:cs="宋体"/>
          <w:sz w:val="24"/>
          <w:highlight w:val="none"/>
        </w:rPr>
        <w:t xml:space="preserve">    系</w:t>
      </w:r>
      <w:r>
        <w:rPr>
          <w:rFonts w:hint="eastAsia" w:ascii="宋体" w:hAnsi="宋体" w:cs="宋体"/>
          <w:sz w:val="24"/>
          <w:highlight w:val="none"/>
          <w:u w:val="single"/>
        </w:rPr>
        <w:t xml:space="preserve">         （供应商名称）      </w:t>
      </w:r>
      <w:r>
        <w:rPr>
          <w:rFonts w:hint="eastAsia" w:ascii="宋体" w:hAnsi="宋体" w:cs="宋体"/>
          <w:sz w:val="24"/>
          <w:highlight w:val="none"/>
        </w:rPr>
        <w:t>的法定代表人，为</w:t>
      </w:r>
      <w:r>
        <w:rPr>
          <w:rFonts w:hint="eastAsia" w:ascii="宋体" w:hAnsi="宋体" w:cs="宋体"/>
          <w:sz w:val="24"/>
          <w:highlight w:val="none"/>
          <w:u w:val="single"/>
        </w:rPr>
        <w:t xml:space="preserve">     （项目编号、项目名称）   </w:t>
      </w:r>
      <w:r>
        <w:rPr>
          <w:rFonts w:hint="eastAsia" w:ascii="宋体" w:hAnsi="宋体" w:cs="宋体"/>
          <w:sz w:val="24"/>
          <w:highlight w:val="none"/>
        </w:rPr>
        <w:t>项目，签署上述项目的响应文件，进行合同谈判、签署合同和处理与之有关的一切事宜。</w:t>
      </w:r>
    </w:p>
    <w:p>
      <w:pPr>
        <w:spacing w:line="360" w:lineRule="auto"/>
        <w:ind w:firstLine="420"/>
        <w:rPr>
          <w:rFonts w:ascii="宋体" w:hAnsi="宋体" w:cs="宋体"/>
          <w:sz w:val="24"/>
          <w:highlight w:val="none"/>
        </w:rPr>
      </w:pPr>
      <w:r>
        <w:rPr>
          <w:rFonts w:hint="eastAsia" w:ascii="宋体" w:hAnsi="宋体" w:cs="宋体"/>
          <w:sz w:val="24"/>
          <w:highlight w:val="none"/>
        </w:rPr>
        <w:t xml:space="preserve">    特此证明。</w:t>
      </w:r>
    </w:p>
    <w:p>
      <w:pPr>
        <w:spacing w:line="360" w:lineRule="auto"/>
        <w:ind w:firstLine="420"/>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后附法定代表人身份证正反面复印件，加盖供应商公章。</w:t>
      </w:r>
    </w:p>
    <w:p>
      <w:pPr>
        <w:snapToGrid w:val="0"/>
        <w:spacing w:line="360" w:lineRule="auto"/>
        <w:rPr>
          <w:rFonts w:ascii="宋体" w:hAnsi="宋体" w:cs="宋体"/>
          <w:kern w:val="0"/>
          <w:sz w:val="24"/>
          <w:highlight w:val="none"/>
        </w:rPr>
      </w:pPr>
      <w:r>
        <w:rPr>
          <w:rFonts w:hint="eastAsia" w:ascii="宋体" w:hAnsi="宋体" w:cs="宋体"/>
          <w:sz w:val="24"/>
          <w:highlight w:val="none"/>
        </w:rPr>
        <w:t>投标人名称(盖章)</w:t>
      </w: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b/>
          <w:kern w:val="0"/>
          <w:sz w:val="32"/>
          <w:szCs w:val="32"/>
          <w:highlight w:val="none"/>
          <w:lang w:val="zh-CN"/>
        </w:rPr>
      </w:pPr>
      <w:r>
        <w:rPr>
          <w:rFonts w:hint="eastAsia" w:ascii="宋体" w:hAnsi="宋体" w:cs="宋体"/>
          <w:bCs/>
          <w:sz w:val="24"/>
          <w:highlight w:val="none"/>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pPr>
              <w:pStyle w:val="151"/>
              <w:adjustRightInd w:val="0"/>
              <w:spacing w:line="360" w:lineRule="auto"/>
              <w:rPr>
                <w:rFonts w:hAnsi="宋体" w:cs="宋体"/>
                <w:bCs/>
                <w:sz w:val="24"/>
                <w:highlight w:val="none"/>
              </w:rPr>
            </w:pPr>
          </w:p>
        </w:tc>
      </w:tr>
    </w:tbl>
    <w:p>
      <w:pPr>
        <w:snapToGrid w:val="0"/>
        <w:spacing w:line="360" w:lineRule="auto"/>
        <w:ind w:firstLine="2872" w:firstLineChars="894"/>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pPr>
        <w:snapToGrid w:val="0"/>
        <w:spacing w:line="360" w:lineRule="auto"/>
        <w:ind w:firstLine="2872" w:firstLineChars="894"/>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法定代表人授权委托书</w:t>
      </w:r>
    </w:p>
    <w:p>
      <w:pPr>
        <w:pStyle w:val="61"/>
        <w:rPr>
          <w:i/>
          <w:iCs/>
          <w:sz w:val="21"/>
          <w:szCs w:val="21"/>
          <w:highlight w:val="none"/>
          <w:lang w:val="zh-CN"/>
        </w:rPr>
      </w:pPr>
      <w:r>
        <w:rPr>
          <w:rFonts w:hint="eastAsia" w:ascii="宋体" w:hAnsi="宋体" w:cs="宋体"/>
          <w:i/>
          <w:iCs/>
          <w:sz w:val="21"/>
          <w:szCs w:val="21"/>
          <w:highlight w:val="none"/>
          <w:lang w:val="zh-CN"/>
        </w:rPr>
        <w:t>（如法人参加投标，可不提供委托书）</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      【项目编号：（采购编号）      】</w:t>
      </w:r>
      <w:r>
        <w:rPr>
          <w:rFonts w:hint="eastAsia" w:ascii="宋体" w:hAnsi="宋体" w:cs="宋体"/>
          <w:kern w:val="0"/>
          <w:sz w:val="24"/>
          <w:highlight w:val="none"/>
          <w:lang w:val="zh-CN"/>
        </w:rPr>
        <w:t>政府采购磋商的一切事项，其法律后果由我方承担。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sz w:val="24"/>
          <w:highlight w:val="none"/>
        </w:rPr>
        <w:t>投标人名称(盖章)</w:t>
      </w: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lang w:val="zh-CN"/>
        </w:rPr>
      </w:pPr>
    </w:p>
    <w:p>
      <w:pPr>
        <w:snapToGrid w:val="0"/>
        <w:spacing w:line="360" w:lineRule="auto"/>
        <w:rPr>
          <w:rFonts w:ascii="宋体" w:hAnsi="宋体" w:cs="宋体"/>
          <w:b/>
          <w:kern w:val="0"/>
          <w:sz w:val="32"/>
          <w:szCs w:val="32"/>
          <w:highlight w:val="none"/>
          <w:lang w:val="zh-CN"/>
        </w:rPr>
      </w:pPr>
      <w:r>
        <w:rPr>
          <w:rFonts w:hint="eastAsia" w:ascii="宋体" w:hAnsi="宋体" w:cs="宋体"/>
          <w:bCs/>
          <w:sz w:val="24"/>
          <w:highlight w:val="none"/>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pPr>
              <w:pStyle w:val="151"/>
              <w:adjustRightInd w:val="0"/>
              <w:spacing w:line="360" w:lineRule="auto"/>
              <w:rPr>
                <w:rFonts w:hAnsi="宋体" w:cs="宋体"/>
                <w:bCs/>
                <w:sz w:val="24"/>
                <w:highlight w:val="none"/>
              </w:rPr>
            </w:pPr>
          </w:p>
        </w:tc>
      </w:tr>
    </w:tbl>
    <w:p>
      <w:pPr>
        <w:widowControl/>
        <w:adjustRightInd/>
        <w:jc w:val="left"/>
        <w:rPr>
          <w:rFonts w:ascii="宋体" w:hAnsi="宋体" w:cs="仿宋_GB2312"/>
          <w:b/>
          <w:sz w:val="30"/>
          <w:szCs w:val="30"/>
          <w:highlight w:val="none"/>
        </w:rPr>
      </w:pPr>
    </w:p>
    <w:p>
      <w:pPr>
        <w:snapToGrid w:val="0"/>
        <w:spacing w:line="360" w:lineRule="auto"/>
        <w:ind w:firstLine="576"/>
        <w:rPr>
          <w:rFonts w:ascii="宋体" w:hAnsi="宋体" w:cs="仿宋_GB2312"/>
          <w:b/>
          <w:bCs/>
          <w:sz w:val="28"/>
          <w:szCs w:val="28"/>
          <w:highlight w:val="none"/>
        </w:rPr>
      </w:pPr>
      <w:r>
        <w:rPr>
          <w:rFonts w:hint="eastAsia" w:ascii="宋体" w:hAnsi="宋体" w:cs="宋体"/>
          <w:b/>
          <w:bCs/>
          <w:sz w:val="24"/>
          <w:highlight w:val="none"/>
        </w:rPr>
        <w:t>附授权代表近六个月任一月缴纳社保证明</w:t>
      </w:r>
    </w:p>
    <w:p>
      <w:pPr>
        <w:spacing w:line="360" w:lineRule="auto"/>
        <w:jc w:val="center"/>
        <w:rPr>
          <w:rFonts w:ascii="宋体" w:hAnsi="宋体" w:cs="宋体"/>
          <w:kern w:val="0"/>
          <w:sz w:val="24"/>
          <w:highlight w:val="none"/>
          <w:lang w:val="zh-CN"/>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966"/>
        <w:ind w:left="0"/>
        <w:jc w:val="center"/>
        <w:rPr>
          <w:rFonts w:ascii="宋体" w:hAnsi="宋体" w:cs="宋体"/>
          <w:b/>
          <w:bCs/>
          <w:sz w:val="32"/>
          <w:szCs w:val="28"/>
          <w:highlight w:val="none"/>
        </w:rPr>
      </w:pPr>
      <w:r>
        <w:rPr>
          <w:rFonts w:hint="eastAsia" w:ascii="宋体" w:hAnsi="宋体" w:cs="宋体"/>
          <w:b/>
          <w:bCs/>
          <w:sz w:val="32"/>
          <w:szCs w:val="28"/>
          <w:highlight w:val="none"/>
        </w:rPr>
        <w:br w:type="page"/>
      </w:r>
    </w:p>
    <w:p>
      <w:pPr>
        <w:pStyle w:val="966"/>
        <w:ind w:left="0"/>
        <w:jc w:val="center"/>
        <w:rPr>
          <w:rFonts w:ascii="宋体" w:hAnsi="宋体" w:cs="宋体"/>
          <w:b/>
          <w:bCs/>
          <w:sz w:val="32"/>
          <w:szCs w:val="28"/>
          <w:highlight w:val="none"/>
        </w:rPr>
      </w:pPr>
      <w:r>
        <w:rPr>
          <w:rFonts w:hint="eastAsia" w:ascii="宋体" w:hAnsi="宋体" w:cs="宋体"/>
          <w:b/>
          <w:bCs/>
          <w:sz w:val="32"/>
          <w:szCs w:val="28"/>
          <w:highlight w:val="none"/>
        </w:rPr>
        <w:t>四、投标人股权信息表</w:t>
      </w:r>
    </w:p>
    <w:p>
      <w:pPr>
        <w:rPr>
          <w:rFonts w:ascii="宋体" w:hAnsi="宋体" w:cs="宋体"/>
          <w:highlight w:val="none"/>
        </w:rPr>
      </w:pPr>
    </w:p>
    <w:tbl>
      <w:tblPr>
        <w:tblStyle w:val="73"/>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highlight w:val="none"/>
              </w:rPr>
            </w:pPr>
            <w:r>
              <w:rPr>
                <w:rFonts w:hint="eastAsia" w:ascii="宋体" w:hAnsi="宋体" w:cs="宋体"/>
                <w:kern w:val="0"/>
                <w:sz w:val="24"/>
                <w:highlight w:val="none"/>
              </w:rPr>
              <w:t xml:space="preserve"> 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highlight w:val="none"/>
              </w:rPr>
            </w:pPr>
            <w:r>
              <w:rPr>
                <w:rFonts w:hint="eastAsia" w:ascii="宋体" w:hAnsi="宋体" w:cs="宋体"/>
                <w:kern w:val="0"/>
                <w:sz w:val="24"/>
                <w:highlight w:val="none"/>
              </w:rPr>
              <w:t xml:space="preserve"> 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highlight w:val="none"/>
              </w:rPr>
            </w:pPr>
            <w:r>
              <w:rPr>
                <w:rFonts w:hint="eastAsia" w:ascii="宋体" w:hAnsi="宋体" w:cs="宋体"/>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highlight w:val="none"/>
              </w:rPr>
            </w:pPr>
            <w:r>
              <w:rPr>
                <w:rFonts w:hint="eastAsia" w:ascii="宋体" w:hAnsi="宋体" w:cs="宋体"/>
                <w:kern w:val="0"/>
                <w:sz w:val="24"/>
                <w:highlight w:val="none"/>
              </w:rPr>
              <w:t>投标人全称（盖章）：</w:t>
            </w:r>
          </w:p>
        </w:tc>
      </w:tr>
    </w:tbl>
    <w:p>
      <w:pPr>
        <w:rPr>
          <w:rFonts w:ascii="宋体" w:hAnsi="宋体" w:cs="宋体"/>
          <w:b/>
          <w:bCs/>
          <w:highlight w:val="none"/>
        </w:rPr>
      </w:pPr>
    </w:p>
    <w:p>
      <w:pPr>
        <w:snapToGrid w:val="0"/>
        <w:spacing w:line="360" w:lineRule="auto"/>
        <w:rPr>
          <w:rFonts w:ascii="宋体" w:hAnsi="宋体" w:cs="宋体"/>
          <w:b/>
          <w:kern w:val="0"/>
          <w:sz w:val="32"/>
          <w:szCs w:val="32"/>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五、交货清单</w:t>
      </w:r>
    </w:p>
    <w:p>
      <w:pPr>
        <w:pStyle w:val="82"/>
        <w:ind w:firstLine="0" w:firstLineChars="0"/>
        <w:rPr>
          <w:rFonts w:ascii="宋体" w:hAnsi="宋体" w:cs="宋体"/>
          <w:highlight w:val="none"/>
        </w:rPr>
      </w:pPr>
    </w:p>
    <w:p>
      <w:pPr>
        <w:ind w:firstLine="315" w:firstLineChars="150"/>
        <w:rPr>
          <w:rFonts w:ascii="宋体" w:hAnsi="宋体" w:cs="宋体"/>
          <w:b/>
          <w:sz w:val="32"/>
          <w:szCs w:val="32"/>
          <w:highlight w:val="none"/>
        </w:rPr>
      </w:pPr>
      <w:r>
        <w:rPr>
          <w:rFonts w:hint="eastAsia" w:ascii="宋体" w:hAnsi="宋体" w:cs="宋体"/>
          <w:highlight w:val="none"/>
        </w:rPr>
        <w:t xml:space="preserve">项目名称：                   项目编号：            </w:t>
      </w:r>
    </w:p>
    <w:tbl>
      <w:tblPr>
        <w:tblStyle w:val="73"/>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序号</w:t>
            </w:r>
          </w:p>
        </w:tc>
        <w:tc>
          <w:tcPr>
            <w:tcW w:w="1425" w:type="dxa"/>
            <w:vMerge w:val="restart"/>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产品名称</w:t>
            </w:r>
          </w:p>
        </w:tc>
        <w:tc>
          <w:tcPr>
            <w:tcW w:w="1065" w:type="dxa"/>
            <w:vMerge w:val="restart"/>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品牌</w:t>
            </w:r>
          </w:p>
        </w:tc>
        <w:tc>
          <w:tcPr>
            <w:tcW w:w="2603" w:type="dxa"/>
            <w:vMerge w:val="restart"/>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规格及型号</w:t>
            </w:r>
          </w:p>
        </w:tc>
        <w:tc>
          <w:tcPr>
            <w:tcW w:w="1177" w:type="dxa"/>
            <w:vMerge w:val="restart"/>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生产厂家</w:t>
            </w:r>
          </w:p>
        </w:tc>
        <w:tc>
          <w:tcPr>
            <w:tcW w:w="1110" w:type="dxa"/>
            <w:vMerge w:val="restart"/>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单位</w:t>
            </w:r>
          </w:p>
        </w:tc>
        <w:tc>
          <w:tcPr>
            <w:tcW w:w="1080" w:type="dxa"/>
            <w:vMerge w:val="restart"/>
            <w:vAlign w:val="center"/>
          </w:tcPr>
          <w:p>
            <w:pPr>
              <w:widowControl/>
              <w:jc w:val="center"/>
              <w:textAlignment w:val="center"/>
              <w:rPr>
                <w:rFonts w:ascii="宋体" w:hAnsi="宋体" w:cs="宋体"/>
                <w:kern w:val="0"/>
                <w:sz w:val="24"/>
                <w:highlight w:val="none"/>
              </w:rPr>
            </w:pPr>
            <w:r>
              <w:rPr>
                <w:rFonts w:hint="eastAsia" w:ascii="宋体" w:hAnsi="宋体" w:cs="宋体"/>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ascii="宋体" w:hAnsi="宋体" w:cs="宋体"/>
                <w:kern w:val="0"/>
                <w:sz w:val="24"/>
                <w:highlight w:val="none"/>
              </w:rPr>
            </w:pPr>
          </w:p>
        </w:tc>
        <w:tc>
          <w:tcPr>
            <w:tcW w:w="1425" w:type="dxa"/>
            <w:vMerge w:val="continue"/>
            <w:vAlign w:val="center"/>
          </w:tcPr>
          <w:p>
            <w:pPr>
              <w:widowControl/>
              <w:jc w:val="center"/>
              <w:textAlignment w:val="center"/>
              <w:rPr>
                <w:rFonts w:ascii="宋体" w:hAnsi="宋体" w:cs="宋体"/>
                <w:kern w:val="0"/>
                <w:sz w:val="24"/>
                <w:highlight w:val="none"/>
              </w:rPr>
            </w:pPr>
          </w:p>
        </w:tc>
        <w:tc>
          <w:tcPr>
            <w:tcW w:w="1065" w:type="dxa"/>
            <w:vMerge w:val="continue"/>
            <w:vAlign w:val="center"/>
          </w:tcPr>
          <w:p>
            <w:pPr>
              <w:widowControl/>
              <w:jc w:val="center"/>
              <w:textAlignment w:val="center"/>
              <w:rPr>
                <w:rFonts w:ascii="宋体" w:hAnsi="宋体" w:cs="宋体"/>
                <w:kern w:val="0"/>
                <w:sz w:val="24"/>
                <w:highlight w:val="none"/>
              </w:rPr>
            </w:pPr>
          </w:p>
        </w:tc>
        <w:tc>
          <w:tcPr>
            <w:tcW w:w="2603" w:type="dxa"/>
            <w:vMerge w:val="continue"/>
            <w:vAlign w:val="center"/>
          </w:tcPr>
          <w:p>
            <w:pPr>
              <w:widowControl/>
              <w:jc w:val="center"/>
              <w:textAlignment w:val="center"/>
              <w:rPr>
                <w:rFonts w:ascii="宋体" w:hAnsi="宋体" w:cs="宋体"/>
                <w:kern w:val="0"/>
                <w:sz w:val="24"/>
                <w:highlight w:val="none"/>
              </w:rPr>
            </w:pPr>
          </w:p>
        </w:tc>
        <w:tc>
          <w:tcPr>
            <w:tcW w:w="1177" w:type="dxa"/>
            <w:vMerge w:val="continue"/>
          </w:tcPr>
          <w:p>
            <w:pPr>
              <w:widowControl/>
              <w:jc w:val="center"/>
              <w:textAlignment w:val="center"/>
              <w:rPr>
                <w:rFonts w:ascii="宋体" w:hAnsi="宋体" w:cs="宋体"/>
                <w:kern w:val="0"/>
                <w:sz w:val="24"/>
                <w:highlight w:val="none"/>
              </w:rPr>
            </w:pPr>
          </w:p>
        </w:tc>
        <w:tc>
          <w:tcPr>
            <w:tcW w:w="1110" w:type="dxa"/>
            <w:vMerge w:val="continue"/>
            <w:vAlign w:val="center"/>
          </w:tcPr>
          <w:p>
            <w:pPr>
              <w:widowControl/>
              <w:jc w:val="center"/>
              <w:textAlignment w:val="center"/>
              <w:rPr>
                <w:rFonts w:ascii="宋体" w:hAnsi="宋体" w:cs="宋体"/>
                <w:kern w:val="0"/>
                <w:sz w:val="24"/>
                <w:highlight w:val="none"/>
              </w:rPr>
            </w:pPr>
          </w:p>
        </w:tc>
        <w:tc>
          <w:tcPr>
            <w:tcW w:w="1080" w:type="dxa"/>
            <w:vMerge w:val="continue"/>
            <w:vAlign w:val="center"/>
          </w:tcPr>
          <w:p>
            <w:pPr>
              <w:widowControl/>
              <w:jc w:val="center"/>
              <w:textAlignment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00" w:type="dxa"/>
          </w:tcPr>
          <w:p>
            <w:pPr>
              <w:widowControl/>
              <w:jc w:val="center"/>
              <w:textAlignment w:val="center"/>
              <w:rPr>
                <w:rFonts w:ascii="宋体" w:hAnsi="宋体" w:cs="宋体"/>
                <w:kern w:val="0"/>
                <w:sz w:val="24"/>
                <w:highlight w:val="none"/>
              </w:rPr>
            </w:pPr>
          </w:p>
        </w:tc>
        <w:tc>
          <w:tcPr>
            <w:tcW w:w="1425" w:type="dxa"/>
          </w:tcPr>
          <w:p>
            <w:pPr>
              <w:widowControl/>
              <w:jc w:val="center"/>
              <w:textAlignment w:val="center"/>
              <w:rPr>
                <w:rFonts w:ascii="宋体" w:hAnsi="宋体" w:cs="宋体"/>
                <w:kern w:val="0"/>
                <w:sz w:val="24"/>
                <w:highlight w:val="none"/>
              </w:rPr>
            </w:pPr>
          </w:p>
        </w:tc>
        <w:tc>
          <w:tcPr>
            <w:tcW w:w="1065" w:type="dxa"/>
          </w:tcPr>
          <w:p>
            <w:pPr>
              <w:widowControl/>
              <w:jc w:val="center"/>
              <w:textAlignment w:val="center"/>
              <w:rPr>
                <w:rFonts w:ascii="宋体" w:hAnsi="宋体" w:cs="宋体"/>
                <w:kern w:val="0"/>
                <w:sz w:val="24"/>
                <w:highlight w:val="none"/>
              </w:rPr>
            </w:pPr>
          </w:p>
        </w:tc>
        <w:tc>
          <w:tcPr>
            <w:tcW w:w="2603" w:type="dxa"/>
          </w:tcPr>
          <w:p>
            <w:pPr>
              <w:widowControl/>
              <w:jc w:val="center"/>
              <w:textAlignment w:val="center"/>
              <w:rPr>
                <w:rFonts w:ascii="宋体" w:hAnsi="宋体" w:cs="宋体"/>
                <w:kern w:val="0"/>
                <w:sz w:val="24"/>
                <w:highlight w:val="none"/>
              </w:rPr>
            </w:pPr>
          </w:p>
        </w:tc>
        <w:tc>
          <w:tcPr>
            <w:tcW w:w="1177" w:type="dxa"/>
          </w:tcPr>
          <w:p>
            <w:pPr>
              <w:widowControl/>
              <w:jc w:val="center"/>
              <w:textAlignment w:val="center"/>
              <w:rPr>
                <w:rFonts w:ascii="宋体" w:hAnsi="宋体" w:cs="宋体"/>
                <w:kern w:val="0"/>
                <w:sz w:val="24"/>
                <w:highlight w:val="none"/>
              </w:rPr>
            </w:pPr>
          </w:p>
        </w:tc>
        <w:tc>
          <w:tcPr>
            <w:tcW w:w="1110" w:type="dxa"/>
          </w:tcPr>
          <w:p>
            <w:pPr>
              <w:widowControl/>
              <w:jc w:val="center"/>
              <w:textAlignment w:val="center"/>
              <w:rPr>
                <w:rFonts w:ascii="宋体" w:hAnsi="宋体" w:cs="宋体"/>
                <w:kern w:val="0"/>
                <w:sz w:val="24"/>
                <w:highlight w:val="none"/>
              </w:rPr>
            </w:pPr>
          </w:p>
        </w:tc>
        <w:tc>
          <w:tcPr>
            <w:tcW w:w="1080" w:type="dxa"/>
          </w:tcPr>
          <w:p>
            <w:pPr>
              <w:widowControl/>
              <w:jc w:val="center"/>
              <w:textAlignment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highlight w:val="none"/>
              </w:rPr>
            </w:pPr>
          </w:p>
        </w:tc>
        <w:tc>
          <w:tcPr>
            <w:tcW w:w="1425" w:type="dxa"/>
          </w:tcPr>
          <w:p>
            <w:pPr>
              <w:spacing w:line="460" w:lineRule="exact"/>
              <w:ind w:firstLine="600"/>
              <w:rPr>
                <w:rFonts w:ascii="宋体" w:hAnsi="宋体" w:cs="宋体"/>
                <w:sz w:val="30"/>
                <w:highlight w:val="none"/>
              </w:rPr>
            </w:pPr>
          </w:p>
        </w:tc>
        <w:tc>
          <w:tcPr>
            <w:tcW w:w="1065" w:type="dxa"/>
          </w:tcPr>
          <w:p>
            <w:pPr>
              <w:spacing w:line="460" w:lineRule="exact"/>
              <w:ind w:firstLine="600"/>
              <w:rPr>
                <w:rFonts w:ascii="宋体" w:hAnsi="宋体" w:cs="宋体"/>
                <w:sz w:val="30"/>
                <w:highlight w:val="none"/>
              </w:rPr>
            </w:pPr>
          </w:p>
        </w:tc>
        <w:tc>
          <w:tcPr>
            <w:tcW w:w="2603" w:type="dxa"/>
          </w:tcPr>
          <w:p>
            <w:pPr>
              <w:spacing w:line="460" w:lineRule="exact"/>
              <w:ind w:firstLine="600"/>
              <w:rPr>
                <w:rFonts w:ascii="宋体" w:hAnsi="宋体" w:cs="宋体"/>
                <w:sz w:val="30"/>
                <w:highlight w:val="none"/>
              </w:rPr>
            </w:pPr>
          </w:p>
        </w:tc>
        <w:tc>
          <w:tcPr>
            <w:tcW w:w="1177" w:type="dxa"/>
          </w:tcPr>
          <w:p>
            <w:pPr>
              <w:spacing w:line="460" w:lineRule="exact"/>
              <w:ind w:firstLine="600"/>
              <w:rPr>
                <w:rFonts w:ascii="宋体" w:hAnsi="宋体" w:cs="宋体"/>
                <w:sz w:val="30"/>
                <w:highlight w:val="none"/>
              </w:rPr>
            </w:pPr>
          </w:p>
        </w:tc>
        <w:tc>
          <w:tcPr>
            <w:tcW w:w="1110" w:type="dxa"/>
          </w:tcPr>
          <w:p>
            <w:pPr>
              <w:spacing w:line="460" w:lineRule="exact"/>
              <w:ind w:firstLine="600"/>
              <w:rPr>
                <w:rFonts w:ascii="宋体" w:hAnsi="宋体" w:cs="宋体"/>
                <w:sz w:val="30"/>
                <w:highlight w:val="none"/>
              </w:rPr>
            </w:pPr>
          </w:p>
        </w:tc>
        <w:tc>
          <w:tcPr>
            <w:tcW w:w="1080" w:type="dxa"/>
          </w:tcPr>
          <w:p>
            <w:pPr>
              <w:spacing w:line="460" w:lineRule="exact"/>
              <w:ind w:firstLine="600"/>
              <w:rPr>
                <w:rFonts w:ascii="宋体" w:hAnsi="宋体" w:cs="宋体"/>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highlight w:val="none"/>
              </w:rPr>
            </w:pPr>
          </w:p>
        </w:tc>
        <w:tc>
          <w:tcPr>
            <w:tcW w:w="1425" w:type="dxa"/>
          </w:tcPr>
          <w:p>
            <w:pPr>
              <w:spacing w:line="460" w:lineRule="exact"/>
              <w:ind w:firstLine="600"/>
              <w:rPr>
                <w:rFonts w:ascii="宋体" w:hAnsi="宋体" w:cs="宋体"/>
                <w:sz w:val="30"/>
                <w:highlight w:val="none"/>
              </w:rPr>
            </w:pPr>
          </w:p>
        </w:tc>
        <w:tc>
          <w:tcPr>
            <w:tcW w:w="1065" w:type="dxa"/>
          </w:tcPr>
          <w:p>
            <w:pPr>
              <w:spacing w:line="460" w:lineRule="exact"/>
              <w:ind w:firstLine="600"/>
              <w:rPr>
                <w:rFonts w:ascii="宋体" w:hAnsi="宋体" w:cs="宋体"/>
                <w:sz w:val="30"/>
                <w:highlight w:val="none"/>
              </w:rPr>
            </w:pPr>
          </w:p>
        </w:tc>
        <w:tc>
          <w:tcPr>
            <w:tcW w:w="2603" w:type="dxa"/>
          </w:tcPr>
          <w:p>
            <w:pPr>
              <w:spacing w:line="460" w:lineRule="exact"/>
              <w:ind w:firstLine="600"/>
              <w:rPr>
                <w:rFonts w:ascii="宋体" w:hAnsi="宋体" w:cs="宋体"/>
                <w:sz w:val="30"/>
                <w:highlight w:val="none"/>
              </w:rPr>
            </w:pPr>
          </w:p>
        </w:tc>
        <w:tc>
          <w:tcPr>
            <w:tcW w:w="1177" w:type="dxa"/>
          </w:tcPr>
          <w:p>
            <w:pPr>
              <w:spacing w:line="460" w:lineRule="exact"/>
              <w:ind w:firstLine="600"/>
              <w:rPr>
                <w:rFonts w:ascii="宋体" w:hAnsi="宋体" w:cs="宋体"/>
                <w:sz w:val="30"/>
                <w:highlight w:val="none"/>
              </w:rPr>
            </w:pPr>
          </w:p>
        </w:tc>
        <w:tc>
          <w:tcPr>
            <w:tcW w:w="1110" w:type="dxa"/>
          </w:tcPr>
          <w:p>
            <w:pPr>
              <w:spacing w:line="460" w:lineRule="exact"/>
              <w:ind w:firstLine="600"/>
              <w:rPr>
                <w:rFonts w:ascii="宋体" w:hAnsi="宋体" w:cs="宋体"/>
                <w:sz w:val="30"/>
                <w:highlight w:val="none"/>
              </w:rPr>
            </w:pPr>
          </w:p>
        </w:tc>
        <w:tc>
          <w:tcPr>
            <w:tcW w:w="1080" w:type="dxa"/>
          </w:tcPr>
          <w:p>
            <w:pPr>
              <w:spacing w:line="460" w:lineRule="exact"/>
              <w:ind w:firstLine="600"/>
              <w:rPr>
                <w:rFonts w:ascii="宋体" w:hAnsi="宋体" w:cs="宋体"/>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highlight w:val="none"/>
              </w:rPr>
            </w:pPr>
          </w:p>
        </w:tc>
        <w:tc>
          <w:tcPr>
            <w:tcW w:w="1425" w:type="dxa"/>
          </w:tcPr>
          <w:p>
            <w:pPr>
              <w:spacing w:line="460" w:lineRule="exact"/>
              <w:ind w:firstLine="600"/>
              <w:rPr>
                <w:rFonts w:ascii="宋体" w:hAnsi="宋体" w:cs="宋体"/>
                <w:sz w:val="30"/>
                <w:highlight w:val="none"/>
              </w:rPr>
            </w:pPr>
          </w:p>
        </w:tc>
        <w:tc>
          <w:tcPr>
            <w:tcW w:w="1065" w:type="dxa"/>
          </w:tcPr>
          <w:p>
            <w:pPr>
              <w:spacing w:line="460" w:lineRule="exact"/>
              <w:ind w:firstLine="600"/>
              <w:rPr>
                <w:rFonts w:ascii="宋体" w:hAnsi="宋体" w:cs="宋体"/>
                <w:sz w:val="30"/>
                <w:highlight w:val="none"/>
              </w:rPr>
            </w:pPr>
          </w:p>
        </w:tc>
        <w:tc>
          <w:tcPr>
            <w:tcW w:w="2603" w:type="dxa"/>
          </w:tcPr>
          <w:p>
            <w:pPr>
              <w:spacing w:line="460" w:lineRule="exact"/>
              <w:ind w:firstLine="600"/>
              <w:rPr>
                <w:rFonts w:ascii="宋体" w:hAnsi="宋体" w:cs="宋体"/>
                <w:sz w:val="30"/>
                <w:highlight w:val="none"/>
              </w:rPr>
            </w:pPr>
          </w:p>
        </w:tc>
        <w:tc>
          <w:tcPr>
            <w:tcW w:w="1177" w:type="dxa"/>
          </w:tcPr>
          <w:p>
            <w:pPr>
              <w:spacing w:line="460" w:lineRule="exact"/>
              <w:ind w:firstLine="600"/>
              <w:rPr>
                <w:rFonts w:ascii="宋体" w:hAnsi="宋体" w:cs="宋体"/>
                <w:sz w:val="30"/>
                <w:highlight w:val="none"/>
              </w:rPr>
            </w:pPr>
          </w:p>
        </w:tc>
        <w:tc>
          <w:tcPr>
            <w:tcW w:w="1110" w:type="dxa"/>
          </w:tcPr>
          <w:p>
            <w:pPr>
              <w:spacing w:line="460" w:lineRule="exact"/>
              <w:ind w:firstLine="600"/>
              <w:rPr>
                <w:rFonts w:ascii="宋体" w:hAnsi="宋体" w:cs="宋体"/>
                <w:sz w:val="30"/>
                <w:highlight w:val="none"/>
              </w:rPr>
            </w:pPr>
          </w:p>
        </w:tc>
        <w:tc>
          <w:tcPr>
            <w:tcW w:w="1080" w:type="dxa"/>
          </w:tcPr>
          <w:p>
            <w:pPr>
              <w:spacing w:line="460" w:lineRule="exact"/>
              <w:ind w:firstLine="600"/>
              <w:rPr>
                <w:rFonts w:ascii="宋体" w:hAnsi="宋体" w:cs="宋体"/>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highlight w:val="none"/>
              </w:rPr>
            </w:pPr>
          </w:p>
        </w:tc>
        <w:tc>
          <w:tcPr>
            <w:tcW w:w="1425" w:type="dxa"/>
          </w:tcPr>
          <w:p>
            <w:pPr>
              <w:spacing w:line="460" w:lineRule="exact"/>
              <w:ind w:firstLine="600"/>
              <w:rPr>
                <w:rFonts w:ascii="宋体" w:hAnsi="宋体" w:cs="宋体"/>
                <w:sz w:val="30"/>
                <w:highlight w:val="none"/>
              </w:rPr>
            </w:pPr>
          </w:p>
        </w:tc>
        <w:tc>
          <w:tcPr>
            <w:tcW w:w="1065" w:type="dxa"/>
          </w:tcPr>
          <w:p>
            <w:pPr>
              <w:spacing w:line="460" w:lineRule="exact"/>
              <w:ind w:firstLine="600"/>
              <w:rPr>
                <w:rFonts w:ascii="宋体" w:hAnsi="宋体" w:cs="宋体"/>
                <w:sz w:val="30"/>
                <w:highlight w:val="none"/>
              </w:rPr>
            </w:pPr>
          </w:p>
        </w:tc>
        <w:tc>
          <w:tcPr>
            <w:tcW w:w="2603" w:type="dxa"/>
          </w:tcPr>
          <w:p>
            <w:pPr>
              <w:spacing w:line="460" w:lineRule="exact"/>
              <w:ind w:firstLine="600"/>
              <w:rPr>
                <w:rFonts w:ascii="宋体" w:hAnsi="宋体" w:cs="宋体"/>
                <w:sz w:val="30"/>
                <w:highlight w:val="none"/>
              </w:rPr>
            </w:pPr>
          </w:p>
        </w:tc>
        <w:tc>
          <w:tcPr>
            <w:tcW w:w="1177" w:type="dxa"/>
          </w:tcPr>
          <w:p>
            <w:pPr>
              <w:spacing w:line="460" w:lineRule="exact"/>
              <w:ind w:firstLine="600"/>
              <w:rPr>
                <w:rFonts w:ascii="宋体" w:hAnsi="宋体" w:cs="宋体"/>
                <w:sz w:val="30"/>
                <w:highlight w:val="none"/>
              </w:rPr>
            </w:pPr>
          </w:p>
        </w:tc>
        <w:tc>
          <w:tcPr>
            <w:tcW w:w="1110" w:type="dxa"/>
          </w:tcPr>
          <w:p>
            <w:pPr>
              <w:spacing w:line="460" w:lineRule="exact"/>
              <w:ind w:firstLine="600"/>
              <w:rPr>
                <w:rFonts w:ascii="宋体" w:hAnsi="宋体" w:cs="宋体"/>
                <w:sz w:val="30"/>
                <w:highlight w:val="none"/>
              </w:rPr>
            </w:pPr>
          </w:p>
        </w:tc>
        <w:tc>
          <w:tcPr>
            <w:tcW w:w="1080" w:type="dxa"/>
          </w:tcPr>
          <w:p>
            <w:pPr>
              <w:spacing w:line="460" w:lineRule="exact"/>
              <w:ind w:firstLine="600"/>
              <w:rPr>
                <w:rFonts w:ascii="宋体" w:hAnsi="宋体" w:cs="宋体"/>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highlight w:val="none"/>
              </w:rPr>
            </w:pPr>
          </w:p>
        </w:tc>
        <w:tc>
          <w:tcPr>
            <w:tcW w:w="1425" w:type="dxa"/>
          </w:tcPr>
          <w:p>
            <w:pPr>
              <w:spacing w:line="460" w:lineRule="exact"/>
              <w:ind w:firstLine="600"/>
              <w:rPr>
                <w:rFonts w:ascii="宋体" w:hAnsi="宋体" w:cs="宋体"/>
                <w:sz w:val="30"/>
                <w:highlight w:val="none"/>
              </w:rPr>
            </w:pPr>
          </w:p>
        </w:tc>
        <w:tc>
          <w:tcPr>
            <w:tcW w:w="1065" w:type="dxa"/>
          </w:tcPr>
          <w:p>
            <w:pPr>
              <w:spacing w:line="460" w:lineRule="exact"/>
              <w:ind w:firstLine="600"/>
              <w:rPr>
                <w:rFonts w:ascii="宋体" w:hAnsi="宋体" w:cs="宋体"/>
                <w:sz w:val="30"/>
                <w:highlight w:val="none"/>
              </w:rPr>
            </w:pPr>
          </w:p>
        </w:tc>
        <w:tc>
          <w:tcPr>
            <w:tcW w:w="2603" w:type="dxa"/>
          </w:tcPr>
          <w:p>
            <w:pPr>
              <w:spacing w:line="460" w:lineRule="exact"/>
              <w:ind w:firstLine="600"/>
              <w:rPr>
                <w:rFonts w:ascii="宋体" w:hAnsi="宋体" w:cs="宋体"/>
                <w:sz w:val="30"/>
                <w:highlight w:val="none"/>
              </w:rPr>
            </w:pPr>
          </w:p>
        </w:tc>
        <w:tc>
          <w:tcPr>
            <w:tcW w:w="1177" w:type="dxa"/>
          </w:tcPr>
          <w:p>
            <w:pPr>
              <w:spacing w:line="460" w:lineRule="exact"/>
              <w:ind w:firstLine="600"/>
              <w:rPr>
                <w:rFonts w:ascii="宋体" w:hAnsi="宋体" w:cs="宋体"/>
                <w:sz w:val="30"/>
                <w:highlight w:val="none"/>
              </w:rPr>
            </w:pPr>
          </w:p>
        </w:tc>
        <w:tc>
          <w:tcPr>
            <w:tcW w:w="1110" w:type="dxa"/>
          </w:tcPr>
          <w:p>
            <w:pPr>
              <w:spacing w:line="460" w:lineRule="exact"/>
              <w:ind w:firstLine="600"/>
              <w:rPr>
                <w:rFonts w:ascii="宋体" w:hAnsi="宋体" w:cs="宋体"/>
                <w:sz w:val="30"/>
                <w:highlight w:val="none"/>
              </w:rPr>
            </w:pPr>
          </w:p>
        </w:tc>
        <w:tc>
          <w:tcPr>
            <w:tcW w:w="1080" w:type="dxa"/>
          </w:tcPr>
          <w:p>
            <w:pPr>
              <w:spacing w:line="460" w:lineRule="exact"/>
              <w:ind w:firstLine="600"/>
              <w:rPr>
                <w:rFonts w:ascii="宋体" w:hAnsi="宋体" w:cs="宋体"/>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highlight w:val="none"/>
              </w:rPr>
            </w:pPr>
          </w:p>
        </w:tc>
        <w:tc>
          <w:tcPr>
            <w:tcW w:w="1425" w:type="dxa"/>
          </w:tcPr>
          <w:p>
            <w:pPr>
              <w:spacing w:line="460" w:lineRule="exact"/>
              <w:ind w:firstLine="600"/>
              <w:rPr>
                <w:rFonts w:ascii="宋体" w:hAnsi="宋体" w:cs="宋体"/>
                <w:sz w:val="30"/>
                <w:highlight w:val="none"/>
              </w:rPr>
            </w:pPr>
          </w:p>
        </w:tc>
        <w:tc>
          <w:tcPr>
            <w:tcW w:w="1065" w:type="dxa"/>
          </w:tcPr>
          <w:p>
            <w:pPr>
              <w:spacing w:line="460" w:lineRule="exact"/>
              <w:ind w:firstLine="600"/>
              <w:rPr>
                <w:rFonts w:ascii="宋体" w:hAnsi="宋体" w:cs="宋体"/>
                <w:sz w:val="30"/>
                <w:highlight w:val="none"/>
              </w:rPr>
            </w:pPr>
          </w:p>
        </w:tc>
        <w:tc>
          <w:tcPr>
            <w:tcW w:w="2603" w:type="dxa"/>
          </w:tcPr>
          <w:p>
            <w:pPr>
              <w:spacing w:line="460" w:lineRule="exact"/>
              <w:ind w:firstLine="600"/>
              <w:rPr>
                <w:rFonts w:ascii="宋体" w:hAnsi="宋体" w:cs="宋体"/>
                <w:sz w:val="30"/>
                <w:highlight w:val="none"/>
              </w:rPr>
            </w:pPr>
          </w:p>
        </w:tc>
        <w:tc>
          <w:tcPr>
            <w:tcW w:w="1177" w:type="dxa"/>
          </w:tcPr>
          <w:p>
            <w:pPr>
              <w:spacing w:line="460" w:lineRule="exact"/>
              <w:ind w:firstLine="600"/>
              <w:rPr>
                <w:rFonts w:ascii="宋体" w:hAnsi="宋体" w:cs="宋体"/>
                <w:sz w:val="30"/>
                <w:highlight w:val="none"/>
              </w:rPr>
            </w:pPr>
          </w:p>
        </w:tc>
        <w:tc>
          <w:tcPr>
            <w:tcW w:w="1110" w:type="dxa"/>
          </w:tcPr>
          <w:p>
            <w:pPr>
              <w:spacing w:line="460" w:lineRule="exact"/>
              <w:ind w:firstLine="600"/>
              <w:rPr>
                <w:rFonts w:ascii="宋体" w:hAnsi="宋体" w:cs="宋体"/>
                <w:sz w:val="30"/>
                <w:highlight w:val="none"/>
              </w:rPr>
            </w:pPr>
          </w:p>
        </w:tc>
        <w:tc>
          <w:tcPr>
            <w:tcW w:w="1080" w:type="dxa"/>
          </w:tcPr>
          <w:p>
            <w:pPr>
              <w:spacing w:line="460" w:lineRule="exact"/>
              <w:ind w:firstLine="600"/>
              <w:rPr>
                <w:rFonts w:ascii="宋体" w:hAnsi="宋体" w:cs="宋体"/>
                <w:sz w:val="30"/>
                <w:highlight w:val="none"/>
              </w:rPr>
            </w:pPr>
          </w:p>
        </w:tc>
      </w:tr>
    </w:tbl>
    <w:p>
      <w:pPr>
        <w:spacing w:line="500" w:lineRule="exact"/>
        <w:ind w:firstLine="480"/>
        <w:rPr>
          <w:rFonts w:ascii="宋体" w:hAnsi="宋体" w:cs="宋体"/>
          <w:highlight w:val="none"/>
        </w:rPr>
      </w:pPr>
    </w:p>
    <w:p>
      <w:pPr>
        <w:spacing w:line="500" w:lineRule="exact"/>
        <w:ind w:firstLine="480"/>
        <w:rPr>
          <w:rFonts w:ascii="宋体" w:hAnsi="宋体" w:cs="宋体"/>
          <w:highlight w:val="none"/>
        </w:rPr>
      </w:pPr>
      <w:r>
        <w:rPr>
          <w:rFonts w:hint="eastAsia" w:ascii="宋体" w:hAnsi="宋体" w:cs="宋体"/>
          <w:highlight w:val="none"/>
        </w:rPr>
        <w:t>投标人名称（盖章）：</w:t>
      </w:r>
    </w:p>
    <w:p>
      <w:pPr>
        <w:spacing w:line="500" w:lineRule="exact"/>
        <w:ind w:firstLine="480"/>
        <w:rPr>
          <w:rFonts w:ascii="宋体" w:hAnsi="宋体" w:cs="宋体"/>
          <w:highlight w:val="none"/>
        </w:rPr>
      </w:pPr>
    </w:p>
    <w:p>
      <w:pPr>
        <w:spacing w:line="500" w:lineRule="exact"/>
        <w:ind w:firstLine="48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日  期：</w:t>
      </w:r>
    </w:p>
    <w:p>
      <w:pPr>
        <w:pStyle w:val="15"/>
        <w:rPr>
          <w:rFonts w:hAnsi="宋体" w:cs="宋体"/>
          <w:highlight w:val="none"/>
          <w:lang w:val="en-US"/>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400" w:lineRule="exact"/>
        <w:ind w:firstLine="482"/>
        <w:jc w:val="center"/>
        <w:rPr>
          <w:rFonts w:ascii="宋体" w:hAnsi="宋体" w:cs="宋体"/>
          <w:b/>
          <w:kern w:val="0"/>
          <w:sz w:val="32"/>
          <w:szCs w:val="32"/>
          <w:highlight w:val="none"/>
        </w:rPr>
      </w:pPr>
      <w:r>
        <w:rPr>
          <w:rFonts w:hint="eastAsia" w:ascii="宋体" w:hAnsi="宋体" w:cs="宋体"/>
          <w:b/>
          <w:kern w:val="0"/>
          <w:sz w:val="32"/>
          <w:szCs w:val="32"/>
          <w:highlight w:val="none"/>
        </w:rPr>
        <w:t>六、技术规范偏离表</w:t>
      </w:r>
    </w:p>
    <w:p>
      <w:pPr>
        <w:spacing w:line="400" w:lineRule="exact"/>
        <w:ind w:firstLine="480"/>
        <w:rPr>
          <w:rFonts w:ascii="宋体" w:hAnsi="宋体" w:cs="宋体"/>
          <w:highlight w:val="none"/>
        </w:rPr>
      </w:pPr>
    </w:p>
    <w:p>
      <w:pPr>
        <w:spacing w:line="400" w:lineRule="exact"/>
        <w:ind w:firstLine="480"/>
        <w:rPr>
          <w:rFonts w:ascii="宋体" w:hAnsi="宋体" w:cs="宋体"/>
          <w:highlight w:val="none"/>
        </w:rPr>
      </w:pPr>
      <w:r>
        <w:rPr>
          <w:rFonts w:hint="eastAsia" w:ascii="宋体" w:hAnsi="宋体" w:cs="宋体"/>
          <w:highlight w:val="none"/>
        </w:rPr>
        <w:t xml:space="preserve">项目名称：                   项目编号：            </w:t>
      </w:r>
    </w:p>
    <w:tbl>
      <w:tblPr>
        <w:tblStyle w:val="73"/>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ascii="宋体" w:hAnsi="宋体" w:cs="宋体"/>
                <w:highlight w:val="none"/>
              </w:rPr>
            </w:pPr>
            <w:r>
              <w:rPr>
                <w:rFonts w:hint="eastAsia" w:ascii="宋体" w:hAnsi="宋体" w:cs="宋体"/>
                <w:highlight w:val="none"/>
              </w:rPr>
              <w:t>序号</w:t>
            </w:r>
          </w:p>
        </w:tc>
        <w:tc>
          <w:tcPr>
            <w:tcW w:w="1236" w:type="dxa"/>
            <w:vAlign w:val="center"/>
          </w:tcPr>
          <w:p>
            <w:pPr>
              <w:spacing w:line="500" w:lineRule="exact"/>
              <w:jc w:val="center"/>
              <w:rPr>
                <w:rFonts w:ascii="宋体" w:hAnsi="宋体" w:cs="宋体"/>
                <w:highlight w:val="none"/>
              </w:rPr>
            </w:pPr>
            <w:r>
              <w:rPr>
                <w:rFonts w:hint="eastAsia" w:ascii="宋体" w:hAnsi="宋体" w:cs="宋体"/>
                <w:highlight w:val="none"/>
              </w:rPr>
              <w:t>产品名称</w:t>
            </w:r>
          </w:p>
        </w:tc>
        <w:tc>
          <w:tcPr>
            <w:tcW w:w="2100" w:type="dxa"/>
            <w:vAlign w:val="center"/>
          </w:tcPr>
          <w:p>
            <w:pPr>
              <w:spacing w:line="500" w:lineRule="exact"/>
              <w:jc w:val="center"/>
              <w:rPr>
                <w:rFonts w:ascii="宋体" w:hAnsi="宋体" w:cs="宋体"/>
                <w:highlight w:val="none"/>
              </w:rPr>
            </w:pPr>
            <w:r>
              <w:rPr>
                <w:rFonts w:hint="eastAsia" w:ascii="宋体" w:hAnsi="宋体" w:cs="宋体"/>
                <w:highlight w:val="none"/>
              </w:rPr>
              <w:t>技术要求</w:t>
            </w:r>
          </w:p>
        </w:tc>
        <w:tc>
          <w:tcPr>
            <w:tcW w:w="2625" w:type="dxa"/>
            <w:vAlign w:val="center"/>
          </w:tcPr>
          <w:p>
            <w:pPr>
              <w:spacing w:line="500" w:lineRule="exact"/>
              <w:jc w:val="center"/>
              <w:rPr>
                <w:rFonts w:ascii="宋体" w:hAnsi="宋体" w:cs="宋体"/>
                <w:highlight w:val="none"/>
              </w:rPr>
            </w:pPr>
            <w:r>
              <w:rPr>
                <w:rFonts w:hint="eastAsia" w:ascii="宋体" w:hAnsi="宋体" w:cs="宋体"/>
                <w:highlight w:val="none"/>
              </w:rPr>
              <w:t xml:space="preserve">  投标响应</w:t>
            </w:r>
          </w:p>
        </w:tc>
        <w:tc>
          <w:tcPr>
            <w:tcW w:w="1890" w:type="dxa"/>
            <w:vAlign w:val="center"/>
          </w:tcPr>
          <w:p>
            <w:pPr>
              <w:spacing w:line="500" w:lineRule="exact"/>
              <w:jc w:val="center"/>
              <w:rPr>
                <w:rFonts w:ascii="宋体" w:hAnsi="宋体" w:cs="宋体"/>
                <w:highlight w:val="none"/>
              </w:rPr>
            </w:pPr>
            <w:r>
              <w:rPr>
                <w:rFonts w:hint="eastAsia" w:ascii="宋体" w:hAnsi="宋体" w:cs="宋体"/>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highlight w:val="none"/>
              </w:rPr>
            </w:pPr>
          </w:p>
        </w:tc>
        <w:tc>
          <w:tcPr>
            <w:tcW w:w="1236" w:type="dxa"/>
          </w:tcPr>
          <w:p>
            <w:pPr>
              <w:spacing w:line="500" w:lineRule="exact"/>
              <w:ind w:firstLine="480"/>
              <w:rPr>
                <w:rFonts w:ascii="宋体" w:hAnsi="宋体" w:cs="宋体"/>
                <w:highlight w:val="none"/>
              </w:rPr>
            </w:pPr>
          </w:p>
        </w:tc>
        <w:tc>
          <w:tcPr>
            <w:tcW w:w="21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bl>
    <w:p>
      <w:pPr>
        <w:pStyle w:val="82"/>
        <w:ind w:firstLine="460"/>
        <w:rPr>
          <w:rFonts w:ascii="宋体" w:hAnsi="宋体" w:cs="宋体"/>
          <w:highlight w:val="none"/>
        </w:rPr>
      </w:pPr>
      <w:r>
        <w:rPr>
          <w:rFonts w:hint="eastAsia" w:ascii="宋体" w:hAnsi="宋体" w:cs="宋体"/>
          <w:highlight w:val="none"/>
        </w:rPr>
        <w:t>投标人名称（盖章）：</w:t>
      </w:r>
    </w:p>
    <w:p>
      <w:pPr>
        <w:pStyle w:val="82"/>
        <w:ind w:firstLine="460"/>
        <w:rPr>
          <w:rFonts w:ascii="宋体" w:hAnsi="宋体" w:cs="宋体"/>
          <w:highlight w:val="none"/>
        </w:rPr>
      </w:pPr>
    </w:p>
    <w:p>
      <w:pPr>
        <w:pStyle w:val="82"/>
        <w:ind w:firstLine="460"/>
        <w:rPr>
          <w:rFonts w:ascii="宋体" w:hAnsi="宋体" w:cs="宋体"/>
          <w:highlight w:val="none"/>
        </w:rPr>
      </w:pPr>
    </w:p>
    <w:p>
      <w:pPr>
        <w:pStyle w:val="82"/>
        <w:ind w:firstLine="460"/>
        <w:rPr>
          <w:rFonts w:ascii="宋体" w:hAnsi="宋体" w:cs="宋体"/>
          <w:highlight w:val="none"/>
        </w:rPr>
      </w:pPr>
    </w:p>
    <w:p>
      <w:pPr>
        <w:pStyle w:val="82"/>
        <w:ind w:firstLine="460"/>
        <w:rPr>
          <w:rFonts w:ascii="宋体" w:hAnsi="宋体" w:cs="宋体"/>
          <w:highlight w:val="none"/>
        </w:rPr>
      </w:pPr>
    </w:p>
    <w:p>
      <w:pPr>
        <w:pStyle w:val="82"/>
        <w:ind w:firstLine="460"/>
        <w:rPr>
          <w:rFonts w:ascii="宋体" w:hAnsi="宋体" w:cs="宋体"/>
          <w:highlight w:val="none"/>
        </w:rPr>
      </w:pPr>
      <w:r>
        <w:rPr>
          <w:rFonts w:hint="eastAsia" w:ascii="宋体" w:hAnsi="宋体" w:cs="宋体"/>
          <w:highlight w:val="none"/>
        </w:rPr>
        <w:t>日期：</w:t>
      </w:r>
    </w:p>
    <w:p>
      <w:pPr>
        <w:pStyle w:val="15"/>
        <w:rPr>
          <w:rFonts w:hAnsi="宋体" w:cs="宋体"/>
          <w:highlight w:val="none"/>
        </w:rPr>
      </w:pPr>
    </w:p>
    <w:p>
      <w:pPr>
        <w:pStyle w:val="83"/>
        <w:rPr>
          <w:rFonts w:ascii="宋体" w:hAnsi="宋体" w:cs="宋体"/>
          <w:highlight w:val="none"/>
        </w:rPr>
      </w:pPr>
    </w:p>
    <w:p>
      <w:pPr>
        <w:pStyle w:val="83"/>
        <w:rPr>
          <w:rFonts w:ascii="宋体" w:hAnsi="宋体" w:cs="宋体"/>
          <w:highlight w:val="none"/>
        </w:rPr>
      </w:pPr>
    </w:p>
    <w:p>
      <w:pPr>
        <w:spacing w:line="500" w:lineRule="exact"/>
        <w:ind w:firstLine="480"/>
        <w:rPr>
          <w:rFonts w:ascii="宋体" w:hAnsi="宋体" w:cs="宋体"/>
          <w:highlight w:val="none"/>
        </w:rPr>
      </w:pPr>
    </w:p>
    <w:p>
      <w:pPr>
        <w:spacing w:line="500" w:lineRule="exact"/>
        <w:ind w:firstLine="480"/>
        <w:rPr>
          <w:rFonts w:ascii="宋体" w:hAnsi="宋体" w:cs="宋体"/>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400" w:lineRule="exact"/>
        <w:ind w:firstLine="482"/>
        <w:jc w:val="center"/>
        <w:rPr>
          <w:rFonts w:ascii="宋体" w:hAnsi="宋体" w:cs="宋体"/>
          <w:b/>
          <w:kern w:val="0"/>
          <w:sz w:val="32"/>
          <w:szCs w:val="32"/>
          <w:highlight w:val="none"/>
        </w:rPr>
      </w:pPr>
      <w:r>
        <w:rPr>
          <w:rFonts w:hint="eastAsia" w:ascii="宋体" w:hAnsi="宋体" w:cs="宋体"/>
          <w:b/>
          <w:kern w:val="0"/>
          <w:sz w:val="32"/>
          <w:szCs w:val="32"/>
          <w:highlight w:val="none"/>
        </w:rPr>
        <w:t>七、商务条款偏离表</w:t>
      </w:r>
    </w:p>
    <w:p>
      <w:pPr>
        <w:ind w:firstLine="560"/>
        <w:jc w:val="center"/>
        <w:rPr>
          <w:rFonts w:ascii="宋体" w:hAnsi="宋体" w:cs="宋体"/>
          <w:sz w:val="28"/>
          <w:highlight w:val="none"/>
        </w:rPr>
      </w:pPr>
    </w:p>
    <w:p>
      <w:pPr>
        <w:spacing w:line="400" w:lineRule="exact"/>
        <w:ind w:firstLine="480"/>
        <w:rPr>
          <w:rFonts w:ascii="宋体" w:hAnsi="宋体" w:cs="宋体"/>
          <w:highlight w:val="none"/>
        </w:rPr>
      </w:pPr>
      <w:r>
        <w:rPr>
          <w:rFonts w:hint="eastAsia" w:ascii="宋体" w:hAnsi="宋体" w:cs="宋体"/>
          <w:highlight w:val="none"/>
        </w:rPr>
        <w:t xml:space="preserve">项目名称：                   项目编号：               </w:t>
      </w:r>
    </w:p>
    <w:tbl>
      <w:tblPr>
        <w:tblStyle w:val="73"/>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ascii="宋体" w:hAnsi="宋体" w:cs="宋体"/>
                <w:highlight w:val="none"/>
              </w:rPr>
            </w:pPr>
            <w:r>
              <w:rPr>
                <w:rFonts w:hint="eastAsia" w:ascii="宋体" w:hAnsi="宋体" w:cs="宋体"/>
                <w:highlight w:val="none"/>
              </w:rPr>
              <w:t>序号</w:t>
            </w:r>
          </w:p>
        </w:tc>
        <w:tc>
          <w:tcPr>
            <w:tcW w:w="2700" w:type="dxa"/>
            <w:vAlign w:val="center"/>
          </w:tcPr>
          <w:p>
            <w:pPr>
              <w:spacing w:line="500" w:lineRule="exact"/>
              <w:jc w:val="center"/>
              <w:rPr>
                <w:rFonts w:ascii="宋体" w:hAnsi="宋体" w:cs="宋体"/>
                <w:highlight w:val="none"/>
              </w:rPr>
            </w:pPr>
            <w:r>
              <w:rPr>
                <w:rFonts w:hint="eastAsia" w:ascii="宋体" w:hAnsi="宋体" w:cs="宋体"/>
                <w:highlight w:val="none"/>
              </w:rPr>
              <w:t>招标要求</w:t>
            </w:r>
          </w:p>
        </w:tc>
        <w:tc>
          <w:tcPr>
            <w:tcW w:w="2625" w:type="dxa"/>
            <w:vAlign w:val="center"/>
          </w:tcPr>
          <w:p>
            <w:pPr>
              <w:spacing w:line="500" w:lineRule="exact"/>
              <w:jc w:val="center"/>
              <w:rPr>
                <w:rFonts w:ascii="宋体" w:hAnsi="宋体" w:cs="宋体"/>
                <w:highlight w:val="none"/>
              </w:rPr>
            </w:pPr>
            <w:r>
              <w:rPr>
                <w:rFonts w:hint="eastAsia" w:ascii="宋体" w:hAnsi="宋体" w:cs="宋体"/>
                <w:highlight w:val="none"/>
              </w:rPr>
              <w:t xml:space="preserve">  投标响应</w:t>
            </w:r>
          </w:p>
        </w:tc>
        <w:tc>
          <w:tcPr>
            <w:tcW w:w="1890" w:type="dxa"/>
            <w:vAlign w:val="center"/>
          </w:tcPr>
          <w:p>
            <w:pPr>
              <w:spacing w:line="500" w:lineRule="exact"/>
              <w:jc w:val="center"/>
              <w:rPr>
                <w:rFonts w:ascii="宋体" w:hAnsi="宋体" w:cs="宋体"/>
                <w:highlight w:val="none"/>
              </w:rPr>
            </w:pPr>
            <w:r>
              <w:rPr>
                <w:rFonts w:hint="eastAsia" w:ascii="宋体" w:hAnsi="宋体" w:cs="宋体"/>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highlight w:val="none"/>
              </w:rPr>
            </w:pPr>
          </w:p>
        </w:tc>
        <w:tc>
          <w:tcPr>
            <w:tcW w:w="2700" w:type="dxa"/>
          </w:tcPr>
          <w:p>
            <w:pPr>
              <w:spacing w:line="500" w:lineRule="exact"/>
              <w:ind w:firstLine="480"/>
              <w:rPr>
                <w:rFonts w:ascii="宋体" w:hAnsi="宋体" w:cs="宋体"/>
                <w:highlight w:val="none"/>
              </w:rPr>
            </w:pPr>
          </w:p>
        </w:tc>
        <w:tc>
          <w:tcPr>
            <w:tcW w:w="2625" w:type="dxa"/>
          </w:tcPr>
          <w:p>
            <w:pPr>
              <w:spacing w:line="500" w:lineRule="exact"/>
              <w:ind w:firstLine="480"/>
              <w:rPr>
                <w:rFonts w:ascii="宋体" w:hAnsi="宋体" w:cs="宋体"/>
                <w:highlight w:val="none"/>
              </w:rPr>
            </w:pPr>
          </w:p>
        </w:tc>
        <w:tc>
          <w:tcPr>
            <w:tcW w:w="1890" w:type="dxa"/>
          </w:tcPr>
          <w:p>
            <w:pPr>
              <w:spacing w:line="500" w:lineRule="exact"/>
              <w:ind w:firstLine="480"/>
              <w:rPr>
                <w:rFonts w:ascii="宋体" w:hAnsi="宋体" w:cs="宋体"/>
                <w:highlight w:val="none"/>
              </w:rPr>
            </w:pPr>
          </w:p>
        </w:tc>
      </w:tr>
    </w:tbl>
    <w:p>
      <w:pPr>
        <w:pStyle w:val="82"/>
        <w:ind w:firstLine="460"/>
        <w:rPr>
          <w:rFonts w:ascii="宋体" w:hAnsi="宋体" w:cs="宋体"/>
          <w:highlight w:val="none"/>
        </w:rPr>
      </w:pPr>
      <w:r>
        <w:rPr>
          <w:rFonts w:hint="eastAsia" w:ascii="宋体" w:hAnsi="宋体" w:cs="宋体"/>
          <w:highlight w:val="none"/>
        </w:rPr>
        <w:t>投标人名称（盖章）：</w:t>
      </w:r>
    </w:p>
    <w:p>
      <w:pPr>
        <w:pStyle w:val="82"/>
        <w:ind w:firstLine="460"/>
        <w:rPr>
          <w:rFonts w:ascii="宋体" w:hAnsi="宋体" w:cs="宋体"/>
          <w:highlight w:val="none"/>
        </w:rPr>
      </w:pPr>
    </w:p>
    <w:p>
      <w:pPr>
        <w:pStyle w:val="82"/>
        <w:ind w:firstLine="460"/>
        <w:rPr>
          <w:rFonts w:ascii="宋体" w:hAnsi="宋体" w:cs="宋体"/>
          <w:highlight w:val="none"/>
        </w:rPr>
      </w:pPr>
    </w:p>
    <w:p>
      <w:pPr>
        <w:pStyle w:val="82"/>
        <w:ind w:firstLine="460"/>
        <w:rPr>
          <w:rFonts w:ascii="宋体" w:hAnsi="宋体" w:cs="宋体"/>
          <w:highlight w:val="none"/>
        </w:rPr>
      </w:pPr>
    </w:p>
    <w:p>
      <w:pPr>
        <w:pStyle w:val="82"/>
        <w:ind w:firstLine="460"/>
        <w:rPr>
          <w:rFonts w:ascii="宋体" w:hAnsi="宋体" w:cs="宋体"/>
          <w:highlight w:val="none"/>
        </w:rPr>
      </w:pPr>
    </w:p>
    <w:p>
      <w:pPr>
        <w:pStyle w:val="82"/>
        <w:ind w:firstLine="460"/>
        <w:rPr>
          <w:rFonts w:ascii="宋体" w:hAnsi="宋体" w:cs="宋体"/>
          <w:highlight w:val="none"/>
        </w:rPr>
      </w:pPr>
      <w:r>
        <w:rPr>
          <w:rFonts w:hint="eastAsia" w:ascii="宋体" w:hAnsi="宋体" w:cs="宋体"/>
          <w:highlight w:val="none"/>
        </w:rPr>
        <w:t>日期：</w:t>
      </w:r>
    </w:p>
    <w:p>
      <w:pPr>
        <w:pStyle w:val="15"/>
        <w:rPr>
          <w:rFonts w:hAnsi="宋体" w:cs="宋体"/>
          <w:highlight w:val="none"/>
        </w:rPr>
      </w:pPr>
    </w:p>
    <w:p>
      <w:pPr>
        <w:spacing w:line="500" w:lineRule="exact"/>
        <w:ind w:firstLine="480"/>
        <w:rPr>
          <w:rFonts w:ascii="宋体" w:hAnsi="宋体" w:cs="宋体"/>
          <w:highlight w:val="none"/>
        </w:rPr>
      </w:pPr>
    </w:p>
    <w:p>
      <w:pPr>
        <w:ind w:firstLine="482"/>
        <w:jc w:val="center"/>
        <w:rPr>
          <w:rFonts w:ascii="宋体" w:hAnsi="宋体" w:cs="宋体"/>
          <w:b/>
          <w:kern w:val="0"/>
          <w:sz w:val="32"/>
          <w:szCs w:val="32"/>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ind w:firstLine="482"/>
        <w:jc w:val="center"/>
        <w:rPr>
          <w:rFonts w:ascii="宋体" w:hAnsi="宋体" w:cs="宋体"/>
          <w:b/>
          <w:kern w:val="0"/>
          <w:sz w:val="32"/>
          <w:szCs w:val="32"/>
          <w:highlight w:val="none"/>
        </w:rPr>
      </w:pPr>
      <w:r>
        <w:rPr>
          <w:rFonts w:hint="eastAsia" w:ascii="宋体" w:hAnsi="宋体" w:cs="宋体"/>
          <w:b/>
          <w:kern w:val="0"/>
          <w:sz w:val="32"/>
          <w:szCs w:val="32"/>
          <w:highlight w:val="none"/>
        </w:rPr>
        <w:t>八、完成的类似项目一览表</w:t>
      </w:r>
    </w:p>
    <w:p>
      <w:pPr>
        <w:spacing w:line="200" w:lineRule="atLeast"/>
        <w:ind w:left="-720" w:right="-965" w:firstLine="763"/>
        <w:jc w:val="center"/>
        <w:rPr>
          <w:rFonts w:ascii="宋体" w:hAnsi="宋体" w:cs="宋体"/>
          <w:b/>
          <w:bCs/>
          <w:spacing w:val="30"/>
          <w:sz w:val="32"/>
          <w:highlight w:val="none"/>
        </w:rPr>
      </w:pPr>
    </w:p>
    <w:p>
      <w:pPr>
        <w:ind w:firstLine="840" w:firstLineChars="400"/>
        <w:rPr>
          <w:rFonts w:ascii="宋体" w:hAnsi="宋体" w:cs="宋体"/>
          <w:b/>
          <w:bCs/>
          <w:highlight w:val="none"/>
          <w:lang w:val="zh-CN"/>
        </w:rPr>
      </w:pPr>
      <w:r>
        <w:rPr>
          <w:rFonts w:hint="eastAsia" w:ascii="宋体" w:hAnsi="宋体" w:cs="宋体"/>
          <w:highlight w:val="none"/>
        </w:rPr>
        <w:t xml:space="preserve">项目名称：                   项目编号：              </w:t>
      </w:r>
    </w:p>
    <w:tbl>
      <w:tblPr>
        <w:tblStyle w:val="73"/>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lang w:val="zh-CN"/>
              </w:rPr>
            </w:pPr>
            <w:r>
              <w:rPr>
                <w:rFonts w:hint="eastAsia" w:ascii="宋体" w:hAnsi="宋体" w:cs="宋体"/>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lang w:val="zh-CN"/>
              </w:rPr>
            </w:pPr>
            <w:r>
              <w:rPr>
                <w:rFonts w:hint="eastAsia" w:ascii="宋体" w:hAnsi="宋体" w:cs="宋体"/>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lang w:val="zh-CN"/>
              </w:rPr>
            </w:pPr>
            <w:r>
              <w:rPr>
                <w:rFonts w:hint="eastAsia" w:ascii="宋体" w:hAnsi="宋体" w:cs="宋体"/>
                <w:highlight w:val="none"/>
                <w:lang w:val="zh-CN"/>
              </w:rPr>
              <w:t>项目时间</w:t>
            </w:r>
          </w:p>
          <w:p>
            <w:pPr>
              <w:jc w:val="center"/>
              <w:rPr>
                <w:rFonts w:ascii="宋体" w:hAnsi="宋体" w:cs="宋体"/>
                <w:highlight w:val="none"/>
                <w:lang w:val="zh-CN"/>
              </w:rPr>
            </w:pPr>
            <w:r>
              <w:rPr>
                <w:rFonts w:hint="eastAsia" w:ascii="宋体" w:hAnsi="宋体" w:cs="宋体"/>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lang w:val="zh-CN"/>
              </w:rPr>
            </w:pPr>
            <w:r>
              <w:rPr>
                <w:rFonts w:hint="eastAsia" w:ascii="宋体" w:hAnsi="宋体" w:cs="宋体"/>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lang w:val="zh-CN"/>
              </w:rPr>
            </w:pPr>
            <w:r>
              <w:rPr>
                <w:rFonts w:hint="eastAsia" w:ascii="宋体" w:hAnsi="宋体" w:cs="宋体"/>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lang w:val="zh-CN"/>
              </w:rPr>
            </w:pPr>
            <w:r>
              <w:rPr>
                <w:rFonts w:hint="eastAsia" w:ascii="宋体" w:hAnsi="宋体" w:cs="宋体"/>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r>
              <w:rPr>
                <w:rFonts w:hint="eastAsia" w:ascii="宋体" w:hAnsi="宋体" w:cs="宋体"/>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r>
              <w:rPr>
                <w:rFonts w:hint="eastAsia" w:ascii="宋体" w:hAnsi="宋体" w:cs="宋体"/>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r>
              <w:rPr>
                <w:rFonts w:hint="eastAsia" w:ascii="宋体" w:hAnsi="宋体" w:cs="宋体"/>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r>
              <w:rPr>
                <w:rFonts w:hint="eastAsia" w:ascii="宋体" w:hAnsi="宋体" w:cs="宋体"/>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r>
              <w:rPr>
                <w:rFonts w:hint="eastAsia" w:ascii="宋体" w:hAnsi="宋体" w:cs="宋体"/>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r>
              <w:rPr>
                <w:rFonts w:hint="eastAsia" w:ascii="宋体" w:hAnsi="宋体" w:cs="宋体"/>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r>
              <w:rPr>
                <w:rFonts w:hint="eastAsia" w:ascii="宋体" w:hAnsi="宋体" w:cs="宋体"/>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ascii="宋体" w:hAnsi="宋体" w:cs="宋体"/>
                <w:highlight w:val="none"/>
                <w:lang w:val="zh-CN"/>
              </w:rPr>
            </w:pPr>
          </w:p>
        </w:tc>
      </w:tr>
    </w:tbl>
    <w:p>
      <w:pPr>
        <w:pStyle w:val="82"/>
        <w:ind w:firstLine="460"/>
        <w:rPr>
          <w:rFonts w:ascii="宋体" w:hAnsi="宋体" w:cs="宋体"/>
          <w:highlight w:val="none"/>
        </w:rPr>
      </w:pPr>
      <w:r>
        <w:rPr>
          <w:rFonts w:hint="eastAsia" w:ascii="宋体" w:hAnsi="宋体" w:cs="宋体"/>
          <w:highlight w:val="none"/>
        </w:rPr>
        <w:t>投标人名称（盖章）：</w:t>
      </w:r>
    </w:p>
    <w:p>
      <w:pPr>
        <w:pStyle w:val="82"/>
        <w:ind w:firstLine="460"/>
        <w:rPr>
          <w:rFonts w:ascii="宋体" w:hAnsi="宋体" w:cs="宋体"/>
          <w:highlight w:val="none"/>
        </w:rPr>
      </w:pPr>
    </w:p>
    <w:p>
      <w:pPr>
        <w:pStyle w:val="82"/>
        <w:ind w:firstLine="460"/>
        <w:rPr>
          <w:rFonts w:ascii="宋体" w:hAnsi="宋体" w:cs="宋体"/>
          <w:highlight w:val="none"/>
        </w:rPr>
      </w:pPr>
    </w:p>
    <w:p>
      <w:pPr>
        <w:pStyle w:val="82"/>
        <w:ind w:firstLine="460"/>
        <w:rPr>
          <w:rFonts w:ascii="宋体" w:hAnsi="宋体" w:cs="宋体"/>
          <w:highlight w:val="none"/>
        </w:rPr>
      </w:pPr>
    </w:p>
    <w:p>
      <w:pPr>
        <w:pStyle w:val="82"/>
        <w:ind w:firstLine="460"/>
        <w:rPr>
          <w:rFonts w:ascii="宋体" w:hAnsi="宋体" w:cs="宋体"/>
          <w:highlight w:val="none"/>
        </w:rPr>
      </w:pPr>
    </w:p>
    <w:p>
      <w:pPr>
        <w:pStyle w:val="82"/>
        <w:ind w:firstLine="460"/>
        <w:rPr>
          <w:rFonts w:ascii="宋体" w:hAnsi="宋体" w:cs="宋体"/>
          <w:highlight w:val="none"/>
        </w:rPr>
      </w:pPr>
      <w:r>
        <w:rPr>
          <w:rFonts w:hint="eastAsia" w:ascii="宋体" w:hAnsi="宋体" w:cs="宋体"/>
          <w:highlight w:val="none"/>
        </w:rPr>
        <w:t>日期：</w:t>
      </w:r>
    </w:p>
    <w:p>
      <w:pPr>
        <w:pStyle w:val="15"/>
        <w:rPr>
          <w:rFonts w:hAnsi="宋体" w:cs="宋体"/>
          <w:i/>
          <w:iCs/>
          <w:szCs w:val="24"/>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rPr>
        <w:t>九、</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投标人名称(盖章)：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6" w:h="16838"/>
          <w:pgMar w:top="1247" w:right="1304" w:bottom="1020" w:left="1304" w:header="720" w:footer="720" w:gutter="0"/>
          <w:cols w:space="0" w:num="1"/>
          <w:docGrid w:linePitch="312" w:charSpace="0"/>
        </w:sect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rPr>
        <w:t>十、</w:t>
      </w:r>
      <w:r>
        <w:rPr>
          <w:rFonts w:hint="eastAsia" w:ascii="宋体" w:hAnsi="宋体" w:cs="宋体"/>
          <w:b/>
          <w:kern w:val="0"/>
          <w:sz w:val="32"/>
          <w:szCs w:val="32"/>
          <w:highlight w:val="none"/>
          <w:lang w:val="zh-CN"/>
        </w:rPr>
        <w:t>缴纳采购代理服务费承诺书</w:t>
      </w:r>
    </w:p>
    <w:p>
      <w:pPr>
        <w:pStyle w:val="322"/>
        <w:spacing w:line="360" w:lineRule="auto"/>
        <w:ind w:firstLine="562"/>
        <w:jc w:val="center"/>
        <w:rPr>
          <w:rFonts w:ascii="仿宋_GB2312" w:hAnsi="仿宋_GB2312" w:eastAsia="仿宋_GB2312" w:cs="仿宋_GB2312"/>
          <w:b/>
          <w:bCs/>
          <w:sz w:val="28"/>
          <w:szCs w:val="28"/>
          <w:highlight w:val="none"/>
        </w:rPr>
      </w:pPr>
    </w:p>
    <w:p>
      <w:pPr>
        <w:spacing w:line="360" w:lineRule="auto"/>
        <w:rPr>
          <w:rFonts w:ascii="宋体" w:hAnsi="宋体" w:cs="宋体"/>
          <w:sz w:val="24"/>
          <w:highlight w:val="none"/>
        </w:rPr>
      </w:pPr>
      <w:r>
        <w:rPr>
          <w:rFonts w:hint="eastAsia" w:ascii="宋体" w:hAnsi="宋体" w:cs="宋体"/>
          <w:sz w:val="24"/>
          <w:highlight w:val="none"/>
          <w:u w:val="single"/>
        </w:rPr>
        <w:t>浙江致信招标代理有限公司</w:t>
      </w:r>
      <w:r>
        <w:rPr>
          <w:rFonts w:hint="eastAsia" w:ascii="宋体" w:hAnsi="宋体" w:cs="宋体"/>
          <w:sz w:val="24"/>
          <w:highlight w:val="none"/>
        </w:rPr>
        <w:t>：</w:t>
      </w:r>
    </w:p>
    <w:p>
      <w:pPr>
        <w:spacing w:line="360" w:lineRule="auto"/>
        <w:ind w:firstLine="440"/>
        <w:rPr>
          <w:rFonts w:ascii="宋体" w:hAnsi="宋体" w:cs="宋体"/>
          <w:sz w:val="24"/>
          <w:highlight w:val="none"/>
        </w:rPr>
      </w:pPr>
      <w:r>
        <w:rPr>
          <w:rFonts w:hint="eastAsia" w:ascii="宋体" w:hAnsi="宋体" w:cs="宋体"/>
          <w:sz w:val="24"/>
          <w:highlight w:val="none"/>
        </w:rPr>
        <w:t>我方在你公司组织的</w:t>
      </w:r>
      <w:r>
        <w:rPr>
          <w:rFonts w:hint="eastAsia" w:ascii="宋体" w:hAnsi="宋体" w:cs="宋体"/>
          <w:sz w:val="24"/>
          <w:highlight w:val="none"/>
          <w:u w:val="single"/>
        </w:rPr>
        <w:t>【项目名称】（项目编号）</w:t>
      </w:r>
      <w:r>
        <w:rPr>
          <w:rFonts w:hint="eastAsia" w:ascii="宋体" w:hAnsi="宋体" w:cs="宋体"/>
          <w:sz w:val="24"/>
          <w:highlight w:val="none"/>
        </w:rPr>
        <w:t>的采购活动中若获成交，我方保证于中标后[5个工作日内]，按采购文件</w:t>
      </w:r>
      <w:r>
        <w:rPr>
          <w:rFonts w:hint="eastAsia" w:ascii="宋体" w:hAnsi="宋体" w:cs="宋体"/>
          <w:b/>
          <w:sz w:val="24"/>
          <w:highlight w:val="none"/>
        </w:rPr>
        <w:t>“投标人须知前附表”</w:t>
      </w:r>
      <w:r>
        <w:rPr>
          <w:rFonts w:hint="eastAsia" w:ascii="宋体" w:hAnsi="宋体" w:cs="宋体"/>
          <w:sz w:val="24"/>
          <w:highlight w:val="none"/>
        </w:rPr>
        <w:t>规定的采购代理服务费缴纳标准及方式，向你公司支付采购代理服务费。</w:t>
      </w:r>
    </w:p>
    <w:p>
      <w:pPr>
        <w:spacing w:line="360" w:lineRule="auto"/>
        <w:ind w:firstLine="440"/>
        <w:rPr>
          <w:rFonts w:ascii="宋体" w:hAnsi="宋体" w:cs="宋体"/>
          <w:sz w:val="24"/>
          <w:highlight w:val="none"/>
        </w:rPr>
      </w:pPr>
      <w:r>
        <w:rPr>
          <w:rFonts w:hint="eastAsia" w:ascii="宋体" w:hAnsi="宋体" w:cs="宋体"/>
          <w:sz w:val="24"/>
          <w:highlight w:val="none"/>
        </w:rPr>
        <w:t>我方理解并承诺，若未能按时缴纳采购代理服务费，由此产生的法律责任我方自行承担。我方承诺，本承诺书一旦盖章，即具有法律效力。</w:t>
      </w:r>
    </w:p>
    <w:p>
      <w:pPr>
        <w:pStyle w:val="322"/>
        <w:spacing w:line="360" w:lineRule="auto"/>
        <w:ind w:firstLine="440"/>
        <w:rPr>
          <w:rFonts w:hAnsi="宋体" w:cs="宋体"/>
          <w:sz w:val="24"/>
          <w:szCs w:val="24"/>
          <w:highlight w:val="none"/>
        </w:rPr>
      </w:pPr>
      <w:r>
        <w:rPr>
          <w:rFonts w:hint="eastAsia" w:hAnsi="宋体" w:cs="宋体"/>
          <w:sz w:val="24"/>
          <w:szCs w:val="24"/>
          <w:highlight w:val="none"/>
        </w:rPr>
        <w:t>特此承诺。</w:t>
      </w:r>
    </w:p>
    <w:p>
      <w:pPr>
        <w:pStyle w:val="322"/>
        <w:spacing w:line="360" w:lineRule="auto"/>
        <w:ind w:firstLine="440"/>
        <w:rPr>
          <w:rFonts w:hAnsi="宋体" w:cs="宋体"/>
          <w:sz w:val="24"/>
          <w:szCs w:val="24"/>
          <w:highlight w:val="none"/>
        </w:rPr>
      </w:pPr>
      <w:r>
        <w:rPr>
          <w:rFonts w:hint="eastAsia" w:hAnsi="宋体" w:cs="宋体"/>
          <w:sz w:val="24"/>
          <w:szCs w:val="24"/>
          <w:highlight w:val="none"/>
        </w:rPr>
        <w:t>投标人全称（盖单位公章）：</w:t>
      </w:r>
    </w:p>
    <w:p>
      <w:pPr>
        <w:pStyle w:val="322"/>
        <w:spacing w:line="360" w:lineRule="auto"/>
        <w:ind w:firstLine="440"/>
        <w:rPr>
          <w:rFonts w:hAnsi="宋体" w:cs="宋体"/>
          <w:sz w:val="24"/>
          <w:szCs w:val="24"/>
          <w:highlight w:val="none"/>
          <w:u w:val="single"/>
        </w:rPr>
      </w:pPr>
      <w:r>
        <w:rPr>
          <w:rFonts w:hint="eastAsia" w:hAnsi="宋体" w:cs="宋体"/>
          <w:sz w:val="24"/>
          <w:szCs w:val="24"/>
          <w:highlight w:val="none"/>
        </w:rPr>
        <w:t>日期：</w:t>
      </w:r>
      <w:r>
        <w:rPr>
          <w:rFonts w:hint="eastAsia" w:hAnsi="宋体" w:cs="宋体"/>
          <w:sz w:val="24"/>
          <w:szCs w:val="24"/>
          <w:highlight w:val="none"/>
          <w:u w:val="single"/>
        </w:rPr>
        <w:t xml:space="preserve">   年  月  日</w:t>
      </w:r>
    </w:p>
    <w:p>
      <w:pPr>
        <w:spacing w:line="360" w:lineRule="auto"/>
        <w:ind w:right="420"/>
        <w:rPr>
          <w:rFonts w:ascii="宋体" w:hAnsi="宋体" w:cs="宋体"/>
          <w:sz w:val="24"/>
          <w:highlight w:val="none"/>
        </w:rPr>
      </w:pPr>
    </w:p>
    <w:p>
      <w:pPr>
        <w:spacing w:line="360" w:lineRule="auto"/>
        <w:jc w:val="center"/>
        <w:rPr>
          <w:rFonts w:ascii="宋体" w:hAnsi="宋体" w:cs="宋体"/>
          <w:b/>
          <w:bCs/>
          <w:sz w:val="24"/>
          <w:highlight w:val="none"/>
        </w:rPr>
        <w:sectPr>
          <w:pgSz w:w="11906" w:h="16838"/>
          <w:pgMar w:top="1247" w:right="1304" w:bottom="1020" w:left="1304" w:header="720" w:footer="720" w:gutter="0"/>
          <w:cols w:space="0" w:num="1"/>
          <w:docGrid w:linePitch="312" w:charSpace="0"/>
        </w:sectPr>
      </w:pPr>
    </w:p>
    <w:p>
      <w:pPr>
        <w:spacing w:line="360" w:lineRule="auto"/>
        <w:jc w:val="center"/>
        <w:outlineLvl w:val="0"/>
        <w:rPr>
          <w:rFonts w:ascii="宋体" w:hAnsi="宋体" w:cs="宋体"/>
          <w:b/>
          <w:kern w:val="0"/>
          <w:sz w:val="36"/>
          <w:szCs w:val="36"/>
          <w:highlight w:val="none"/>
        </w:rPr>
      </w:pPr>
      <w:bookmarkStart w:id="437" w:name="_Toc19200"/>
      <w:r>
        <w:rPr>
          <w:rFonts w:hint="eastAsia" w:ascii="宋体" w:hAnsi="宋体" w:cs="宋体"/>
          <w:b/>
          <w:kern w:val="0"/>
          <w:sz w:val="36"/>
          <w:szCs w:val="36"/>
          <w:highlight w:val="none"/>
        </w:rPr>
        <w:t>报价文件部分</w:t>
      </w:r>
      <w:bookmarkEnd w:id="437"/>
    </w:p>
    <w:p>
      <w:pPr>
        <w:spacing w:line="360" w:lineRule="auto"/>
        <w:jc w:val="center"/>
        <w:outlineLvl w:val="0"/>
        <w:rPr>
          <w:rFonts w:ascii="宋体" w:hAnsi="宋体" w:cs="宋体"/>
          <w:b/>
          <w:kern w:val="0"/>
          <w:sz w:val="36"/>
          <w:szCs w:val="36"/>
          <w:highlight w:val="none"/>
        </w:rPr>
      </w:pPr>
      <w:bookmarkStart w:id="438" w:name="_Toc32000"/>
      <w:r>
        <w:rPr>
          <w:rFonts w:hint="eastAsia" w:ascii="宋体" w:hAnsi="宋体" w:cs="宋体"/>
          <w:b/>
          <w:kern w:val="0"/>
          <w:sz w:val="36"/>
          <w:szCs w:val="36"/>
          <w:highlight w:val="none"/>
        </w:rPr>
        <w:t>目录</w:t>
      </w:r>
      <w:bookmarkEnd w:id="438"/>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pStyle w:val="725"/>
        <w:spacing w:line="360" w:lineRule="auto"/>
        <w:ind w:firstLine="0"/>
        <w:rPr>
          <w:rFonts w:cs="宋体"/>
          <w:highlight w:val="none"/>
        </w:rPr>
      </w:pPr>
      <w:r>
        <w:rPr>
          <w:rFonts w:hint="eastAsia" w:cs="宋体"/>
          <w:highlight w:val="none"/>
        </w:rPr>
        <w:t>（2）投标人针对报价需要说明的其他文件和说明…………………………………（页码）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3" w:type="first"/>
          <w:footerReference r:id="rId15" w:type="first"/>
          <w:headerReference r:id="rId12" w:type="default"/>
          <w:footerReference r:id="rId14" w:type="default"/>
          <w:pgSz w:w="11906" w:h="16838"/>
          <w:pgMar w:top="1247" w:right="1304" w:bottom="1020" w:left="1304" w:header="720" w:footer="720" w:gutter="0"/>
          <w:cols w:space="0" w:num="1"/>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bookmarkStart w:id="439" w:name="_Toc29590"/>
      <w:r>
        <w:rPr>
          <w:rFonts w:hint="eastAsia" w:ascii="宋体" w:hAnsi="宋体" w:eastAsia="宋体" w:cs="宋体"/>
          <w:kern w:val="2"/>
          <w:sz w:val="32"/>
          <w:szCs w:val="32"/>
          <w:highlight w:val="none"/>
        </w:rPr>
        <w:t>一、开标一览表（报价表）</w:t>
      </w:r>
      <w:bookmarkEnd w:id="439"/>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73"/>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cs="宋体"/>
                <w:highlight w:val="none"/>
              </w:rPr>
            </w:pPr>
            <w:r>
              <w:rPr>
                <w:rFonts w:hint="eastAsia" w:cs="宋体"/>
                <w:highlight w:val="none"/>
              </w:rPr>
              <w:t>标项号</w:t>
            </w:r>
          </w:p>
        </w:tc>
        <w:tc>
          <w:tcPr>
            <w:tcW w:w="3247" w:type="dxa"/>
            <w:vAlign w:val="center"/>
          </w:tcPr>
          <w:p>
            <w:pPr>
              <w:jc w:val="center"/>
              <w:rPr>
                <w:rFonts w:cs="宋体"/>
                <w:highlight w:val="none"/>
              </w:rPr>
            </w:pPr>
            <w:r>
              <w:rPr>
                <w:rFonts w:hint="eastAsia" w:cs="宋体"/>
                <w:highlight w:val="none"/>
              </w:rPr>
              <w:t>项目名称</w:t>
            </w:r>
          </w:p>
        </w:tc>
        <w:tc>
          <w:tcPr>
            <w:tcW w:w="5213" w:type="dxa"/>
            <w:vAlign w:val="center"/>
          </w:tcPr>
          <w:p>
            <w:pPr>
              <w:jc w:val="center"/>
              <w:rPr>
                <w:rFonts w:cs="宋体"/>
                <w:highlight w:val="none"/>
              </w:rPr>
            </w:pPr>
            <w:r>
              <w:rPr>
                <w:rFonts w:hint="eastAsia" w:cs="宋体"/>
                <w:highlight w:val="none"/>
              </w:rPr>
              <w:t>投标总价</w:t>
            </w:r>
          </w:p>
          <w:p>
            <w:pPr>
              <w:jc w:val="center"/>
              <w:rPr>
                <w:rFonts w:cs="宋体"/>
                <w:highlight w:val="none"/>
              </w:rPr>
            </w:pPr>
            <w:r>
              <w:rPr>
                <w:rFonts w:hint="eastAsia" w:cs="宋体"/>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cs="宋体"/>
                <w:highlight w:val="none"/>
              </w:rPr>
            </w:pPr>
          </w:p>
        </w:tc>
        <w:tc>
          <w:tcPr>
            <w:tcW w:w="3247" w:type="dxa"/>
            <w:vAlign w:val="center"/>
          </w:tcPr>
          <w:p>
            <w:pPr>
              <w:jc w:val="center"/>
              <w:rPr>
                <w:rFonts w:cs="宋体"/>
                <w:highlight w:val="none"/>
              </w:rPr>
            </w:pPr>
          </w:p>
        </w:tc>
        <w:tc>
          <w:tcPr>
            <w:tcW w:w="5213" w:type="dxa"/>
            <w:vAlign w:val="center"/>
          </w:tcPr>
          <w:p>
            <w:pPr>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cs="宋体"/>
                <w:highlight w:val="none"/>
              </w:rPr>
            </w:pPr>
            <w:r>
              <w:rPr>
                <w:rFonts w:hint="eastAsia" w:cs="宋体"/>
                <w:highlight w:val="none"/>
              </w:rPr>
              <w:t>投</w:t>
            </w:r>
          </w:p>
          <w:p>
            <w:pPr>
              <w:jc w:val="center"/>
              <w:rPr>
                <w:rFonts w:cs="宋体"/>
                <w:highlight w:val="none"/>
              </w:rPr>
            </w:pPr>
            <w:r>
              <w:rPr>
                <w:rFonts w:hint="eastAsia" w:cs="宋体"/>
                <w:highlight w:val="none"/>
              </w:rPr>
              <w:t>标</w:t>
            </w:r>
          </w:p>
          <w:p>
            <w:pPr>
              <w:jc w:val="center"/>
              <w:rPr>
                <w:rFonts w:cs="宋体"/>
                <w:highlight w:val="none"/>
              </w:rPr>
            </w:pPr>
            <w:r>
              <w:rPr>
                <w:rFonts w:hint="eastAsia" w:cs="宋体"/>
                <w:highlight w:val="none"/>
              </w:rPr>
              <w:t>人</w:t>
            </w:r>
          </w:p>
          <w:p>
            <w:pPr>
              <w:jc w:val="center"/>
              <w:rPr>
                <w:rFonts w:cs="宋体"/>
                <w:highlight w:val="none"/>
              </w:rPr>
            </w:pPr>
            <w:r>
              <w:rPr>
                <w:rFonts w:hint="eastAsia" w:cs="宋体"/>
                <w:highlight w:val="none"/>
              </w:rPr>
              <w:t>申</w:t>
            </w:r>
          </w:p>
          <w:p>
            <w:pPr>
              <w:jc w:val="center"/>
              <w:rPr>
                <w:rFonts w:cs="宋体"/>
                <w:highlight w:val="none"/>
              </w:rPr>
            </w:pPr>
            <w:r>
              <w:rPr>
                <w:rFonts w:hint="eastAsia" w:cs="宋体"/>
                <w:highlight w:val="none"/>
              </w:rPr>
              <w:t>明</w:t>
            </w:r>
          </w:p>
        </w:tc>
        <w:tc>
          <w:tcPr>
            <w:tcW w:w="8460" w:type="dxa"/>
            <w:gridSpan w:val="2"/>
          </w:tcPr>
          <w:p>
            <w:pPr>
              <w:jc w:val="center"/>
              <w:rPr>
                <w:rFonts w:cs="宋体"/>
                <w:highlight w:val="none"/>
              </w:rPr>
            </w:pPr>
          </w:p>
          <w:p>
            <w:pPr>
              <w:jc w:val="center"/>
              <w:rPr>
                <w:rFonts w:cs="宋体"/>
                <w:highlight w:val="none"/>
              </w:rPr>
            </w:pPr>
          </w:p>
          <w:p>
            <w:pPr>
              <w:jc w:val="center"/>
              <w:rPr>
                <w:rFonts w:cs="宋体"/>
                <w:highlight w:val="none"/>
              </w:rPr>
            </w:pPr>
          </w:p>
          <w:p>
            <w:pPr>
              <w:jc w:val="center"/>
              <w:rPr>
                <w:rFonts w:cs="宋体"/>
                <w:highlight w:val="none"/>
              </w:rPr>
            </w:pPr>
          </w:p>
          <w:p>
            <w:pPr>
              <w:jc w:val="center"/>
              <w:rPr>
                <w:rFonts w:cs="宋体"/>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4"/>
        <w:rPr>
          <w:rFonts w:hAnsi="宋体" w:cs="宋体"/>
          <w:kern w:val="0"/>
          <w:highlight w:val="none"/>
        </w:rPr>
      </w:pPr>
    </w:p>
    <w:p>
      <w:pPr>
        <w:pStyle w:val="14"/>
        <w:rPr>
          <w:rFonts w:hAnsi="宋体" w:cs="宋体"/>
          <w:kern w:val="0"/>
          <w:highlight w:val="none"/>
        </w:rPr>
      </w:pPr>
    </w:p>
    <w:p>
      <w:pPr>
        <w:pStyle w:val="14"/>
        <w:rPr>
          <w:rFonts w:hAnsi="宋体" w:cs="宋体"/>
          <w:kern w:val="0"/>
          <w:highlight w:val="none"/>
        </w:rPr>
      </w:pPr>
    </w:p>
    <w:p>
      <w:pPr>
        <w:jc w:val="center"/>
        <w:rPr>
          <w:b/>
          <w:sz w:val="24"/>
          <w:szCs w:val="21"/>
          <w:highlight w:val="none"/>
        </w:rPr>
      </w:pPr>
    </w:p>
    <w:p>
      <w:pPr>
        <w:jc w:val="center"/>
        <w:rPr>
          <w:rFonts w:ascii="宋体" w:hAnsi="宋体" w:cs="宋体"/>
          <w:sz w:val="32"/>
          <w:szCs w:val="32"/>
          <w:highlight w:val="none"/>
        </w:rPr>
      </w:pPr>
      <w:r>
        <w:rPr>
          <w:rFonts w:hint="eastAsia" w:ascii="宋体" w:hAnsi="宋体" w:cs="宋体"/>
          <w:sz w:val="32"/>
          <w:szCs w:val="32"/>
          <w:highlight w:val="none"/>
        </w:rPr>
        <w:t>二、投标分项报价表</w:t>
      </w:r>
    </w:p>
    <w:p>
      <w:pPr>
        <w:jc w:val="center"/>
        <w:rPr>
          <w:b/>
          <w:sz w:val="24"/>
          <w:szCs w:val="21"/>
          <w:highlight w:val="none"/>
        </w:rPr>
      </w:pPr>
    </w:p>
    <w:p>
      <w:pPr>
        <w:snapToGrid w:val="0"/>
        <w:spacing w:before="50" w:after="50"/>
        <w:rPr>
          <w:rFonts w:ascii="宋体" w:hAnsi="宋体" w:cs="宋体"/>
          <w:szCs w:val="21"/>
          <w:highlight w:val="none"/>
        </w:rPr>
      </w:pPr>
      <w:r>
        <w:rPr>
          <w:rFonts w:hint="eastAsia" w:ascii="宋体" w:hAnsi="宋体" w:cs="宋体"/>
          <w:szCs w:val="21"/>
          <w:highlight w:val="none"/>
          <w:lang w:bidi="ar"/>
        </w:rPr>
        <w:t>项目编号：</w:t>
      </w:r>
      <w:r>
        <w:rPr>
          <w:rFonts w:hint="eastAsia" w:ascii="宋体" w:hAnsi="宋体" w:cs="宋体"/>
          <w:szCs w:val="21"/>
          <w:highlight w:val="none"/>
          <w:u w:val="single"/>
          <w:lang w:bidi="ar"/>
        </w:rPr>
        <w:t xml:space="preserve">                  </w:t>
      </w:r>
      <w:r>
        <w:rPr>
          <w:rFonts w:hint="eastAsia" w:ascii="宋体" w:hAnsi="宋体" w:cs="宋体"/>
          <w:bCs/>
          <w:szCs w:val="21"/>
          <w:highlight w:val="none"/>
          <w:lang w:bidi="ar"/>
        </w:rPr>
        <w:t>项目名称</w:t>
      </w:r>
      <w:r>
        <w:rPr>
          <w:rFonts w:hint="eastAsia" w:ascii="宋体" w:hAnsi="宋体" w:cs="宋体"/>
          <w:szCs w:val="21"/>
          <w:highlight w:val="none"/>
          <w:lang w:bidi="ar"/>
        </w:rPr>
        <w:t>：</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 xml:space="preserve">   </w:t>
      </w:r>
    </w:p>
    <w:tbl>
      <w:tblPr>
        <w:tblStyle w:val="73"/>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425"/>
        <w:gridCol w:w="294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highlight w:val="none"/>
              </w:rPr>
            </w:pPr>
            <w:r>
              <w:rPr>
                <w:rFonts w:hint="eastAsia" w:cs="宋体"/>
                <w:b/>
                <w:highlight w:val="none"/>
                <w:lang w:bidi="ar"/>
              </w:rPr>
              <w:t>序号</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highlight w:val="none"/>
              </w:rPr>
            </w:pPr>
            <w:r>
              <w:rPr>
                <w:rFonts w:hint="eastAsia" w:cs="宋体"/>
                <w:b/>
                <w:highlight w:val="none"/>
                <w:lang w:bidi="ar"/>
              </w:rPr>
              <w:t>内</w:t>
            </w:r>
            <w:r>
              <w:rPr>
                <w:b/>
                <w:highlight w:val="none"/>
                <w:lang w:bidi="ar"/>
              </w:rPr>
              <w:t xml:space="preserve"> </w:t>
            </w:r>
            <w:r>
              <w:rPr>
                <w:rFonts w:hint="eastAsia" w:cs="宋体"/>
                <w:b/>
                <w:highlight w:val="none"/>
                <w:lang w:bidi="ar"/>
              </w:rPr>
              <w:t>容</w:t>
            </w: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highlight w:val="none"/>
              </w:rPr>
            </w:pPr>
            <w:r>
              <w:rPr>
                <w:rFonts w:hint="eastAsia" w:cs="宋体"/>
                <w:b/>
                <w:highlight w:val="none"/>
                <w:lang w:bidi="ar"/>
              </w:rPr>
              <w:t>报</w:t>
            </w:r>
            <w:r>
              <w:rPr>
                <w:b/>
                <w:highlight w:val="none"/>
                <w:lang w:bidi="ar"/>
              </w:rPr>
              <w:t xml:space="preserve">  </w:t>
            </w:r>
            <w:r>
              <w:rPr>
                <w:rFonts w:hint="eastAsia" w:cs="宋体"/>
                <w:b/>
                <w:highlight w:val="none"/>
                <w:lang w:bidi="ar"/>
              </w:rPr>
              <w:t>价（元）</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highlight w:val="none"/>
              </w:rPr>
            </w:pPr>
            <w:r>
              <w:rPr>
                <w:rFonts w:hint="eastAsia" w:cs="宋体"/>
                <w:b/>
                <w:highlight w:val="none"/>
                <w:lang w:bidi="ar"/>
              </w:rPr>
              <w:t>备</w:t>
            </w:r>
            <w:r>
              <w:rPr>
                <w:b/>
                <w:highlight w:val="none"/>
                <w:lang w:bidi="ar"/>
              </w:rPr>
              <w:t xml:space="preserve">   </w:t>
            </w:r>
            <w:r>
              <w:rPr>
                <w:rFonts w:hint="eastAsia" w:cs="宋体"/>
                <w:b/>
                <w:highlight w:val="none"/>
                <w:lang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highlight w:val="none"/>
                <w:lang w:bidi="ar"/>
              </w:rPr>
              <w:t>1</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Cs w:val="21"/>
                <w:highlight w:val="none"/>
              </w:rPr>
            </w:pP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highlight w:val="none"/>
                <w:lang w:bidi="ar"/>
              </w:rPr>
              <w:t>2</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Cs w:val="21"/>
                <w:highlight w:val="none"/>
              </w:rPr>
            </w:pP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highlight w:val="none"/>
                <w:lang w:bidi="ar"/>
              </w:rPr>
              <w:t>3</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Cs w:val="21"/>
                <w:highlight w:val="none"/>
              </w:rPr>
            </w:pP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highlight w:val="none"/>
                <w:lang w:bidi="ar"/>
              </w:rPr>
              <w:t>4</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Cs w:val="21"/>
                <w:highlight w:val="none"/>
              </w:rPr>
            </w:pP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highlight w:val="none"/>
                <w:lang w:bidi="ar"/>
              </w:rPr>
              <w:t>5</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Cs w:val="21"/>
                <w:highlight w:val="none"/>
              </w:rPr>
            </w:pP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highlight w:val="none"/>
                <w:lang w:bidi="ar"/>
              </w:rPr>
              <w:t>6</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highlight w:val="none"/>
                <w:lang w:bidi="ar"/>
              </w:rPr>
              <w:t>7</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highlight w:val="none"/>
                <w:lang w:bidi="ar"/>
              </w:rPr>
              <w:t>8</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highlight w:val="none"/>
                <w:lang w:bidi="ar"/>
              </w:rPr>
              <w:t>9</w:t>
            </w:r>
          </w:p>
        </w:tc>
        <w:tc>
          <w:tcPr>
            <w:tcW w:w="3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4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s="宋体"/>
                <w:highlight w:val="none"/>
                <w:lang w:bidi="ar"/>
              </w:rPr>
              <w:t>合计</w:t>
            </w:r>
          </w:p>
        </w:tc>
        <w:tc>
          <w:tcPr>
            <w:tcW w:w="29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highlight w:val="none"/>
              </w:rPr>
            </w:pPr>
            <w:r>
              <w:rPr>
                <w:rFonts w:hint="eastAsia" w:cs="宋体"/>
                <w:highlight w:val="none"/>
                <w:lang w:bidi="ar"/>
              </w:rPr>
              <w:t>合计（大写）：</w:t>
            </w:r>
            <w:r>
              <w:rPr>
                <w:highlight w:val="none"/>
                <w:lang w:bidi="ar"/>
              </w:rPr>
              <w:t xml:space="preserve">                               </w:t>
            </w:r>
            <w:r>
              <w:rPr>
                <w:rFonts w:hint="eastAsia" w:cs="宋体"/>
                <w:highlight w:val="none"/>
                <w:lang w:bidi="ar"/>
              </w:rPr>
              <w:t>元整</w:t>
            </w:r>
          </w:p>
        </w:tc>
      </w:tr>
    </w:tbl>
    <w:p>
      <w:pPr>
        <w:ind w:firstLine="945" w:firstLineChars="450"/>
        <w:rPr>
          <w:szCs w:val="21"/>
          <w:highlight w:val="none"/>
        </w:rPr>
      </w:pPr>
    </w:p>
    <w:p>
      <w:pPr>
        <w:pStyle w:val="14"/>
        <w:rPr>
          <w:rFonts w:hAnsi="宋体" w:cs="宋体"/>
          <w:kern w:val="0"/>
          <w:highlight w:val="none"/>
        </w:rPr>
      </w:pPr>
    </w:p>
    <w:p>
      <w:pPr>
        <w:pStyle w:val="694"/>
        <w:keepNext w:val="0"/>
        <w:pageBreakBefore w:val="0"/>
        <w:tabs>
          <w:tab w:val="clear" w:pos="720"/>
        </w:tabs>
        <w:snapToGrid w:val="0"/>
        <w:spacing w:before="120" w:after="120"/>
        <w:ind w:firstLine="643"/>
        <w:jc w:val="left"/>
        <w:outlineLvl w:val="9"/>
        <w:rPr>
          <w:rFonts w:ascii="宋体" w:hAnsi="宋体" w:eastAsia="宋体" w:cs="宋体"/>
          <w:kern w:val="2"/>
          <w:sz w:val="32"/>
          <w:szCs w:val="32"/>
          <w:highlight w:val="none"/>
        </w:rPr>
      </w:pPr>
      <w:bookmarkStart w:id="440" w:name="_Toc32262"/>
    </w:p>
    <w:p>
      <w:pPr>
        <w:pStyle w:val="694"/>
        <w:keepNext w:val="0"/>
        <w:pageBreakBefore w:val="0"/>
        <w:tabs>
          <w:tab w:val="clear" w:pos="720"/>
        </w:tabs>
        <w:snapToGrid w:val="0"/>
        <w:spacing w:before="120" w:after="120"/>
        <w:ind w:firstLine="643"/>
        <w:jc w:val="left"/>
        <w:outlineLvl w:val="9"/>
        <w:rPr>
          <w:rFonts w:eastAsia="宋体" w:cs="宋体"/>
          <w:b w:val="0"/>
          <w:kern w:val="2"/>
          <w:sz w:val="21"/>
          <w:szCs w:val="24"/>
          <w:highlight w:val="none"/>
          <w:lang w:val="zh-CN" w:bidi="ar"/>
        </w:rPr>
      </w:pPr>
      <w:r>
        <w:rPr>
          <w:rFonts w:hint="eastAsia" w:eastAsia="宋体" w:cs="宋体"/>
          <w:b w:val="0"/>
          <w:kern w:val="2"/>
          <w:sz w:val="21"/>
          <w:szCs w:val="24"/>
          <w:highlight w:val="none"/>
          <w:lang w:val="zh-CN" w:bidi="ar"/>
        </w:rPr>
        <w:t>投标人名称(盖章)：</w:t>
      </w:r>
    </w:p>
    <w:p>
      <w:pPr>
        <w:pStyle w:val="694"/>
        <w:keepNext w:val="0"/>
        <w:pageBreakBefore w:val="0"/>
        <w:tabs>
          <w:tab w:val="clear" w:pos="720"/>
        </w:tabs>
        <w:snapToGrid w:val="0"/>
        <w:spacing w:before="120" w:after="120"/>
        <w:ind w:firstLine="643"/>
        <w:jc w:val="left"/>
        <w:outlineLvl w:val="9"/>
        <w:rPr>
          <w:rFonts w:eastAsia="宋体" w:cs="宋体"/>
          <w:b w:val="0"/>
          <w:kern w:val="2"/>
          <w:sz w:val="21"/>
          <w:szCs w:val="24"/>
          <w:highlight w:val="none"/>
          <w:lang w:bidi="ar"/>
        </w:rPr>
        <w:sectPr>
          <w:pgSz w:w="11906" w:h="16838"/>
          <w:pgMar w:top="1247" w:right="1304" w:bottom="1020" w:left="1304" w:header="720" w:footer="720" w:gutter="0"/>
          <w:cols w:space="0" w:num="1"/>
          <w:docGrid w:linePitch="312" w:charSpace="0"/>
        </w:sectPr>
      </w:pPr>
      <w:r>
        <w:rPr>
          <w:rFonts w:hint="eastAsia" w:eastAsia="宋体" w:cs="宋体"/>
          <w:b w:val="0"/>
          <w:kern w:val="2"/>
          <w:sz w:val="21"/>
          <w:szCs w:val="24"/>
          <w:highlight w:val="none"/>
          <w:lang w:val="zh-CN" w:bidi="ar"/>
        </w:rPr>
        <w:t>日期</w:t>
      </w:r>
      <w:r>
        <w:rPr>
          <w:rFonts w:hint="eastAsia" w:eastAsia="宋体" w:cs="宋体"/>
          <w:b w:val="0"/>
          <w:kern w:val="2"/>
          <w:sz w:val="21"/>
          <w:szCs w:val="24"/>
          <w:highlight w:val="none"/>
          <w:lang w:bidi="ar"/>
        </w:rPr>
        <w:t>：</w:t>
      </w:r>
      <w:r>
        <w:rPr>
          <w:rFonts w:hint="eastAsia" w:eastAsia="宋体" w:cs="宋体"/>
          <w:b w:val="0"/>
          <w:kern w:val="2"/>
          <w:sz w:val="21"/>
          <w:szCs w:val="24"/>
          <w:highlight w:val="none"/>
          <w:lang w:val="zh-CN" w:bidi="ar"/>
        </w:rPr>
        <w:t xml:space="preserve">   年   月   </w:t>
      </w:r>
      <w:r>
        <w:rPr>
          <w:rFonts w:hint="eastAsia" w:eastAsia="宋体" w:cs="宋体"/>
          <w:b w:val="0"/>
          <w:kern w:val="2"/>
          <w:sz w:val="21"/>
          <w:szCs w:val="24"/>
          <w:highlight w:val="none"/>
          <w:lang w:bidi="ar"/>
        </w:rPr>
        <w:t>日</w:t>
      </w:r>
    </w:p>
    <w:bookmarkEnd w:id="440"/>
    <w:p>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bookmarkStart w:id="441" w:name="_Toc6221"/>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bookmarkStart w:id="442" w:name="_Hlk101259491"/>
      <w:r>
        <w:rPr>
          <w:rFonts w:hint="eastAsia" w:ascii="宋体" w:hAnsi="宋体" w:eastAsia="宋体" w:cs="宋体"/>
          <w:sz w:val="32"/>
          <w:szCs w:val="32"/>
          <w:highlight w:val="none"/>
        </w:rPr>
        <w:t>（如果有）</w:t>
      </w:r>
      <w:bookmarkEnd w:id="441"/>
      <w:bookmarkEnd w:id="442"/>
    </w:p>
    <w:p>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widowControl/>
        <w:spacing w:line="360" w:lineRule="auto"/>
        <w:ind w:firstLine="120" w:firstLineChars="50"/>
        <w:jc w:val="left"/>
        <w:rPr>
          <w:rFonts w:ascii="宋体" w:hAnsi="宋体" w:cs="宋体"/>
          <w:b/>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jc w:val="center"/>
        <w:rPr>
          <w:rFonts w:ascii="宋体" w:hAnsi="宋体" w:cs="宋体"/>
          <w:b/>
          <w:sz w:val="32"/>
          <w:szCs w:val="32"/>
          <w:highlight w:val="none"/>
        </w:rPr>
      </w:pPr>
      <w:r>
        <w:rPr>
          <w:rFonts w:hint="eastAsia" w:ascii="宋体" w:hAnsi="宋体" w:cs="宋体"/>
          <w:b/>
          <w:sz w:val="32"/>
          <w:szCs w:val="32"/>
          <w:highlight w:val="none"/>
        </w:rPr>
        <w:t>四、投标人针对报价需要说明的其他文件和说明</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43" w:name="_Toc20518"/>
      <w:bookmarkStart w:id="444" w:name="_Toc465665161"/>
      <w:r>
        <w:rPr>
          <w:rFonts w:hint="eastAsia" w:ascii="宋体" w:hAnsi="宋体" w:cs="宋体"/>
          <w:highlight w:val="none"/>
        </w:rPr>
        <w:t>附件</w:t>
      </w:r>
      <w:bookmarkEnd w:id="443"/>
      <w:bookmarkEnd w:id="444"/>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445" w:name="OLE_LINK14"/>
      <w:bookmarkStart w:id="446" w:name="OLE_LINK13"/>
      <w:r>
        <w:rPr>
          <w:rFonts w:hint="eastAsia" w:ascii="宋体" w:hAnsi="宋体" w:cs="宋体"/>
          <w:b/>
          <w:spacing w:val="6"/>
          <w:sz w:val="32"/>
          <w:szCs w:val="32"/>
          <w:highlight w:val="none"/>
        </w:rPr>
        <w:t>残疾人福利性单位声明函</w:t>
      </w:r>
    </w:p>
    <w:bookmarkEnd w:id="445"/>
    <w:bookmarkEnd w:id="446"/>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投标人名称(盖章)</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pPr>
        <w:snapToGrid w:val="0"/>
        <w:spacing w:line="360" w:lineRule="auto"/>
        <w:rPr>
          <w:rFonts w:ascii="宋体" w:hAnsi="宋体" w:cs="宋体"/>
          <w:sz w:val="24"/>
          <w:highlight w:val="none"/>
        </w:rPr>
      </w:pPr>
      <w:r>
        <w:rPr>
          <w:rFonts w:hint="eastAsia" w:ascii="宋体" w:hAnsi="宋体" w:cs="宋体"/>
          <w:sz w:val="24"/>
          <w:highlight w:val="none"/>
        </w:rPr>
        <w:t>地址：邮编：</w:t>
      </w:r>
    </w:p>
    <w:p>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p>
    <w:p>
      <w:pPr>
        <w:snapToGrid w:val="0"/>
        <w:spacing w:line="360" w:lineRule="auto"/>
        <w:rPr>
          <w:rFonts w:ascii="宋体" w:hAnsi="宋体" w:cs="宋体"/>
          <w:sz w:val="24"/>
          <w:highlight w:val="none"/>
        </w:rPr>
      </w:pPr>
      <w:r>
        <w:rPr>
          <w:rFonts w:hint="eastAsia" w:ascii="宋体" w:hAnsi="宋体" w:cs="宋体"/>
          <w:sz w:val="24"/>
          <w:highlight w:val="none"/>
        </w:rPr>
        <w:t>地址： 邮编：</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pPr>
        <w:snapToGrid w:val="0"/>
        <w:spacing w:line="360" w:lineRule="auto"/>
        <w:rPr>
          <w:rFonts w:ascii="宋体" w:hAnsi="宋体" w:cs="宋体"/>
          <w:sz w:val="24"/>
          <w:highlight w:val="none"/>
          <w:u w:val="dotted"/>
        </w:rPr>
      </w:pP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p>
    <w:p>
      <w:pPr>
        <w:spacing w:line="360" w:lineRule="auto"/>
        <w:rPr>
          <w:rFonts w:ascii="宋体" w:hAnsi="宋体" w:cs="宋体"/>
          <w:sz w:val="24"/>
          <w:highlight w:val="none"/>
          <w:u w:val="single"/>
        </w:rPr>
      </w:pPr>
      <w:r>
        <w:rPr>
          <w:rFonts w:hint="eastAsia" w:ascii="宋体" w:hAnsi="宋体" w:cs="宋体"/>
          <w:sz w:val="24"/>
          <w:highlight w:val="none"/>
        </w:rPr>
        <w:t>地     址：邮编：</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址：邮编：</w:t>
      </w:r>
    </w:p>
    <w:p>
      <w:pPr>
        <w:spacing w:line="360" w:lineRule="auto"/>
        <w:rPr>
          <w:rFonts w:ascii="宋体" w:hAnsi="宋体" w:cs="宋体"/>
          <w:sz w:val="24"/>
          <w:highlight w:val="none"/>
          <w:u w:val="single"/>
        </w:rPr>
      </w:pPr>
      <w:r>
        <w:rPr>
          <w:rFonts w:hint="eastAsia" w:ascii="宋体" w:hAnsi="宋体" w:cs="宋体"/>
          <w:sz w:val="24"/>
          <w:highlight w:val="none"/>
        </w:rPr>
        <w:t>被投诉人1：</w:t>
      </w:r>
    </w:p>
    <w:p>
      <w:pPr>
        <w:spacing w:line="360" w:lineRule="auto"/>
        <w:rPr>
          <w:rFonts w:ascii="宋体" w:hAnsi="宋体" w:cs="宋体"/>
          <w:sz w:val="24"/>
          <w:highlight w:val="none"/>
          <w:u w:val="single"/>
        </w:rPr>
      </w:pPr>
      <w:r>
        <w:rPr>
          <w:rFonts w:hint="eastAsia" w:ascii="宋体" w:hAnsi="宋体" w:cs="宋体"/>
          <w:sz w:val="24"/>
          <w:highlight w:val="none"/>
        </w:rPr>
        <w:t>地     址：邮编：</w:t>
      </w:r>
    </w:p>
    <w:p>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p>
    <w:p>
      <w:pPr>
        <w:spacing w:line="360" w:lineRule="auto"/>
        <w:rPr>
          <w:rFonts w:ascii="宋体" w:hAnsi="宋体" w:cs="宋体"/>
          <w:sz w:val="24"/>
          <w:highlight w:val="none"/>
          <w:u w:val="single"/>
        </w:rPr>
      </w:pPr>
      <w:r>
        <w:rPr>
          <w:rFonts w:hint="eastAsia" w:ascii="宋体" w:hAnsi="宋体" w:cs="宋体"/>
          <w:sz w:val="24"/>
          <w:highlight w:val="none"/>
        </w:rPr>
        <w:t>地     址：邮编：</w:t>
      </w:r>
    </w:p>
    <w:p>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p>
    <w:p>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pPr>
        <w:spacing w:line="360" w:lineRule="auto"/>
        <w:rPr>
          <w:rFonts w:ascii="宋体" w:hAnsi="宋体" w:cs="宋体"/>
          <w:sz w:val="24"/>
          <w:highlight w:val="none"/>
        </w:rPr>
      </w:pPr>
      <w:r>
        <w:rPr>
          <w:rFonts w:hint="eastAsia" w:ascii="宋体" w:hAnsi="宋体" w:cs="宋体"/>
          <w:sz w:val="24"/>
          <w:highlight w:val="none"/>
        </w:rPr>
        <w:t>采购人名称：</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pPr>
        <w:spacing w:line="360" w:lineRule="auto"/>
        <w:rPr>
          <w:rFonts w:ascii="宋体" w:hAnsi="宋体" w:cs="宋体"/>
          <w:sz w:val="24"/>
          <w:highlight w:val="none"/>
          <w:u w:val="dotted"/>
        </w:rPr>
      </w:pP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p>
    <w:p>
      <w:pPr>
        <w:spacing w:line="360" w:lineRule="auto"/>
        <w:rPr>
          <w:rFonts w:ascii="宋体" w:hAnsi="宋体" w:cs="宋体"/>
          <w:sz w:val="24"/>
          <w:highlight w:val="none"/>
        </w:rPr>
      </w:pPr>
      <w:r>
        <w:rPr>
          <w:rFonts w:hint="eastAsia" w:ascii="宋体" w:hAnsi="宋体" w:cs="宋体"/>
          <w:sz w:val="24"/>
          <w:highlight w:val="none"/>
        </w:rPr>
        <w:t>事实依据：</w:t>
      </w:r>
    </w:p>
    <w:p>
      <w:pPr>
        <w:spacing w:line="360" w:lineRule="auto"/>
        <w:rPr>
          <w:rFonts w:ascii="宋体" w:hAnsi="宋体" w:cs="宋体"/>
          <w:sz w:val="24"/>
          <w:highlight w:val="none"/>
          <w:u w:val="dotted"/>
        </w:rPr>
      </w:pPr>
    </w:p>
    <w:p>
      <w:pPr>
        <w:spacing w:line="360" w:lineRule="auto"/>
        <w:rPr>
          <w:rFonts w:ascii="宋体" w:hAnsi="宋体" w:cs="宋体"/>
          <w:sz w:val="24"/>
          <w:highlight w:val="none"/>
          <w:u w:val="single"/>
        </w:rPr>
      </w:pPr>
      <w:r>
        <w:rPr>
          <w:rFonts w:hint="eastAsia" w:ascii="宋体" w:hAnsi="宋体" w:cs="宋体"/>
          <w:sz w:val="24"/>
          <w:highlight w:val="none"/>
        </w:rPr>
        <w:t>法律依据：</w:t>
      </w:r>
    </w:p>
    <w:p>
      <w:pPr>
        <w:spacing w:line="360" w:lineRule="auto"/>
        <w:rPr>
          <w:rFonts w:ascii="宋体" w:hAnsi="宋体" w:cs="宋体"/>
          <w:sz w:val="24"/>
          <w:highlight w:val="none"/>
          <w:u w:val="dotted"/>
        </w:rPr>
      </w:pP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44"/>
          <w:szCs w:val="44"/>
          <w:highlight w:val="none"/>
        </w:rPr>
      </w:pPr>
      <w:bookmarkStart w:id="447" w:name="_Toc14912"/>
      <w:r>
        <w:rPr>
          <w:rFonts w:hint="eastAsia" w:ascii="宋体" w:hAnsi="宋体" w:cs="宋体"/>
          <w:b/>
          <w:kern w:val="0"/>
          <w:sz w:val="44"/>
          <w:szCs w:val="44"/>
          <w:highlight w:val="none"/>
        </w:rPr>
        <w:br w:type="page"/>
      </w:r>
    </w:p>
    <w:p>
      <w:pPr>
        <w:snapToGrid w:val="0"/>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附件4：中小企业声明函</w:t>
      </w:r>
      <w:bookmarkEnd w:id="447"/>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w:t>
      </w:r>
      <w:r>
        <w:rPr>
          <w:rFonts w:hint="eastAsia" w:ascii="宋体" w:hAnsi="宋体" w:cs="宋体"/>
          <w:kern w:val="0"/>
          <w:sz w:val="24"/>
          <w:highlight w:val="none"/>
          <w:u w:val="single"/>
          <w:lang w:eastAsia="zh-CN"/>
        </w:rPr>
        <w:t>数字媒体技术专业国家级课程资源库建设项目</w:t>
      </w:r>
      <w:r>
        <w:rPr>
          <w:rFonts w:hint="eastAsia" w:ascii="宋体" w:hAnsi="宋体" w:cs="宋体"/>
          <w:sz w:val="24"/>
          <w:highlight w:val="none"/>
          <w:u w:val="single"/>
        </w:rPr>
        <w:t>）</w:t>
      </w:r>
      <w:r>
        <w:rPr>
          <w:rFonts w:hint="eastAsia" w:ascii="宋体" w:hAnsi="宋体" w:cs="宋体"/>
          <w:sz w:val="24"/>
          <w:highlight w:val="none"/>
        </w:rPr>
        <w:t xml:space="preserve"> ，属于 </w:t>
      </w:r>
      <w:r>
        <w:rPr>
          <w:rFonts w:hint="eastAsia" w:ascii="宋体" w:hAnsi="宋体" w:cs="宋体"/>
          <w:sz w:val="24"/>
          <w:highlight w:val="none"/>
          <w:u w:val="single"/>
        </w:rPr>
        <w:t>（</w:t>
      </w:r>
      <w:r>
        <w:rPr>
          <w:rFonts w:hint="eastAsia" w:ascii="宋体" w:hAnsi="宋体" w:cs="宋体"/>
          <w:kern w:val="0"/>
          <w:sz w:val="24"/>
          <w:highlight w:val="none"/>
          <w:u w:val="single"/>
        </w:rPr>
        <w:t>软件和信息技术服务业</w:t>
      </w:r>
      <w:r>
        <w:rPr>
          <w:rFonts w:hint="eastAsia" w:ascii="宋体" w:hAnsi="宋体" w:cs="宋体"/>
          <w:sz w:val="24"/>
          <w:highlight w:val="none"/>
          <w:u w:val="single"/>
        </w:rPr>
        <w:t>）</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w:t>
      </w:r>
      <w:r>
        <w:rPr>
          <w:rFonts w:hint="eastAsia" w:ascii="宋体" w:hAnsi="宋体" w:cs="宋体"/>
          <w:kern w:val="0"/>
          <w:sz w:val="24"/>
          <w:highlight w:val="none"/>
          <w:u w:val="single"/>
        </w:rPr>
        <w:t>标的名称</w:t>
      </w:r>
      <w:r>
        <w:rPr>
          <w:rFonts w:hint="eastAsia" w:ascii="宋体" w:hAnsi="宋体" w:cs="宋体"/>
          <w:sz w:val="24"/>
          <w:highlight w:val="none"/>
          <w:u w:val="single"/>
        </w:rPr>
        <w:t>）</w:t>
      </w:r>
      <w:r>
        <w:rPr>
          <w:rFonts w:hint="eastAsia" w:ascii="宋体" w:hAnsi="宋体" w:cs="宋体"/>
          <w:sz w:val="24"/>
          <w:highlight w:val="none"/>
        </w:rPr>
        <w:t xml:space="preserve"> ，属于 </w:t>
      </w:r>
      <w:r>
        <w:rPr>
          <w:rFonts w:hint="eastAsia" w:ascii="宋体" w:hAnsi="宋体" w:cs="宋体"/>
          <w:sz w:val="24"/>
          <w:highlight w:val="none"/>
          <w:u w:val="single"/>
        </w:rPr>
        <w:t xml:space="preserve">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投标人名称(盖章)：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br w:type="page"/>
      </w:r>
    </w:p>
    <w:p>
      <w:pPr>
        <w:autoSpaceDE w:val="0"/>
        <w:autoSpaceDN w:val="0"/>
        <w:jc w:val="left"/>
        <w:rPr>
          <w:rFonts w:ascii="宋体" w:hAnsi="宋体" w:cs="仿宋_GB2312"/>
          <w:b/>
          <w:sz w:val="32"/>
          <w:szCs w:val="32"/>
          <w:highlight w:val="none"/>
        </w:rPr>
      </w:pPr>
      <w:r>
        <w:rPr>
          <w:rFonts w:hint="eastAsia" w:ascii="宋体" w:hAnsi="宋体" w:cs="仿宋_GB2312"/>
          <w:b/>
          <w:sz w:val="32"/>
          <w:szCs w:val="32"/>
          <w:highlight w:val="none"/>
        </w:rPr>
        <w:t>附件5：</w:t>
      </w:r>
    </w:p>
    <w:p>
      <w:pPr>
        <w:jc w:val="center"/>
        <w:rPr>
          <w:b/>
          <w:bCs/>
          <w:sz w:val="36"/>
          <w:szCs w:val="36"/>
          <w:highlight w:val="none"/>
        </w:rPr>
      </w:pPr>
      <w:r>
        <w:rPr>
          <w:rFonts w:hint="eastAsia"/>
          <w:b/>
          <w:bCs/>
          <w:sz w:val="36"/>
          <w:szCs w:val="36"/>
          <w:highlight w:val="none"/>
        </w:rPr>
        <w:t>政府采购活动现场确认声明书</w:t>
      </w:r>
    </w:p>
    <w:p>
      <w:pPr>
        <w:spacing w:line="312" w:lineRule="auto"/>
        <w:rPr>
          <w:rFonts w:cs="宋体"/>
          <w:b/>
          <w:sz w:val="24"/>
          <w:highlight w:val="none"/>
        </w:rPr>
      </w:pPr>
      <w:r>
        <w:rPr>
          <w:rFonts w:hint="eastAsia" w:cs="宋体"/>
          <w:sz w:val="24"/>
          <w:highlight w:val="none"/>
        </w:rPr>
        <w:t>浙江致信招标代理有限公司：</w:t>
      </w:r>
    </w:p>
    <w:p>
      <w:pPr>
        <w:spacing w:line="312" w:lineRule="auto"/>
        <w:ind w:firstLine="504"/>
        <w:rPr>
          <w:rFonts w:cs="宋体"/>
          <w:spacing w:val="6"/>
          <w:sz w:val="24"/>
          <w:highlight w:val="none"/>
        </w:rPr>
      </w:pPr>
      <w:r>
        <w:rPr>
          <w:rFonts w:hint="eastAsia" w:cs="宋体"/>
          <w:spacing w:val="6"/>
          <w:sz w:val="24"/>
          <w:highlight w:val="none"/>
        </w:rPr>
        <w:t>本人经由</w:t>
      </w:r>
      <w:r>
        <w:rPr>
          <w:rFonts w:hint="eastAsia" w:cs="宋体"/>
          <w:spacing w:val="6"/>
          <w:sz w:val="24"/>
          <w:highlight w:val="none"/>
          <w:u w:val="single"/>
        </w:rPr>
        <w:t xml:space="preserve">                  （单位）</w:t>
      </w:r>
      <w:r>
        <w:rPr>
          <w:rFonts w:hint="eastAsia" w:cs="宋体"/>
          <w:spacing w:val="6"/>
          <w:sz w:val="24"/>
          <w:highlight w:val="none"/>
        </w:rPr>
        <w:t>负责人</w:t>
      </w:r>
      <w:r>
        <w:rPr>
          <w:rFonts w:hint="eastAsia" w:cs="宋体"/>
          <w:spacing w:val="6"/>
          <w:sz w:val="24"/>
          <w:highlight w:val="none"/>
          <w:u w:val="single"/>
        </w:rPr>
        <w:t xml:space="preserve">        （法定代表人）</w:t>
      </w:r>
      <w:r>
        <w:rPr>
          <w:rFonts w:hint="eastAsia" w:cs="宋体"/>
          <w:spacing w:val="6"/>
          <w:sz w:val="24"/>
          <w:highlight w:val="none"/>
        </w:rPr>
        <w:t>合法授权参加</w:t>
      </w:r>
      <w:r>
        <w:rPr>
          <w:rFonts w:hint="eastAsia" w:cs="宋体"/>
          <w:spacing w:val="6"/>
          <w:sz w:val="24"/>
          <w:highlight w:val="none"/>
          <w:u w:val="single"/>
        </w:rPr>
        <w:t>浙江工商职业技术学院</w:t>
      </w:r>
      <w:r>
        <w:rPr>
          <w:rFonts w:hint="eastAsia" w:cs="宋体"/>
          <w:spacing w:val="6"/>
          <w:sz w:val="24"/>
          <w:highlight w:val="none"/>
          <w:u w:val="single"/>
          <w:lang w:eastAsia="zh-CN"/>
        </w:rPr>
        <w:t>数字媒体技术专业国家级课程资源库建设项目</w:t>
      </w:r>
      <w:r>
        <w:rPr>
          <w:rFonts w:hint="eastAsia" w:cs="宋体"/>
          <w:spacing w:val="6"/>
          <w:sz w:val="24"/>
          <w:highlight w:val="none"/>
        </w:rPr>
        <w:t>（编号：</w:t>
      </w:r>
      <w:r>
        <w:rPr>
          <w:rFonts w:hint="eastAsia" w:ascii="宋体" w:hAnsi="宋体" w:cs="宋体"/>
          <w:spacing w:val="6"/>
          <w:sz w:val="24"/>
          <w:highlight w:val="none"/>
          <w:u w:val="single"/>
        </w:rPr>
        <w:t>ZJZX-</w:t>
      </w:r>
      <w:r>
        <w:rPr>
          <w:rFonts w:hint="eastAsia" w:ascii="宋体" w:hAnsi="宋体" w:cs="宋体"/>
          <w:spacing w:val="6"/>
          <w:sz w:val="24"/>
          <w:highlight w:val="none"/>
          <w:u w:val="single"/>
          <w:lang w:eastAsia="zh-CN"/>
        </w:rPr>
        <w:t>ZJGS202507G</w:t>
      </w:r>
      <w:r>
        <w:rPr>
          <w:rFonts w:hint="eastAsia" w:cs="宋体"/>
          <w:spacing w:val="6"/>
          <w:sz w:val="24"/>
          <w:highlight w:val="none"/>
        </w:rPr>
        <w:t xml:space="preserve">）采购活动，经与本单位法人代表（负责人）联系确认，现就有关公平竞争事项郑重声明如下： </w:t>
      </w:r>
    </w:p>
    <w:p>
      <w:pPr>
        <w:spacing w:line="312" w:lineRule="auto"/>
        <w:ind w:firstLine="480"/>
        <w:rPr>
          <w:rFonts w:cs="宋体"/>
          <w:sz w:val="24"/>
          <w:highlight w:val="none"/>
        </w:rPr>
      </w:pPr>
      <w:r>
        <w:rPr>
          <w:rFonts w:hint="eastAsia" w:cs="宋体"/>
          <w:sz w:val="24"/>
          <w:highlight w:val="none"/>
        </w:rPr>
        <w:t xml:space="preserve">一、本单位与采购人之间 </w:t>
      </w:r>
    </w:p>
    <w:p>
      <w:pPr>
        <w:spacing w:line="312" w:lineRule="auto"/>
        <w:ind w:firstLine="480"/>
        <w:rPr>
          <w:rFonts w:cs="宋体"/>
          <w:sz w:val="24"/>
          <w:highlight w:val="none"/>
        </w:rPr>
      </w:pPr>
      <w:r>
        <w:rPr>
          <w:rFonts w:hint="eastAsia" w:cs="宋体"/>
          <w:sz w:val="24"/>
          <w:highlight w:val="none"/>
        </w:rPr>
        <w:t>□不存在利害关系</w:t>
      </w:r>
    </w:p>
    <w:p>
      <w:pPr>
        <w:spacing w:line="312" w:lineRule="auto"/>
        <w:ind w:firstLine="480"/>
        <w:rPr>
          <w:rFonts w:cs="宋体"/>
          <w:sz w:val="24"/>
          <w:highlight w:val="none"/>
        </w:rPr>
      </w:pPr>
      <w:r>
        <w:rPr>
          <w:rFonts w:hint="eastAsia" w:cs="宋体"/>
          <w:sz w:val="24"/>
          <w:highlight w:val="none"/>
        </w:rPr>
        <w:t>□存在下列利害关系：</w:t>
      </w:r>
    </w:p>
    <w:p>
      <w:pPr>
        <w:spacing w:line="312" w:lineRule="auto"/>
        <w:ind w:firstLine="480"/>
        <w:rPr>
          <w:rFonts w:cs="宋体"/>
          <w:sz w:val="24"/>
          <w:highlight w:val="none"/>
        </w:rPr>
      </w:pPr>
      <w:r>
        <w:rPr>
          <w:rFonts w:hint="eastAsia" w:cs="宋体"/>
          <w:sz w:val="24"/>
          <w:highlight w:val="none"/>
        </w:rPr>
        <w:t>A.投资关系  B.行政隶属关系  C.业务指导关系 D.其他可能影响采购公正的利害关系</w:t>
      </w:r>
      <w:r>
        <w:rPr>
          <w:rFonts w:hint="eastAsia" w:cs="宋体"/>
          <w:sz w:val="24"/>
          <w:highlight w:val="none"/>
          <w:u w:val="single"/>
        </w:rPr>
        <w:t xml:space="preserve">（如有，请如实说明）                                </w:t>
      </w:r>
      <w:r>
        <w:rPr>
          <w:rFonts w:hint="eastAsia" w:cs="宋体"/>
          <w:sz w:val="24"/>
          <w:highlight w:val="none"/>
        </w:rPr>
        <w:t>。</w:t>
      </w:r>
    </w:p>
    <w:p>
      <w:pPr>
        <w:spacing w:line="312" w:lineRule="auto"/>
        <w:ind w:firstLine="504"/>
        <w:rPr>
          <w:rFonts w:cs="宋体"/>
          <w:sz w:val="24"/>
          <w:highlight w:val="none"/>
        </w:rPr>
      </w:pPr>
      <w:r>
        <w:rPr>
          <w:rFonts w:hint="eastAsia" w:cs="宋体"/>
          <w:spacing w:val="6"/>
          <w:sz w:val="24"/>
          <w:highlight w:val="none"/>
        </w:rPr>
        <w:t>二、</w:t>
      </w:r>
      <w:r>
        <w:rPr>
          <w:rFonts w:hint="eastAsia" w:cs="宋体"/>
          <w:sz w:val="24"/>
          <w:highlight w:val="none"/>
        </w:rPr>
        <w:t>现已清楚知道参加本项目采购活动的其他所有供应商名称，本单位</w:t>
      </w:r>
    </w:p>
    <w:p>
      <w:pPr>
        <w:spacing w:line="312" w:lineRule="auto"/>
        <w:ind w:firstLine="480"/>
        <w:rPr>
          <w:rFonts w:cs="宋体"/>
          <w:sz w:val="24"/>
          <w:highlight w:val="none"/>
        </w:rPr>
      </w:pPr>
      <w:r>
        <w:rPr>
          <w:rFonts w:hint="eastAsia" w:cs="宋体"/>
          <w:sz w:val="24"/>
          <w:highlight w:val="none"/>
        </w:rPr>
        <w:t>□与其他所有供应商之间均不存在利害关系</w:t>
      </w:r>
    </w:p>
    <w:p>
      <w:pPr>
        <w:spacing w:line="312" w:lineRule="auto"/>
        <w:ind w:firstLine="480"/>
        <w:rPr>
          <w:rFonts w:cs="宋体"/>
          <w:sz w:val="24"/>
          <w:highlight w:val="none"/>
        </w:rPr>
      </w:pPr>
      <w:r>
        <w:rPr>
          <w:rFonts w:hint="eastAsia" w:cs="宋体"/>
          <w:sz w:val="24"/>
          <w:highlight w:val="none"/>
        </w:rPr>
        <w:t>□与</w:t>
      </w:r>
      <w:r>
        <w:rPr>
          <w:rFonts w:hint="eastAsia" w:cs="宋体"/>
          <w:sz w:val="24"/>
          <w:highlight w:val="none"/>
          <w:u w:val="single"/>
        </w:rPr>
        <w:t xml:space="preserve">           （供应商名称）</w:t>
      </w:r>
      <w:r>
        <w:rPr>
          <w:rFonts w:hint="eastAsia" w:cs="宋体"/>
          <w:sz w:val="24"/>
          <w:highlight w:val="none"/>
        </w:rPr>
        <w:t>之间存在下列利害关系：</w:t>
      </w:r>
    </w:p>
    <w:p>
      <w:pPr>
        <w:spacing w:line="312" w:lineRule="auto"/>
        <w:ind w:firstLine="480"/>
        <w:rPr>
          <w:rFonts w:cs="宋体"/>
          <w:sz w:val="24"/>
          <w:highlight w:val="none"/>
        </w:rPr>
      </w:pPr>
      <w:r>
        <w:rPr>
          <w:rFonts w:hint="eastAsia" w:cs="宋体"/>
          <w:sz w:val="24"/>
          <w:highlight w:val="none"/>
        </w:rPr>
        <w:t>A.法定代表人或负责人或实际控制人是同一人</w:t>
      </w:r>
    </w:p>
    <w:p>
      <w:pPr>
        <w:spacing w:line="312" w:lineRule="auto"/>
        <w:ind w:firstLine="480"/>
        <w:rPr>
          <w:rFonts w:cs="宋体"/>
          <w:spacing w:val="6"/>
          <w:sz w:val="24"/>
          <w:highlight w:val="none"/>
        </w:rPr>
      </w:pPr>
      <w:r>
        <w:rPr>
          <w:rFonts w:hint="eastAsia" w:cs="宋体"/>
          <w:sz w:val="24"/>
          <w:highlight w:val="none"/>
        </w:rPr>
        <w:t>B.法定代表人或负责人或实际控制人是夫妻关系</w:t>
      </w:r>
    </w:p>
    <w:p>
      <w:pPr>
        <w:spacing w:line="312" w:lineRule="auto"/>
        <w:ind w:firstLine="480"/>
        <w:rPr>
          <w:rFonts w:cs="宋体"/>
          <w:spacing w:val="6"/>
          <w:sz w:val="24"/>
          <w:highlight w:val="none"/>
        </w:rPr>
      </w:pPr>
      <w:r>
        <w:rPr>
          <w:rFonts w:hint="eastAsia" w:cs="宋体"/>
          <w:sz w:val="24"/>
          <w:highlight w:val="none"/>
        </w:rPr>
        <w:t>C.法定代表人或负责人或实际控制人是直系血亲关系</w:t>
      </w:r>
    </w:p>
    <w:p>
      <w:pPr>
        <w:spacing w:line="312" w:lineRule="auto"/>
        <w:ind w:firstLine="480"/>
        <w:rPr>
          <w:rFonts w:cs="宋体"/>
          <w:spacing w:val="6"/>
          <w:sz w:val="24"/>
          <w:highlight w:val="none"/>
        </w:rPr>
      </w:pPr>
      <w:r>
        <w:rPr>
          <w:rFonts w:hint="eastAsia" w:cs="宋体"/>
          <w:sz w:val="24"/>
          <w:highlight w:val="none"/>
        </w:rPr>
        <w:t>D.法定代表人或负责人或实际控制人存在三代以内旁系血亲关系</w:t>
      </w:r>
    </w:p>
    <w:p>
      <w:pPr>
        <w:spacing w:line="312" w:lineRule="auto"/>
        <w:ind w:firstLine="480"/>
        <w:rPr>
          <w:rFonts w:cs="宋体"/>
          <w:sz w:val="24"/>
          <w:highlight w:val="none"/>
        </w:rPr>
      </w:pPr>
      <w:r>
        <w:rPr>
          <w:rFonts w:hint="eastAsia" w:cs="宋体"/>
          <w:sz w:val="24"/>
          <w:highlight w:val="none"/>
        </w:rPr>
        <w:t>E.法定代表人或负责人或实际控制人存在近姻亲关系</w:t>
      </w:r>
    </w:p>
    <w:p>
      <w:pPr>
        <w:spacing w:line="312" w:lineRule="auto"/>
        <w:ind w:firstLine="480"/>
        <w:rPr>
          <w:rFonts w:cs="宋体"/>
          <w:sz w:val="24"/>
          <w:highlight w:val="none"/>
        </w:rPr>
      </w:pPr>
      <w:r>
        <w:rPr>
          <w:rFonts w:hint="eastAsia" w:cs="宋体"/>
          <w:sz w:val="24"/>
          <w:highlight w:val="none"/>
        </w:rPr>
        <w:t>F.法定代表人或负责人或实际控制人存在股份控制或实际控制关系</w:t>
      </w:r>
    </w:p>
    <w:p>
      <w:pPr>
        <w:spacing w:line="312" w:lineRule="auto"/>
        <w:ind w:firstLine="480"/>
        <w:rPr>
          <w:rFonts w:cs="宋体"/>
          <w:sz w:val="24"/>
          <w:highlight w:val="none"/>
        </w:rPr>
      </w:pPr>
      <w:r>
        <w:rPr>
          <w:rFonts w:hint="eastAsia" w:cs="宋体"/>
          <w:sz w:val="24"/>
          <w:highlight w:val="none"/>
        </w:rPr>
        <w:t>G.存在共同直接或间接投资设立子公司、联营企业和合营企业情况</w:t>
      </w:r>
    </w:p>
    <w:p>
      <w:pPr>
        <w:spacing w:line="312" w:lineRule="auto"/>
        <w:ind w:firstLine="480"/>
        <w:rPr>
          <w:rFonts w:cs="宋体"/>
          <w:sz w:val="24"/>
          <w:highlight w:val="none"/>
        </w:rPr>
      </w:pPr>
      <w:r>
        <w:rPr>
          <w:rFonts w:hint="eastAsia" w:cs="宋体"/>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cs="宋体"/>
          <w:spacing w:val="6"/>
          <w:sz w:val="24"/>
          <w:highlight w:val="none"/>
        </w:rPr>
      </w:pPr>
      <w:r>
        <w:rPr>
          <w:rFonts w:hint="eastAsia" w:cs="宋体"/>
          <w:sz w:val="24"/>
          <w:highlight w:val="none"/>
        </w:rPr>
        <w:t>I.其他利害关系情况。</w:t>
      </w:r>
    </w:p>
    <w:p>
      <w:pPr>
        <w:spacing w:line="312" w:lineRule="auto"/>
        <w:ind w:firstLine="480"/>
        <w:rPr>
          <w:rFonts w:cs="宋体"/>
          <w:sz w:val="24"/>
          <w:highlight w:val="none"/>
        </w:rPr>
      </w:pPr>
      <w:r>
        <w:rPr>
          <w:rFonts w:hint="eastAsia" w:cs="宋体"/>
          <w:sz w:val="24"/>
          <w:highlight w:val="none"/>
        </w:rPr>
        <w:t>现已清楚知道并严格遵守政府采购法律法规和现场纪律。</w:t>
      </w:r>
    </w:p>
    <w:p>
      <w:pPr>
        <w:spacing w:line="312" w:lineRule="auto"/>
        <w:ind w:firstLine="480"/>
        <w:rPr>
          <w:rFonts w:cs="宋体"/>
          <w:sz w:val="24"/>
          <w:highlight w:val="none"/>
        </w:rPr>
      </w:pPr>
      <w:r>
        <w:rPr>
          <w:rFonts w:hint="eastAsia" w:cs="宋体"/>
          <w:sz w:val="24"/>
          <w:highlight w:val="none"/>
        </w:rPr>
        <w:t>我发现供应商之间存在或可能存在上述第二条第项利害关系。</w:t>
      </w:r>
    </w:p>
    <w:p>
      <w:pPr>
        <w:spacing w:line="312" w:lineRule="auto"/>
        <w:ind w:firstLine="480"/>
        <w:rPr>
          <w:rFonts w:cs="宋体"/>
          <w:sz w:val="24"/>
          <w:highlight w:val="none"/>
        </w:rPr>
      </w:pPr>
      <w:r>
        <w:rPr>
          <w:rFonts w:hint="eastAsia" w:cs="宋体"/>
          <w:sz w:val="24"/>
          <w:highlight w:val="none"/>
        </w:rPr>
        <w:t>供应商代表签名：</w:t>
      </w:r>
    </w:p>
    <w:p>
      <w:pPr>
        <w:spacing w:line="312" w:lineRule="auto"/>
        <w:ind w:firstLine="480"/>
        <w:rPr>
          <w:rFonts w:cs="宋体"/>
          <w:sz w:val="24"/>
          <w:highlight w:val="none"/>
        </w:rPr>
      </w:pPr>
      <w:r>
        <w:rPr>
          <w:rFonts w:hint="eastAsia" w:cs="宋体"/>
          <w:sz w:val="24"/>
          <w:highlight w:val="none"/>
        </w:rPr>
        <w:t>2025年 月  日</w:t>
      </w:r>
    </w:p>
    <w:p>
      <w:pPr>
        <w:spacing w:line="312" w:lineRule="auto"/>
        <w:ind w:firstLine="480"/>
        <w:rPr>
          <w:rFonts w:ascii="宋体" w:hAnsi="宋体" w:cs="宋体"/>
          <w:bCs/>
          <w:sz w:val="24"/>
          <w:highlight w:val="none"/>
        </w:rPr>
      </w:pPr>
      <w:r>
        <w:rPr>
          <w:rFonts w:hint="eastAsia" w:cs="宋体"/>
          <w:i/>
          <w:iCs/>
          <w:sz w:val="24"/>
          <w:highlight w:val="none"/>
        </w:rPr>
        <w:t>注：投标文件解密结束，各供应商签署《政府采购活动现场确认声明书》，签署完成后，扫描发送至邮箱：</w:t>
      </w:r>
      <w:r>
        <w:rPr>
          <w:highlight w:val="none"/>
        </w:rPr>
        <w:fldChar w:fldCharType="begin"/>
      </w:r>
      <w:r>
        <w:rPr>
          <w:highlight w:val="none"/>
        </w:rPr>
        <w:instrText xml:space="preserve"> HYPERLINK "mailto:834007470@qq.com；" </w:instrText>
      </w:r>
      <w:r>
        <w:rPr>
          <w:highlight w:val="none"/>
        </w:rPr>
        <w:fldChar w:fldCharType="separate"/>
      </w:r>
      <w:r>
        <w:rPr>
          <w:rFonts w:hint="eastAsia" w:cs="宋体"/>
          <w:i/>
          <w:iCs/>
          <w:sz w:val="24"/>
          <w:highlight w:val="none"/>
        </w:rPr>
        <w:t>253656196@qq.com；</w:t>
      </w:r>
      <w:r>
        <w:rPr>
          <w:rFonts w:hint="eastAsia" w:cs="宋体"/>
          <w:i/>
          <w:iCs/>
          <w:sz w:val="24"/>
          <w:highlight w:val="none"/>
        </w:rPr>
        <w:fldChar w:fldCharType="end"/>
      </w:r>
    </w:p>
    <w:sectPr>
      <w:pgSz w:w="11906" w:h="16838"/>
      <w:pgMar w:top="1247" w:right="1304" w:bottom="1020" w:left="130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2E5D4D9-CD11-4570-98B4-442F34F8DFC5}"/>
  </w:font>
  <w:font w:name="Arial">
    <w:panose1 w:val="020B0604020202020204"/>
    <w:charset w:val="01"/>
    <w:family w:val="swiss"/>
    <w:pitch w:val="default"/>
    <w:sig w:usb0="E0002AFF" w:usb1="C0007843" w:usb2="00000009" w:usb3="00000000" w:csb0="400001FF" w:csb1="FFFF0000"/>
    <w:embedRegular r:id="rId2" w:fontKey="{F34AB710-F298-4B20-B64B-ED49C2AD4D3C}"/>
  </w:font>
  <w:font w:name="黑体">
    <w:panose1 w:val="02010609060101010101"/>
    <w:charset w:val="86"/>
    <w:family w:val="auto"/>
    <w:pitch w:val="default"/>
    <w:sig w:usb0="800002BF" w:usb1="38CF7CFA" w:usb2="00000016" w:usb3="00000000" w:csb0="00040001" w:csb1="00000000"/>
    <w:embedRegular r:id="rId3" w:fontKey="{8A0E940E-E214-4DAA-A3A8-8784A3E1EF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4" w:fontKey="{8DCCD5E1-C9EF-4FE3-B39B-990E7B38AFA6}"/>
  </w:font>
  <w:font w:name="仿宋">
    <w:panose1 w:val="02010609060101010101"/>
    <w:charset w:val="86"/>
    <w:family w:val="modern"/>
    <w:pitch w:val="default"/>
    <w:sig w:usb0="800002BF" w:usb1="38CF7CFA" w:usb2="00000016" w:usb3="00000000" w:csb0="00040001" w:csb1="00000000"/>
    <w:embedRegular r:id="rId5" w:fontKey="{52CA6FA6-31F5-4957-9442-BB5CE424174B}"/>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Wonder Arial">
    <w:altName w:val="Arial"/>
    <w:panose1 w:val="00000000000000000000"/>
    <w:charset w:val="00"/>
    <w:family w:val="auto"/>
    <w:pitch w:val="default"/>
    <w:sig w:usb0="00000000" w:usb1="00000000" w:usb2="00000000" w:usb3="00000000" w:csb0="0000001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embedRegular r:id="rId6" w:fontKey="{FC8579C1-0C1B-4970-8C1A-EC9E8937C05A}"/>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0000000000000000000"/>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1"/>
      <w:numFmt w:val="chineseCounting"/>
      <w:suff w:val="nothing"/>
      <w:lvlText w:val="%1、"/>
      <w:lvlJc w:val="left"/>
      <w:rPr>
        <w:rFonts w:hint="eastAsia"/>
      </w:rPr>
    </w:lvl>
  </w:abstractNum>
  <w:abstractNum w:abstractNumId="5">
    <w:nsid w:val="00000005"/>
    <w:multiLevelType w:val="singleLevel"/>
    <w:tmpl w:val="00000005"/>
    <w:lvl w:ilvl="0" w:tentative="1">
      <w:start w:val="1"/>
      <w:numFmt w:val="decimal"/>
      <w:suff w:val="nothing"/>
      <w:lvlText w:val="（%1）"/>
      <w:lvlJc w:val="left"/>
      <w:pPr>
        <w:ind w:left="0" w:firstLine="420"/>
      </w:pPr>
      <w:rPr>
        <w:rFonts w:hint="default"/>
      </w:rPr>
    </w:lvl>
  </w:abstractNum>
  <w:num w:numId="1">
    <w:abstractNumId w:val="5"/>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xNTUyYWY2MGMyZjljZTZkMjgxYWVhMjRmNWI1YjYifQ=="/>
  </w:docVars>
  <w:rsids>
    <w:rsidRoot w:val="00BD6BD3"/>
    <w:rsid w:val="002235CC"/>
    <w:rsid w:val="004235B8"/>
    <w:rsid w:val="004C75EC"/>
    <w:rsid w:val="007840A4"/>
    <w:rsid w:val="00BD6BD3"/>
    <w:rsid w:val="00C52E93"/>
    <w:rsid w:val="00D00876"/>
    <w:rsid w:val="00FE0FC3"/>
    <w:rsid w:val="042C0EBC"/>
    <w:rsid w:val="065C34DF"/>
    <w:rsid w:val="09B06CCE"/>
    <w:rsid w:val="0B2732E0"/>
    <w:rsid w:val="0C5A298E"/>
    <w:rsid w:val="0C9D300E"/>
    <w:rsid w:val="0F7573B4"/>
    <w:rsid w:val="109408CD"/>
    <w:rsid w:val="10E03A69"/>
    <w:rsid w:val="166718DF"/>
    <w:rsid w:val="17C92852"/>
    <w:rsid w:val="17F62992"/>
    <w:rsid w:val="1A520FDC"/>
    <w:rsid w:val="1BB11F7A"/>
    <w:rsid w:val="1EC93137"/>
    <w:rsid w:val="1F7F29BA"/>
    <w:rsid w:val="203B1E13"/>
    <w:rsid w:val="27CA6A55"/>
    <w:rsid w:val="28EF304E"/>
    <w:rsid w:val="295D729E"/>
    <w:rsid w:val="29D60DFE"/>
    <w:rsid w:val="2B5446D0"/>
    <w:rsid w:val="2D6C5D01"/>
    <w:rsid w:val="2DB96A6D"/>
    <w:rsid w:val="306A22A0"/>
    <w:rsid w:val="31B403F8"/>
    <w:rsid w:val="37D42FA2"/>
    <w:rsid w:val="39B20F40"/>
    <w:rsid w:val="3A601EFA"/>
    <w:rsid w:val="3B717470"/>
    <w:rsid w:val="3D1D0DC6"/>
    <w:rsid w:val="3D8E550D"/>
    <w:rsid w:val="3E864749"/>
    <w:rsid w:val="3EDC5B76"/>
    <w:rsid w:val="423B5326"/>
    <w:rsid w:val="44815866"/>
    <w:rsid w:val="47210890"/>
    <w:rsid w:val="47643E47"/>
    <w:rsid w:val="48F23572"/>
    <w:rsid w:val="49102EB2"/>
    <w:rsid w:val="49843F7B"/>
    <w:rsid w:val="49B4660E"/>
    <w:rsid w:val="4AA173B4"/>
    <w:rsid w:val="4C7B0D3F"/>
    <w:rsid w:val="4F0A09C7"/>
    <w:rsid w:val="50471758"/>
    <w:rsid w:val="50B45146"/>
    <w:rsid w:val="50F6575E"/>
    <w:rsid w:val="54131832"/>
    <w:rsid w:val="56A56697"/>
    <w:rsid w:val="56DE4CCA"/>
    <w:rsid w:val="5B2D3CF9"/>
    <w:rsid w:val="5C14223E"/>
    <w:rsid w:val="5C4A4576"/>
    <w:rsid w:val="5D003A8D"/>
    <w:rsid w:val="5E4D0988"/>
    <w:rsid w:val="5E7151D4"/>
    <w:rsid w:val="5FCE4022"/>
    <w:rsid w:val="62FE2DFC"/>
    <w:rsid w:val="6300421A"/>
    <w:rsid w:val="63B70D7D"/>
    <w:rsid w:val="6424218B"/>
    <w:rsid w:val="6A0C56F6"/>
    <w:rsid w:val="6C871609"/>
    <w:rsid w:val="6E540E9B"/>
    <w:rsid w:val="6F886322"/>
    <w:rsid w:val="700F3AB9"/>
    <w:rsid w:val="740372E3"/>
    <w:rsid w:val="79C7428C"/>
    <w:rsid w:val="79DF3E60"/>
    <w:rsid w:val="7A9D51A5"/>
    <w:rsid w:val="7BE80547"/>
    <w:rsid w:val="7C250561"/>
    <w:rsid w:val="7CDD764F"/>
    <w:rsid w:val="7CF33F26"/>
    <w:rsid w:val="7DA95783"/>
    <w:rsid w:val="7E0665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uiPriority w:val="1"/>
  </w:style>
  <w:style w:type="table" w:default="1" w:styleId="73">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98"/>
    <w:qFormat/>
    <w:uiPriority w:val="0"/>
    <w:rPr>
      <w:b/>
      <w:bCs/>
    </w:rPr>
  </w:style>
  <w:style w:type="paragraph" w:styleId="12">
    <w:name w:val="annotation text"/>
    <w:basedOn w:val="1"/>
    <w:link w:val="346"/>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link w:val="323"/>
    <w:qFormat/>
    <w:uiPriority w:val="0"/>
    <w:pPr>
      <w:ind w:firstLine="420"/>
    </w:pPr>
    <w:rPr>
      <w:rFonts w:hAnsi="Calibri" w:cs="Times New Roman"/>
      <w:snapToGrid/>
      <w:szCs w:val="20"/>
    </w:rPr>
  </w:style>
  <w:style w:type="paragraph" w:styleId="15">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Body Text First Indent 2"/>
    <w:basedOn w:val="26"/>
    <w:next w:val="1"/>
    <w:link w:val="123"/>
    <w:qFormat/>
    <w:uiPriority w:val="0"/>
    <w:pPr>
      <w:adjustRightInd/>
      <w:spacing w:after="120" w:line="240" w:lineRule="auto"/>
      <w:ind w:left="420" w:leftChars="200" w:firstLine="210"/>
    </w:pPr>
    <w:rPr>
      <w:sz w:val="21"/>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9"/>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2"/>
    <w:qFormat/>
    <w:uiPriority w:val="0"/>
    <w:rPr>
      <w:rFonts w:ascii="Courier New" w:hAnsi="Courier New"/>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0">
    <w:name w:val="Default"/>
    <w:next w:val="8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7ea97db-cee6-4a71-993d-c3980d11c211"/>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1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6fa7a96f-08da-414f-91f4-85668e2075f9"/>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字符"/>
    <w:link w:val="42"/>
    <w:qFormat/>
    <w:uiPriority w:val="0"/>
    <w:rPr>
      <w:rFonts w:ascii="宋体" w:hAnsi="宋体"/>
      <w:kern w:val="2"/>
      <w:sz w:val="21"/>
      <w:szCs w:val="24"/>
    </w:rPr>
  </w:style>
  <w:style w:type="character" w:customStyle="1" w:styleId="124">
    <w:name w:val="font11"/>
    <w:basedOn w:val="62"/>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2"/>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9"/>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e0e403fc-0f7a-44bb-8fa3-2d77cd1f9f10"/>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32c08311-0094-411d-bbf8-50129f016075"/>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3"/>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9"/>
    <w:qFormat/>
    <w:uiPriority w:val="0"/>
    <w:rPr>
      <w:rFonts w:ascii="黑体" w:hAnsi="Courier New" w:eastAsia="黑体"/>
    </w:rPr>
  </w:style>
  <w:style w:type="character" w:customStyle="1" w:styleId="304">
    <w:name w:val="正文文本 2 字符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1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2"/>
    <w:qFormat/>
    <w:uiPriority w:val="99"/>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9"/>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15"/>
    <w:qFormat/>
    <w:uiPriority w:val="0"/>
    <w:rPr>
      <w:rFonts w:ascii="宋体" w:hAnsi="Arial" w:eastAsia="宋体" w:cs="Arial"/>
      <w:snapToGrid w:val="0"/>
      <w:kern w:val="2"/>
      <w:sz w:val="24"/>
      <w:szCs w:val="21"/>
      <w:lang w:val="zh-CN" w:eastAsia="zh-CN" w:bidi="ar-SA"/>
    </w:rPr>
  </w:style>
  <w:style w:type="character" w:customStyle="1" w:styleId="433">
    <w:name w:val="gray6"/>
    <w:basedOn w:val="62"/>
    <w:qFormat/>
    <w:uiPriority w:val="0"/>
    <w:rPr>
      <w:rFonts w:ascii="Arial" w:hAnsi="Arial" w:eastAsia="黑体" w:cs="Arial"/>
      <w:snapToGrid w:val="0"/>
      <w:kern w:val="0"/>
      <w:szCs w:val="21"/>
    </w:rPr>
  </w:style>
  <w:style w:type="character" w:customStyle="1" w:styleId="434">
    <w:name w:val="hui"/>
    <w:basedOn w:val="6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Wonder Arial" w:hAnsi="Wonder Arial"/>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Wonder Arial" w:hAnsi="Wonder Arial"/>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4">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5">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6">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7">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11"/>
    <w:basedOn w:val="62"/>
    <w:qFormat/>
    <w:uiPriority w:val="0"/>
    <w:rPr>
      <w:rFonts w:hint="eastAsia" w:ascii="微软雅黑" w:hAnsi="微软雅黑" w:eastAsia="微软雅黑" w:cs="微软雅黑"/>
      <w:color w:val="333333"/>
      <w:sz w:val="16"/>
      <w:szCs w:val="16"/>
      <w:u w:val="none"/>
    </w:rPr>
  </w:style>
  <w:style w:type="paragraph" w:customStyle="1" w:styleId="968">
    <w:name w:val="Proposals body"/>
    <w:basedOn w:val="1"/>
    <w:next w:val="1"/>
    <w:qFormat/>
    <w:uiPriority w:val="0"/>
    <w:pPr>
      <w:widowControl/>
      <w:snapToGrid w:val="0"/>
      <w:jc w:val="left"/>
    </w:pPr>
    <w:rPr>
      <w:rFonts w:ascii="宋体"/>
      <w:color w:val="000000"/>
      <w:kern w:val="0"/>
      <w:szCs w:val="20"/>
    </w:rPr>
  </w:style>
  <w:style w:type="character" w:customStyle="1" w:styleId="969">
    <w:name w:val="NormalCharacter"/>
    <w:qFormat/>
    <w:uiPriority w:val="0"/>
    <w:rPr>
      <w:rFonts w:ascii="Times New Roman" w:hAnsi="Times New Roman" w:eastAsia="宋体"/>
    </w:rPr>
  </w:style>
  <w:style w:type="table" w:customStyle="1" w:styleId="970">
    <w:name w:val="Table Normal"/>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971">
    <w:name w:val="[Normal]"/>
    <w:qFormat/>
    <w:uiPriority w:val="99"/>
    <w:rPr>
      <w:rFonts w:ascii="宋体" w:hAnsi="宋体" w:eastAsia="宋体" w:cs="宋体"/>
      <w:sz w:val="24"/>
      <w:szCs w:val="24"/>
      <w:lang w:val="zh-CN" w:eastAsia="zh-CN" w:bidi="ar-SA"/>
    </w:rPr>
  </w:style>
  <w:style w:type="paragraph" w:customStyle="1" w:styleId="972">
    <w:name w:val="列出段落6"/>
    <w:basedOn w:val="1"/>
    <w:qFormat/>
    <w:uiPriority w:val="99"/>
    <w:pPr>
      <w:ind w:firstLine="420" w:firstLineChars="200"/>
    </w:pPr>
  </w:style>
  <w:style w:type="paragraph" w:customStyle="1" w:styleId="973">
    <w:name w:val="Normal Indent_b952337a-2760-4b92-9f15-aff8d2ed04be"/>
    <w:qFormat/>
    <w:uiPriority w:val="0"/>
    <w:pPr>
      <w:ind w:firstLine="420"/>
    </w:pPr>
    <w:rPr>
      <w:rFonts w:ascii="Times New Roman" w:hAnsi="Times New Roman" w:eastAsia="仿宋_GB2312" w:cs="宋体"/>
      <w:b/>
      <w:bCs/>
      <w:color w:val="000000"/>
      <w:sz w:val="21"/>
      <w:szCs w:val="22"/>
      <w:lang w:val="en-US" w:eastAsia="zh-CN" w:bidi="ar-SA"/>
    </w:rPr>
  </w:style>
  <w:style w:type="paragraph" w:customStyle="1" w:styleId="974">
    <w:name w:val="zhang"/>
    <w:basedOn w:val="1"/>
    <w:qFormat/>
    <w:uiPriority w:val="0"/>
    <w:pPr>
      <w:widowControl/>
      <w:spacing w:before="100" w:beforeAutospacing="1" w:after="100" w:afterAutospacing="1"/>
      <w:textAlignment w:val="baseline"/>
    </w:pPr>
    <w:rPr>
      <w:b/>
      <w:bCs/>
      <w:smallCaps/>
      <w:color w:val="000000"/>
      <w:sz w:val="20"/>
      <w:szCs w:val="20"/>
    </w:rPr>
  </w:style>
  <w:style w:type="paragraph" w:customStyle="1" w:styleId="975">
    <w:name w:val="Normal Indent1"/>
    <w:qFormat/>
    <w:uiPriority w:val="0"/>
    <w:pPr>
      <w:ind w:firstLine="420"/>
    </w:pPr>
    <w:rPr>
      <w:rFonts w:ascii="Times New Roman" w:hAnsi="Times New Roman" w:eastAsia="仿宋_GB2312" w:cs="宋体"/>
      <w:b/>
      <w:bCs/>
      <w:color w:val="000000"/>
      <w:sz w:val="21"/>
      <w:szCs w:val="22"/>
      <w:lang w:val="en-US" w:eastAsia="zh-CN" w:bidi="ar-SA"/>
    </w:rPr>
  </w:style>
  <w:style w:type="paragraph" w:customStyle="1" w:styleId="976">
    <w:name w:val="Heading1"/>
    <w:basedOn w:val="1"/>
    <w:next w:val="1"/>
    <w:qFormat/>
    <w:uiPriority w:val="0"/>
    <w:pPr>
      <w:keepNext/>
      <w:keepLines/>
      <w:widowControl/>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A3896-3E4F-4B94-9861-2BF3B00579B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5167</Words>
  <Characters>29455</Characters>
  <Lines>245</Lines>
  <Paragraphs>69</Paragraphs>
  <ScaleCrop>false</ScaleCrop>
  <LinksUpToDate>false</LinksUpToDate>
  <CharactersWithSpaces>34553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2024-03-18T03:57:00Z</dcterms:created>
  <dc:creator>玥</dc:creator>
  <cp:lastModifiedBy>Administrator</cp:lastModifiedBy>
  <cp:lastPrinted>2021-12-27T11:06:00Z</cp:lastPrinted>
  <dcterms:modified xsi:type="dcterms:W3CDTF">2025-07-15T08:18:16Z</dcterms:modified>
  <dc:title>杭州市市民卡扩大发卡工程</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85C4820E6DE14E3CB97B74E8755AAD88_13</vt:lpwstr>
  </property>
  <property fmtid="{D5CDD505-2E9C-101B-9397-08002B2CF9AE}" pid="5" name="KSOTemplateDocerSaveRecord">
    <vt:lpwstr>eyJoZGlkIjoiMGExNTUyYWY2MGMyZjljZTZkMjgxYWVhMjRmNWI1YjYiLCJ1c2VySWQiOiIyNjQyNTQwNDMifQ==</vt:lpwstr>
  </property>
</Properties>
</file>